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72"/>
          <w:lang w:eastAsia="zh-CN"/>
        </w:rPr>
      </w:pPr>
      <w:bookmarkStart w:id="1" w:name="_GoBack"/>
      <w:r>
        <w:rPr>
          <w:rFonts w:hint="eastAsia" w:eastAsia="宋体"/>
          <w:b/>
          <w:sz w:val="72"/>
          <w:lang w:eastAsia="zh-CN"/>
        </w:rPr>
        <w:drawing>
          <wp:anchor distT="0" distB="0" distL="114300" distR="114300" simplePos="0" relativeHeight="251664384" behindDoc="0" locked="0" layoutInCell="1" allowOverlap="1">
            <wp:simplePos x="0" y="0"/>
            <wp:positionH relativeFrom="column">
              <wp:posOffset>-723900</wp:posOffset>
            </wp:positionH>
            <wp:positionV relativeFrom="paragraph">
              <wp:posOffset>-600075</wp:posOffset>
            </wp:positionV>
            <wp:extent cx="7224395" cy="10308590"/>
            <wp:effectExtent l="0" t="0" r="14605" b="16510"/>
            <wp:wrapNone/>
            <wp:docPr id="1" name="图片 1" descr="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皮"/>
                    <pic:cNvPicPr>
                      <a:picLocks noChangeAspect="1"/>
                    </pic:cNvPicPr>
                  </pic:nvPicPr>
                  <pic:blipFill>
                    <a:blip r:embed="rId7"/>
                    <a:stretch>
                      <a:fillRect/>
                    </a:stretch>
                  </pic:blipFill>
                  <pic:spPr>
                    <a:xfrm>
                      <a:off x="0" y="0"/>
                      <a:ext cx="7224395" cy="10308590"/>
                    </a:xfrm>
                    <a:prstGeom prst="rect">
                      <a:avLst/>
                    </a:prstGeom>
                  </pic:spPr>
                </pic:pic>
              </a:graphicData>
            </a:graphic>
          </wp:anchor>
        </w:drawing>
      </w:r>
      <w:bookmarkEnd w:id="1"/>
    </w:p>
    <w:p>
      <w:pPr>
        <w:pStyle w:val="5"/>
        <w:numPr>
          <w:ilvl w:val="0"/>
          <w:numId w:val="0"/>
        </w:numPr>
        <w:ind w:leftChars="200"/>
      </w:pPr>
    </w:p>
    <w:p>
      <w:pPr>
        <w:pStyle w:val="5"/>
        <w:numPr>
          <w:ilvl w:val="0"/>
          <w:numId w:val="0"/>
        </w:numPr>
        <w:ind w:leftChars="200"/>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ind w:firstLine="640"/>
        <w:rPr>
          <w:sz w:val="32"/>
        </w:rPr>
      </w:pPr>
    </w:p>
    <w:p>
      <w:pPr>
        <w:ind w:firstLine="640"/>
        <w:rPr>
          <w:sz w:val="32"/>
        </w:rPr>
      </w:pPr>
    </w:p>
    <w:p>
      <w:pPr>
        <w:ind w:firstLine="480"/>
      </w:pPr>
    </w:p>
    <w:p>
      <w:pPr>
        <w:pStyle w:val="5"/>
        <w:numPr>
          <w:ilvl w:val="0"/>
          <w:numId w:val="0"/>
        </w:numPr>
        <w:ind w:left="420" w:leftChars="200"/>
      </w:pPr>
    </w:p>
    <w:p>
      <w:pPr>
        <w:ind w:firstLine="480"/>
      </w:pPr>
    </w:p>
    <w:p>
      <w:pPr>
        <w:pStyle w:val="5"/>
        <w:numPr>
          <w:ilvl w:val="0"/>
          <w:numId w:val="0"/>
        </w:numPr>
        <w:ind w:leftChars="200"/>
      </w:pPr>
    </w:p>
    <w:p/>
    <w:p>
      <w:pPr>
        <w:pStyle w:val="5"/>
        <w:numPr>
          <w:ilvl w:val="0"/>
          <w:numId w:val="0"/>
        </w:numPr>
        <w:ind w:leftChars="20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spacing w:line="480" w:lineRule="auto"/>
        <w:ind w:firstLine="1405" w:firstLineChars="500"/>
        <w:jc w:val="center"/>
        <w:rPr>
          <w:b/>
          <w:sz w:val="28"/>
          <w:szCs w:val="28"/>
          <w:u w:val="single"/>
        </w:rPr>
      </w:pPr>
    </w:p>
    <w:p>
      <w:pPr>
        <w:spacing w:line="480" w:lineRule="auto"/>
        <w:ind w:firstLine="1687" w:firstLineChars="600"/>
        <w:jc w:val="left"/>
        <w:rPr>
          <w:rFonts w:hint="default" w:eastAsia="宋体"/>
          <w:b/>
          <w:sz w:val="28"/>
          <w:szCs w:val="28"/>
          <w:u w:val="single"/>
          <w:lang w:val="en-US" w:eastAsia="zh-CN"/>
        </w:rPr>
      </w:pPr>
      <w:r>
        <w:rPr>
          <w:b/>
          <w:sz w:val="28"/>
          <w:szCs w:val="28"/>
          <w:u w:val="single"/>
        </w:rPr>
        <w:t>项目名称：</w:t>
      </w:r>
      <w:r>
        <w:rPr>
          <w:rFonts w:hint="eastAsia"/>
          <w:b/>
          <w:sz w:val="28"/>
          <w:szCs w:val="28"/>
          <w:u w:val="single"/>
        </w:rPr>
        <w:t>偃师市山化镇盛达鞋垫厂年产500万双鞋垫项目</w:t>
      </w:r>
    </w:p>
    <w:p>
      <w:pPr>
        <w:spacing w:line="480" w:lineRule="auto"/>
        <w:ind w:firstLine="1687" w:firstLineChars="600"/>
        <w:jc w:val="left"/>
        <w:rPr>
          <w:b/>
          <w:sz w:val="28"/>
          <w:szCs w:val="28"/>
          <w:u w:val="single"/>
        </w:rPr>
      </w:pPr>
      <w:r>
        <w:rPr>
          <w:b/>
          <w:sz w:val="28"/>
          <w:szCs w:val="28"/>
          <w:u w:val="single"/>
        </w:rPr>
        <w:t>建设单位（盖章)：</w:t>
      </w:r>
      <w:r>
        <w:rPr>
          <w:rFonts w:hint="eastAsia"/>
          <w:b/>
          <w:sz w:val="28"/>
          <w:szCs w:val="28"/>
          <w:u w:val="single"/>
        </w:rPr>
        <w:t>偃师市山化镇盛达鞋垫厂</w:t>
      </w:r>
    </w:p>
    <w:p>
      <w:pPr>
        <w:spacing w:line="480" w:lineRule="auto"/>
        <w:ind w:firstLine="1687" w:firstLineChars="600"/>
        <w:jc w:val="left"/>
        <w:rPr>
          <w:sz w:val="30"/>
          <w:szCs w:val="30"/>
          <w:u w:val="single"/>
        </w:rPr>
      </w:pPr>
      <w:r>
        <w:rPr>
          <w:b/>
          <w:bCs/>
          <w:sz w:val="28"/>
          <w:szCs w:val="28"/>
        </w:rPr>
        <w:t>编制日期</w:t>
      </w:r>
      <w:r>
        <w:rPr>
          <w:sz w:val="28"/>
          <w:szCs w:val="28"/>
          <w:u w:val="single"/>
        </w:rPr>
        <w:t>：</w:t>
      </w:r>
      <w:r>
        <w:rPr>
          <w:rFonts w:hint="eastAsia"/>
          <w:sz w:val="28"/>
          <w:szCs w:val="28"/>
          <w:u w:val="single"/>
        </w:rPr>
        <w:t xml:space="preserve">       </w:t>
      </w:r>
      <w:r>
        <w:rPr>
          <w:b/>
          <w:sz w:val="28"/>
          <w:szCs w:val="28"/>
          <w:u w:val="single"/>
        </w:rPr>
        <w:t>202</w:t>
      </w:r>
      <w:r>
        <w:rPr>
          <w:rFonts w:hint="eastAsia"/>
          <w:b/>
          <w:sz w:val="28"/>
          <w:szCs w:val="28"/>
          <w:u w:val="single"/>
        </w:rPr>
        <w:t>2</w:t>
      </w:r>
      <w:r>
        <w:rPr>
          <w:b/>
          <w:sz w:val="28"/>
          <w:szCs w:val="28"/>
          <w:u w:val="single"/>
        </w:rPr>
        <w:t>年</w:t>
      </w:r>
      <w:r>
        <w:rPr>
          <w:rFonts w:hint="eastAsia"/>
          <w:b/>
          <w:sz w:val="28"/>
          <w:szCs w:val="28"/>
          <w:u w:val="single"/>
          <w:lang w:val="en-US" w:eastAsia="zh-CN"/>
        </w:rPr>
        <w:t>8</w:t>
      </w:r>
      <w:r>
        <w:rPr>
          <w:b/>
          <w:sz w:val="28"/>
          <w:szCs w:val="28"/>
          <w:u w:val="single"/>
        </w:rPr>
        <w:t>月</w:t>
      </w:r>
      <w:r>
        <w:rPr>
          <w:rFonts w:hint="eastAsia"/>
          <w:b/>
          <w:sz w:val="28"/>
          <w:szCs w:val="28"/>
          <w:u w:val="single"/>
        </w:rPr>
        <w:t xml:space="preserve">           </w:t>
      </w:r>
    </w:p>
    <w:p>
      <w:pPr>
        <w:ind w:firstLine="640"/>
        <w:rPr>
          <w:sz w:val="32"/>
        </w:rPr>
      </w:pPr>
    </w:p>
    <w:p>
      <w:pPr>
        <w:spacing w:beforeLines="50" w:afterLines="50"/>
        <w:ind w:firstLine="643"/>
        <w:rPr>
          <w:b/>
          <w:sz w:val="32"/>
        </w:rPr>
      </w:pPr>
      <w:r>
        <w:rPr>
          <w:b/>
          <w:sz w:val="32"/>
        </w:rPr>
        <w:t xml:space="preserve">  </w:t>
      </w:r>
    </w:p>
    <w:p>
      <w:pPr>
        <w:rPr>
          <w:b/>
          <w:sz w:val="32"/>
        </w:rPr>
      </w:pPr>
    </w:p>
    <w:p>
      <w:pPr>
        <w:pStyle w:val="5"/>
        <w:numPr>
          <w:ilvl w:val="0"/>
          <w:numId w:val="0"/>
        </w:numPr>
        <w:ind w:left="420" w:leftChars="200"/>
      </w:pPr>
    </w:p>
    <w:p>
      <w:pPr>
        <w:spacing w:beforeLines="50" w:afterLines="50"/>
        <w:jc w:val="center"/>
      </w:pPr>
      <w:r>
        <w:rPr>
          <w:b/>
          <w:sz w:val="32"/>
        </w:rPr>
        <w:t>中华人民共和国生态环境部</w:t>
      </w:r>
    </w:p>
    <w:p>
      <w:pPr>
        <w:rPr>
          <w:rFonts w:eastAsia="黑体"/>
          <w:b/>
          <w:bCs/>
          <w:sz w:val="30"/>
          <w:szCs w:val="30"/>
        </w:rPr>
      </w:pPr>
      <w:r>
        <w:rPr>
          <w:rFonts w:eastAsia="黑体"/>
          <w:b/>
          <w:bCs/>
          <w:sz w:val="30"/>
          <w:szCs w:val="30"/>
        </w:rPr>
        <w:br w:type="page"/>
      </w:r>
    </w:p>
    <w:p>
      <w:pPr>
        <w:sectPr>
          <w:pgSz w:w="11906" w:h="16838"/>
          <w:pgMar w:top="1134" w:right="1417" w:bottom="1134" w:left="1417" w:header="851" w:footer="1077" w:gutter="0"/>
          <w:pgNumType w:fmt="numberInDash"/>
          <w:cols w:space="720" w:num="1"/>
          <w:docGrid w:linePitch="312" w:charSpace="0"/>
        </w:sectPr>
      </w:pPr>
    </w:p>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7"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89"/>
        <w:gridCol w:w="2119"/>
        <w:gridCol w:w="1856"/>
        <w:gridCol w:w="3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101" w:type="dxa"/>
            <w:gridSpan w:val="3"/>
            <w:vAlign w:val="center"/>
          </w:tcPr>
          <w:p>
            <w:pPr>
              <w:adjustRightInd w:val="0"/>
              <w:snapToGrid w:val="0"/>
              <w:spacing w:line="420" w:lineRule="exact"/>
              <w:jc w:val="center"/>
              <w:rPr>
                <w:sz w:val="24"/>
              </w:rPr>
            </w:pPr>
            <w:r>
              <w:rPr>
                <w:rFonts w:hint="eastAsia"/>
                <w:sz w:val="24"/>
              </w:rPr>
              <w:t>偃师市山化镇盛达鞋垫厂年产500万双鞋垫项目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101" w:type="dxa"/>
            <w:gridSpan w:val="3"/>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2020-410381-19-03-101836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张雷生</w:t>
            </w:r>
          </w:p>
        </w:tc>
        <w:tc>
          <w:tcPr>
            <w:tcW w:w="1858" w:type="dxa"/>
            <w:vAlign w:val="center"/>
          </w:tcPr>
          <w:p>
            <w:pPr>
              <w:adjustRightInd w:val="0"/>
              <w:snapToGrid w:val="0"/>
              <w:spacing w:line="420" w:lineRule="exact"/>
              <w:jc w:val="center"/>
              <w:rPr>
                <w:sz w:val="24"/>
              </w:rPr>
            </w:pPr>
            <w:r>
              <w:rPr>
                <w:b/>
                <w:bCs/>
                <w:sz w:val="24"/>
              </w:rPr>
              <w:t>联系方式</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15137985777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101" w:type="dxa"/>
            <w:gridSpan w:val="3"/>
            <w:vAlign w:val="center"/>
          </w:tcPr>
          <w:p>
            <w:pPr>
              <w:adjustRightInd w:val="0"/>
              <w:snapToGrid w:val="0"/>
              <w:spacing w:line="420" w:lineRule="exact"/>
              <w:jc w:val="center"/>
              <w:rPr>
                <w:sz w:val="24"/>
              </w:rPr>
            </w:pPr>
            <w:r>
              <w:rPr>
                <w:rFonts w:hint="eastAsia"/>
                <w:sz w:val="24"/>
              </w:rPr>
              <w:t>洛阳市偃师</w:t>
            </w:r>
            <w:r>
              <w:rPr>
                <w:rFonts w:hint="eastAsia"/>
                <w:sz w:val="24"/>
                <w:lang w:val="en-US" w:eastAsia="zh-CN"/>
              </w:rPr>
              <w:t>区</w:t>
            </w:r>
            <w:r>
              <w:rPr>
                <w:rFonts w:hint="eastAsia"/>
                <w:sz w:val="24"/>
              </w:rPr>
              <w:t>山化镇东屯村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101" w:type="dxa"/>
            <w:gridSpan w:val="3"/>
            <w:vAlign w:val="center"/>
          </w:tcPr>
          <w:p>
            <w:pPr>
              <w:spacing w:line="420" w:lineRule="exact"/>
              <w:jc w:val="center"/>
              <w:rPr>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49</w:t>
            </w:r>
            <w:r>
              <w:rPr>
                <w:b w:val="0"/>
                <w:bCs w:val="0"/>
                <w:sz w:val="24"/>
                <w:highlight w:val="none"/>
              </w:rPr>
              <w:t>分</w:t>
            </w:r>
            <w:r>
              <w:rPr>
                <w:rFonts w:hint="eastAsia"/>
                <w:b w:val="0"/>
                <w:bCs w:val="0"/>
                <w:sz w:val="24"/>
                <w:highlight w:val="none"/>
                <w:lang w:val="en-US" w:eastAsia="zh-CN"/>
              </w:rPr>
              <w:t>56.543</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43</w:t>
            </w:r>
            <w:r>
              <w:rPr>
                <w:b w:val="0"/>
                <w:bCs w:val="0"/>
                <w:sz w:val="24"/>
                <w:highlight w:val="none"/>
              </w:rPr>
              <w:t>分</w:t>
            </w:r>
            <w:r>
              <w:rPr>
                <w:rFonts w:hint="eastAsia"/>
                <w:b w:val="0"/>
                <w:bCs w:val="0"/>
                <w:sz w:val="24"/>
                <w:highlight w:val="none"/>
                <w:lang w:val="en-US" w:eastAsia="zh-CN"/>
              </w:rPr>
              <w:t>39.323</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国民经济</w:t>
            </w:r>
          </w:p>
          <w:p>
            <w:pPr>
              <w:adjustRightInd w:val="0"/>
              <w:snapToGrid w:val="0"/>
              <w:spacing w:line="420" w:lineRule="exact"/>
              <w:jc w:val="center"/>
              <w:rPr>
                <w:b/>
                <w:bCs/>
                <w:sz w:val="24"/>
              </w:rPr>
            </w:pPr>
            <w:r>
              <w:rPr>
                <w:b/>
                <w:bCs/>
                <w:sz w:val="24"/>
              </w:rPr>
              <w:t>行业类别</w:t>
            </w:r>
          </w:p>
        </w:tc>
        <w:tc>
          <w:tcPr>
            <w:tcW w:w="2121" w:type="dxa"/>
            <w:vAlign w:val="center"/>
          </w:tcPr>
          <w:p>
            <w:pPr>
              <w:adjustRightInd w:val="0"/>
              <w:snapToGrid w:val="0"/>
              <w:spacing w:line="420" w:lineRule="exact"/>
              <w:rPr>
                <w:rFonts w:hint="eastAsia" w:eastAsia="宋体"/>
                <w:sz w:val="24"/>
                <w:lang w:eastAsia="zh-CN"/>
              </w:rPr>
            </w:pPr>
            <w:r>
              <w:rPr>
                <w:rFonts w:hint="eastAsia" w:eastAsia="宋体"/>
                <w:b/>
                <w:bCs/>
                <w:sz w:val="24"/>
                <w:u w:val="single"/>
                <w:lang w:eastAsia="zh-CN"/>
              </w:rPr>
              <w:t>C2929 塑料零件及 其他塑料制品制造</w:t>
            </w:r>
          </w:p>
        </w:tc>
        <w:tc>
          <w:tcPr>
            <w:tcW w:w="1858"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行业类别</w:t>
            </w:r>
          </w:p>
        </w:tc>
        <w:tc>
          <w:tcPr>
            <w:tcW w:w="3122" w:type="dxa"/>
            <w:vAlign w:val="center"/>
          </w:tcPr>
          <w:p>
            <w:pPr>
              <w:adjustRightInd w:val="0"/>
              <w:snapToGrid w:val="0"/>
              <w:spacing w:line="420" w:lineRule="exact"/>
              <w:rPr>
                <w:rFonts w:hint="default"/>
                <w:sz w:val="24"/>
                <w:lang w:val="en-US"/>
              </w:rPr>
            </w:pPr>
            <w:r>
              <w:rPr>
                <w:rFonts w:ascii="宋体" w:hAnsi="宋体" w:eastAsia="宋体" w:cs="宋体"/>
                <w:b/>
                <w:bCs/>
                <w:sz w:val="24"/>
                <w:szCs w:val="24"/>
                <w:u w:val="single"/>
              </w:rPr>
              <w:t>二</w:t>
            </w:r>
            <w:r>
              <w:rPr>
                <w:rFonts w:hint="eastAsia" w:eastAsia="宋体"/>
                <w:b/>
                <w:bCs/>
                <w:sz w:val="24"/>
                <w:u w:val="single"/>
                <w:lang w:eastAsia="zh-CN"/>
              </w:rPr>
              <w:t>十六、橡胶和塑料制品业--53 塑料制品业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121" w:type="dxa"/>
            <w:vAlign w:val="center"/>
          </w:tcPr>
          <w:p>
            <w:pPr>
              <w:spacing w:line="420" w:lineRule="exact"/>
              <w:jc w:val="left"/>
              <w:rPr>
                <w:sz w:val="24"/>
              </w:rPr>
            </w:pPr>
            <w:r>
              <w:rPr>
                <w:sz w:val="24"/>
              </w:rPr>
              <w:sym w:font="Wingdings 2" w:char="0052"/>
            </w:r>
            <w:r>
              <w:rPr>
                <w:sz w:val="24"/>
              </w:rPr>
              <w:t>新建（迁建）</w:t>
            </w:r>
          </w:p>
          <w:p>
            <w:pPr>
              <w:spacing w:line="420" w:lineRule="exact"/>
              <w:jc w:val="left"/>
              <w:rPr>
                <w:sz w:val="24"/>
              </w:rPr>
            </w:pPr>
            <w:r>
              <w:rPr>
                <w:sz w:val="24"/>
              </w:rPr>
              <w:t>□改建</w:t>
            </w:r>
          </w:p>
          <w:p>
            <w:pPr>
              <w:spacing w:line="420" w:lineRule="exact"/>
              <w:jc w:val="left"/>
              <w:rPr>
                <w:sz w:val="24"/>
              </w:rPr>
            </w:pPr>
            <w:r>
              <w:rPr>
                <w:sz w:val="24"/>
              </w:rPr>
              <w:t>□扩建</w:t>
            </w:r>
          </w:p>
          <w:p>
            <w:pPr>
              <w:spacing w:line="420" w:lineRule="exact"/>
              <w:jc w:val="left"/>
              <w:rPr>
                <w:sz w:val="24"/>
              </w:rPr>
            </w:pPr>
            <w:r>
              <w:rPr>
                <w:sz w:val="24"/>
              </w:rPr>
              <w:sym w:font="Wingdings 2" w:char="00A3"/>
            </w:r>
            <w:r>
              <w:rPr>
                <w:sz w:val="24"/>
              </w:rPr>
              <w:t>技术改造</w:t>
            </w:r>
          </w:p>
        </w:tc>
        <w:tc>
          <w:tcPr>
            <w:tcW w:w="1858"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122" w:type="dxa"/>
            <w:vAlign w:val="center"/>
          </w:tcPr>
          <w:p>
            <w:pPr>
              <w:spacing w:line="420" w:lineRule="exact"/>
              <w:jc w:val="left"/>
              <w:rPr>
                <w:sz w:val="24"/>
              </w:rPr>
            </w:pPr>
            <w:r>
              <w:rPr>
                <w:sz w:val="24"/>
              </w:rPr>
              <w:sym w:font="Wingdings 2" w:char="0052"/>
            </w:r>
            <w:r>
              <w:rPr>
                <w:sz w:val="24"/>
              </w:rPr>
              <w:t xml:space="preserve">首次申报项目             </w:t>
            </w:r>
          </w:p>
          <w:p>
            <w:pPr>
              <w:spacing w:line="420" w:lineRule="exact"/>
              <w:jc w:val="left"/>
              <w:rPr>
                <w:sz w:val="24"/>
              </w:rPr>
            </w:pPr>
            <w:r>
              <w:rPr>
                <w:sz w:val="24"/>
              </w:rPr>
              <w:t>□不予批准后再次申报项目</w:t>
            </w:r>
          </w:p>
          <w:p>
            <w:pPr>
              <w:spacing w:line="420" w:lineRule="exact"/>
              <w:jc w:val="left"/>
              <w:rPr>
                <w:sz w:val="24"/>
              </w:rPr>
            </w:pPr>
            <w:r>
              <w:rPr>
                <w:sz w:val="24"/>
              </w:rPr>
              <w:sym w:font="Wingdings 2" w:char="00A3"/>
            </w:r>
            <w:r>
              <w:rPr>
                <w:sz w:val="24"/>
              </w:rPr>
              <w:t xml:space="preserve">超五年重新审核项目     </w:t>
            </w:r>
          </w:p>
          <w:p>
            <w:pPr>
              <w:spacing w:line="420" w:lineRule="exact"/>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121" w:type="dxa"/>
            <w:vAlign w:val="center"/>
          </w:tcPr>
          <w:p>
            <w:pPr>
              <w:adjustRightInd w:val="0"/>
              <w:snapToGrid w:val="0"/>
              <w:spacing w:line="420" w:lineRule="exact"/>
              <w:jc w:val="center"/>
              <w:rPr>
                <w:sz w:val="24"/>
              </w:rPr>
            </w:pPr>
            <w:r>
              <w:rPr>
                <w:rFonts w:hint="eastAsia"/>
                <w:sz w:val="24"/>
              </w:rPr>
              <w:t>洛阳市偃师区发展和改革委员会</w:t>
            </w:r>
          </w:p>
        </w:tc>
        <w:tc>
          <w:tcPr>
            <w:tcW w:w="1858"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122"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60</w:t>
            </w:r>
          </w:p>
        </w:tc>
        <w:tc>
          <w:tcPr>
            <w:tcW w:w="1858" w:type="dxa"/>
            <w:tcMar>
              <w:top w:w="16" w:type="dxa"/>
              <w:left w:w="16" w:type="dxa"/>
              <w:right w:w="16" w:type="dxa"/>
            </w:tcMar>
            <w:vAlign w:val="center"/>
          </w:tcPr>
          <w:p>
            <w:pPr>
              <w:adjustRightInd w:val="0"/>
              <w:snapToGrid w:val="0"/>
              <w:spacing w:line="420" w:lineRule="exact"/>
              <w:jc w:val="center"/>
              <w:rPr>
                <w:b/>
                <w:bCs/>
                <w:sz w:val="24"/>
              </w:rPr>
            </w:pPr>
            <w:r>
              <w:rPr>
                <w:b/>
                <w:bCs/>
                <w:sz w:val="24"/>
                <w:highlight w:val="none"/>
              </w:rPr>
              <w:t>环保投资（万元）</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15.7</w:t>
            </w:r>
          </w:p>
        </w:tc>
        <w:tc>
          <w:tcPr>
            <w:tcW w:w="1858" w:type="dxa"/>
            <w:tcMar>
              <w:top w:w="16" w:type="dxa"/>
              <w:left w:w="16" w:type="dxa"/>
              <w:right w:w="16" w:type="dxa"/>
            </w:tcMar>
            <w:vAlign w:val="center"/>
          </w:tcPr>
          <w:p>
            <w:pPr>
              <w:adjustRightInd w:val="0"/>
              <w:snapToGrid w:val="0"/>
              <w:spacing w:line="420" w:lineRule="exact"/>
              <w:jc w:val="center"/>
              <w:rPr>
                <w:b/>
                <w:bCs/>
                <w:sz w:val="24"/>
              </w:rPr>
            </w:pPr>
            <w:r>
              <w:rPr>
                <w:b/>
                <w:bCs/>
                <w:sz w:val="24"/>
              </w:rPr>
              <w:t>施工工期</w:t>
            </w:r>
          </w:p>
        </w:tc>
        <w:tc>
          <w:tcPr>
            <w:tcW w:w="3122" w:type="dxa"/>
            <w:vAlign w:val="center"/>
          </w:tcPr>
          <w:p>
            <w:pPr>
              <w:adjustRightInd w:val="0"/>
              <w:snapToGrid w:val="0"/>
              <w:spacing w:line="420" w:lineRule="exact"/>
              <w:jc w:val="center"/>
              <w:rPr>
                <w:sz w:val="24"/>
              </w:rPr>
            </w:pPr>
            <w:r>
              <w:rPr>
                <w:rFonts w:hint="eastAsia"/>
                <w:sz w:val="24"/>
                <w:lang w:val="en-US" w:eastAsia="zh-CN"/>
              </w:rPr>
              <w:t>1</w:t>
            </w:r>
            <w:r>
              <w:rPr>
                <w:rFonts w:hint="eastAsia"/>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121" w:type="dxa"/>
            <w:vAlign w:val="center"/>
          </w:tcPr>
          <w:p>
            <w:pPr>
              <w:adjustRightInd w:val="0"/>
              <w:snapToGrid w:val="0"/>
              <w:spacing w:line="420" w:lineRule="exact"/>
              <w:rPr>
                <w:sz w:val="24"/>
              </w:rPr>
            </w:pPr>
            <w:r>
              <w:rPr>
                <w:sz w:val="24"/>
              </w:rPr>
              <w:sym w:font="Wingdings 2" w:char="00A3"/>
            </w:r>
            <w:r>
              <w:rPr>
                <w:sz w:val="24"/>
              </w:rPr>
              <w:t>否</w:t>
            </w:r>
          </w:p>
          <w:p>
            <w:pPr>
              <w:adjustRightInd w:val="0"/>
              <w:snapToGrid w:val="0"/>
              <w:spacing w:line="420" w:lineRule="exact"/>
              <w:rPr>
                <w:sz w:val="24"/>
              </w:rPr>
            </w:pPr>
            <w:r>
              <w:rPr>
                <w:sz w:val="24"/>
              </w:rPr>
              <w:sym w:font="Wingdings 2" w:char="0052"/>
            </w:r>
            <w:r>
              <w:rPr>
                <w:sz w:val="24"/>
              </w:rPr>
              <w:t>是：</w:t>
            </w:r>
            <w:r>
              <w:rPr>
                <w:rFonts w:hint="eastAsia"/>
                <w:b w:val="0"/>
                <w:bCs w:val="0"/>
                <w:i w:val="0"/>
                <w:iCs w:val="0"/>
                <w:sz w:val="24"/>
                <w:u w:val="single"/>
                <w:lang w:val="en-US" w:eastAsia="zh-CN"/>
              </w:rPr>
              <w:t>生产线已建成，属未批先建，</w:t>
            </w:r>
            <w:r>
              <w:rPr>
                <w:rFonts w:hint="eastAsia" w:ascii="Times New Roman" w:hAnsi="Times New Roman" w:eastAsia="宋体" w:cs="Times New Roman"/>
                <w:b w:val="0"/>
                <w:bCs w:val="0"/>
                <w:i w:val="0"/>
                <w:iCs w:val="0"/>
                <w:sz w:val="24"/>
                <w:szCs w:val="24"/>
                <w:u w:val="single"/>
                <w:lang w:eastAsia="zh-CN"/>
              </w:rPr>
              <w:t>偃师市生态环境局</w:t>
            </w:r>
            <w:r>
              <w:rPr>
                <w:rFonts w:hint="eastAsia" w:ascii="Times New Roman" w:hAnsi="Times New Roman" w:eastAsia="宋体" w:cs="Times New Roman"/>
                <w:b w:val="0"/>
                <w:bCs w:val="0"/>
                <w:i w:val="0"/>
                <w:iCs w:val="0"/>
                <w:sz w:val="24"/>
                <w:szCs w:val="24"/>
                <w:u w:val="single"/>
                <w:lang w:val="en-US" w:eastAsia="zh-CN"/>
              </w:rPr>
              <w:t>已对其进行</w:t>
            </w:r>
            <w:r>
              <w:rPr>
                <w:rFonts w:hint="eastAsia" w:ascii="Times New Roman" w:hAnsi="Times New Roman" w:eastAsia="宋体" w:cs="Times New Roman"/>
                <w:b w:val="0"/>
                <w:bCs w:val="0"/>
                <w:i w:val="0"/>
                <w:iCs w:val="0"/>
                <w:sz w:val="24"/>
                <w:szCs w:val="24"/>
                <w:u w:val="single"/>
                <w:lang w:eastAsia="zh-CN"/>
              </w:rPr>
              <w:t>行政处罚</w:t>
            </w:r>
            <w:r>
              <w:rPr>
                <w:rFonts w:hint="eastAsia" w:cs="Times New Roman"/>
                <w:b w:val="0"/>
                <w:bCs w:val="0"/>
                <w:i w:val="0"/>
                <w:iCs w:val="0"/>
                <w:sz w:val="24"/>
                <w:szCs w:val="24"/>
                <w:u w:val="single"/>
                <w:lang w:eastAsia="zh-CN"/>
              </w:rPr>
              <w:t>（</w:t>
            </w:r>
            <w:r>
              <w:rPr>
                <w:rFonts w:hint="eastAsia" w:cs="Times New Roman"/>
                <w:b w:val="0"/>
                <w:bCs w:val="0"/>
                <w:i w:val="0"/>
                <w:iCs w:val="0"/>
                <w:sz w:val="24"/>
                <w:szCs w:val="24"/>
                <w:u w:val="single"/>
                <w:lang w:val="en-US" w:eastAsia="zh-CN"/>
              </w:rPr>
              <w:t>附件6</w:t>
            </w:r>
            <w:r>
              <w:rPr>
                <w:rFonts w:hint="eastAsia" w:cs="Times New Roman"/>
                <w:b w:val="0"/>
                <w:bCs w:val="0"/>
                <w:i w:val="0"/>
                <w:iCs w:val="0"/>
                <w:sz w:val="24"/>
                <w:szCs w:val="24"/>
                <w:u w:val="single"/>
                <w:lang w:eastAsia="zh-CN"/>
              </w:rPr>
              <w:t>）</w:t>
            </w:r>
            <w:r>
              <w:rPr>
                <w:sz w:val="24"/>
                <w:u w:val="single"/>
              </w:rPr>
              <w:t xml:space="preserve"> </w:t>
            </w:r>
          </w:p>
        </w:tc>
        <w:tc>
          <w:tcPr>
            <w:tcW w:w="1858"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101" w:type="dxa"/>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101"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djustRightInd w:val="0"/>
              <w:snapToGrid w:val="0"/>
              <w:spacing w:line="420" w:lineRule="exact"/>
              <w:jc w:val="center"/>
              <w:rPr>
                <w:b/>
                <w:bCs/>
                <w:kern w:val="0"/>
                <w:sz w:val="24"/>
              </w:rPr>
            </w:pPr>
            <w:r>
              <w:rPr>
                <w:b/>
                <w:bCs/>
                <w:sz w:val="24"/>
              </w:rPr>
              <w:t>规划环境影响评价情况</w:t>
            </w:r>
          </w:p>
        </w:tc>
        <w:tc>
          <w:tcPr>
            <w:tcW w:w="7101"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101" w:type="dxa"/>
            <w:gridSpan w:val="3"/>
            <w:vAlign w:val="center"/>
          </w:tcPr>
          <w:p>
            <w:pPr>
              <w:spacing w:line="460" w:lineRule="exact"/>
              <w:jc w:val="center"/>
              <w:textAlignment w:val="baseline"/>
              <w:rPr>
                <w:sz w:val="24"/>
              </w:rPr>
            </w:pPr>
            <w:r>
              <w:rPr>
                <w:rFonts w:hint="eastAsia"/>
                <w:b w:val="0"/>
                <w:bCs w:val="0"/>
                <w:szCs w:val="20"/>
                <w:u w:val="none"/>
              </w:rPr>
              <w:t>无</w:t>
            </w:r>
          </w:p>
        </w:tc>
      </w:tr>
    </w:tbl>
    <w:p/>
    <w:tbl>
      <w:tblPr>
        <w:tblStyle w:val="21"/>
        <w:tblW w:w="48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130" w:hRule="atLeast"/>
          <w:jc w:val="center"/>
        </w:trPr>
        <w:tc>
          <w:tcPr>
            <w:tcW w:w="729"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8290" w:type="dxa"/>
            <w:vAlign w:val="center"/>
          </w:tcPr>
          <w:p>
            <w:pPr>
              <w:adjustRightInd w:val="0"/>
              <w:snapToGrid w:val="0"/>
              <w:spacing w:line="460" w:lineRule="exact"/>
              <w:ind w:firstLine="482" w:firstLineChars="200"/>
              <w:rPr>
                <w:b/>
                <w:bCs/>
                <w:color w:val="000000"/>
                <w:sz w:val="24"/>
                <w:u w:val="none"/>
                <w:lang w:val="zh-CN"/>
              </w:rPr>
            </w:pPr>
            <w:r>
              <w:rPr>
                <w:rFonts w:hint="eastAsia"/>
                <w:b/>
                <w:bCs/>
                <w:color w:val="000000"/>
                <w:sz w:val="24"/>
                <w:u w:val="none"/>
                <w:lang w:val="en-US" w:eastAsia="zh-CN"/>
              </w:rPr>
              <w:t>1、</w:t>
            </w:r>
            <w:r>
              <w:rPr>
                <w:b/>
                <w:bCs/>
                <w:color w:val="000000"/>
                <w:sz w:val="24"/>
                <w:u w:val="none"/>
                <w:lang w:val="zh-CN"/>
              </w:rPr>
              <w:t>与《产业结构调整指导目录》相符性分析</w:t>
            </w:r>
          </w:p>
          <w:p>
            <w:pPr>
              <w:adjustRightInd w:val="0"/>
              <w:snapToGrid w:val="0"/>
              <w:spacing w:line="460" w:lineRule="exact"/>
              <w:ind w:firstLine="480" w:firstLineChars="200"/>
              <w:rPr>
                <w:b/>
                <w:bCs/>
                <w:color w:val="000000"/>
                <w:u w:val="none"/>
              </w:rPr>
            </w:pPr>
            <w:r>
              <w:rPr>
                <w:rFonts w:hint="eastAsia"/>
                <w:color w:val="000000"/>
                <w:sz w:val="24"/>
                <w:u w:val="none"/>
              </w:rPr>
              <w:t>本</w:t>
            </w:r>
            <w:r>
              <w:rPr>
                <w:color w:val="000000"/>
                <w:sz w:val="24"/>
                <w:u w:val="none"/>
              </w:rPr>
              <w:t>项目不属于《产业结构调整指导目录》（2019年本）（国家发展改革委令2019第29号，2020年1月1日后实施）限制类及淘汰类项目，为允许建设项目，符合相关国家产业政策要求。</w:t>
            </w:r>
          </w:p>
          <w:p>
            <w:pPr>
              <w:adjustRightInd w:val="0"/>
              <w:snapToGrid w:val="0"/>
              <w:spacing w:line="520" w:lineRule="exact"/>
              <w:ind w:firstLine="482" w:firstLineChars="200"/>
              <w:textAlignment w:val="baseline"/>
              <w:rPr>
                <w:b/>
                <w:bCs/>
                <w:color w:val="000000"/>
                <w:sz w:val="24"/>
                <w:u w:val="none"/>
              </w:rPr>
            </w:pPr>
            <w:r>
              <w:rPr>
                <w:rFonts w:hint="eastAsia"/>
                <w:b/>
                <w:bCs/>
                <w:color w:val="000000"/>
                <w:sz w:val="24"/>
                <w:u w:val="none"/>
                <w:lang w:val="en-US" w:eastAsia="zh-CN"/>
              </w:rPr>
              <w:t>2</w:t>
            </w:r>
            <w:r>
              <w:rPr>
                <w:b/>
                <w:bCs/>
                <w:color w:val="000000"/>
                <w:sz w:val="24"/>
                <w:u w:val="none"/>
              </w:rPr>
              <w:t>、文物</w:t>
            </w:r>
          </w:p>
          <w:p>
            <w:pPr>
              <w:adjustRightInd w:val="0"/>
              <w:spacing w:line="460" w:lineRule="exact"/>
              <w:ind w:firstLine="480" w:firstLineChars="200"/>
              <w:rPr>
                <w:sz w:val="24"/>
                <w:u w:val="none"/>
              </w:rPr>
            </w:pPr>
            <w:r>
              <w:rPr>
                <w:rFonts w:hint="eastAsia"/>
                <w:bCs/>
                <w:sz w:val="24"/>
                <w:u w:val="none"/>
              </w:rPr>
              <w:t>大遗址保护包含隋唐洛阳城遗址、汉魏故城、周王城遗址、龙门石窟、邙山陵墓群、偃师商城遗址、二里头遗址、东汉陵墓南兆域等九处保护地。</w:t>
            </w:r>
            <w:r>
              <w:rPr>
                <w:rFonts w:hint="eastAsia"/>
                <w:sz w:val="24"/>
                <w:u w:val="none"/>
              </w:rPr>
              <w:t>本项目位于</w:t>
            </w:r>
            <w:r>
              <w:rPr>
                <w:rFonts w:hint="eastAsia"/>
                <w:sz w:val="24"/>
                <w:u w:val="none"/>
                <w:lang w:val="en-US" w:eastAsia="zh-CN"/>
              </w:rPr>
              <w:t>偃师区山化镇东屯村</w:t>
            </w:r>
            <w:r>
              <w:rPr>
                <w:rFonts w:hint="eastAsia"/>
                <w:sz w:val="24"/>
                <w:u w:val="none"/>
              </w:rPr>
              <w:t>，与</w:t>
            </w:r>
            <w:r>
              <w:rPr>
                <w:rFonts w:hint="eastAsia"/>
                <w:sz w:val="24"/>
                <w:u w:val="none"/>
                <w:lang w:val="en-US" w:eastAsia="zh-CN"/>
              </w:rPr>
              <w:t>本</w:t>
            </w:r>
            <w:r>
              <w:rPr>
                <w:rFonts w:hint="eastAsia"/>
                <w:sz w:val="24"/>
                <w:u w:val="none"/>
              </w:rPr>
              <w:t>项目相关的文物单位为大遗址保护区中的邙山陵墓群。</w:t>
            </w:r>
          </w:p>
          <w:p>
            <w:pPr>
              <w:adjustRightInd w:val="0"/>
              <w:spacing w:line="460" w:lineRule="exact"/>
              <w:ind w:firstLine="480" w:firstLineChars="200"/>
              <w:rPr>
                <w:rFonts w:hint="eastAsia"/>
                <w:sz w:val="24"/>
                <w:u w:val="none"/>
                <w:lang w:eastAsia="zh-CN"/>
              </w:rPr>
            </w:pPr>
            <w:r>
              <w:rPr>
                <w:rFonts w:hint="eastAsia"/>
                <w:sz w:val="24"/>
                <w:u w:val="none"/>
              </w:rPr>
              <w:t>邙山陵墓群位于洛阳市北部、东部和东北部，横跨洛阳所辖的7个县区，东西长50km，南北宽20km，占地面积约756km</w:t>
            </w:r>
            <w:r>
              <w:rPr>
                <w:rFonts w:hint="eastAsia"/>
                <w:sz w:val="24"/>
                <w:u w:val="none"/>
                <w:vertAlign w:val="superscript"/>
              </w:rPr>
              <w:t>2</w:t>
            </w:r>
            <w:r>
              <w:rPr>
                <w:rFonts w:hint="eastAsia"/>
                <w:sz w:val="24"/>
                <w:u w:val="none"/>
              </w:rPr>
              <w:t>。其中陵墓分布密集，数量繁多，延续年代长，堪称我国最大的陵墓群遗址。根据《洛阳市邙山陵墓群保护条例》，</w:t>
            </w:r>
            <w:r>
              <w:rPr>
                <w:rFonts w:hint="eastAsia"/>
                <w:sz w:val="24"/>
                <w:u w:val="none"/>
                <w:lang w:val="en-US" w:eastAsia="zh-CN"/>
              </w:rPr>
              <w:t>本项目</w:t>
            </w:r>
            <w:r>
              <w:rPr>
                <w:rFonts w:hint="eastAsia"/>
                <w:sz w:val="24"/>
                <w:u w:val="none"/>
              </w:rPr>
              <w:t>位于邙山陵墓群东段保护地带内（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u w:val="none"/>
                <w:lang w:eastAsia="zh-CN"/>
              </w:rPr>
              <w:t>。</w:t>
            </w:r>
          </w:p>
          <w:p>
            <w:pPr>
              <w:adjustRightInd w:val="0"/>
              <w:spacing w:line="460" w:lineRule="exact"/>
              <w:ind w:firstLine="480" w:firstLineChars="200"/>
              <w:rPr>
                <w:bCs/>
                <w:sz w:val="24"/>
                <w:u w:val="none"/>
              </w:rPr>
            </w:pPr>
            <w:r>
              <w:rPr>
                <w:bCs/>
                <w:sz w:val="24"/>
                <w:u w:val="none"/>
              </w:rPr>
              <w:t>本项目</w:t>
            </w:r>
            <w:r>
              <w:rPr>
                <w:rFonts w:hint="eastAsia"/>
                <w:bCs/>
                <w:sz w:val="24"/>
                <w:u w:val="none"/>
              </w:rPr>
              <w:t>位于</w:t>
            </w:r>
            <w:r>
              <w:rPr>
                <w:rFonts w:hint="eastAsia"/>
                <w:sz w:val="24"/>
                <w:u w:val="none"/>
              </w:rPr>
              <w:t>邙山陵墓群（东段）大遗址建设控制地带</w:t>
            </w:r>
            <w:r>
              <w:rPr>
                <w:rFonts w:hint="eastAsia"/>
                <w:bCs/>
                <w:sz w:val="24"/>
                <w:u w:val="none"/>
              </w:rPr>
              <w:t>（见附图</w:t>
            </w:r>
            <w:r>
              <w:rPr>
                <w:rFonts w:hint="eastAsia"/>
                <w:bCs/>
                <w:sz w:val="24"/>
                <w:u w:val="none"/>
                <w:lang w:val="en-US" w:eastAsia="zh-CN"/>
              </w:rPr>
              <w:t>四</w:t>
            </w:r>
            <w:r>
              <w:rPr>
                <w:rFonts w:hint="eastAsia"/>
                <w:bCs/>
                <w:sz w:val="24"/>
                <w:u w:val="none"/>
              </w:rPr>
              <w:t>），</w:t>
            </w:r>
            <w:r>
              <w:rPr>
                <w:rFonts w:hint="eastAsia"/>
                <w:bCs/>
                <w:sz w:val="24"/>
                <w:u w:val="none"/>
                <w:lang w:val="en-US" w:eastAsia="zh-CN"/>
              </w:rPr>
              <w:t>本</w:t>
            </w:r>
            <w:r>
              <w:rPr>
                <w:rFonts w:hint="eastAsia"/>
                <w:sz w:val="24"/>
                <w:u w:val="none"/>
              </w:rPr>
              <w:t>项目</w:t>
            </w:r>
            <w:r>
              <w:rPr>
                <w:rFonts w:hint="eastAsia"/>
                <w:sz w:val="24"/>
                <w:u w:val="none"/>
                <w:lang w:val="en-US" w:eastAsia="zh-CN"/>
              </w:rPr>
              <w:t>利用现有厂房进行建设，不涉及动土工程，仅为设备安装，因此项目的</w:t>
            </w:r>
            <w:r>
              <w:rPr>
                <w:rFonts w:hint="eastAsia"/>
                <w:sz w:val="24"/>
                <w:u w:val="none"/>
              </w:rPr>
              <w:t>建设不会对文物造成影响。</w:t>
            </w:r>
          </w:p>
          <w:p>
            <w:pPr>
              <w:spacing w:line="460" w:lineRule="exact"/>
              <w:ind w:firstLine="482" w:firstLineChars="200"/>
              <w:rPr>
                <w:b/>
                <w:bCs/>
                <w:color w:val="000000"/>
                <w:sz w:val="24"/>
                <w:szCs w:val="20"/>
                <w:u w:val="none"/>
              </w:rPr>
            </w:pPr>
            <w:r>
              <w:rPr>
                <w:rFonts w:hint="eastAsia"/>
                <w:b/>
                <w:bCs/>
                <w:color w:val="000000"/>
                <w:sz w:val="24"/>
                <w:szCs w:val="20"/>
                <w:u w:val="none"/>
                <w:lang w:val="en-US" w:eastAsia="zh-CN"/>
              </w:rPr>
              <w:t>3</w:t>
            </w:r>
            <w:r>
              <w:rPr>
                <w:b/>
                <w:bCs/>
                <w:color w:val="000000"/>
                <w:sz w:val="24"/>
                <w:szCs w:val="20"/>
                <w:u w:val="none"/>
              </w:rPr>
              <w:t>、饮用水源保护区划</w:t>
            </w:r>
          </w:p>
          <w:p>
            <w:pPr>
              <w:spacing w:line="460" w:lineRule="exact"/>
              <w:ind w:firstLine="480" w:firstLineChars="200"/>
              <w:rPr>
                <w:b/>
                <w:bCs/>
                <w:color w:val="000000"/>
                <w:sz w:val="24"/>
                <w:u w:val="none"/>
              </w:rPr>
            </w:pPr>
            <w:r>
              <w:rPr>
                <w:sz w:val="24"/>
                <w:u w:val="none"/>
              </w:rPr>
              <w:t>根据《河南省人民政府办公厅关于印发河南省乡镇集中式饮用水水源保护区划的通知》（豫政办[2016]23号），偃师市现有10处乡镇地下水井群。根据调查，</w:t>
            </w:r>
            <w:r>
              <w:rPr>
                <w:rFonts w:hint="eastAsia" w:ascii="Times New Roman" w:hAnsi="Times New Roman" w:eastAsia="宋体" w:cs="Times New Roman"/>
                <w:color w:val="auto"/>
                <w:kern w:val="2"/>
                <w:sz w:val="24"/>
                <w:szCs w:val="24"/>
                <w:u w:val="none"/>
                <w:lang w:val="en-US" w:eastAsia="zh-CN" w:bidi="ar-SA"/>
              </w:rPr>
              <w:t>距离本项目最近的集中式饮用水源为偃师市第一供水厂地下水井群2#井，本项目位于其保护区范围外</w:t>
            </w:r>
            <w:r>
              <w:rPr>
                <w:rFonts w:hint="eastAsia" w:cs="Times New Roman"/>
                <w:color w:val="auto"/>
                <w:kern w:val="2"/>
                <w:sz w:val="24"/>
                <w:szCs w:val="24"/>
                <w:u w:val="none"/>
                <w:lang w:val="en-US" w:eastAsia="zh-CN" w:bidi="ar-SA"/>
              </w:rPr>
              <w:t>4.4</w:t>
            </w:r>
            <w:r>
              <w:rPr>
                <w:rFonts w:hint="eastAsia" w:ascii="Times New Roman" w:hAnsi="Times New Roman" w:eastAsia="宋体" w:cs="Times New Roman"/>
                <w:color w:val="auto"/>
                <w:kern w:val="2"/>
                <w:sz w:val="24"/>
                <w:szCs w:val="24"/>
                <w:u w:val="none"/>
                <w:lang w:val="en-US" w:eastAsia="zh-CN" w:bidi="ar-SA"/>
              </w:rPr>
              <w:t>km，不在其保护范围内，符合水源保护区划要求。</w:t>
            </w:r>
            <w:r>
              <w:rPr>
                <w:sz w:val="24"/>
                <w:u w:val="none"/>
              </w:rPr>
              <w:t>因此，本项目建设符合饮用水源保护要求</w:t>
            </w:r>
            <w:r>
              <w:rPr>
                <w:rFonts w:hint="eastAsia"/>
                <w:bCs/>
                <w:sz w:val="24"/>
                <w:u w:val="none"/>
              </w:rPr>
              <w:t>（具体保护范围及与项目的位置关系见附图</w:t>
            </w:r>
            <w:r>
              <w:rPr>
                <w:rFonts w:hint="eastAsia"/>
                <w:bCs/>
                <w:sz w:val="24"/>
                <w:u w:val="none"/>
                <w:lang w:val="en-US" w:eastAsia="zh-CN"/>
              </w:rPr>
              <w:t>五</w:t>
            </w:r>
            <w:r>
              <w:rPr>
                <w:rFonts w:hint="eastAsia"/>
                <w:bCs/>
                <w:sz w:val="24"/>
                <w:u w:val="none"/>
              </w:rPr>
              <w:t>）</w:t>
            </w:r>
            <w:r>
              <w:rPr>
                <w:sz w:val="24"/>
                <w:u w:val="none"/>
              </w:rPr>
              <w:t>。</w:t>
            </w:r>
          </w:p>
          <w:p>
            <w:pPr>
              <w:spacing w:line="460" w:lineRule="atLeast"/>
              <w:ind w:firstLine="482" w:firstLineChars="200"/>
              <w:rPr>
                <w:b/>
                <w:bCs/>
                <w:color w:val="000000"/>
                <w:sz w:val="24"/>
                <w:u w:val="none"/>
              </w:rPr>
            </w:pPr>
            <w:r>
              <w:rPr>
                <w:rFonts w:hint="eastAsia"/>
                <w:b/>
                <w:bCs/>
                <w:color w:val="000000"/>
                <w:sz w:val="24"/>
                <w:u w:val="none"/>
                <w:lang w:val="en-US" w:eastAsia="zh-CN"/>
              </w:rPr>
              <w:t>4</w:t>
            </w:r>
            <w:r>
              <w:rPr>
                <w:rFonts w:hint="eastAsia"/>
                <w:b/>
                <w:bCs/>
                <w:color w:val="000000"/>
                <w:sz w:val="24"/>
                <w:u w:val="none"/>
              </w:rPr>
              <w:t xml:space="preserve">、与《洛阳市人民政府关于实施“三线一单”生态环境分区管控的意见》 </w:t>
            </w:r>
          </w:p>
          <w:p>
            <w:pPr>
              <w:spacing w:line="460" w:lineRule="atLeast"/>
              <w:rPr>
                <w:b/>
                <w:bCs/>
                <w:color w:val="000000"/>
                <w:sz w:val="24"/>
                <w:u w:val="none"/>
              </w:rPr>
            </w:pPr>
            <w:r>
              <w:rPr>
                <w:rFonts w:hint="eastAsia"/>
                <w:b/>
                <w:bCs/>
                <w:color w:val="000000"/>
                <w:sz w:val="24"/>
                <w:u w:val="none"/>
              </w:rPr>
              <w:t>（洛政〔2021〕7 号）相符性分析</w:t>
            </w:r>
          </w:p>
          <w:p>
            <w:pPr>
              <w:spacing w:line="460" w:lineRule="atLeast"/>
              <w:ind w:firstLine="480" w:firstLineChars="200"/>
              <w:rPr>
                <w:b w:val="0"/>
                <w:bCs w:val="0"/>
                <w:color w:val="000000"/>
                <w:sz w:val="24"/>
                <w:u w:val="none"/>
              </w:rPr>
            </w:pPr>
            <w:r>
              <w:rPr>
                <w:rFonts w:hint="eastAsia"/>
                <w:b w:val="0"/>
                <w:bCs w:val="0"/>
                <w:color w:val="000000"/>
                <w:sz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.1生态保护红线：</w:t>
            </w:r>
          </w:p>
          <w:p>
            <w:pPr>
              <w:spacing w:line="460" w:lineRule="atLeast"/>
              <w:ind w:firstLine="480" w:firstLineChars="200"/>
              <w:rPr>
                <w:b w:val="0"/>
                <w:bCs w:val="0"/>
                <w:color w:val="000000"/>
                <w:sz w:val="24"/>
                <w:u w:val="none"/>
              </w:rPr>
            </w:pPr>
            <w:r>
              <w:rPr>
                <w:rFonts w:hint="eastAsia"/>
                <w:b w:val="0"/>
                <w:bCs w:val="0"/>
                <w:color w:val="000000"/>
                <w:sz w:val="24"/>
                <w:u w:val="none"/>
              </w:rPr>
              <w:t>本项目位于</w:t>
            </w:r>
            <w:r>
              <w:rPr>
                <w:rFonts w:hint="eastAsia" w:eastAsia="宋体"/>
                <w:color w:val="auto"/>
                <w:sz w:val="24"/>
                <w:szCs w:val="24"/>
              </w:rPr>
              <w:t>洛阳市偃师</w:t>
            </w:r>
            <w:r>
              <w:rPr>
                <w:rFonts w:hint="eastAsia" w:eastAsia="宋体"/>
                <w:color w:val="auto"/>
                <w:sz w:val="24"/>
                <w:szCs w:val="24"/>
                <w:lang w:val="en-US" w:eastAsia="zh-CN"/>
              </w:rPr>
              <w:t>区</w:t>
            </w:r>
            <w:r>
              <w:rPr>
                <w:rFonts w:hint="eastAsia" w:eastAsia="宋体"/>
                <w:color w:val="auto"/>
                <w:sz w:val="24"/>
                <w:szCs w:val="24"/>
              </w:rPr>
              <w:t>山化镇东屯村</w:t>
            </w:r>
            <w:r>
              <w:rPr>
                <w:rFonts w:hint="eastAsia"/>
                <w:b w:val="0"/>
                <w:bCs w:val="0"/>
                <w:color w:val="000000"/>
                <w:sz w:val="24"/>
                <w:u w:val="none"/>
              </w:rPr>
              <w:t>，不在自然保护区、风景名胜区、森林公园、地质公园、重要生态功能区、生态敏感区和脆弱区以及其他要求禁止建设的环境敏感区内。</w:t>
            </w:r>
            <w:r>
              <w:rPr>
                <w:rFonts w:hint="eastAsia" w:eastAsia="宋体"/>
                <w:color w:val="auto"/>
                <w:sz w:val="24"/>
                <w:szCs w:val="24"/>
              </w:rPr>
              <w:t>对照“洛阳市生态环境管控单元分布图”（附图</w:t>
            </w:r>
            <w:r>
              <w:rPr>
                <w:rFonts w:hint="eastAsia"/>
                <w:color w:val="auto"/>
                <w:sz w:val="24"/>
                <w:szCs w:val="24"/>
                <w:lang w:val="en-US" w:eastAsia="zh-CN"/>
              </w:rPr>
              <w:t>六</w:t>
            </w:r>
            <w:r>
              <w:rPr>
                <w:rFonts w:hint="eastAsia" w:eastAsia="宋体"/>
                <w:color w:val="auto"/>
                <w:sz w:val="24"/>
                <w:szCs w:val="24"/>
              </w:rPr>
              <w:t>），本项目位于偃师市一般管控单元内。</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.2环境质量底线</w:t>
            </w:r>
          </w:p>
          <w:p>
            <w:pPr>
              <w:spacing w:line="460" w:lineRule="atLeast"/>
              <w:ind w:firstLine="480" w:firstLineChars="200"/>
              <w:rPr>
                <w:b w:val="0"/>
                <w:bCs w:val="0"/>
                <w:color w:val="000000"/>
                <w:sz w:val="24"/>
                <w:u w:val="none"/>
              </w:rPr>
            </w:pPr>
            <w:r>
              <w:rPr>
                <w:rFonts w:hint="eastAsia"/>
                <w:b w:val="0"/>
                <w:bCs w:val="0"/>
                <w:color w:val="000000"/>
                <w:sz w:val="24"/>
                <w:u w:val="none"/>
              </w:rPr>
              <w:t>大气：项目选址区域为环境空气功能区二类区，执行二级标准，</w:t>
            </w:r>
            <w:r>
              <w:rPr>
                <w:rFonts w:hint="eastAsia"/>
                <w:b/>
                <w:bCs/>
                <w:color w:val="000000" w:themeColor="text1"/>
                <w:sz w:val="24"/>
                <w:u w:val="single"/>
                <w14:textFill>
                  <w14:solidFill>
                    <w14:schemeClr w14:val="tx1"/>
                  </w14:solidFill>
                </w14:textFill>
              </w:rPr>
              <w:t>根据洛阳市生态环境局公布的《2021年洛阳市生态环境状况公报》，项目所在评价区域PM</w:t>
            </w:r>
            <w:r>
              <w:rPr>
                <w:rFonts w:hint="eastAsia"/>
                <w:b/>
                <w:bCs/>
                <w:color w:val="000000" w:themeColor="text1"/>
                <w:sz w:val="24"/>
                <w:u w:val="single"/>
                <w:vertAlign w:val="subscript"/>
                <w14:textFill>
                  <w14:solidFill>
                    <w14:schemeClr w14:val="tx1"/>
                  </w14:solidFill>
                </w14:textFill>
              </w:rPr>
              <w:t>2.5</w:t>
            </w:r>
            <w:r>
              <w:rPr>
                <w:rFonts w:hint="eastAsia"/>
                <w:b/>
                <w:bCs/>
                <w:color w:val="000000" w:themeColor="text1"/>
                <w:sz w:val="24"/>
                <w:u w:val="single"/>
                <w14:textFill>
                  <w14:solidFill>
                    <w14:schemeClr w14:val="tx1"/>
                  </w14:solidFill>
                </w14:textFill>
              </w:rPr>
              <w:t>、PM</w:t>
            </w:r>
            <w:r>
              <w:rPr>
                <w:rFonts w:hint="eastAsia"/>
                <w:b/>
                <w:bCs/>
                <w:color w:val="000000" w:themeColor="text1"/>
                <w:sz w:val="24"/>
                <w:u w:val="single"/>
                <w:vertAlign w:val="subscript"/>
                <w14:textFill>
                  <w14:solidFill>
                    <w14:schemeClr w14:val="tx1"/>
                  </w14:solidFill>
                </w14:textFill>
              </w:rPr>
              <w:t>10</w:t>
            </w:r>
            <w:r>
              <w:rPr>
                <w:rFonts w:hint="eastAsia"/>
                <w:b/>
                <w:bCs/>
                <w:color w:val="000000" w:themeColor="text1"/>
                <w:sz w:val="24"/>
                <w:u w:val="single"/>
                <w14:textFill>
                  <w14:solidFill>
                    <w14:schemeClr w14:val="tx1"/>
                  </w14:solidFill>
                </w14:textFill>
              </w:rPr>
              <w:t>、O</w:t>
            </w:r>
            <w:r>
              <w:rPr>
                <w:rFonts w:hint="eastAsia"/>
                <w:b/>
                <w:bCs/>
                <w:color w:val="000000" w:themeColor="text1"/>
                <w:sz w:val="24"/>
                <w:u w:val="single"/>
                <w:vertAlign w:val="subscript"/>
                <w14:textFill>
                  <w14:solidFill>
                    <w14:schemeClr w14:val="tx1"/>
                  </w14:solidFill>
                </w14:textFill>
              </w:rPr>
              <w:t>3</w:t>
            </w:r>
            <w:r>
              <w:rPr>
                <w:rFonts w:hint="eastAsia"/>
                <w:b/>
                <w:bCs/>
                <w:color w:val="000000" w:themeColor="text1"/>
                <w:sz w:val="24"/>
                <w:u w:val="single"/>
                <w14:textFill>
                  <w14:solidFill>
                    <w14:schemeClr w14:val="tx1"/>
                  </w14:solidFill>
                </w14:textFill>
              </w:rPr>
              <w:t>不能满足《环境空气质量标准》（GB3095-2012）二级标准要求，因此项目所在区域为环境空气质量不达标区。</w:t>
            </w:r>
            <w:r>
              <w:rPr>
                <w:rFonts w:hint="eastAsia"/>
                <w:b w:val="0"/>
                <w:bCs w:val="0"/>
                <w:color w:val="000000"/>
                <w:sz w:val="24"/>
                <w:u w:val="none"/>
              </w:rPr>
              <w:t>根据偃师市环境监测站2020年连续一年的常规监测数据结果表明，项目所在区域PM</w:t>
            </w:r>
            <w:r>
              <w:rPr>
                <w:rFonts w:hint="eastAsia"/>
                <w:b w:val="0"/>
                <w:bCs w:val="0"/>
                <w:color w:val="000000"/>
                <w:sz w:val="24"/>
                <w:u w:val="none"/>
                <w:vertAlign w:val="subscript"/>
              </w:rPr>
              <w:t>2.5</w:t>
            </w:r>
            <w:r>
              <w:rPr>
                <w:rFonts w:hint="eastAsia"/>
                <w:b w:val="0"/>
                <w:bCs w:val="0"/>
                <w:color w:val="000000"/>
                <w:sz w:val="24"/>
                <w:u w:val="none"/>
              </w:rPr>
              <w:t>、PM</w:t>
            </w:r>
            <w:r>
              <w:rPr>
                <w:rFonts w:hint="eastAsia"/>
                <w:b w:val="0"/>
                <w:bCs w:val="0"/>
                <w:color w:val="000000"/>
                <w:sz w:val="24"/>
                <w:u w:val="none"/>
                <w:vertAlign w:val="subscript"/>
              </w:rPr>
              <w:t>10</w:t>
            </w:r>
            <w:r>
              <w:rPr>
                <w:rFonts w:hint="eastAsia"/>
                <w:b w:val="0"/>
                <w:bCs w:val="0"/>
                <w:color w:val="000000"/>
                <w:sz w:val="24"/>
                <w:u w:val="none"/>
              </w:rPr>
              <w:t>、O</w:t>
            </w:r>
            <w:r>
              <w:rPr>
                <w:rFonts w:hint="eastAsia"/>
                <w:b w:val="0"/>
                <w:bCs w:val="0"/>
                <w:color w:val="000000"/>
                <w:sz w:val="24"/>
                <w:u w:val="none"/>
                <w:vertAlign w:val="subscript"/>
              </w:rPr>
              <w:t>3</w:t>
            </w:r>
            <w:r>
              <w:rPr>
                <w:rFonts w:hint="eastAsia"/>
                <w:b w:val="0"/>
                <w:bCs w:val="0"/>
                <w:color w:val="000000"/>
                <w:sz w:val="24"/>
                <w:u w:val="none"/>
              </w:rPr>
              <w:t>不能满足《环境空气质量标准》（GB3095-2012）二级标准要求。</w:t>
            </w:r>
          </w:p>
          <w:p>
            <w:pPr>
              <w:spacing w:line="460" w:lineRule="atLeast"/>
              <w:ind w:firstLine="480" w:firstLineChars="200"/>
              <w:rPr>
                <w:b w:val="0"/>
                <w:bCs w:val="0"/>
                <w:color w:val="000000"/>
                <w:sz w:val="24"/>
                <w:highlight w:val="yellow"/>
                <w:u w:val="none"/>
              </w:rPr>
            </w:pPr>
            <w:r>
              <w:rPr>
                <w:rFonts w:hint="eastAsia"/>
                <w:b w:val="0"/>
                <w:bCs w:val="0"/>
                <w:color w:val="000000"/>
                <w:sz w:val="24"/>
                <w:highlight w:val="none"/>
                <w:u w:val="none"/>
              </w:rPr>
              <w:t>本项目运营过程</w:t>
            </w:r>
            <w:r>
              <w:rPr>
                <w:rFonts w:hint="eastAsia"/>
                <w:b w:val="0"/>
                <w:bCs w:val="0"/>
                <w:color w:val="000000"/>
                <w:sz w:val="24"/>
                <w:highlight w:val="none"/>
                <w:u w:val="none"/>
                <w:lang w:val="en-US" w:eastAsia="zh-CN"/>
              </w:rPr>
              <w:t>产生的有机废气</w:t>
            </w:r>
            <w:r>
              <w:rPr>
                <w:rFonts w:hint="eastAsia"/>
                <w:b w:val="0"/>
                <w:bCs w:val="0"/>
                <w:color w:val="000000"/>
                <w:sz w:val="24"/>
                <w:highlight w:val="none"/>
                <w:u w:val="none"/>
              </w:rPr>
              <w:t>经集气罩收集进入UV光氧+活性炭吸附装置处理后经15m高排气筒</w:t>
            </w:r>
            <w:r>
              <w:rPr>
                <w:rFonts w:hint="eastAsia"/>
                <w:b w:val="0"/>
                <w:bCs w:val="0"/>
                <w:color w:val="000000"/>
                <w:sz w:val="24"/>
                <w:highlight w:val="none"/>
                <w:u w:val="none"/>
                <w:lang w:val="en-US" w:eastAsia="zh-CN"/>
              </w:rPr>
              <w:t>达标</w:t>
            </w:r>
            <w:r>
              <w:rPr>
                <w:rFonts w:hint="eastAsia"/>
                <w:b w:val="0"/>
                <w:bCs w:val="0"/>
                <w:color w:val="000000"/>
                <w:sz w:val="24"/>
                <w:highlight w:val="none"/>
                <w:u w:val="none"/>
              </w:rPr>
              <w:t>排放，对项目区域环境空气影响较小，不会改变项目所在区域的大气环境功能。</w:t>
            </w:r>
          </w:p>
          <w:p>
            <w:pPr>
              <w:spacing w:line="460" w:lineRule="atLeast"/>
              <w:ind w:firstLine="480" w:firstLineChars="200"/>
              <w:rPr>
                <w:b w:val="0"/>
                <w:bCs w:val="0"/>
                <w:color w:val="000000"/>
                <w:sz w:val="24"/>
                <w:highlight w:val="yellow"/>
                <w:u w:val="none"/>
              </w:rPr>
            </w:pPr>
            <w:r>
              <w:rPr>
                <w:rFonts w:hint="eastAsia"/>
                <w:b w:val="0"/>
                <w:bCs w:val="0"/>
                <w:color w:val="000000"/>
                <w:sz w:val="24"/>
                <w:u w:val="none"/>
              </w:rPr>
              <w:t>地表水</w:t>
            </w:r>
            <w:r>
              <w:rPr>
                <w:rFonts w:hint="eastAsia"/>
                <w:b/>
                <w:bCs/>
                <w:color w:val="000000"/>
                <w:sz w:val="24"/>
                <w:u w:val="none"/>
              </w:rPr>
              <w:t>：</w:t>
            </w:r>
            <w:r>
              <w:rPr>
                <w:rFonts w:hint="eastAsia"/>
                <w:b/>
                <w:bCs/>
                <w:color w:val="000000" w:themeColor="text1"/>
                <w:sz w:val="24"/>
                <w:u w:val="single"/>
                <w:lang w:val="en-US" w:eastAsia="zh-CN"/>
                <w14:textFill>
                  <w14:solidFill>
                    <w14:schemeClr w14:val="tx1"/>
                  </w14:solidFill>
                </w14:textFill>
              </w:rPr>
              <w:t>根据</w:t>
            </w:r>
            <w:r>
              <w:rPr>
                <w:rFonts w:hint="eastAsia"/>
                <w:b/>
                <w:bCs/>
                <w:color w:val="000000" w:themeColor="text1"/>
                <w:sz w:val="24"/>
                <w:u w:val="single"/>
                <w14:textFill>
                  <w14:solidFill>
                    <w14:schemeClr w14:val="tx1"/>
                  </w14:solidFill>
                </w14:textFill>
              </w:rPr>
              <w:t>洛阳市</w:t>
            </w:r>
            <w:r>
              <w:rPr>
                <w:rFonts w:hint="eastAsia"/>
                <w:b/>
                <w:bCs/>
                <w:color w:val="000000" w:themeColor="text1"/>
                <w:sz w:val="24"/>
                <w:u w:val="single"/>
                <w:lang w:val="en-US" w:eastAsia="zh-CN"/>
                <w14:textFill>
                  <w14:solidFill>
                    <w14:schemeClr w14:val="tx1"/>
                  </w14:solidFill>
                </w14:textFill>
              </w:rPr>
              <w:t>生态</w:t>
            </w:r>
            <w:r>
              <w:rPr>
                <w:rFonts w:hint="eastAsia"/>
                <w:b/>
                <w:bCs/>
                <w:color w:val="000000" w:themeColor="text1"/>
                <w:sz w:val="24"/>
                <w:u w:val="single"/>
                <w14:textFill>
                  <w14:solidFill>
                    <w14:schemeClr w14:val="tx1"/>
                  </w14:solidFill>
                </w14:textFill>
              </w:rPr>
              <w:t>环境</w:t>
            </w:r>
            <w:r>
              <w:rPr>
                <w:rFonts w:hint="eastAsia"/>
                <w:b/>
                <w:bCs/>
                <w:color w:val="000000" w:themeColor="text1"/>
                <w:sz w:val="24"/>
                <w:u w:val="single"/>
                <w:lang w:val="en-US" w:eastAsia="zh-CN"/>
                <w14:textFill>
                  <w14:solidFill>
                    <w14:schemeClr w14:val="tx1"/>
                  </w14:solidFill>
                </w14:textFill>
              </w:rPr>
              <w:t>局</w:t>
            </w:r>
            <w:r>
              <w:rPr>
                <w:rFonts w:hint="eastAsia"/>
                <w:b/>
                <w:bCs/>
                <w:color w:val="000000" w:themeColor="text1"/>
                <w:sz w:val="24"/>
                <w:u w:val="single"/>
                <w14:textFill>
                  <w14:solidFill>
                    <w14:schemeClr w14:val="tx1"/>
                  </w14:solidFill>
                </w14:textFill>
              </w:rPr>
              <w:t>公开发布的</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2021年洛阳市生态环境状况公报</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202</w:t>
            </w:r>
            <w:r>
              <w:rPr>
                <w:rFonts w:hint="eastAsia"/>
                <w:b/>
                <w:bCs/>
                <w:color w:val="000000" w:themeColor="text1"/>
                <w:sz w:val="24"/>
                <w:u w:val="single"/>
                <w:lang w:val="en-US" w:eastAsia="zh-CN"/>
                <w14:textFill>
                  <w14:solidFill>
                    <w14:schemeClr w14:val="tx1"/>
                  </w14:solidFill>
                </w14:textFill>
              </w:rPr>
              <w:t>1</w:t>
            </w:r>
            <w:r>
              <w:rPr>
                <w:rFonts w:hint="eastAsia"/>
                <w:b/>
                <w:bCs/>
                <w:color w:val="000000" w:themeColor="text1"/>
                <w:sz w:val="24"/>
                <w:u w:val="single"/>
                <w14:textFill>
                  <w14:solidFill>
                    <w14:schemeClr w14:val="tx1"/>
                  </w14:solidFill>
                </w14:textFill>
              </w:rPr>
              <w:t>年伊洛河水质为Ⅲ类，水质状况为“良好”。</w:t>
            </w:r>
            <w:r>
              <w:rPr>
                <w:rFonts w:hint="eastAsia"/>
                <w:b w:val="0"/>
                <w:bCs w:val="0"/>
                <w:color w:val="000000"/>
                <w:sz w:val="24"/>
                <w:highlight w:val="none"/>
                <w:u w:val="none"/>
              </w:rPr>
              <w:t>本项目营运期产生的废水主要为职工生活污水，经化粪池处理后，通过东屯村污水管网排入中州渠人工湿地进一步处理，不对区域地表水环境产生影响。</w:t>
            </w:r>
          </w:p>
          <w:p>
            <w:pPr>
              <w:spacing w:line="460" w:lineRule="atLeast"/>
              <w:ind w:firstLine="480" w:firstLineChars="200"/>
              <w:rPr>
                <w:b w:val="0"/>
                <w:bCs w:val="0"/>
                <w:color w:val="000000"/>
                <w:sz w:val="24"/>
                <w:u w:val="none"/>
              </w:rPr>
            </w:pPr>
            <w:r>
              <w:rPr>
                <w:rFonts w:hint="eastAsia"/>
                <w:b w:val="0"/>
                <w:bCs w:val="0"/>
                <w:color w:val="000000"/>
                <w:sz w:val="24"/>
                <w:u w:val="none"/>
              </w:rPr>
              <w:t>噪声：项目所在区域为2类声环境功能区，根据运营期厂界声环境预测结果，项目</w:t>
            </w:r>
            <w:r>
              <w:rPr>
                <w:rFonts w:hint="eastAsia"/>
                <w:b w:val="0"/>
                <w:bCs w:val="0"/>
                <w:color w:val="000000"/>
                <w:sz w:val="24"/>
                <w:u w:val="none"/>
                <w:lang w:val="en-US" w:eastAsia="zh-CN"/>
              </w:rPr>
              <w:t>所在区域</w:t>
            </w:r>
            <w:r>
              <w:rPr>
                <w:rFonts w:hint="eastAsia"/>
                <w:b w:val="0"/>
                <w:bCs w:val="0"/>
                <w:color w:val="000000"/>
                <w:sz w:val="24"/>
                <w:u w:val="none"/>
              </w:rPr>
              <w:t>声环境质量能够满足《声环境质量标准》（GB 3096-2008）2类标准要求，本项目建成后通过厂房隔声等降噪措施后噪声排放量小，不会改变项目所在区域的声环境功能。</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因此，本项目建设符合环境质量底线要求。</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.3资源利用上线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本项目用水来市政供水，用电来自市政供电，不涉及燃煤，不属于高耗能和资源消耗性企业，项目的水、电等资源利用不会突破区域的资源利用上线。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因此，本项目建设符合资源利用上线要求。</w:t>
            </w:r>
          </w:p>
          <w:p>
            <w:pPr>
              <w:spacing w:line="460" w:lineRule="atLeast"/>
              <w:ind w:firstLine="482" w:firstLineChars="200"/>
              <w:rPr>
                <w:b/>
                <w:bCs/>
                <w:color w:val="000000"/>
                <w:sz w:val="24"/>
                <w:u w:val="none"/>
              </w:rPr>
            </w:pPr>
            <w:r>
              <w:rPr>
                <w:rFonts w:hint="eastAsia"/>
                <w:b/>
                <w:bCs/>
                <w:color w:val="000000"/>
                <w:sz w:val="24"/>
                <w:u w:val="none"/>
                <w:lang w:val="en-US" w:eastAsia="zh-CN"/>
              </w:rPr>
              <w:t>5</w:t>
            </w:r>
            <w:r>
              <w:rPr>
                <w:rFonts w:hint="eastAsia"/>
                <w:b/>
                <w:bCs/>
                <w:color w:val="000000"/>
                <w:sz w:val="24"/>
                <w:u w:val="none"/>
              </w:rPr>
              <w:t>、与《洛阳市“三线一单”生态环境准入清单（试行）》（洛市环〔2021〕58号）相符性分析</w:t>
            </w:r>
          </w:p>
          <w:p>
            <w:pPr>
              <w:adjustRightInd w:val="0"/>
              <w:snapToGrid w:val="0"/>
              <w:spacing w:beforeLines="10" w:line="460" w:lineRule="exact"/>
              <w:ind w:firstLine="480" w:firstLineChars="200"/>
              <w:rPr>
                <w:color w:val="000000"/>
                <w:sz w:val="24"/>
                <w:u w:val="none"/>
              </w:rPr>
            </w:pPr>
            <w:r>
              <w:rPr>
                <w:color w:val="000000"/>
                <w:sz w:val="24"/>
                <w:u w:val="none"/>
              </w:rPr>
              <w:t>生态环境总体准入要求包括空间布局约束、污染物排放控制、环境风险防控、资源利用效率要求四个维度。本项目位于</w:t>
            </w:r>
            <w:r>
              <w:rPr>
                <w:rFonts w:hint="eastAsia" w:eastAsia="宋体"/>
                <w:color w:val="auto"/>
                <w:sz w:val="24"/>
                <w:szCs w:val="24"/>
              </w:rPr>
              <w:t>洛阳市偃师</w:t>
            </w:r>
            <w:r>
              <w:rPr>
                <w:rFonts w:hint="eastAsia" w:eastAsia="宋体"/>
                <w:color w:val="auto"/>
                <w:sz w:val="24"/>
                <w:szCs w:val="24"/>
                <w:lang w:val="en-US" w:eastAsia="zh-CN"/>
              </w:rPr>
              <w:t>区</w:t>
            </w:r>
            <w:r>
              <w:rPr>
                <w:rFonts w:hint="eastAsia" w:eastAsia="宋体"/>
                <w:color w:val="auto"/>
                <w:sz w:val="24"/>
                <w:szCs w:val="24"/>
              </w:rPr>
              <w:t>山化镇东屯村</w:t>
            </w:r>
            <w:r>
              <w:rPr>
                <w:color w:val="000000"/>
                <w:sz w:val="24"/>
                <w:u w:val="none"/>
              </w:rPr>
              <w:t>，</w:t>
            </w:r>
            <w:r>
              <w:rPr>
                <w:rFonts w:hint="eastAsia"/>
                <w:color w:val="000000"/>
                <w:sz w:val="24"/>
                <w:u w:val="none"/>
              </w:rPr>
              <w:t>根据《洛阳市生态环境局关于发布洛阳市“三线一单”生态环境准入清单（试行）的函》（洛市环【2021】58号）</w:t>
            </w:r>
            <w:r>
              <w:rPr>
                <w:color w:val="000000"/>
                <w:sz w:val="24"/>
                <w:u w:val="none"/>
              </w:rPr>
              <w:t>洛阳市</w:t>
            </w:r>
            <w:r>
              <w:rPr>
                <w:rFonts w:hint="eastAsia"/>
                <w:color w:val="000000"/>
                <w:sz w:val="24"/>
                <w:u w:val="none"/>
              </w:rPr>
              <w:t>偃师区</w:t>
            </w:r>
            <w:r>
              <w:rPr>
                <w:color w:val="000000"/>
                <w:sz w:val="24"/>
                <w:u w:val="none"/>
              </w:rPr>
              <w:t>环境管控单元生态</w:t>
            </w:r>
            <w:r>
              <w:rPr>
                <w:rFonts w:hint="eastAsia"/>
                <w:color w:val="000000"/>
                <w:sz w:val="24"/>
                <w:u w:val="none"/>
              </w:rPr>
              <w:t>环境</w:t>
            </w:r>
            <w:r>
              <w:rPr>
                <w:color w:val="000000"/>
                <w:sz w:val="24"/>
                <w:u w:val="none"/>
              </w:rPr>
              <w:t>准入清单，</w:t>
            </w:r>
            <w:r>
              <w:rPr>
                <w:rFonts w:hint="eastAsia"/>
                <w:color w:val="000000"/>
                <w:sz w:val="24"/>
                <w:u w:val="none"/>
                <w:lang w:val="en-US" w:eastAsia="zh-CN"/>
              </w:rPr>
              <w:t>山化镇</w:t>
            </w:r>
            <w:r>
              <w:rPr>
                <w:color w:val="000000"/>
                <w:sz w:val="24"/>
                <w:u w:val="none"/>
              </w:rPr>
              <w:t>属于</w:t>
            </w:r>
            <w:r>
              <w:rPr>
                <w:rFonts w:hint="eastAsia"/>
                <w:color w:val="000000"/>
                <w:sz w:val="24"/>
                <w:u w:val="none"/>
                <w:lang w:val="en-US" w:eastAsia="zh-CN"/>
              </w:rPr>
              <w:t>一般</w:t>
            </w:r>
            <w:r>
              <w:rPr>
                <w:color w:val="000000"/>
                <w:sz w:val="24"/>
                <w:u w:val="none"/>
              </w:rPr>
              <w:t>管控单元，与环境准入清单符合性分析见下表。</w:t>
            </w:r>
          </w:p>
          <w:p>
            <w:pPr>
              <w:pStyle w:val="5"/>
              <w:numPr>
                <w:ilvl w:val="255"/>
                <w:numId w:val="0"/>
              </w:numPr>
              <w:spacing w:beforeLines="10"/>
              <w:ind w:firstLine="482" w:firstLineChars="200"/>
              <w:rPr>
                <w:color w:val="000000"/>
                <w:u w:val="none"/>
              </w:rPr>
            </w:pPr>
            <w:r>
              <w:rPr>
                <w:rFonts w:hint="eastAsia"/>
                <w:color w:val="000000"/>
                <w:u w:val="none"/>
              </w:rPr>
              <w:t>表</w:t>
            </w:r>
            <w:r>
              <w:rPr>
                <w:rFonts w:hint="eastAsia"/>
                <w:color w:val="000000"/>
                <w:u w:val="none"/>
                <w:lang w:val="en-US" w:eastAsia="zh-CN"/>
              </w:rPr>
              <w:t>1</w:t>
            </w:r>
            <w:r>
              <w:rPr>
                <w:color w:val="000000"/>
                <w:u w:val="none"/>
              </w:rPr>
              <w:t xml:space="preserve">       </w:t>
            </w:r>
            <w:r>
              <w:rPr>
                <w:rFonts w:hint="eastAsia"/>
                <w:color w:val="000000"/>
                <w:u w:val="none"/>
              </w:rPr>
              <w:t xml:space="preserve">   </w:t>
            </w:r>
            <w:r>
              <w:rPr>
                <w:color w:val="000000"/>
                <w:u w:val="none"/>
              </w:rPr>
              <w:t xml:space="preserve">  与环境准入清单符合性分析</w:t>
            </w:r>
          </w:p>
          <w:tbl>
            <w:tblPr>
              <w:tblStyle w:val="21"/>
              <w:tblW w:w="49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698"/>
              <w:gridCol w:w="692"/>
              <w:gridCol w:w="708"/>
              <w:gridCol w:w="725"/>
              <w:gridCol w:w="682"/>
              <w:gridCol w:w="2684"/>
              <w:gridCol w:w="1345"/>
              <w:gridCol w:w="4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698" w:type="dxa"/>
                  <w:tcBorders>
                    <w:tl2br w:val="nil"/>
                    <w:tr2bl w:val="nil"/>
                  </w:tcBorders>
                  <w:vAlign w:val="center"/>
                </w:tcPr>
                <w:p>
                  <w:pPr>
                    <w:spacing w:beforeLines="10"/>
                    <w:jc w:val="center"/>
                    <w:rPr>
                      <w:szCs w:val="21"/>
                      <w:u w:val="none"/>
                    </w:rPr>
                  </w:pPr>
                  <w:r>
                    <w:rPr>
                      <w:szCs w:val="21"/>
                      <w:u w:val="none"/>
                    </w:rPr>
                    <w:t>环境管控单元编码</w:t>
                  </w:r>
                </w:p>
              </w:tc>
              <w:tc>
                <w:tcPr>
                  <w:tcW w:w="692" w:type="dxa"/>
                  <w:tcBorders>
                    <w:tl2br w:val="nil"/>
                    <w:tr2bl w:val="nil"/>
                  </w:tcBorders>
                  <w:vAlign w:val="center"/>
                </w:tcPr>
                <w:p>
                  <w:pPr>
                    <w:spacing w:beforeLines="10"/>
                    <w:jc w:val="center"/>
                    <w:rPr>
                      <w:szCs w:val="21"/>
                      <w:u w:val="none"/>
                    </w:rPr>
                  </w:pPr>
                  <w:r>
                    <w:rPr>
                      <w:szCs w:val="21"/>
                      <w:u w:val="none"/>
                    </w:rPr>
                    <w:t>管控单元分类</w:t>
                  </w:r>
                </w:p>
              </w:tc>
              <w:tc>
                <w:tcPr>
                  <w:tcW w:w="708" w:type="dxa"/>
                  <w:tcBorders>
                    <w:tl2br w:val="nil"/>
                    <w:tr2bl w:val="nil"/>
                  </w:tcBorders>
                  <w:vAlign w:val="center"/>
                </w:tcPr>
                <w:p>
                  <w:pPr>
                    <w:spacing w:beforeLines="10"/>
                    <w:jc w:val="center"/>
                    <w:rPr>
                      <w:szCs w:val="21"/>
                      <w:u w:val="none"/>
                    </w:rPr>
                  </w:pPr>
                  <w:r>
                    <w:rPr>
                      <w:szCs w:val="21"/>
                      <w:u w:val="none"/>
                    </w:rPr>
                    <w:t>环境管控单元名称</w:t>
                  </w:r>
                </w:p>
              </w:tc>
              <w:tc>
                <w:tcPr>
                  <w:tcW w:w="725" w:type="dxa"/>
                  <w:tcBorders>
                    <w:tl2br w:val="nil"/>
                    <w:tr2bl w:val="nil"/>
                  </w:tcBorders>
                  <w:vAlign w:val="center"/>
                </w:tcPr>
                <w:p>
                  <w:pPr>
                    <w:spacing w:beforeLines="10"/>
                    <w:jc w:val="center"/>
                    <w:rPr>
                      <w:szCs w:val="21"/>
                      <w:u w:val="none"/>
                    </w:rPr>
                  </w:pPr>
                  <w:r>
                    <w:rPr>
                      <w:szCs w:val="21"/>
                      <w:u w:val="none"/>
                    </w:rPr>
                    <w:t>行政区划乡镇</w:t>
                  </w:r>
                </w:p>
              </w:tc>
              <w:tc>
                <w:tcPr>
                  <w:tcW w:w="3366" w:type="dxa"/>
                  <w:gridSpan w:val="2"/>
                  <w:tcBorders>
                    <w:tl2br w:val="nil"/>
                    <w:tr2bl w:val="nil"/>
                  </w:tcBorders>
                  <w:vAlign w:val="center"/>
                </w:tcPr>
                <w:p>
                  <w:pPr>
                    <w:spacing w:beforeLines="10"/>
                    <w:jc w:val="center"/>
                    <w:rPr>
                      <w:szCs w:val="21"/>
                      <w:u w:val="none"/>
                    </w:rPr>
                  </w:pPr>
                  <w:r>
                    <w:rPr>
                      <w:szCs w:val="21"/>
                      <w:u w:val="none"/>
                    </w:rPr>
                    <w:t>管控要求</w:t>
                  </w:r>
                </w:p>
              </w:tc>
              <w:tc>
                <w:tcPr>
                  <w:tcW w:w="1345" w:type="dxa"/>
                  <w:tcBorders>
                    <w:tl2br w:val="nil"/>
                    <w:tr2bl w:val="nil"/>
                  </w:tcBorders>
                  <w:vAlign w:val="center"/>
                </w:tcPr>
                <w:p>
                  <w:pPr>
                    <w:spacing w:beforeLines="10"/>
                    <w:jc w:val="center"/>
                    <w:rPr>
                      <w:szCs w:val="21"/>
                      <w:u w:val="none"/>
                    </w:rPr>
                  </w:pPr>
                  <w:r>
                    <w:rPr>
                      <w:szCs w:val="21"/>
                      <w:u w:val="none"/>
                    </w:rPr>
                    <w:t>本项目情况</w:t>
                  </w:r>
                </w:p>
              </w:tc>
              <w:tc>
                <w:tcPr>
                  <w:tcW w:w="496" w:type="dxa"/>
                  <w:tcBorders>
                    <w:tl2br w:val="nil"/>
                    <w:tr2bl w:val="nil"/>
                  </w:tcBorders>
                  <w:vAlign w:val="center"/>
                </w:tcPr>
                <w:p>
                  <w:pPr>
                    <w:spacing w:beforeLines="10"/>
                    <w:jc w:val="center"/>
                    <w:rPr>
                      <w:szCs w:val="21"/>
                      <w:u w:val="none"/>
                    </w:rPr>
                  </w:pPr>
                  <w:r>
                    <w:rPr>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698" w:type="dxa"/>
                  <w:vMerge w:val="restart"/>
                  <w:tcBorders>
                    <w:tl2br w:val="nil"/>
                    <w:tr2bl w:val="nil"/>
                  </w:tcBorders>
                  <w:vAlign w:val="center"/>
                </w:tcPr>
                <w:p>
                  <w:pPr>
                    <w:pStyle w:val="47"/>
                    <w:jc w:val="center"/>
                    <w:rPr>
                      <w:rFonts w:hint="eastAsia" w:eastAsia="宋体"/>
                      <w:color w:val="auto"/>
                      <w:szCs w:val="21"/>
                      <w:u w:val="none"/>
                      <w:lang w:eastAsia="zh-CN"/>
                    </w:rPr>
                  </w:pPr>
                  <w:r>
                    <w:rPr>
                      <w:color w:val="auto"/>
                      <w:szCs w:val="21"/>
                      <w:u w:val="none"/>
                    </w:rPr>
                    <w:t>ZH410381</w:t>
                  </w:r>
                  <w:r>
                    <w:rPr>
                      <w:rFonts w:hint="eastAsia"/>
                      <w:color w:val="auto"/>
                      <w:szCs w:val="21"/>
                      <w:u w:val="none"/>
                      <w:lang w:val="en-US" w:eastAsia="zh-CN"/>
                    </w:rPr>
                    <w:t>3</w:t>
                  </w:r>
                  <w:r>
                    <w:rPr>
                      <w:color w:val="auto"/>
                      <w:szCs w:val="21"/>
                      <w:u w:val="none"/>
                    </w:rPr>
                    <w:t>000</w:t>
                  </w:r>
                  <w:r>
                    <w:rPr>
                      <w:rFonts w:hint="eastAsia"/>
                      <w:color w:val="auto"/>
                      <w:szCs w:val="21"/>
                      <w:u w:val="none"/>
                      <w:lang w:val="en-US" w:eastAsia="zh-CN"/>
                    </w:rPr>
                    <w:t>1</w:t>
                  </w:r>
                </w:p>
                <w:p>
                  <w:pPr>
                    <w:pStyle w:val="47"/>
                    <w:jc w:val="center"/>
                    <w:rPr>
                      <w:color w:val="auto"/>
                      <w:szCs w:val="21"/>
                      <w:u w:val="none"/>
                    </w:rPr>
                  </w:pPr>
                </w:p>
              </w:tc>
              <w:tc>
                <w:tcPr>
                  <w:tcW w:w="692" w:type="dxa"/>
                  <w:vMerge w:val="restart"/>
                  <w:tcBorders>
                    <w:tl2br w:val="nil"/>
                    <w:tr2bl w:val="nil"/>
                  </w:tcBorders>
                  <w:vAlign w:val="center"/>
                </w:tcPr>
                <w:p>
                  <w:pPr>
                    <w:pStyle w:val="47"/>
                    <w:jc w:val="center"/>
                    <w:rPr>
                      <w:color w:val="auto"/>
                      <w:szCs w:val="21"/>
                      <w:u w:val="none"/>
                    </w:rPr>
                  </w:pPr>
                  <w:r>
                    <w:rPr>
                      <w:rFonts w:hint="eastAsia"/>
                      <w:color w:val="auto"/>
                      <w:szCs w:val="21"/>
                      <w:u w:val="none"/>
                      <w:lang w:val="en-US" w:eastAsia="zh-CN"/>
                    </w:rPr>
                    <w:t>一般</w:t>
                  </w:r>
                  <w:r>
                    <w:rPr>
                      <w:rFonts w:hint="eastAsia"/>
                      <w:color w:val="auto"/>
                      <w:szCs w:val="21"/>
                      <w:u w:val="none"/>
                    </w:rPr>
                    <w:t>管控单元</w:t>
                  </w:r>
                </w:p>
              </w:tc>
              <w:tc>
                <w:tcPr>
                  <w:tcW w:w="708" w:type="dxa"/>
                  <w:vMerge w:val="restart"/>
                  <w:tcBorders>
                    <w:tl2br w:val="nil"/>
                    <w:tr2bl w:val="nil"/>
                  </w:tcBorders>
                  <w:vAlign w:val="center"/>
                </w:tcPr>
                <w:p>
                  <w:pPr>
                    <w:pStyle w:val="47"/>
                    <w:jc w:val="center"/>
                    <w:rPr>
                      <w:rFonts w:hint="eastAsia" w:eastAsia="宋体"/>
                      <w:color w:val="auto"/>
                      <w:szCs w:val="21"/>
                      <w:u w:val="none"/>
                      <w:lang w:eastAsia="zh-CN"/>
                    </w:rPr>
                  </w:pPr>
                  <w:r>
                    <w:rPr>
                      <w:rFonts w:hint="eastAsia"/>
                      <w:color w:val="auto"/>
                      <w:szCs w:val="21"/>
                      <w:u w:val="none"/>
                      <w:lang w:val="en-US" w:eastAsia="zh-CN"/>
                    </w:rPr>
                    <w:t>一般管控单元</w:t>
                  </w:r>
                </w:p>
              </w:tc>
              <w:tc>
                <w:tcPr>
                  <w:tcW w:w="725" w:type="dxa"/>
                  <w:vMerge w:val="restart"/>
                  <w:tcBorders>
                    <w:tl2br w:val="nil"/>
                    <w:tr2bl w:val="nil"/>
                  </w:tcBorders>
                  <w:vAlign w:val="center"/>
                </w:tcPr>
                <w:p>
                  <w:pPr>
                    <w:pStyle w:val="47"/>
                    <w:jc w:val="center"/>
                    <w:rPr>
                      <w:rFonts w:hint="default" w:eastAsia="宋体"/>
                      <w:color w:val="auto"/>
                      <w:szCs w:val="21"/>
                      <w:u w:val="none"/>
                      <w:lang w:val="en-US" w:eastAsia="zh-CN"/>
                    </w:rPr>
                  </w:pPr>
                  <w:r>
                    <w:rPr>
                      <w:rFonts w:hint="eastAsia"/>
                      <w:color w:val="auto"/>
                      <w:szCs w:val="21"/>
                      <w:u w:val="none"/>
                      <w:lang w:val="en-US" w:eastAsia="zh-CN"/>
                    </w:rPr>
                    <w:t>山化乡、邙岭乡、首阳山镇、城关镇</w:t>
                  </w:r>
                </w:p>
              </w:tc>
              <w:tc>
                <w:tcPr>
                  <w:tcW w:w="682" w:type="dxa"/>
                  <w:tcBorders>
                    <w:tl2br w:val="nil"/>
                    <w:tr2bl w:val="nil"/>
                  </w:tcBorders>
                  <w:vAlign w:val="center"/>
                </w:tcPr>
                <w:p>
                  <w:pPr>
                    <w:pStyle w:val="47"/>
                    <w:jc w:val="center"/>
                    <w:rPr>
                      <w:color w:val="auto"/>
                      <w:szCs w:val="21"/>
                      <w:u w:val="none"/>
                    </w:rPr>
                  </w:pPr>
                  <w:r>
                    <w:rPr>
                      <w:color w:val="auto"/>
                      <w:szCs w:val="21"/>
                      <w:u w:val="none"/>
                    </w:rPr>
                    <w:t>空间布局约束</w:t>
                  </w:r>
                </w:p>
              </w:tc>
              <w:tc>
                <w:tcPr>
                  <w:tcW w:w="2684" w:type="dxa"/>
                  <w:tcBorders>
                    <w:tl2br w:val="nil"/>
                    <w:tr2bl w:val="nil"/>
                  </w:tcBorders>
                  <w:vAlign w:val="center"/>
                </w:tcPr>
                <w:p>
                  <w:pPr>
                    <w:pStyle w:val="50"/>
                    <w:jc w:val="left"/>
                  </w:pPr>
                  <w:r>
                    <w:t>1、重点行业新建涉VOCs排放的工业企业要入园区，实行区域内VOCs排放等量或倍量削减替代。</w:t>
                  </w:r>
                </w:p>
                <w:p>
                  <w:pPr>
                    <w:pStyle w:val="50"/>
                    <w:jc w:val="left"/>
                  </w:pPr>
                  <w:r>
                    <w:t>2、以市鞋业园区为主，包括东屯村鞋业园区、汤泉村泉兴鞋业园区等功能园区，重点集聚发展制鞋企业，新上制鞋企业应入园入区，远离居民区等环境敏感点。</w:t>
                  </w:r>
                </w:p>
                <w:p>
                  <w:pPr>
                    <w:pStyle w:val="47"/>
                    <w:rPr>
                      <w:color w:val="auto"/>
                      <w:szCs w:val="21"/>
                      <w:u w:val="none"/>
                    </w:rPr>
                  </w:pPr>
                  <w:r>
                    <w:t>3、依托邙岭镇现有壁纸、彩印包装等企业成立印刷产业园区，重点发展新型环保壁纸和新型环保包装材料，培育生态旅游、黄杨加电商等产业。逐步引导区内铸造企业入园入区发展。</w:t>
                  </w:r>
                </w:p>
              </w:tc>
              <w:tc>
                <w:tcPr>
                  <w:tcW w:w="1345" w:type="dxa"/>
                  <w:tcBorders>
                    <w:tl2br w:val="nil"/>
                    <w:tr2bl w:val="nil"/>
                  </w:tcBorders>
                  <w:vAlign w:val="center"/>
                </w:tcPr>
                <w:p>
                  <w:pPr>
                    <w:spacing w:beforeLines="10"/>
                    <w:rPr>
                      <w:szCs w:val="21"/>
                      <w:u w:val="none"/>
                    </w:rPr>
                  </w:pPr>
                  <w:r>
                    <w:rPr>
                      <w:rFonts w:hint="eastAsia" w:eastAsia="宋体" w:cs="Times New Roman"/>
                      <w:color w:val="auto"/>
                      <w:kern w:val="2"/>
                      <w:sz w:val="21"/>
                      <w:szCs w:val="21"/>
                      <w:lang w:val="en-US" w:eastAsia="zh-CN" w:bidi="ar-SA"/>
                    </w:rPr>
                    <w:t>本项目为制鞋业，</w:t>
                  </w:r>
                  <w:r>
                    <w:rPr>
                      <w:rFonts w:hint="eastAsia" w:ascii="Times New Roman" w:hAnsi="Times New Roman" w:eastAsia="宋体" w:cs="Times New Roman"/>
                      <w:color w:val="auto"/>
                      <w:kern w:val="2"/>
                      <w:sz w:val="21"/>
                      <w:szCs w:val="21"/>
                      <w:lang w:val="en-US" w:eastAsia="zh-CN" w:bidi="ar-SA"/>
                    </w:rPr>
                    <w:t>位于偃师</w:t>
                  </w:r>
                  <w:r>
                    <w:rPr>
                      <w:rFonts w:hint="eastAsia" w:eastAsia="宋体" w:cs="Times New Roman"/>
                      <w:color w:val="auto"/>
                      <w:kern w:val="2"/>
                      <w:sz w:val="21"/>
                      <w:szCs w:val="21"/>
                      <w:lang w:val="en-US" w:eastAsia="zh-CN" w:bidi="ar-SA"/>
                    </w:rPr>
                    <w:t>区</w:t>
                  </w:r>
                  <w:r>
                    <w:rPr>
                      <w:rFonts w:hint="eastAsia" w:ascii="Times New Roman" w:hAnsi="Times New Roman" w:eastAsia="宋体" w:cs="Times New Roman"/>
                      <w:color w:val="auto"/>
                      <w:kern w:val="2"/>
                      <w:sz w:val="21"/>
                      <w:szCs w:val="21"/>
                      <w:lang w:val="en-US" w:eastAsia="zh-CN" w:bidi="ar-SA"/>
                    </w:rPr>
                    <w:t>山化镇东屯村，属于偃师</w:t>
                  </w:r>
                  <w:r>
                    <w:rPr>
                      <w:rFonts w:hint="eastAsia" w:eastAsia="宋体" w:cs="Times New Roman"/>
                      <w:color w:val="auto"/>
                      <w:kern w:val="2"/>
                      <w:sz w:val="21"/>
                      <w:szCs w:val="21"/>
                      <w:lang w:val="en-US" w:eastAsia="zh-CN" w:bidi="ar-SA"/>
                    </w:rPr>
                    <w:t>区</w:t>
                  </w:r>
                  <w:r>
                    <w:rPr>
                      <w:rFonts w:hint="eastAsia" w:ascii="Times New Roman" w:hAnsi="Times New Roman" w:eastAsia="宋体" w:cs="Times New Roman"/>
                      <w:color w:val="auto"/>
                      <w:kern w:val="2"/>
                      <w:sz w:val="21"/>
                      <w:szCs w:val="21"/>
                      <w:lang w:val="en-US" w:eastAsia="zh-CN" w:bidi="ar-SA"/>
                    </w:rPr>
                    <w:t>鞋业产业园区</w:t>
                  </w:r>
                  <w:r>
                    <w:rPr>
                      <w:rFonts w:hint="eastAsia" w:cs="Times New Roman"/>
                      <w:color w:val="auto"/>
                      <w:kern w:val="2"/>
                      <w:sz w:val="21"/>
                      <w:szCs w:val="21"/>
                      <w:lang w:val="en-US" w:eastAsia="zh-CN" w:bidi="ar-SA"/>
                    </w:rPr>
                    <w:t>，</w:t>
                  </w:r>
                  <w:r>
                    <w:rPr>
                      <w:rFonts w:hint="eastAsia" w:cs="Times New Roman"/>
                      <w:b/>
                      <w:bCs/>
                      <w:color w:val="auto"/>
                      <w:kern w:val="2"/>
                      <w:sz w:val="21"/>
                      <w:szCs w:val="21"/>
                      <w:u w:val="single"/>
                      <w:lang w:val="en-US" w:eastAsia="zh-CN" w:bidi="ar-SA"/>
                    </w:rPr>
                    <w:t>山化镇人民政府已同意本项目入驻（附件4）</w:t>
                  </w:r>
                  <w:r>
                    <w:rPr>
                      <w:rFonts w:hint="eastAsia" w:ascii="Times New Roman" w:hAnsi="Times New Roman" w:eastAsia="宋体" w:cs="Times New Roman"/>
                      <w:color w:val="auto"/>
                      <w:kern w:val="2"/>
                      <w:sz w:val="21"/>
                      <w:szCs w:val="21"/>
                      <w:lang w:val="en-US" w:eastAsia="zh-CN" w:bidi="ar-SA"/>
                    </w:rPr>
                    <w:t>，本</w:t>
                  </w:r>
                  <w:r>
                    <w:rPr>
                      <w:rFonts w:hint="eastAsia"/>
                      <w:snapToGrid w:val="0"/>
                      <w:szCs w:val="21"/>
                      <w:u w:val="none"/>
                    </w:rPr>
                    <w:t>项目</w:t>
                  </w:r>
                  <w:r>
                    <w:rPr>
                      <w:rFonts w:hint="eastAsia"/>
                      <w:u w:val="none"/>
                    </w:rPr>
                    <w:t>产生的VOCs由区域内VOCs排放等量削减替代</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682" w:type="dxa"/>
                  <w:tcBorders>
                    <w:tl2br w:val="nil"/>
                    <w:tr2bl w:val="nil"/>
                  </w:tcBorders>
                  <w:vAlign w:val="center"/>
                </w:tcPr>
                <w:p>
                  <w:pPr>
                    <w:widowControl/>
                    <w:jc w:val="center"/>
                    <w:rPr>
                      <w:szCs w:val="21"/>
                      <w:u w:val="none"/>
                    </w:rPr>
                  </w:pPr>
                  <w:r>
                    <w:rPr>
                      <w:szCs w:val="21"/>
                      <w:u w:val="none"/>
                    </w:rPr>
                    <w:t>污染物排放管控</w:t>
                  </w:r>
                </w:p>
              </w:tc>
              <w:tc>
                <w:tcPr>
                  <w:tcW w:w="2684" w:type="dxa"/>
                  <w:tcBorders>
                    <w:tl2br w:val="nil"/>
                    <w:tr2bl w:val="nil"/>
                  </w:tcBorders>
                  <w:vAlign w:val="center"/>
                </w:tcPr>
                <w:p>
                  <w:pPr>
                    <w:pStyle w:val="50"/>
                    <w:jc w:val="left"/>
                    <w:rPr>
                      <w:rFonts w:hint="eastAsia"/>
                    </w:rPr>
                  </w:pPr>
                  <w:r>
                    <w:rPr>
                      <w:rFonts w:hint="eastAsia"/>
                    </w:rPr>
                    <w:t>1、禁用不符合国家标准和本省使用要求的机动车船、非道路移动机械用燃料。</w:t>
                  </w:r>
                </w:p>
                <w:p>
                  <w:pPr>
                    <w:pStyle w:val="50"/>
                    <w:jc w:val="left"/>
                    <w:rPr>
                      <w:rFonts w:hint="eastAsia"/>
                    </w:rPr>
                  </w:pPr>
                  <w:r>
                    <w:rPr>
                      <w:rFonts w:hint="eastAsia"/>
                    </w:rPr>
                    <w:t>2、现有工业企业应逐步提升清洁生产水平，减少污染物排放量。</w:t>
                  </w:r>
                </w:p>
                <w:p>
                  <w:pPr>
                    <w:pStyle w:val="50"/>
                    <w:jc w:val="left"/>
                    <w:rPr>
                      <w:rFonts w:hint="eastAsia"/>
                    </w:rPr>
                  </w:pPr>
                  <w:r>
                    <w:rPr>
                      <w:rFonts w:hint="eastAsia"/>
                    </w:rPr>
                    <w:t>3、重点行业（包装印刷）二氧化硫、氮氧化物、颗粒物、VOCs全面执行大气污染物特别排放限值。</w:t>
                  </w:r>
                </w:p>
                <w:p>
                  <w:pPr>
                    <w:pStyle w:val="50"/>
                    <w:jc w:val="left"/>
                    <w:rPr>
                      <w:rFonts w:hint="eastAsia"/>
                    </w:rPr>
                  </w:pPr>
                  <w:r>
                    <w:rPr>
                      <w:rFonts w:hint="eastAsia"/>
                    </w:rPr>
                    <w:t>4、新建或扩建城镇污水处理厂必须达到或优于《河南省黄河流域水污染物排放标准》（DB41/2087-2021）中的相关标准。</w:t>
                  </w:r>
                </w:p>
                <w:p>
                  <w:pPr>
                    <w:pStyle w:val="47"/>
                    <w:rPr>
                      <w:color w:val="auto"/>
                      <w:szCs w:val="21"/>
                      <w:u w:val="none"/>
                    </w:rPr>
                  </w:pPr>
                  <w:r>
                    <w:rPr>
                      <w:rFonts w:hint="eastAsia"/>
                    </w:rPr>
                    <w:t>5、强化餐饮油烟的治理和管控。</w:t>
                  </w:r>
                </w:p>
              </w:tc>
              <w:tc>
                <w:tcPr>
                  <w:tcW w:w="1345" w:type="dxa"/>
                  <w:tcBorders>
                    <w:tl2br w:val="nil"/>
                    <w:tr2bl w:val="nil"/>
                  </w:tcBorders>
                  <w:vAlign w:val="center"/>
                </w:tcPr>
                <w:p>
                  <w:pPr>
                    <w:pStyle w:val="50"/>
                    <w:jc w:val="both"/>
                    <w:rPr>
                      <w:szCs w:val="21"/>
                      <w:u w:val="none"/>
                    </w:rPr>
                  </w:pPr>
                  <w:r>
                    <w:rPr>
                      <w:rFonts w:hint="eastAsia" w:eastAsia="宋体"/>
                    </w:rPr>
                    <w:t>本项目不使用不符合国家标准和本省使用要求的机动车船、非道路移动机械用燃料</w:t>
                  </w:r>
                  <w:r>
                    <w:rPr>
                      <w:rFonts w:hint="eastAsia" w:eastAsia="宋体"/>
                      <w:lang w:eastAsia="zh-CN"/>
                    </w:rPr>
                    <w:t>，</w:t>
                  </w:r>
                  <w:r>
                    <w:rPr>
                      <w:rFonts w:hint="eastAsia" w:eastAsia="宋体"/>
                      <w:lang w:val="en-US" w:eastAsia="zh-CN"/>
                    </w:rPr>
                    <w:t>本项目为制鞋业，</w:t>
                  </w:r>
                  <w:r>
                    <w:rPr>
                      <w:rFonts w:hint="eastAsia"/>
                    </w:rPr>
                    <w:t>不涉及颗粒物、二氧化硫、氮氧化物排放，VOCs排放执行相关要求限值</w:t>
                  </w:r>
                  <w:r>
                    <w:rPr>
                      <w:rFonts w:hint="eastAsia"/>
                      <w:lang w:eastAsia="zh-CN"/>
                    </w:rPr>
                    <w:t>；</w:t>
                  </w:r>
                  <w:r>
                    <w:rPr>
                      <w:rFonts w:hint="eastAsia"/>
                      <w:lang w:val="en-US" w:eastAsia="zh-CN"/>
                    </w:rPr>
                    <w:t>本项目</w:t>
                  </w:r>
                  <w:r>
                    <w:rPr>
                      <w:rFonts w:hint="eastAsia" w:eastAsia="宋体"/>
                    </w:rPr>
                    <w:t>不属于污水厂项目</w:t>
                  </w:r>
                  <w:r>
                    <w:rPr>
                      <w:rFonts w:hint="eastAsia" w:eastAsia="宋体"/>
                      <w:lang w:eastAsia="zh-CN"/>
                    </w:rPr>
                    <w:t>，</w:t>
                  </w:r>
                  <w:r>
                    <w:rPr>
                      <w:rFonts w:hint="eastAsia" w:eastAsia="宋体"/>
                    </w:rPr>
                    <w:t>不涉及餐饮油烟。</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682" w:type="dxa"/>
                  <w:tcBorders>
                    <w:tl2br w:val="nil"/>
                    <w:tr2bl w:val="nil"/>
                  </w:tcBorders>
                  <w:vAlign w:val="center"/>
                </w:tcPr>
                <w:p>
                  <w:pPr>
                    <w:pStyle w:val="50"/>
                    <w:rPr>
                      <w:szCs w:val="21"/>
                      <w:u w:val="none"/>
                    </w:rPr>
                  </w:pPr>
                  <w:r>
                    <w:rPr>
                      <w:rFonts w:hint="eastAsia"/>
                    </w:rPr>
                    <w:t>环境风险防控</w:t>
                  </w:r>
                </w:p>
              </w:tc>
              <w:tc>
                <w:tcPr>
                  <w:tcW w:w="2684" w:type="dxa"/>
                  <w:tcBorders>
                    <w:tl2br w:val="nil"/>
                    <w:tr2bl w:val="nil"/>
                  </w:tcBorders>
                  <w:vAlign w:val="center"/>
                </w:tcPr>
                <w:p>
                  <w:pPr>
                    <w:pStyle w:val="50"/>
                    <w:jc w:val="left"/>
                    <w:rPr>
                      <w:rFonts w:hint="eastAsia"/>
                    </w:rPr>
                  </w:pPr>
                  <w:r>
                    <w:rPr>
                      <w:rFonts w:hint="eastAsia"/>
                    </w:rPr>
                    <w:t xml:space="preserve">1、以跨界河流水体为重点，加强涉水污染源治理和监管，建立上下游水污染防治联动协作机制，严格防范跨界水环境污染风险。 </w:t>
                  </w:r>
                </w:p>
                <w:p>
                  <w:pPr>
                    <w:pStyle w:val="50"/>
                    <w:jc w:val="left"/>
                    <w:rPr>
                      <w:rFonts w:hint="eastAsia"/>
                    </w:rPr>
                  </w:pPr>
                  <w:r>
                    <w:rPr>
                      <w:rFonts w:hint="eastAsia"/>
                    </w:rPr>
                    <w:t>2、做好事故废水的风险管控联动，防止事故废水排入雨水管网或未经处理直接进入地表水体。</w:t>
                  </w:r>
                </w:p>
                <w:p>
                  <w:pPr>
                    <w:pStyle w:val="50"/>
                    <w:jc w:val="left"/>
                    <w:rPr>
                      <w:rFonts w:hint="eastAsia"/>
                    </w:rPr>
                  </w:pPr>
                  <w:r>
                    <w:rPr>
                      <w:rFonts w:hint="eastAsia"/>
                    </w:rPr>
                    <w:t xml:space="preserve">3、调查评估垃圾填埋场周边土壤环境状况，对周边土壤环境超过可接受风险的，应采取限制填埋废物进入等管控措施。 </w:t>
                  </w:r>
                </w:p>
              </w:tc>
              <w:tc>
                <w:tcPr>
                  <w:tcW w:w="1345" w:type="dxa"/>
                  <w:tcBorders>
                    <w:tl2br w:val="nil"/>
                    <w:tr2bl w:val="nil"/>
                  </w:tcBorders>
                  <w:vAlign w:val="center"/>
                </w:tcPr>
                <w:p>
                  <w:pPr>
                    <w:spacing w:beforeLines="10"/>
                    <w:jc w:val="both"/>
                    <w:rPr>
                      <w:szCs w:val="21"/>
                      <w:u w:val="none"/>
                    </w:rPr>
                  </w:pPr>
                  <w:r>
                    <w:rPr>
                      <w:rFonts w:hint="eastAsia"/>
                    </w:rPr>
                    <w:t>项目不涉及危险化学品、水污染源，不会对地表水体产生影响</w:t>
                  </w:r>
                  <w:r>
                    <w:rPr>
                      <w:rFonts w:hint="eastAsia"/>
                      <w:lang w:eastAsia="zh-CN"/>
                    </w:rPr>
                    <w:t>，</w:t>
                  </w:r>
                  <w:r>
                    <w:rPr>
                      <w:rFonts w:hint="eastAsia"/>
                    </w:rPr>
                    <w:t>项目建成后</w:t>
                  </w:r>
                  <w:r>
                    <w:rPr>
                      <w:rFonts w:hint="eastAsia"/>
                      <w:lang w:val="en-US" w:eastAsia="zh-CN"/>
                    </w:rPr>
                    <w:t>将</w:t>
                  </w:r>
                  <w:r>
                    <w:rPr>
                      <w:rFonts w:hint="eastAsia"/>
                    </w:rPr>
                    <w:t>制定相关防控措施，做好事故废水的风险管控联动，防止事故废水排入雨水管网或未经处理直接进入地表水体</w:t>
                  </w:r>
                  <w:r>
                    <w:rPr>
                      <w:rFonts w:hint="eastAsia"/>
                      <w:lang w:eastAsia="zh-CN"/>
                    </w:rPr>
                    <w:t>；</w:t>
                  </w:r>
                  <w:r>
                    <w:rPr>
                      <w:rFonts w:hint="eastAsia"/>
                      <w:lang w:val="en-US" w:eastAsia="zh-CN"/>
                    </w:rPr>
                    <w:t>本</w:t>
                  </w:r>
                  <w:r>
                    <w:rPr>
                      <w:rFonts w:hint="eastAsia"/>
                    </w:rPr>
                    <w:t>项目不在垃圾填埋场周边。</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682" w:type="dxa"/>
                  <w:tcBorders>
                    <w:tl2br w:val="nil"/>
                    <w:tr2bl w:val="nil"/>
                  </w:tcBorders>
                  <w:vAlign w:val="center"/>
                </w:tcPr>
                <w:p>
                  <w:pPr>
                    <w:pStyle w:val="50"/>
                    <w:rPr>
                      <w:szCs w:val="21"/>
                      <w:u w:val="none"/>
                    </w:rPr>
                  </w:pPr>
                  <w:r>
                    <w:rPr>
                      <w:rFonts w:hint="eastAsia"/>
                    </w:rPr>
                    <w:t>资源开发效率</w:t>
                  </w:r>
                </w:p>
              </w:tc>
              <w:tc>
                <w:tcPr>
                  <w:tcW w:w="2684" w:type="dxa"/>
                  <w:tcBorders>
                    <w:tl2br w:val="nil"/>
                    <w:tr2bl w:val="nil"/>
                  </w:tcBorders>
                  <w:vAlign w:val="center"/>
                </w:tcPr>
                <w:p>
                  <w:pPr>
                    <w:pStyle w:val="50"/>
                    <w:jc w:val="left"/>
                    <w:rPr>
                      <w:rFonts w:hint="eastAsia"/>
                      <w:highlight w:val="none"/>
                    </w:rPr>
                  </w:pPr>
                  <w:r>
                    <w:rPr>
                      <w:rFonts w:hint="eastAsia"/>
                      <w:highlight w:val="none"/>
                    </w:rPr>
                    <w:t>区内企业应不断提高资源能源利用效率，新改扩建设项目的清洁生产水平应达到国内先进水平。</w:t>
                  </w:r>
                </w:p>
              </w:tc>
              <w:tc>
                <w:tcPr>
                  <w:tcW w:w="1345" w:type="dxa"/>
                  <w:tcBorders>
                    <w:tl2br w:val="nil"/>
                    <w:tr2bl w:val="nil"/>
                  </w:tcBorders>
                  <w:vAlign w:val="center"/>
                </w:tcPr>
                <w:p>
                  <w:pPr>
                    <w:spacing w:beforeLines="10"/>
                    <w:rPr>
                      <w:szCs w:val="21"/>
                      <w:highlight w:val="none"/>
                      <w:u w:val="none"/>
                    </w:rPr>
                  </w:pPr>
                  <w:r>
                    <w:rPr>
                      <w:szCs w:val="21"/>
                      <w:highlight w:val="none"/>
                      <w:u w:val="none"/>
                    </w:rPr>
                    <w:t>本项目营运期废水、废 气、固废经采取措施</w:t>
                  </w:r>
                  <w:r>
                    <w:rPr>
                      <w:rFonts w:hint="eastAsia"/>
                      <w:szCs w:val="21"/>
                      <w:highlight w:val="none"/>
                      <w:u w:val="none"/>
                      <w:lang w:eastAsia="zh-CN"/>
                    </w:rPr>
                    <w:t>，</w:t>
                  </w:r>
                  <w:r>
                    <w:rPr>
                      <w:szCs w:val="21"/>
                      <w:highlight w:val="none"/>
                      <w:u w:val="none"/>
                    </w:rPr>
                    <w:t>清洁生产水平可达到国内先进水平。</w:t>
                  </w:r>
                </w:p>
              </w:tc>
              <w:tc>
                <w:tcPr>
                  <w:tcW w:w="496" w:type="dxa"/>
                  <w:tcBorders>
                    <w:tl2br w:val="nil"/>
                    <w:tr2bl w:val="nil"/>
                  </w:tcBorders>
                  <w:vAlign w:val="center"/>
                </w:tcPr>
                <w:p>
                  <w:pPr>
                    <w:spacing w:beforeLines="10"/>
                    <w:jc w:val="center"/>
                    <w:rPr>
                      <w:szCs w:val="21"/>
                      <w:u w:val="none"/>
                    </w:rPr>
                  </w:pPr>
                  <w:r>
                    <w:rPr>
                      <w:szCs w:val="21"/>
                      <w:u w:val="none"/>
                    </w:rPr>
                    <w:t>相符</w:t>
                  </w:r>
                </w:p>
              </w:tc>
            </w:tr>
          </w:tbl>
          <w:p>
            <w:pPr>
              <w:spacing w:line="460" w:lineRule="exact"/>
              <w:ind w:firstLine="480" w:firstLineChars="200"/>
              <w:rPr>
                <w:bCs/>
                <w:color w:val="000000"/>
                <w:sz w:val="24"/>
                <w:szCs w:val="20"/>
                <w:u w:val="none"/>
              </w:rPr>
            </w:pPr>
            <w:r>
              <w:rPr>
                <w:bCs/>
                <w:color w:val="000000"/>
                <w:sz w:val="24"/>
                <w:u w:val="none"/>
              </w:rPr>
              <w:t>由上表可知</w:t>
            </w:r>
            <w:r>
              <w:rPr>
                <w:color w:val="000000"/>
                <w:kern w:val="0"/>
                <w:sz w:val="24"/>
                <w:u w:val="none"/>
              </w:rPr>
              <w:t>，项目的建设</w:t>
            </w:r>
            <w:r>
              <w:rPr>
                <w:bCs/>
                <w:color w:val="000000"/>
                <w:sz w:val="24"/>
                <w:szCs w:val="20"/>
                <w:u w:val="none"/>
              </w:rPr>
              <w:t>符合</w:t>
            </w:r>
            <w:r>
              <w:rPr>
                <w:rFonts w:hint="eastAsia"/>
                <w:bCs/>
                <w:color w:val="000000"/>
                <w:sz w:val="24"/>
                <w:szCs w:val="20"/>
                <w:u w:val="none"/>
              </w:rPr>
              <w:t>《洛阳市“三线一单”生态环境准入清单（试行）》（洛市环〔2021〕58号）</w:t>
            </w:r>
            <w:r>
              <w:rPr>
                <w:bCs/>
                <w:color w:val="000000"/>
                <w:sz w:val="24"/>
                <w:szCs w:val="20"/>
                <w:u w:val="none"/>
              </w:rPr>
              <w:t>的相关要求。</w:t>
            </w:r>
          </w:p>
          <w:p>
            <w:pPr>
              <w:spacing w:line="460" w:lineRule="exact"/>
              <w:ind w:firstLine="482" w:firstLineChars="200"/>
              <w:rPr>
                <w:b/>
                <w:bCs/>
                <w:color w:val="000000"/>
                <w:sz w:val="24"/>
                <w:u w:val="single" w:color="auto"/>
              </w:rPr>
            </w:pPr>
            <w:r>
              <w:rPr>
                <w:rFonts w:hint="eastAsia"/>
                <w:b/>
                <w:bCs/>
                <w:color w:val="000000"/>
                <w:sz w:val="24"/>
                <w:u w:val="single" w:color="auto"/>
                <w:lang w:val="en-US" w:eastAsia="zh-CN"/>
              </w:rPr>
              <w:t>7</w:t>
            </w:r>
            <w:r>
              <w:rPr>
                <w:b/>
                <w:bCs/>
                <w:color w:val="000000"/>
                <w:sz w:val="24"/>
                <w:u w:val="single" w:color="auto"/>
              </w:rPr>
              <w:t>、与《</w:t>
            </w:r>
            <w:r>
              <w:rPr>
                <w:rFonts w:hint="eastAsia"/>
                <w:b/>
                <w:bCs/>
                <w:color w:val="000000"/>
                <w:sz w:val="24"/>
                <w:u w:val="single" w:color="auto"/>
              </w:rPr>
              <w:t>偃师区污染防治攻坚战领导小组关于印发</w:t>
            </w:r>
            <w:r>
              <w:rPr>
                <w:rFonts w:hint="eastAsia"/>
                <w:b/>
                <w:bCs/>
                <w:color w:val="000000"/>
                <w:sz w:val="24"/>
                <w:u w:val="single" w:color="auto"/>
                <w:lang w:val="en-US" w:eastAsia="zh-CN"/>
              </w:rPr>
              <w:t>偃师区2022</w:t>
            </w:r>
            <w:r>
              <w:rPr>
                <w:rFonts w:hint="eastAsia"/>
                <w:b/>
                <w:bCs/>
                <w:color w:val="000000"/>
                <w:sz w:val="24"/>
                <w:u w:val="single" w:color="auto"/>
              </w:rPr>
              <w:t>年大气、水、土壤污染防治攻坚战及农业农村污染治理攻坚战实施方案的通知</w:t>
            </w:r>
            <w:r>
              <w:rPr>
                <w:b/>
                <w:bCs/>
                <w:color w:val="000000"/>
                <w:sz w:val="24"/>
                <w:u w:val="single" w:color="auto"/>
              </w:rPr>
              <w:t>》（</w:t>
            </w:r>
            <w:r>
              <w:rPr>
                <w:rFonts w:hint="eastAsia"/>
                <w:b/>
                <w:bCs/>
                <w:color w:val="000000"/>
                <w:sz w:val="24"/>
                <w:u w:val="single" w:color="auto"/>
                <w:lang w:val="en-US" w:eastAsia="zh-CN"/>
              </w:rPr>
              <w:t>偃</w:t>
            </w:r>
            <w:r>
              <w:rPr>
                <w:b/>
                <w:bCs/>
                <w:color w:val="000000"/>
                <w:sz w:val="24"/>
                <w:u w:val="single" w:color="auto"/>
              </w:rPr>
              <w:t>环攻坚</w:t>
            </w:r>
            <w:r>
              <w:rPr>
                <w:rFonts w:hint="eastAsia"/>
                <w:b/>
                <w:bCs/>
                <w:color w:val="000000"/>
                <w:sz w:val="24"/>
                <w:u w:val="single" w:color="auto"/>
                <w:lang w:val="en-US" w:eastAsia="zh-CN"/>
              </w:rPr>
              <w:t>办</w:t>
            </w:r>
            <w:r>
              <w:rPr>
                <w:b/>
                <w:bCs/>
                <w:color w:val="000000"/>
                <w:sz w:val="24"/>
                <w:u w:val="single" w:color="auto"/>
              </w:rPr>
              <w:t>〔</w:t>
            </w:r>
            <w:r>
              <w:rPr>
                <w:rFonts w:hint="eastAsia"/>
                <w:b/>
                <w:bCs/>
                <w:color w:val="000000"/>
                <w:sz w:val="24"/>
                <w:u w:val="single" w:color="auto"/>
                <w:lang w:val="en-US" w:eastAsia="zh-CN"/>
              </w:rPr>
              <w:t>2022</w:t>
            </w:r>
            <w:r>
              <w:rPr>
                <w:b/>
                <w:bCs/>
                <w:color w:val="000000"/>
                <w:sz w:val="24"/>
                <w:u w:val="single" w:color="auto"/>
              </w:rPr>
              <w:t>〕</w:t>
            </w:r>
            <w:r>
              <w:rPr>
                <w:rFonts w:hint="eastAsia"/>
                <w:b/>
                <w:bCs/>
                <w:color w:val="000000"/>
                <w:sz w:val="24"/>
                <w:u w:val="single" w:color="auto"/>
                <w:lang w:val="en-US" w:eastAsia="zh-CN"/>
              </w:rPr>
              <w:t>8</w:t>
            </w:r>
            <w:r>
              <w:rPr>
                <w:b/>
                <w:bCs/>
                <w:color w:val="000000"/>
                <w:sz w:val="24"/>
                <w:u w:val="single" w:color="auto"/>
              </w:rPr>
              <w:t>号）相符性分析</w:t>
            </w:r>
          </w:p>
          <w:p>
            <w:pPr>
              <w:spacing w:line="460" w:lineRule="exact"/>
              <w:ind w:firstLine="482" w:firstLineChars="200"/>
              <w:rPr>
                <w:b/>
                <w:bCs/>
                <w:color w:val="000000"/>
                <w:sz w:val="24"/>
                <w:u w:val="single" w:color="auto"/>
              </w:rPr>
            </w:pPr>
            <w:r>
              <w:rPr>
                <w:b/>
                <w:bCs/>
                <w:color w:val="000000"/>
                <w:sz w:val="24"/>
                <w:u w:val="single" w:color="auto"/>
              </w:rPr>
              <w:t>本项目与之相符性分析详见下表。</w:t>
            </w:r>
          </w:p>
          <w:p>
            <w:pPr>
              <w:pStyle w:val="5"/>
              <w:numPr>
                <w:ilvl w:val="255"/>
                <w:numId w:val="0"/>
              </w:numPr>
              <w:ind w:firstLine="482" w:firstLineChars="200"/>
              <w:rPr>
                <w:b/>
                <w:bCs/>
                <w:color w:val="000000"/>
                <w:u w:val="single" w:color="auto"/>
              </w:rPr>
            </w:pPr>
            <w:r>
              <w:rPr>
                <w:rFonts w:hint="eastAsia"/>
                <w:b/>
                <w:bCs/>
                <w:color w:val="000000"/>
                <w:u w:val="single" w:color="auto"/>
              </w:rPr>
              <w:t>表</w:t>
            </w:r>
            <w:r>
              <w:rPr>
                <w:rFonts w:hint="eastAsia"/>
                <w:b/>
                <w:bCs/>
                <w:color w:val="000000"/>
                <w:u w:val="single" w:color="auto"/>
                <w:lang w:val="en-US" w:eastAsia="zh-CN"/>
              </w:rPr>
              <w:t>3</w:t>
            </w:r>
            <w:r>
              <w:rPr>
                <w:b/>
                <w:bCs/>
                <w:color w:val="000000"/>
                <w:u w:val="single" w:color="auto"/>
              </w:rPr>
              <w:t xml:space="preserve">       项目与</w:t>
            </w:r>
            <w:r>
              <w:rPr>
                <w:rFonts w:hint="eastAsia"/>
                <w:b/>
                <w:bCs/>
                <w:color w:val="000000"/>
                <w:u w:val="single" w:color="auto"/>
              </w:rPr>
              <w:t>偃</w:t>
            </w:r>
            <w:r>
              <w:rPr>
                <w:b/>
                <w:bCs/>
                <w:color w:val="000000"/>
                <w:u w:val="single" w:color="auto"/>
              </w:rPr>
              <w:t>环攻坚</w:t>
            </w:r>
            <w:r>
              <w:rPr>
                <w:rFonts w:hint="eastAsia"/>
                <w:b/>
                <w:bCs/>
                <w:color w:val="000000"/>
                <w:u w:val="single" w:color="auto"/>
                <w:lang w:val="en-US" w:eastAsia="zh-CN"/>
              </w:rPr>
              <w:t>办</w:t>
            </w:r>
            <w:r>
              <w:rPr>
                <w:b/>
                <w:bCs/>
                <w:color w:val="000000"/>
                <w:u w:val="single" w:color="auto"/>
              </w:rPr>
              <w:t>〔</w:t>
            </w:r>
            <w:r>
              <w:rPr>
                <w:rFonts w:hint="eastAsia"/>
                <w:b/>
                <w:bCs/>
                <w:color w:val="000000"/>
                <w:u w:val="single" w:color="auto"/>
                <w:lang w:val="en-US" w:eastAsia="zh-CN"/>
              </w:rPr>
              <w:t>2022</w:t>
            </w:r>
            <w:r>
              <w:rPr>
                <w:b/>
                <w:bCs/>
                <w:color w:val="000000"/>
                <w:u w:val="single" w:color="auto"/>
              </w:rPr>
              <w:t>〕</w:t>
            </w:r>
            <w:r>
              <w:rPr>
                <w:rFonts w:hint="eastAsia"/>
                <w:b/>
                <w:bCs/>
                <w:color w:val="000000"/>
                <w:u w:val="single" w:color="auto"/>
                <w:lang w:val="en-US" w:eastAsia="zh-CN"/>
              </w:rPr>
              <w:t>8</w:t>
            </w:r>
            <w:r>
              <w:rPr>
                <w:b/>
                <w:bCs/>
                <w:color w:val="000000"/>
                <w:u w:val="single" w:color="auto"/>
              </w:rPr>
              <w:t>号相符性分析</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287"/>
              <w:gridCol w:w="193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12" w:type="dxa"/>
                  <w:gridSpan w:val="2"/>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文件要求</w:t>
                  </w:r>
                </w:p>
              </w:tc>
              <w:tc>
                <w:tcPr>
                  <w:tcW w:w="1938"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color w:val="auto"/>
                      <w:u w:val="single" w:color="auto"/>
                    </w:rPr>
                    <w:t>项目情况</w:t>
                  </w:r>
                </w:p>
              </w:tc>
              <w:tc>
                <w:tcPr>
                  <w:tcW w:w="1011"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1" w:type="dxa"/>
                  <w:gridSpan w:val="4"/>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大气污染防治攻坚战实施方案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5"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(一)</w:t>
                  </w:r>
                </w:p>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调整优化产业结构,推动绿色低碳转型发展</w:t>
                  </w:r>
                </w:p>
              </w:tc>
              <w:tc>
                <w:tcPr>
                  <w:tcW w:w="4287"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b/>
                      <w:bCs/>
                      <w:color w:val="000000" w:themeColor="text1"/>
                      <w:u w:val="single" w:color="auto"/>
                      <w14:textFill>
                        <w14:solidFill>
                          <w14:schemeClr w14:val="tx1"/>
                        </w14:solidFill>
                      </w14:textFill>
                    </w:rPr>
                  </w:pPr>
                  <w:r>
                    <w:rPr>
                      <w:b/>
                      <w:bCs/>
                      <w:color w:val="000000" w:themeColor="text1"/>
                      <w:u w:val="single" w:color="auto"/>
                      <w14:textFill>
                        <w14:solidFill>
                          <w14:schemeClr w14:val="tx1"/>
                        </w14:solidFill>
                      </w14:textFill>
                    </w:rPr>
                    <w:t>3.推进绿色低碳产业发展。</w:t>
                  </w:r>
                  <w:r>
                    <w:rPr>
                      <w:rFonts w:hint="eastAsia"/>
                      <w:b/>
                      <w:bCs/>
                      <w:color w:val="000000" w:themeColor="text1"/>
                      <w:u w:val="single" w:color="auto"/>
                      <w14:textFill>
                        <w14:solidFill>
                          <w14:schemeClr w14:val="tx1"/>
                        </w14:solidFill>
                      </w14:textFill>
                    </w:rPr>
                    <w:t>（1）严格落实国家产业规划、产业政策以及煤炭消费减量替代等相关要求，积极支持节能环保、新能源等战略性新兴产业 发展，落实《洛阳市坚决遏制“两高”项目盲目发展行动方案》， 从严从紧从实控制高耗能、高排放项目建设，坚决遏制高耗能、高排放项目盲目发展。落实“两高”项目会商联审机制。全区严禁新增钢铁、电解铝、水泥熟料、平板玻璃、煤化工（甲醇、合成氨）、氧化铝、焦化、铸造、铝用碳素、烧结砖瓦、铁合金等行业产能。禁止耐火材料行业单纯新增产能。</w:t>
                  </w:r>
                </w:p>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bCs/>
                      <w:color w:val="000000" w:themeColor="text1"/>
                      <w:kern w:val="2"/>
                      <w:sz w:val="21"/>
                      <w:szCs w:val="21"/>
                      <w:u w:val="single" w:color="auto"/>
                      <w:lang w:val="en-US" w:eastAsia="zh-CN" w:bidi="ar-SA"/>
                      <w14:textFill>
                        <w14:solidFill>
                          <w14:schemeClr w14:val="tx1"/>
                        </w14:solidFill>
                      </w14:textFill>
                    </w:rPr>
                  </w:pPr>
                  <w:r>
                    <w:rPr>
                      <w:rFonts w:hint="eastAsia"/>
                      <w:b/>
                      <w:bCs/>
                      <w:color w:val="000000" w:themeColor="text1"/>
                      <w:u w:val="single" w:color="auto"/>
                      <w14:textFill>
                        <w14:solidFill>
                          <w14:schemeClr w14:val="tx1"/>
                        </w14:solidFill>
                      </w14:textFill>
                    </w:rPr>
                    <w:t>（2）严格落实"三线一单"、规划环评以及区域污染物削减制度，强化项目环评及"三同时"管理，国家、省绩效分级重点行业的新建、扩建项目达到A级水平，改建项目达到B级以上绩效水平。</w:t>
                  </w:r>
                </w:p>
              </w:tc>
              <w:tc>
                <w:tcPr>
                  <w:tcW w:w="1938"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b/>
                      <w:bCs/>
                      <w:snapToGrid w:val="0"/>
                      <w:color w:val="auto"/>
                      <w:u w:val="single" w:color="auto"/>
                    </w:rPr>
                  </w:pPr>
                  <w:r>
                    <w:rPr>
                      <w:b/>
                      <w:bCs/>
                      <w:snapToGrid w:val="0"/>
                      <w:color w:val="auto"/>
                      <w:u w:val="single" w:color="auto"/>
                    </w:rPr>
                    <w:t>本项目</w:t>
                  </w:r>
                  <w:r>
                    <w:rPr>
                      <w:rFonts w:hint="eastAsia"/>
                      <w:b/>
                      <w:bCs/>
                      <w:snapToGrid w:val="0"/>
                      <w:color w:val="auto"/>
                      <w:u w:val="single" w:color="auto"/>
                    </w:rPr>
                    <w:t>为</w:t>
                  </w:r>
                  <w:r>
                    <w:rPr>
                      <w:rFonts w:hint="eastAsia"/>
                      <w:b/>
                      <w:bCs/>
                      <w:snapToGrid w:val="0"/>
                      <w:color w:val="auto"/>
                      <w:u w:val="single" w:color="auto"/>
                      <w:lang w:val="en-US" w:eastAsia="zh-CN"/>
                    </w:rPr>
                    <w:t>新建项目</w:t>
                  </w:r>
                  <w:r>
                    <w:rPr>
                      <w:rFonts w:hint="eastAsia"/>
                      <w:b/>
                      <w:bCs/>
                      <w:snapToGrid w:val="0"/>
                      <w:color w:val="auto"/>
                      <w:u w:val="single" w:color="auto"/>
                    </w:rPr>
                    <w:t>，</w:t>
                  </w:r>
                  <w:r>
                    <w:rPr>
                      <w:b/>
                      <w:bCs/>
                      <w:snapToGrid w:val="0"/>
                      <w:color w:val="auto"/>
                      <w:u w:val="single" w:color="auto"/>
                    </w:rPr>
                    <w:t>不属于</w:t>
                  </w:r>
                  <w:r>
                    <w:rPr>
                      <w:b/>
                      <w:bCs/>
                      <w:color w:val="auto"/>
                      <w:u w:val="single" w:color="auto"/>
                    </w:rPr>
                    <w:t>高耗能、高排放项目</w:t>
                  </w:r>
                  <w:r>
                    <w:rPr>
                      <w:rFonts w:hint="eastAsia"/>
                      <w:b/>
                      <w:bCs/>
                      <w:color w:val="auto"/>
                      <w:u w:val="single" w:color="auto"/>
                    </w:rPr>
                    <w:t>，</w:t>
                  </w:r>
                  <w:r>
                    <w:rPr>
                      <w:rFonts w:hint="eastAsia"/>
                      <w:b/>
                      <w:bCs/>
                      <w:color w:val="auto"/>
                      <w:u w:val="single" w:color="auto"/>
                      <w:lang w:val="en-US" w:eastAsia="zh-CN"/>
                    </w:rPr>
                    <w:t>项目的</w:t>
                  </w:r>
                  <w:r>
                    <w:rPr>
                      <w:rFonts w:hint="eastAsia"/>
                      <w:b/>
                      <w:bCs/>
                      <w:color w:val="auto"/>
                      <w:u w:val="single" w:color="auto"/>
                    </w:rPr>
                    <w:t>建设符合“三线一单”要求</w:t>
                  </w:r>
                  <w:r>
                    <w:rPr>
                      <w:b/>
                      <w:bCs/>
                      <w:snapToGrid w:val="0"/>
                      <w:color w:val="auto"/>
                      <w:u w:val="single" w:color="auto"/>
                    </w:rPr>
                    <w:t>，</w:t>
                  </w:r>
                  <w:r>
                    <w:rPr>
                      <w:rFonts w:hint="eastAsia"/>
                      <w:b/>
                      <w:bCs/>
                      <w:snapToGrid w:val="0"/>
                      <w:u w:val="single" w:color="auto"/>
                    </w:rPr>
                    <w:t>项目建成后可满足《重污染天气重点行业应急减排措施制定技术指南（2020年修订版）》</w:t>
                  </w:r>
                  <w:r>
                    <w:rPr>
                      <w:rFonts w:hint="eastAsia"/>
                      <w:b/>
                      <w:bCs/>
                      <w:snapToGrid w:val="0"/>
                      <w:u w:val="single" w:color="auto"/>
                      <w:lang w:val="en-US" w:eastAsia="zh-CN"/>
                    </w:rPr>
                    <w:t>要求</w:t>
                  </w:r>
                  <w:r>
                    <w:rPr>
                      <w:rFonts w:hint="eastAsia"/>
                      <w:b/>
                      <w:bCs/>
                      <w:snapToGrid w:val="0"/>
                      <w:u w:val="single" w:color="auto"/>
                    </w:rPr>
                    <w:t>（具体分析详见表</w:t>
                  </w:r>
                  <w:r>
                    <w:rPr>
                      <w:rFonts w:hint="eastAsia"/>
                      <w:b/>
                      <w:bCs/>
                      <w:snapToGrid w:val="0"/>
                      <w:u w:val="single" w:color="auto"/>
                      <w:lang w:val="en-US" w:eastAsia="zh-CN"/>
                    </w:rPr>
                    <w:t>3、表4</w:t>
                  </w:r>
                  <w:r>
                    <w:rPr>
                      <w:rFonts w:hint="eastAsia"/>
                      <w:b/>
                      <w:bCs/>
                      <w:snapToGrid w:val="0"/>
                      <w:u w:val="single" w:color="auto"/>
                    </w:rPr>
                    <w:t>）。</w:t>
                  </w:r>
                </w:p>
              </w:tc>
              <w:tc>
                <w:tcPr>
                  <w:tcW w:w="1011"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25" w:type="dxa"/>
                  <w:vMerge w:val="restart"/>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default" w:eastAsia="宋体"/>
                      <w:b/>
                      <w:bCs/>
                      <w:snapToGrid w:val="0"/>
                      <w:color w:val="auto"/>
                      <w:u w:val="single" w:color="auto"/>
                      <w:lang w:val="en-US" w:eastAsia="zh-CN"/>
                    </w:rPr>
                  </w:pPr>
                  <w:r>
                    <w:rPr>
                      <w:rFonts w:hint="eastAsia"/>
                      <w:b/>
                      <w:bCs/>
                      <w:snapToGrid w:val="0"/>
                      <w:color w:val="auto"/>
                      <w:u w:val="single" w:color="auto"/>
                      <w:lang w:eastAsia="zh-CN"/>
                    </w:rPr>
                    <w:t>（</w:t>
                  </w:r>
                  <w:r>
                    <w:rPr>
                      <w:rFonts w:hint="eastAsia"/>
                      <w:b/>
                      <w:bCs/>
                      <w:snapToGrid w:val="0"/>
                      <w:color w:val="auto"/>
                      <w:u w:val="single" w:color="auto"/>
                      <w:lang w:val="en-US" w:eastAsia="zh-CN"/>
                    </w:rPr>
                    <w:t>六</w:t>
                  </w:r>
                  <w:r>
                    <w:rPr>
                      <w:rFonts w:hint="eastAsia"/>
                      <w:b/>
                      <w:bCs/>
                      <w:snapToGrid w:val="0"/>
                      <w:color w:val="auto"/>
                      <w:u w:val="single" w:color="auto"/>
                      <w:lang w:eastAsia="zh-CN"/>
                    </w:rPr>
                    <w:t>）</w:t>
                  </w:r>
                  <w:r>
                    <w:rPr>
                      <w:rFonts w:hint="eastAsia"/>
                      <w:b/>
                      <w:bCs/>
                      <w:snapToGrid w:val="0"/>
                      <w:color w:val="auto"/>
                      <w:u w:val="single" w:color="auto"/>
                      <w:lang w:val="en-US" w:eastAsia="zh-CN"/>
                    </w:rPr>
                    <w:t>强化挥发性有机物治理,打好臭氧污染防治攻坚战</w:t>
                  </w:r>
                </w:p>
              </w:tc>
              <w:tc>
                <w:tcPr>
                  <w:tcW w:w="4287"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b/>
                      <w:bCs/>
                      <w:color w:val="000000" w:themeColor="text1"/>
                      <w:u w:val="single" w:color="auto"/>
                      <w14:textFill>
                        <w14:solidFill>
                          <w14:schemeClr w14:val="tx1"/>
                        </w14:solidFill>
                      </w14:textFill>
                    </w:rPr>
                  </w:pPr>
                  <w:r>
                    <w:rPr>
                      <w:rFonts w:hint="eastAsia"/>
                      <w:b/>
                      <w:bCs/>
                      <w:color w:val="000000" w:themeColor="text1"/>
                      <w:u w:val="single" w:color="auto"/>
                      <w:lang w:val="en-US" w:eastAsia="zh-CN"/>
                      <w14:textFill>
                        <w14:solidFill>
                          <w14:schemeClr w14:val="tx1"/>
                        </w14:solidFill>
                      </w14:textFill>
                    </w:rPr>
                    <w:t xml:space="preserve">27.加快推进低 VOCs 含量原辅材料源头替代。（1）对工业涂装、木质家具制造、包装印刷、钢结构制造、工程机械等行业溶剂型涂料、油墨、胶黏剂、清洗剂使用企业制定低 VOCs 含量原辅材料替代计划。 </w:t>
                  </w:r>
                </w:p>
              </w:tc>
              <w:tc>
                <w:tcPr>
                  <w:tcW w:w="1938"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宋体"/>
                      <w:b/>
                      <w:bCs/>
                      <w:snapToGrid w:val="0"/>
                      <w:color w:val="auto"/>
                      <w:u w:val="single" w:color="auto"/>
                      <w:lang w:val="en-US" w:eastAsia="zh-CN"/>
                    </w:rPr>
                  </w:pPr>
                  <w:r>
                    <w:rPr>
                      <w:rFonts w:hint="eastAsia"/>
                      <w:b/>
                      <w:bCs/>
                      <w:snapToGrid w:val="0"/>
                      <w:color w:val="auto"/>
                      <w:u w:val="single" w:color="auto"/>
                      <w:lang w:val="en-US" w:eastAsia="zh-CN"/>
                    </w:rPr>
                    <w:t>本项目含印标工序，采用水性油墨，为</w:t>
                  </w:r>
                  <w:r>
                    <w:rPr>
                      <w:rFonts w:hint="eastAsia"/>
                      <w:b/>
                      <w:bCs/>
                      <w:color w:val="000000" w:themeColor="text1"/>
                      <w:u w:val="single" w:color="auto"/>
                      <w:lang w:val="en-US" w:eastAsia="zh-CN"/>
                      <w14:textFill>
                        <w14:solidFill>
                          <w14:schemeClr w14:val="tx1"/>
                        </w14:solidFill>
                      </w14:textFill>
                    </w:rPr>
                    <w:t>低 VOCs 含量原辅材料；使用胶黏剂为低VOCs 含量热熔胶。</w:t>
                  </w:r>
                </w:p>
              </w:tc>
              <w:tc>
                <w:tcPr>
                  <w:tcW w:w="1011"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default" w:eastAsia="宋体"/>
                      <w:b/>
                      <w:bCs/>
                      <w:snapToGrid w:val="0"/>
                      <w:color w:val="auto"/>
                      <w:u w:val="single" w:color="auto"/>
                      <w:lang w:val="en-US" w:eastAsia="zh-CN"/>
                    </w:rPr>
                  </w:pPr>
                  <w:r>
                    <w:rPr>
                      <w:rFonts w:hint="eastAsia"/>
                      <w:b/>
                      <w:bCs/>
                      <w:snapToGrid w:val="0"/>
                      <w:color w:val="auto"/>
                      <w:u w:val="single" w:color="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25" w:type="dxa"/>
                  <w:vMerge w:val="continue"/>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b/>
                      <w:bCs/>
                      <w:u w:val="single" w:color="auto"/>
                    </w:rPr>
                  </w:pPr>
                </w:p>
              </w:tc>
              <w:tc>
                <w:tcPr>
                  <w:tcW w:w="4287"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bCs/>
                      <w:color w:val="000000" w:themeColor="text1"/>
                      <w:kern w:val="2"/>
                      <w:sz w:val="21"/>
                      <w:szCs w:val="21"/>
                      <w:u w:val="single" w:color="auto"/>
                      <w:lang w:val="en-US" w:eastAsia="zh-CN" w:bidi="ar-SA"/>
                      <w14:textFill>
                        <w14:solidFill>
                          <w14:schemeClr w14:val="tx1"/>
                        </w14:solidFill>
                      </w14:textFill>
                    </w:rPr>
                  </w:pPr>
                  <w:r>
                    <w:rPr>
                      <w:rFonts w:hint="eastAsia"/>
                      <w:b/>
                      <w:bCs/>
                      <w:color w:val="000000" w:themeColor="text1"/>
                      <w:u w:val="single" w:color="auto"/>
                      <w:lang w:val="en-US" w:eastAsia="zh-CN"/>
                      <w14:textFill>
                        <w14:solidFill>
                          <w14:schemeClr w14:val="tx1"/>
                        </w14:solidFill>
                      </w14:textFill>
                    </w:rPr>
                    <w:t>28</w:t>
                  </w:r>
                  <w:r>
                    <w:rPr>
                      <w:rFonts w:hint="eastAsia"/>
                      <w:b/>
                      <w:bCs/>
                      <w:color w:val="000000" w:themeColor="text1"/>
                      <w:u w:val="single" w:color="auto"/>
                      <w14:textFill>
                        <w14:solidFill>
                          <w14:schemeClr w14:val="tx1"/>
                        </w14:solidFill>
                      </w14:textFill>
                    </w:rPr>
                    <w:t>.开展简易低效VOCs治理设施升级改造。各县区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2022年6月底前基本完成升级改造并开展检测验收，严把工程质量，确保稳定达标排放。</w:t>
                  </w:r>
                </w:p>
              </w:tc>
              <w:tc>
                <w:tcPr>
                  <w:tcW w:w="1938"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bCs/>
                      <w:snapToGrid w:val="0"/>
                      <w:color w:val="auto"/>
                      <w:kern w:val="2"/>
                      <w:sz w:val="21"/>
                      <w:szCs w:val="21"/>
                      <w:u w:val="single" w:color="auto"/>
                      <w:lang w:val="en-US" w:eastAsia="zh-CN" w:bidi="ar-SA"/>
                    </w:rPr>
                  </w:pPr>
                  <w:r>
                    <w:rPr>
                      <w:rFonts w:hint="eastAsia"/>
                      <w:b/>
                      <w:bCs/>
                      <w:snapToGrid w:val="0"/>
                      <w:color w:val="auto"/>
                      <w:u w:val="single" w:color="auto"/>
                    </w:rPr>
                    <w:t>本项目有机废气</w:t>
                  </w:r>
                  <w:r>
                    <w:rPr>
                      <w:rFonts w:hint="eastAsia"/>
                      <w:b/>
                      <w:bCs/>
                      <w:snapToGrid w:val="0"/>
                      <w:color w:val="auto"/>
                      <w:u w:val="single" w:color="auto"/>
                      <w:lang w:val="en-US" w:eastAsia="zh-CN"/>
                    </w:rPr>
                    <w:t>采用</w:t>
                  </w:r>
                  <w:r>
                    <w:rPr>
                      <w:rFonts w:hint="eastAsia"/>
                      <w:b/>
                      <w:bCs/>
                      <w:snapToGrid w:val="0"/>
                      <w:color w:val="auto"/>
                      <w:u w:val="single" w:color="auto"/>
                    </w:rPr>
                    <w:t>“UV光氧+活性炭吸附”装置进行处理</w:t>
                  </w:r>
                  <w:r>
                    <w:rPr>
                      <w:rFonts w:hint="eastAsia"/>
                      <w:b/>
                      <w:bCs/>
                      <w:snapToGrid w:val="0"/>
                      <w:color w:val="auto"/>
                      <w:u w:val="single" w:color="auto"/>
                      <w:lang w:eastAsia="zh-CN"/>
                    </w:rPr>
                    <w:t>，</w:t>
                  </w:r>
                  <w:r>
                    <w:rPr>
                      <w:rFonts w:hint="eastAsia"/>
                      <w:b/>
                      <w:bCs/>
                      <w:snapToGrid w:val="0"/>
                      <w:color w:val="auto"/>
                      <w:u w:val="single" w:color="auto"/>
                      <w:lang w:val="en-US" w:eastAsia="zh-CN"/>
                    </w:rPr>
                    <w:t>废活性炭更换后分类暂存至危废暂存间，</w:t>
                  </w:r>
                  <w:r>
                    <w:rPr>
                      <w:rFonts w:hint="default"/>
                      <w:b/>
                      <w:bCs/>
                      <w:snapToGrid w:val="0"/>
                      <w:color w:val="auto"/>
                      <w:u w:val="single" w:color="auto"/>
                      <w:lang w:val="en-US" w:eastAsia="zh-CN"/>
                    </w:rPr>
                    <w:t>交有资质的单位处置</w:t>
                  </w:r>
                  <w:r>
                    <w:rPr>
                      <w:rFonts w:hint="eastAsia"/>
                      <w:b/>
                      <w:bCs/>
                      <w:snapToGrid w:val="0"/>
                      <w:color w:val="auto"/>
                      <w:u w:val="single" w:color="auto"/>
                      <w:lang w:val="en-US" w:eastAsia="zh-CN"/>
                    </w:rPr>
                    <w:t>。</w:t>
                  </w:r>
                </w:p>
              </w:tc>
              <w:tc>
                <w:tcPr>
                  <w:tcW w:w="1011"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b/>
                      <w:bCs/>
                      <w:color w:val="000000" w:themeColor="text1"/>
                      <w:u w:val="single" w:color="auto"/>
                      <w:lang w:val="en-US" w:eastAsia="zh-CN"/>
                      <w14:textFill>
                        <w14:solidFill>
                          <w14:schemeClr w14:val="tx1"/>
                        </w14:solidFill>
                      </w14:textFill>
                    </w:rPr>
                  </w:pPr>
                  <w:r>
                    <w:rPr>
                      <w:rFonts w:hint="eastAsia"/>
                      <w:b/>
                      <w:bCs/>
                      <w:color w:val="000000" w:themeColor="text1"/>
                      <w:u w:val="single" w:color="auto"/>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61" w:type="dxa"/>
                  <w:gridSpan w:val="4"/>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rFonts w:hint="eastAsia"/>
                      <w:b/>
                      <w:bCs/>
                      <w:snapToGrid w:val="0"/>
                      <w:color w:val="auto"/>
                      <w:u w:val="single" w:color="auto"/>
                    </w:rPr>
                    <w:t>水</w:t>
                  </w:r>
                  <w:r>
                    <w:rPr>
                      <w:b/>
                      <w:bCs/>
                      <w:snapToGrid w:val="0"/>
                      <w:color w:val="auto"/>
                      <w:u w:val="single" w:color="auto"/>
                    </w:rPr>
                    <w:t>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5"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(五)</w:t>
                  </w:r>
                </w:p>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b/>
                      <w:bCs/>
                      <w:snapToGrid w:val="0"/>
                      <w:color w:val="auto"/>
                      <w:u w:val="single" w:color="auto"/>
                    </w:rPr>
                    <w:t>统筹做好其他水生态环境保护工作</w:t>
                  </w:r>
                </w:p>
              </w:tc>
              <w:tc>
                <w:tcPr>
                  <w:tcW w:w="4287"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b/>
                      <w:bCs/>
                      <w:snapToGrid w:val="0"/>
                      <w:color w:val="auto"/>
                      <w:u w:val="single" w:color="auto"/>
                    </w:rPr>
                  </w:pPr>
                  <w:r>
                    <w:rPr>
                      <w:rFonts w:hint="eastAsia"/>
                      <w:b/>
                      <w:bCs/>
                      <w:snapToGrid w:val="0"/>
                      <w:color w:val="auto"/>
                      <w:u w:val="single" w:color="auto"/>
                      <w:lang w:val="en-US" w:eastAsia="zh-CN"/>
                    </w:rPr>
                    <w:t>12</w:t>
                  </w:r>
                  <w:r>
                    <w:rPr>
                      <w:b/>
                      <w:bCs/>
                      <w:snapToGrid w:val="0"/>
                      <w:color w:val="auto"/>
                      <w:u w:val="single" w:color="auto"/>
                    </w:rPr>
                    <w:t>.调整优化产业结构。 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 水污染严重地区高污染企业布局优化,制定实施落后产能淘汰方案。严禁在黄河干流及主要支流临岸一定范围内新建"两高一资"项目及相关产业园区。</w:t>
                  </w:r>
                </w:p>
              </w:tc>
              <w:tc>
                <w:tcPr>
                  <w:tcW w:w="1938"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b/>
                      <w:bCs/>
                      <w:snapToGrid w:val="0"/>
                      <w:color w:val="auto"/>
                      <w:u w:val="single" w:color="auto"/>
                    </w:rPr>
                  </w:pPr>
                  <w:r>
                    <w:rPr>
                      <w:rFonts w:hint="eastAsia"/>
                      <w:b/>
                      <w:bCs/>
                      <w:color w:val="auto"/>
                      <w:kern w:val="0"/>
                      <w:u w:val="single" w:color="auto"/>
                    </w:rPr>
                    <w:t>本项目为</w:t>
                  </w:r>
                  <w:r>
                    <w:rPr>
                      <w:rFonts w:hint="eastAsia"/>
                      <w:b/>
                      <w:bCs/>
                      <w:color w:val="auto"/>
                      <w:kern w:val="0"/>
                      <w:u w:val="single" w:color="auto"/>
                      <w:lang w:val="en-US" w:eastAsia="zh-CN"/>
                    </w:rPr>
                    <w:t>制鞋业</w:t>
                  </w:r>
                  <w:r>
                    <w:rPr>
                      <w:rFonts w:hint="eastAsia"/>
                      <w:b/>
                      <w:bCs/>
                      <w:color w:val="auto"/>
                      <w:kern w:val="0"/>
                      <w:u w:val="single" w:color="auto"/>
                    </w:rPr>
                    <w:t>，符合“三线一单”分区管控要求，</w:t>
                  </w:r>
                  <w:r>
                    <w:rPr>
                      <w:rFonts w:hint="eastAsia"/>
                      <w:b/>
                      <w:bCs/>
                      <w:snapToGrid w:val="0"/>
                      <w:color w:val="auto"/>
                      <w:u w:val="single" w:color="auto"/>
                    </w:rPr>
                    <w:t>不属于高污染企业。</w:t>
                  </w:r>
                </w:p>
              </w:tc>
              <w:tc>
                <w:tcPr>
                  <w:tcW w:w="1011" w:type="dxa"/>
                  <w:noWrap w:val="0"/>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bCs/>
                      <w:snapToGrid w:val="0"/>
                      <w:color w:val="auto"/>
                      <w:u w:val="single" w:color="auto"/>
                    </w:rPr>
                  </w:pPr>
                  <w:r>
                    <w:rPr>
                      <w:rFonts w:hint="eastAsia"/>
                      <w:b/>
                      <w:bCs/>
                      <w:snapToGrid w:val="0"/>
                      <w:color w:val="auto"/>
                      <w:u w:val="single" w:color="auto"/>
                    </w:rPr>
                    <w:t>相符</w:t>
                  </w:r>
                </w:p>
              </w:tc>
            </w:tr>
          </w:tbl>
          <w:p>
            <w:pPr>
              <w:spacing w:line="460" w:lineRule="exact"/>
              <w:ind w:firstLine="482" w:firstLineChars="200"/>
              <w:rPr>
                <w:b/>
                <w:bCs/>
                <w:color w:val="000000"/>
                <w:sz w:val="24"/>
                <w:szCs w:val="20"/>
                <w:u w:val="single" w:color="auto"/>
              </w:rPr>
            </w:pPr>
            <w:r>
              <w:rPr>
                <w:b/>
                <w:bCs/>
                <w:color w:val="000000"/>
                <w:sz w:val="24"/>
                <w:u w:val="single" w:color="auto"/>
              </w:rPr>
              <w:t>由上表可知</w:t>
            </w:r>
            <w:r>
              <w:rPr>
                <w:b/>
                <w:bCs/>
                <w:color w:val="000000"/>
                <w:kern w:val="0"/>
                <w:sz w:val="24"/>
                <w:u w:val="single" w:color="auto"/>
              </w:rPr>
              <w:t>，项目的建设</w:t>
            </w:r>
            <w:r>
              <w:rPr>
                <w:b/>
                <w:bCs/>
                <w:color w:val="000000"/>
                <w:sz w:val="24"/>
                <w:szCs w:val="20"/>
                <w:u w:val="single" w:color="auto"/>
              </w:rPr>
              <w:t>符合《</w:t>
            </w:r>
            <w:r>
              <w:rPr>
                <w:rFonts w:hint="eastAsia"/>
                <w:b/>
                <w:bCs/>
                <w:color w:val="000000"/>
                <w:sz w:val="24"/>
                <w:szCs w:val="20"/>
                <w:u w:val="single" w:color="auto"/>
              </w:rPr>
              <w:t>偃师区污染防治攻坚战领导小组关于印发2021年大气、水、土壤污染防治攻坚战及农业农村污染治理攻坚战实施方案的通知</w:t>
            </w:r>
            <w:r>
              <w:rPr>
                <w:b/>
                <w:bCs/>
                <w:color w:val="000000"/>
                <w:sz w:val="24"/>
                <w:szCs w:val="20"/>
                <w:u w:val="single" w:color="auto"/>
              </w:rPr>
              <w:t>》（洛环攻坚〔2021〕</w:t>
            </w:r>
            <w:r>
              <w:rPr>
                <w:rFonts w:hint="eastAsia"/>
                <w:b/>
                <w:bCs/>
                <w:color w:val="000000"/>
                <w:sz w:val="24"/>
                <w:szCs w:val="20"/>
                <w:u w:val="single" w:color="auto"/>
              </w:rPr>
              <w:t>4</w:t>
            </w:r>
            <w:r>
              <w:rPr>
                <w:b/>
                <w:bCs/>
                <w:color w:val="000000"/>
                <w:sz w:val="24"/>
                <w:szCs w:val="20"/>
                <w:u w:val="single" w:color="auto"/>
              </w:rPr>
              <w:t>号）的相关要求。</w:t>
            </w:r>
          </w:p>
          <w:p>
            <w:pPr>
              <w:spacing w:line="480" w:lineRule="exact"/>
              <w:ind w:firstLine="482" w:firstLineChars="200"/>
              <w:rPr>
                <w:rFonts w:eastAsia="黑体"/>
                <w:b/>
                <w:bCs/>
                <w:sz w:val="24"/>
                <w:u w:val="single"/>
              </w:rPr>
            </w:pPr>
            <w:r>
              <w:rPr>
                <w:rFonts w:hint="eastAsia"/>
                <w:b/>
                <w:bCs/>
                <w:color w:val="000000"/>
                <w:kern w:val="0"/>
                <w:sz w:val="24"/>
                <w:u w:val="single"/>
                <w:lang w:val="en-US" w:eastAsia="zh-CN"/>
              </w:rPr>
              <w:t>8</w:t>
            </w:r>
            <w:r>
              <w:rPr>
                <w:rFonts w:hint="eastAsia"/>
                <w:b/>
                <w:bCs/>
                <w:color w:val="000000"/>
                <w:sz w:val="24"/>
                <w:u w:val="single"/>
              </w:rPr>
              <w:t>、与《河南省重污染天气重点行业应急减排措施制定技术指南（2021年修订版）》相符性分析</w:t>
            </w:r>
          </w:p>
          <w:p>
            <w:pPr>
              <w:widowControl/>
              <w:snapToGrid w:val="0"/>
              <w:spacing w:line="480" w:lineRule="exact"/>
              <w:ind w:firstLine="482" w:firstLineChars="200"/>
              <w:rPr>
                <w:b/>
                <w:bCs/>
                <w:sz w:val="24"/>
                <w:u w:val="single"/>
              </w:rPr>
            </w:pPr>
            <w:r>
              <w:rPr>
                <w:b/>
                <w:bCs/>
                <w:sz w:val="24"/>
                <w:u w:val="single"/>
              </w:rPr>
              <w:t>根据</w:t>
            </w:r>
            <w:r>
              <w:rPr>
                <w:rFonts w:hint="eastAsia"/>
                <w:b/>
                <w:bCs/>
                <w:sz w:val="24"/>
                <w:u w:val="single"/>
              </w:rPr>
              <w:t>《河南省重污染天气重点行业应急减排措施制定技术指南（2021年修订版）》</w:t>
            </w:r>
            <w:r>
              <w:rPr>
                <w:b/>
                <w:bCs/>
                <w:sz w:val="24"/>
                <w:u w:val="single"/>
              </w:rPr>
              <w:t>中“</w:t>
            </w:r>
            <w:r>
              <w:rPr>
                <w:rFonts w:hint="eastAsia"/>
                <w:b/>
                <w:bCs/>
                <w:sz w:val="24"/>
                <w:u w:val="single"/>
              </w:rPr>
              <w:t>六、塑料制品</w:t>
            </w:r>
            <w:r>
              <w:rPr>
                <w:b/>
                <w:bCs/>
                <w:sz w:val="24"/>
                <w:u w:val="single"/>
              </w:rPr>
              <w:t>，（四）绩效分级指标”中“</w:t>
            </w:r>
            <w:r>
              <w:rPr>
                <w:rFonts w:hint="eastAsia"/>
                <w:b/>
                <w:bCs/>
                <w:sz w:val="24"/>
                <w:u w:val="single"/>
              </w:rPr>
              <w:t>塑料制品企业</w:t>
            </w:r>
            <w:r>
              <w:rPr>
                <w:b/>
                <w:bCs/>
                <w:sz w:val="24"/>
                <w:u w:val="single"/>
              </w:rPr>
              <w:t>绩效分级指标”，项目与</w:t>
            </w:r>
            <w:r>
              <w:rPr>
                <w:rFonts w:hint="eastAsia"/>
                <w:b/>
                <w:bCs/>
                <w:sz w:val="24"/>
                <w:u w:val="single"/>
              </w:rPr>
              <w:t>塑料制品企业</w:t>
            </w:r>
            <w:r>
              <w:rPr>
                <w:rFonts w:hint="eastAsia"/>
                <w:b/>
                <w:bCs/>
                <w:sz w:val="24"/>
                <w:u w:val="single"/>
                <w:lang w:val="en-US" w:eastAsia="zh-CN"/>
              </w:rPr>
              <w:t>A</w:t>
            </w:r>
            <w:r>
              <w:rPr>
                <w:b/>
                <w:bCs/>
                <w:sz w:val="24"/>
                <w:u w:val="single"/>
              </w:rPr>
              <w:t>级绩效指标要求相符性见</w:t>
            </w:r>
            <w:r>
              <w:rPr>
                <w:rFonts w:hint="eastAsia"/>
                <w:b/>
                <w:bCs/>
                <w:sz w:val="24"/>
                <w:u w:val="single"/>
              </w:rPr>
              <w:t>下表。</w:t>
            </w:r>
          </w:p>
          <w:p>
            <w:pPr>
              <w:spacing w:line="460" w:lineRule="exact"/>
              <w:ind w:firstLine="482" w:firstLineChars="200"/>
              <w:rPr>
                <w:b/>
                <w:bCs/>
                <w:u w:val="single"/>
              </w:rPr>
            </w:pPr>
            <w:r>
              <w:rPr>
                <w:rFonts w:hint="eastAsia"/>
                <w:b/>
                <w:bCs/>
                <w:color w:val="000000"/>
                <w:kern w:val="0"/>
                <w:sz w:val="24"/>
                <w:u w:val="single"/>
              </w:rPr>
              <w:t xml:space="preserve">表3  </w:t>
            </w:r>
            <w:r>
              <w:rPr>
                <w:rFonts w:hint="eastAsia"/>
                <w:b/>
                <w:bCs/>
                <w:color w:val="000000"/>
                <w:kern w:val="0"/>
                <w:sz w:val="24"/>
                <w:u w:val="single"/>
                <w:lang w:val="en-US" w:eastAsia="zh-CN"/>
              </w:rPr>
              <w:t xml:space="preserve">  </w:t>
            </w:r>
            <w:r>
              <w:rPr>
                <w:rFonts w:hint="eastAsia"/>
                <w:b/>
                <w:bCs/>
                <w:color w:val="000000"/>
                <w:kern w:val="0"/>
                <w:sz w:val="24"/>
                <w:u w:val="single"/>
              </w:rPr>
              <w:t>项目与</w:t>
            </w:r>
            <w:r>
              <w:rPr>
                <w:rFonts w:hint="eastAsia"/>
                <w:b/>
                <w:bCs/>
                <w:sz w:val="24"/>
                <w:u w:val="single"/>
              </w:rPr>
              <w:t>塑料制品企业</w:t>
            </w:r>
            <w:r>
              <w:rPr>
                <w:b/>
                <w:bCs/>
                <w:sz w:val="24"/>
                <w:u w:val="single"/>
              </w:rPr>
              <w:t>绩效分级指标</w:t>
            </w:r>
            <w:r>
              <w:rPr>
                <w:rFonts w:hint="eastAsia"/>
                <w:b/>
                <w:bCs/>
                <w:color w:val="000000"/>
                <w:kern w:val="0"/>
                <w:sz w:val="24"/>
                <w:u w:val="single"/>
              </w:rPr>
              <w:t>相符性分析一览表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28" w:type="dxa"/>
                <w:bottom w:w="0" w:type="dxa"/>
                <w:right w:w="30" w:type="dxa"/>
              </w:tblCellMar>
            </w:tblPr>
            <w:tblGrid>
              <w:gridCol w:w="819"/>
              <w:gridCol w:w="4290"/>
              <w:gridCol w:w="1935"/>
              <w:gridCol w:w="101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rFonts w:hint="eastAsia"/>
                      <w:b/>
                      <w:bCs/>
                      <w:kern w:val="0"/>
                      <w:szCs w:val="21"/>
                      <w:u w:val="single"/>
                    </w:rPr>
                    <w:t>差异化</w:t>
                  </w:r>
                  <w:r>
                    <w:rPr>
                      <w:b/>
                      <w:bCs/>
                      <w:kern w:val="0"/>
                      <w:szCs w:val="21"/>
                      <w:u w:val="single"/>
                    </w:rPr>
                    <w:t>指标</w:t>
                  </w:r>
                </w:p>
              </w:tc>
              <w:tc>
                <w:tcPr>
                  <w:tcW w:w="4290"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塑料制品</w:t>
                  </w:r>
                  <w:r>
                    <w:rPr>
                      <w:rFonts w:hint="eastAsia"/>
                      <w:b/>
                      <w:bCs/>
                      <w:kern w:val="0"/>
                      <w:szCs w:val="21"/>
                      <w:u w:val="single"/>
                    </w:rPr>
                    <w:t>企业</w:t>
                  </w:r>
                  <w:r>
                    <w:rPr>
                      <w:rFonts w:hint="eastAsia"/>
                      <w:b/>
                      <w:bCs/>
                      <w:kern w:val="0"/>
                      <w:szCs w:val="21"/>
                      <w:u w:val="single"/>
                      <w:lang w:val="en-US" w:eastAsia="zh-CN"/>
                    </w:rPr>
                    <w:t>A</w:t>
                  </w:r>
                  <w:r>
                    <w:rPr>
                      <w:rFonts w:hint="eastAsia"/>
                      <w:b/>
                      <w:bCs/>
                      <w:kern w:val="0"/>
                      <w:szCs w:val="21"/>
                      <w:u w:val="single"/>
                    </w:rPr>
                    <w:t>级指标</w:t>
                  </w:r>
                </w:p>
              </w:tc>
              <w:tc>
                <w:tcPr>
                  <w:tcW w:w="1935" w:type="dxa"/>
                  <w:tcBorders>
                    <w:tl2br w:val="nil"/>
                    <w:tr2bl w:val="nil"/>
                  </w:tcBorders>
                  <w:vAlign w:val="center"/>
                </w:tcPr>
                <w:p>
                  <w:pPr>
                    <w:adjustRightInd w:val="0"/>
                    <w:snapToGrid w:val="0"/>
                    <w:spacing w:line="320" w:lineRule="exact"/>
                    <w:jc w:val="center"/>
                    <w:rPr>
                      <w:b/>
                      <w:bCs/>
                      <w:kern w:val="0"/>
                      <w:szCs w:val="21"/>
                      <w:u w:val="single"/>
                    </w:rPr>
                  </w:pPr>
                  <w:r>
                    <w:rPr>
                      <w:b/>
                      <w:bCs/>
                      <w:szCs w:val="21"/>
                      <w:u w:val="single"/>
                    </w:rPr>
                    <w:t>项目情况</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原料</w:t>
                  </w:r>
                  <w:r>
                    <w:rPr>
                      <w:rFonts w:hint="eastAsia"/>
                      <w:b/>
                      <w:bCs/>
                      <w:kern w:val="0"/>
                      <w:szCs w:val="21"/>
                      <w:u w:val="single"/>
                    </w:rPr>
                    <w:t>、</w:t>
                  </w:r>
                </w:p>
                <w:p>
                  <w:pPr>
                    <w:adjustRightInd w:val="0"/>
                    <w:snapToGrid w:val="0"/>
                    <w:spacing w:line="320" w:lineRule="exact"/>
                    <w:jc w:val="center"/>
                    <w:rPr>
                      <w:b/>
                      <w:bCs/>
                      <w:kern w:val="0"/>
                      <w:szCs w:val="21"/>
                      <w:u w:val="single"/>
                    </w:rPr>
                  </w:pPr>
                  <w:r>
                    <w:rPr>
                      <w:b/>
                      <w:bCs/>
                      <w:kern w:val="0"/>
                      <w:szCs w:val="21"/>
                      <w:u w:val="single"/>
                    </w:rPr>
                    <w:t>能源类型</w:t>
                  </w:r>
                </w:p>
              </w:tc>
              <w:tc>
                <w:tcPr>
                  <w:tcW w:w="4290" w:type="dxa"/>
                  <w:tcBorders>
                    <w:tl2br w:val="nil"/>
                    <w:tr2bl w:val="nil"/>
                  </w:tcBorders>
                  <w:vAlign w:val="center"/>
                </w:tcPr>
                <w:p>
                  <w:pPr>
                    <w:adjustRightInd w:val="0"/>
                    <w:snapToGrid w:val="0"/>
                    <w:spacing w:line="320" w:lineRule="exact"/>
                    <w:rPr>
                      <w:rFonts w:hint="eastAsia"/>
                      <w:b/>
                      <w:bCs/>
                      <w:szCs w:val="21"/>
                      <w:u w:val="single"/>
                    </w:rPr>
                  </w:pPr>
                  <w:r>
                    <w:rPr>
                      <w:rFonts w:hint="eastAsia"/>
                      <w:b/>
                      <w:bCs/>
                      <w:szCs w:val="21"/>
                      <w:u w:val="single"/>
                    </w:rPr>
                    <w:t>1.原料全部使用非再生料（即使用原包料，非废旧塑料）</w:t>
                  </w:r>
                  <w:r>
                    <w:rPr>
                      <w:rFonts w:hint="eastAsia"/>
                      <w:b/>
                      <w:bCs/>
                      <w:szCs w:val="21"/>
                      <w:u w:val="single"/>
                      <w:lang w:val="en-US" w:eastAsia="zh-CN"/>
                    </w:rPr>
                    <w:t>;</w:t>
                  </w:r>
                </w:p>
                <w:p>
                  <w:pPr>
                    <w:adjustRightInd w:val="0"/>
                    <w:snapToGrid w:val="0"/>
                    <w:spacing w:line="320" w:lineRule="exact"/>
                    <w:rPr>
                      <w:b/>
                      <w:bCs/>
                      <w:kern w:val="0"/>
                      <w:szCs w:val="21"/>
                      <w:u w:val="single"/>
                    </w:rPr>
                  </w:pPr>
                  <w:r>
                    <w:rPr>
                      <w:rFonts w:hint="eastAsia"/>
                      <w:b/>
                      <w:bCs/>
                      <w:szCs w:val="21"/>
                      <w:u w:val="single"/>
                    </w:rPr>
                    <w:t>2.能源使用电、天然气、液化石油气等能源。</w:t>
                  </w:r>
                </w:p>
              </w:tc>
              <w:tc>
                <w:tcPr>
                  <w:tcW w:w="1935" w:type="dxa"/>
                  <w:tcBorders>
                    <w:tl2br w:val="nil"/>
                    <w:tr2bl w:val="nil"/>
                  </w:tcBorders>
                  <w:vAlign w:val="center"/>
                </w:tcPr>
                <w:p>
                  <w:pPr>
                    <w:adjustRightInd w:val="0"/>
                    <w:snapToGrid w:val="0"/>
                    <w:spacing w:line="320" w:lineRule="exact"/>
                    <w:rPr>
                      <w:b/>
                      <w:bCs/>
                      <w:szCs w:val="21"/>
                      <w:u w:val="single"/>
                    </w:rPr>
                  </w:pPr>
                  <w:r>
                    <w:rPr>
                      <w:rFonts w:hint="eastAsia"/>
                      <w:b/>
                      <w:bCs/>
                      <w:szCs w:val="21"/>
                      <w:u w:val="single"/>
                    </w:rPr>
                    <w:t>项目</w:t>
                  </w:r>
                  <w:r>
                    <w:rPr>
                      <w:rFonts w:hint="eastAsia"/>
                      <w:b/>
                      <w:bCs/>
                      <w:szCs w:val="21"/>
                      <w:u w:val="single"/>
                      <w:lang w:val="en-US" w:eastAsia="zh-CN"/>
                    </w:rPr>
                    <w:t>所使用原料均为非再生料，</w:t>
                  </w:r>
                  <w:r>
                    <w:rPr>
                      <w:b/>
                      <w:bCs/>
                      <w:szCs w:val="21"/>
                      <w:u w:val="single"/>
                    </w:rPr>
                    <w:t>采用清洁能源电能。</w:t>
                  </w:r>
                </w:p>
              </w:tc>
              <w:tc>
                <w:tcPr>
                  <w:tcW w:w="1014" w:type="dxa"/>
                  <w:tcBorders>
                    <w:tl2br w:val="nil"/>
                    <w:tr2bl w:val="nil"/>
                  </w:tcBorders>
                  <w:vAlign w:val="center"/>
                </w:tcPr>
                <w:p>
                  <w:pPr>
                    <w:adjustRightInd w:val="0"/>
                    <w:snapToGrid w:val="0"/>
                    <w:spacing w:line="320" w:lineRule="exact"/>
                    <w:jc w:val="center"/>
                    <w:rPr>
                      <w:b/>
                      <w:bCs/>
                      <w:szCs w:val="21"/>
                      <w:u w:val="single"/>
                    </w:rPr>
                  </w:pPr>
                  <w:r>
                    <w:rPr>
                      <w:b/>
                      <w:bCs/>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rFonts w:hint="eastAsia"/>
                      <w:b/>
                      <w:bCs/>
                      <w:kern w:val="0"/>
                      <w:szCs w:val="21"/>
                      <w:u w:val="single"/>
                    </w:rPr>
                    <w:t>生产工艺就装备水平</w:t>
                  </w:r>
                </w:p>
              </w:tc>
              <w:tc>
                <w:tcPr>
                  <w:tcW w:w="4290" w:type="dxa"/>
                  <w:tcBorders>
                    <w:tl2br w:val="nil"/>
                    <w:tr2bl w:val="nil"/>
                  </w:tcBorders>
                  <w:vAlign w:val="center"/>
                </w:tcPr>
                <w:p>
                  <w:pPr>
                    <w:adjustRightInd w:val="0"/>
                    <w:snapToGrid w:val="0"/>
                    <w:spacing w:line="320" w:lineRule="exact"/>
                    <w:rPr>
                      <w:b/>
                      <w:bCs/>
                      <w:szCs w:val="21"/>
                      <w:u w:val="single"/>
                    </w:rPr>
                  </w:pPr>
                  <w:r>
                    <w:rPr>
                      <w:b/>
                      <w:bCs/>
                      <w:szCs w:val="21"/>
                      <w:u w:val="single"/>
                    </w:rPr>
                    <w:t>1.属于《产业结构调整指导目录（2019年版）》鼓励类和允许类；2.符合相关行业产业政策；3.符合河南省相关政策要求；4.符合市级规划。</w:t>
                  </w:r>
                </w:p>
              </w:tc>
              <w:tc>
                <w:tcPr>
                  <w:tcW w:w="1935" w:type="dxa"/>
                  <w:tcBorders>
                    <w:tl2br w:val="nil"/>
                    <w:tr2bl w:val="nil"/>
                  </w:tcBorders>
                  <w:vAlign w:val="center"/>
                </w:tcPr>
                <w:p>
                  <w:pPr>
                    <w:adjustRightInd w:val="0"/>
                    <w:snapToGrid w:val="0"/>
                    <w:spacing w:line="320" w:lineRule="exact"/>
                    <w:rPr>
                      <w:b/>
                      <w:bCs/>
                      <w:szCs w:val="21"/>
                      <w:u w:val="single"/>
                    </w:rPr>
                  </w:pPr>
                  <w:r>
                    <w:rPr>
                      <w:rFonts w:hint="eastAsia"/>
                      <w:b/>
                      <w:bCs/>
                      <w:szCs w:val="21"/>
                      <w:u w:val="single"/>
                    </w:rPr>
                    <w:t>项目属于允许类，符合产业政策及规划。</w:t>
                  </w:r>
                </w:p>
              </w:tc>
              <w:tc>
                <w:tcPr>
                  <w:tcW w:w="1014" w:type="dxa"/>
                  <w:tcBorders>
                    <w:tl2br w:val="nil"/>
                    <w:tr2bl w:val="nil"/>
                  </w:tcBorders>
                  <w:vAlign w:val="center"/>
                </w:tcPr>
                <w:p>
                  <w:pPr>
                    <w:adjustRightInd w:val="0"/>
                    <w:snapToGrid w:val="0"/>
                    <w:spacing w:line="320" w:lineRule="exact"/>
                    <w:jc w:val="center"/>
                    <w:rPr>
                      <w:b/>
                      <w:bCs/>
                      <w:szCs w:val="21"/>
                      <w:u w:val="single"/>
                    </w:rPr>
                  </w:pPr>
                  <w:r>
                    <w:rPr>
                      <w:rFonts w:hint="eastAsia"/>
                      <w:b/>
                      <w:bCs/>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废气收集及</w:t>
                  </w:r>
                </w:p>
                <w:p>
                  <w:pPr>
                    <w:adjustRightInd w:val="0"/>
                    <w:snapToGrid w:val="0"/>
                    <w:spacing w:line="320" w:lineRule="exact"/>
                    <w:jc w:val="center"/>
                    <w:rPr>
                      <w:b/>
                      <w:bCs/>
                      <w:kern w:val="0"/>
                      <w:szCs w:val="21"/>
                      <w:u w:val="single"/>
                    </w:rPr>
                  </w:pPr>
                  <w:r>
                    <w:rPr>
                      <w:b/>
                      <w:bCs/>
                      <w:kern w:val="0"/>
                      <w:szCs w:val="21"/>
                      <w:u w:val="single"/>
                    </w:rPr>
                    <w:t>处理工艺</w:t>
                  </w:r>
                </w:p>
              </w:tc>
              <w:tc>
                <w:tcPr>
                  <w:tcW w:w="4290" w:type="dxa"/>
                  <w:tcBorders>
                    <w:tl2br w:val="nil"/>
                    <w:tr2bl w:val="nil"/>
                  </w:tcBorders>
                  <w:vAlign w:val="center"/>
                </w:tcPr>
                <w:p>
                  <w:pPr>
                    <w:adjustRightInd w:val="0"/>
                    <w:snapToGrid w:val="0"/>
                    <w:spacing w:line="320" w:lineRule="exact"/>
                    <w:rPr>
                      <w:b/>
                      <w:bCs/>
                      <w:kern w:val="0"/>
                      <w:szCs w:val="21"/>
                      <w:u w:val="single"/>
                    </w:rPr>
                  </w:pPr>
                  <w:r>
                    <w:rPr>
                      <w:b/>
                      <w:bCs/>
                      <w:kern w:val="0"/>
                      <w:szCs w:val="21"/>
                      <w:u w:val="single"/>
                    </w:rPr>
                    <w:t>1.投料、挤塑、注塑、滚塑、吹塑、压延、挤出、造粒、热定型、冷却、发泡、熟化、干燥等涉VOCs工序采用密闭设备或在密闭空间内操作，车间废气得到有效收集，车间外无异味；对于采用局部集气罩的，距集气罩开口面最远处的VOCs无组织排放位置，控制风速不低于0.3米/秒；</w:t>
                  </w:r>
                </w:p>
                <w:p>
                  <w:pPr>
                    <w:adjustRightInd w:val="0"/>
                    <w:snapToGrid w:val="0"/>
                    <w:spacing w:line="320" w:lineRule="exact"/>
                    <w:rPr>
                      <w:b/>
                      <w:bCs/>
                      <w:kern w:val="0"/>
                      <w:szCs w:val="21"/>
                      <w:u w:val="single"/>
                    </w:rPr>
                  </w:pPr>
                  <w:r>
                    <w:rPr>
                      <w:b/>
                      <w:bCs/>
                      <w:kern w:val="0"/>
                      <w:szCs w:val="21"/>
                      <w:u w:val="single"/>
                    </w:rPr>
                    <w:t>2.VOCs治理采用燃烧工艺（包括直接燃烧、催化燃烧和蓄热燃烧），或静电、吸附、低温等离子、生物法等两级及以上组合工艺处理（采用一次性活性炭吸附的，活性炭碘值在 800mg/g 及以上）；</w:t>
                  </w:r>
                </w:p>
                <w:p>
                  <w:pPr>
                    <w:keepNext w:val="0"/>
                    <w:keepLines w:val="0"/>
                    <w:widowControl/>
                    <w:suppressLineNumbers w:val="0"/>
                    <w:spacing w:line="320" w:lineRule="exact"/>
                    <w:jc w:val="left"/>
                    <w:rPr>
                      <w:b/>
                      <w:bCs/>
                      <w:u w:val="single"/>
                    </w:rPr>
                  </w:pPr>
                  <w:r>
                    <w:rPr>
                      <w:b/>
                      <w:bCs/>
                      <w:kern w:val="0"/>
                      <w:szCs w:val="21"/>
                      <w:u w:val="single"/>
                    </w:rPr>
                    <w:t>3.</w:t>
                  </w:r>
                  <w:r>
                    <w:rPr>
                      <w:rFonts w:hint="eastAsia" w:ascii="宋体" w:hAnsi="宋体" w:eastAsia="宋体" w:cs="宋体"/>
                      <w:b/>
                      <w:bCs/>
                      <w:color w:val="000000"/>
                      <w:kern w:val="0"/>
                      <w:sz w:val="21"/>
                      <w:szCs w:val="21"/>
                      <w:u w:val="single"/>
                      <w:lang w:val="en-US" w:eastAsia="zh-CN" w:bidi="ar"/>
                    </w:rPr>
                    <w:t>粉状、粒状物料采用自动投料器投加和配混，投加和混配工序在封闭车间内进行，</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 xml:space="preserve">有效收集，采用覆膜滤袋、滤筒等高效除尘技术； </w:t>
                  </w:r>
                </w:p>
                <w:p>
                  <w:pPr>
                    <w:adjustRightInd w:val="0"/>
                    <w:snapToGrid w:val="0"/>
                    <w:spacing w:line="320" w:lineRule="exact"/>
                    <w:rPr>
                      <w:b/>
                      <w:bCs/>
                      <w:kern w:val="0"/>
                      <w:szCs w:val="21"/>
                      <w:u w:val="single"/>
                    </w:rPr>
                  </w:pPr>
                  <w:r>
                    <w:rPr>
                      <w:b/>
                      <w:bCs/>
                      <w:kern w:val="0"/>
                      <w:szCs w:val="21"/>
                      <w:u w:val="single"/>
                    </w:rPr>
                    <w:t>4.废吸附剂应密闭的包装袋或容器储存、转运，并建立储存、处置台账；</w:t>
                  </w:r>
                </w:p>
                <w:p>
                  <w:pPr>
                    <w:adjustRightInd w:val="0"/>
                    <w:snapToGrid w:val="0"/>
                    <w:spacing w:line="320" w:lineRule="exact"/>
                    <w:rPr>
                      <w:b/>
                      <w:bCs/>
                      <w:kern w:val="0"/>
                      <w:szCs w:val="21"/>
                      <w:u w:val="single"/>
                    </w:rPr>
                  </w:pPr>
                  <w:r>
                    <w:rPr>
                      <w:b/>
                      <w:bCs/>
                      <w:kern w:val="0"/>
                      <w:szCs w:val="21"/>
                      <w:u w:val="single"/>
                    </w:rPr>
                    <w:t>5.NOx治理采用低氮燃烧、SNCR/SCR 等适宜技术。</w:t>
                  </w:r>
                </w:p>
              </w:tc>
              <w:tc>
                <w:tcPr>
                  <w:tcW w:w="1935" w:type="dxa"/>
                  <w:tcBorders>
                    <w:tl2br w:val="nil"/>
                    <w:tr2bl w:val="nil"/>
                  </w:tcBorders>
                  <w:vAlign w:val="center"/>
                </w:tcPr>
                <w:p>
                  <w:pPr>
                    <w:adjustRightInd w:val="0"/>
                    <w:snapToGrid w:val="0"/>
                    <w:spacing w:line="320" w:lineRule="exact"/>
                    <w:rPr>
                      <w:b/>
                      <w:bCs/>
                      <w:kern w:val="0"/>
                      <w:szCs w:val="21"/>
                      <w:u w:val="single"/>
                    </w:rPr>
                  </w:pPr>
                  <w:r>
                    <w:rPr>
                      <w:rFonts w:hint="eastAsia"/>
                      <w:b/>
                      <w:bCs/>
                      <w:kern w:val="0"/>
                      <w:szCs w:val="21"/>
                      <w:u w:val="single"/>
                    </w:rPr>
                    <w:t>本项目</w:t>
                  </w:r>
                  <w:r>
                    <w:rPr>
                      <w:rFonts w:hint="eastAsia"/>
                      <w:b/>
                      <w:bCs/>
                      <w:kern w:val="0"/>
                      <w:szCs w:val="21"/>
                      <w:u w:val="single"/>
                      <w:lang w:val="en-US" w:eastAsia="zh-CN"/>
                    </w:rPr>
                    <w:t>发泡、过胶、热压工序</w:t>
                  </w:r>
                  <w:r>
                    <w:rPr>
                      <w:rFonts w:hint="eastAsia"/>
                      <w:b/>
                      <w:bCs/>
                      <w:snapToGrid w:val="0"/>
                      <w:szCs w:val="21"/>
                      <w:u w:val="single"/>
                    </w:rPr>
                    <w:t>进行二次密闭</w:t>
                  </w:r>
                  <w:r>
                    <w:rPr>
                      <w:rFonts w:hint="eastAsia"/>
                      <w:b/>
                      <w:bCs/>
                      <w:kern w:val="0"/>
                      <w:szCs w:val="21"/>
                      <w:u w:val="single"/>
                    </w:rPr>
                    <w:t>，处理措施</w:t>
                  </w:r>
                  <w:r>
                    <w:rPr>
                      <w:b/>
                      <w:bCs/>
                      <w:kern w:val="0"/>
                      <w:szCs w:val="21"/>
                      <w:u w:val="single"/>
                    </w:rPr>
                    <w:t>采用</w:t>
                  </w:r>
                  <w:r>
                    <w:rPr>
                      <w:b/>
                      <w:bCs/>
                      <w:szCs w:val="21"/>
                      <w:u w:val="single"/>
                    </w:rPr>
                    <w:t>“UV光氧</w:t>
                  </w:r>
                  <w:r>
                    <w:rPr>
                      <w:rFonts w:hint="eastAsia"/>
                      <w:b/>
                      <w:bCs/>
                      <w:szCs w:val="21"/>
                      <w:u w:val="single"/>
                    </w:rPr>
                    <w:t>催化</w:t>
                  </w:r>
                  <w:r>
                    <w:rPr>
                      <w:b/>
                      <w:bCs/>
                      <w:szCs w:val="21"/>
                      <w:u w:val="single"/>
                    </w:rPr>
                    <w:t>+活性炭吸附”</w:t>
                  </w:r>
                  <w:r>
                    <w:rPr>
                      <w:rFonts w:hint="eastAsia"/>
                      <w:b/>
                      <w:bCs/>
                      <w:szCs w:val="21"/>
                      <w:u w:val="single"/>
                    </w:rPr>
                    <w:t>可满足要求</w:t>
                  </w:r>
                  <w:r>
                    <w:rPr>
                      <w:b/>
                      <w:bCs/>
                      <w:szCs w:val="21"/>
                      <w:u w:val="single"/>
                    </w:rPr>
                    <w:t>；</w:t>
                  </w:r>
                  <w:r>
                    <w:rPr>
                      <w:rFonts w:hint="eastAsia"/>
                      <w:b/>
                      <w:bCs/>
                      <w:szCs w:val="21"/>
                      <w:u w:val="single"/>
                      <w:lang w:val="en-US" w:eastAsia="zh-CN"/>
                    </w:rPr>
                    <w:t>原料投加过程在封闭车间内进行，均为较大直径粒状物料，无PM产生。</w:t>
                  </w:r>
                  <w:r>
                    <w:rPr>
                      <w:b/>
                      <w:bCs/>
                      <w:szCs w:val="21"/>
                      <w:u w:val="single"/>
                    </w:rPr>
                    <w:t>废活性炭等在危废暂存间密闭暂存</w:t>
                  </w:r>
                  <w:r>
                    <w:rPr>
                      <w:rFonts w:hint="eastAsia"/>
                      <w:b/>
                      <w:bCs/>
                      <w:szCs w:val="21"/>
                      <w:u w:val="single"/>
                    </w:rPr>
                    <w:t>，储存、处置及台严格账按照相关要求进行；项目不涉及</w:t>
                  </w:r>
                  <w:r>
                    <w:rPr>
                      <w:b/>
                      <w:bCs/>
                      <w:kern w:val="0"/>
                      <w:szCs w:val="21"/>
                      <w:u w:val="single"/>
                    </w:rPr>
                    <w:t>NOx</w:t>
                  </w:r>
                  <w:r>
                    <w:rPr>
                      <w:b/>
                      <w:bCs/>
                      <w:szCs w:val="21"/>
                      <w:u w:val="single"/>
                    </w:rPr>
                    <w:t>。</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无组织管控</w:t>
                  </w:r>
                </w:p>
              </w:tc>
              <w:tc>
                <w:tcPr>
                  <w:tcW w:w="4290" w:type="dxa"/>
                  <w:tcBorders>
                    <w:tl2br w:val="nil"/>
                    <w:tr2bl w:val="nil"/>
                  </w:tcBorders>
                  <w:vAlign w:val="center"/>
                </w:tcPr>
                <w:p>
                  <w:pPr>
                    <w:adjustRightInd w:val="0"/>
                    <w:snapToGrid w:val="0"/>
                    <w:spacing w:line="320" w:lineRule="exact"/>
                    <w:rPr>
                      <w:b/>
                      <w:bCs/>
                      <w:kern w:val="0"/>
                      <w:szCs w:val="21"/>
                      <w:u w:val="single"/>
                    </w:rPr>
                  </w:pPr>
                  <w:r>
                    <w:rPr>
                      <w:b/>
                      <w:bCs/>
                      <w:kern w:val="0"/>
                      <w:szCs w:val="21"/>
                      <w:u w:val="single"/>
                    </w:rPr>
                    <w:t>1.VOCs物料存储于密闭的容器、包装袋、储罐、储库、料仓中；盛装VOCs物料的容器或包装袋存放于室内；盛装VOCs物料的容器或包装袋在非取用状态时应加盖、封口，保持密闭；</w:t>
                  </w:r>
                </w:p>
                <w:p>
                  <w:pPr>
                    <w:adjustRightInd w:val="0"/>
                    <w:snapToGrid w:val="0"/>
                    <w:spacing w:line="320" w:lineRule="exact"/>
                    <w:rPr>
                      <w:b/>
                      <w:bCs/>
                      <w:kern w:val="0"/>
                      <w:szCs w:val="21"/>
                      <w:u w:val="single"/>
                    </w:rPr>
                  </w:pPr>
                  <w:r>
                    <w:rPr>
                      <w:b/>
                      <w:bCs/>
                      <w:kern w:val="0"/>
                      <w:szCs w:val="21"/>
                      <w:u w:val="single"/>
                    </w:rPr>
                    <w:t>2.</w:t>
                  </w:r>
                  <w:r>
                    <w:rPr>
                      <w:rFonts w:hint="eastAsia"/>
                      <w:b/>
                      <w:bCs/>
                      <w:kern w:val="0"/>
                      <w:szCs w:val="21"/>
                      <w:u w:val="single"/>
                      <w:lang w:val="en-US" w:eastAsia="zh-CN"/>
                    </w:rPr>
                    <w:t>粉状物料采用气力输送、管状带式输送机、螺旋输送机等自动化、密闭输送方式；粒状物料采用封闭皮带等自动化、封闭输送方式；液态</w:t>
                  </w:r>
                  <w:r>
                    <w:rPr>
                      <w:rFonts w:hint="default"/>
                      <w:b/>
                      <w:bCs/>
                      <w:kern w:val="0"/>
                      <w:szCs w:val="21"/>
                      <w:u w:val="single"/>
                      <w:lang w:val="en-US" w:eastAsia="zh-CN"/>
                    </w:rPr>
                    <w:t>VOCs</w:t>
                  </w:r>
                  <w:r>
                    <w:rPr>
                      <w:rFonts w:hint="eastAsia"/>
                      <w:b/>
                      <w:bCs/>
                      <w:kern w:val="0"/>
                      <w:szCs w:val="21"/>
                      <w:u w:val="single"/>
                      <w:lang w:val="en-US" w:eastAsia="zh-CN"/>
                    </w:rPr>
                    <w:t xml:space="preserve">物料采用密闭管道输送； </w:t>
                  </w:r>
                </w:p>
                <w:p>
                  <w:pPr>
                    <w:adjustRightInd w:val="0"/>
                    <w:snapToGrid w:val="0"/>
                    <w:spacing w:line="320" w:lineRule="exact"/>
                    <w:rPr>
                      <w:b/>
                      <w:bCs/>
                      <w:kern w:val="0"/>
                      <w:szCs w:val="21"/>
                      <w:u w:val="single"/>
                    </w:rPr>
                  </w:pPr>
                  <w:r>
                    <w:rPr>
                      <w:b/>
                      <w:bCs/>
                      <w:kern w:val="0"/>
                      <w:szCs w:val="21"/>
                      <w:u w:val="single"/>
                    </w:rPr>
                    <w:t>3.产生VOCs的生产工序和装置应设置有效集气装置并引至VOCs末端处理设施；</w:t>
                  </w:r>
                </w:p>
                <w:p>
                  <w:pPr>
                    <w:adjustRightInd w:val="0"/>
                    <w:snapToGrid w:val="0"/>
                    <w:spacing w:line="320" w:lineRule="exact"/>
                    <w:rPr>
                      <w:b/>
                      <w:bCs/>
                      <w:kern w:val="0"/>
                      <w:szCs w:val="21"/>
                      <w:u w:val="single"/>
                    </w:rPr>
                  </w:pPr>
                  <w:r>
                    <w:rPr>
                      <w:b/>
                      <w:bCs/>
                      <w:kern w:val="0"/>
                      <w:szCs w:val="21"/>
                      <w:u w:val="single"/>
                    </w:rPr>
                    <w:t>4.厂区道路及车间地面硬化，车间地面、墙壁、设备顶部整洁无积尘；厂内地面全部硬化或绿化，无成片裸露土地</w:t>
                  </w:r>
                  <w:r>
                    <w:rPr>
                      <w:rFonts w:hint="eastAsia"/>
                      <w:b/>
                      <w:bCs/>
                      <w:kern w:val="0"/>
                      <w:szCs w:val="21"/>
                      <w:u w:val="single"/>
                    </w:rPr>
                    <w:t>。</w:t>
                  </w:r>
                </w:p>
              </w:tc>
              <w:tc>
                <w:tcPr>
                  <w:tcW w:w="1935" w:type="dxa"/>
                  <w:tcBorders>
                    <w:tl2br w:val="nil"/>
                    <w:tr2bl w:val="nil"/>
                  </w:tcBorders>
                  <w:vAlign w:val="center"/>
                </w:tcPr>
                <w:p>
                  <w:pPr>
                    <w:adjustRightInd w:val="0"/>
                    <w:snapToGrid w:val="0"/>
                    <w:spacing w:line="320" w:lineRule="exact"/>
                    <w:rPr>
                      <w:b/>
                      <w:bCs/>
                      <w:kern w:val="0"/>
                      <w:szCs w:val="21"/>
                      <w:u w:val="single"/>
                    </w:rPr>
                  </w:pPr>
                  <w:r>
                    <w:rPr>
                      <w:rFonts w:hint="eastAsia"/>
                      <w:b/>
                      <w:bCs/>
                      <w:kern w:val="0"/>
                      <w:szCs w:val="21"/>
                      <w:u w:val="single"/>
                    </w:rPr>
                    <w:t>本项目生产所使用原料均以袋装形式存放于密闭车间原料区；</w:t>
                  </w:r>
                  <w:r>
                    <w:rPr>
                      <w:rFonts w:hint="eastAsia"/>
                      <w:b/>
                      <w:bCs/>
                      <w:kern w:val="0"/>
                      <w:szCs w:val="21"/>
                      <w:u w:val="single"/>
                      <w:lang w:val="en-US" w:eastAsia="zh-CN"/>
                    </w:rPr>
                    <w:t>原料为粒状物料；</w:t>
                  </w:r>
                  <w:r>
                    <w:rPr>
                      <w:rFonts w:hint="eastAsia"/>
                      <w:b/>
                      <w:bCs/>
                      <w:kern w:val="0"/>
                      <w:szCs w:val="21"/>
                      <w:u w:val="single"/>
                    </w:rPr>
                    <w:t>产生VOCs工序</w:t>
                  </w:r>
                  <w:r>
                    <w:rPr>
                      <w:rFonts w:hint="eastAsia"/>
                      <w:b/>
                      <w:bCs/>
                      <w:kern w:val="0"/>
                      <w:szCs w:val="21"/>
                      <w:u w:val="single"/>
                      <w:lang w:val="en-US" w:eastAsia="zh-CN"/>
                    </w:rPr>
                    <w:t>进行二次密闭</w:t>
                  </w:r>
                  <w:r>
                    <w:rPr>
                      <w:rFonts w:hint="eastAsia"/>
                      <w:b/>
                      <w:bCs/>
                      <w:kern w:val="0"/>
                      <w:szCs w:val="21"/>
                      <w:u w:val="single"/>
                    </w:rPr>
                    <w:t>，收集处理措施</w:t>
                  </w:r>
                  <w:r>
                    <w:rPr>
                      <w:b/>
                      <w:bCs/>
                      <w:kern w:val="0"/>
                      <w:szCs w:val="21"/>
                      <w:u w:val="single"/>
                    </w:rPr>
                    <w:t>采用</w:t>
                  </w:r>
                  <w:r>
                    <w:rPr>
                      <w:b/>
                      <w:bCs/>
                      <w:szCs w:val="21"/>
                      <w:u w:val="single"/>
                    </w:rPr>
                    <w:t>“UV光氧</w:t>
                  </w:r>
                  <w:r>
                    <w:rPr>
                      <w:rFonts w:hint="eastAsia"/>
                      <w:b/>
                      <w:bCs/>
                      <w:szCs w:val="21"/>
                      <w:u w:val="single"/>
                    </w:rPr>
                    <w:t>催化</w:t>
                  </w:r>
                  <w:r>
                    <w:rPr>
                      <w:b/>
                      <w:bCs/>
                      <w:szCs w:val="21"/>
                      <w:u w:val="single"/>
                    </w:rPr>
                    <w:t>+活性炭吸附”</w:t>
                  </w:r>
                  <w:r>
                    <w:rPr>
                      <w:rFonts w:hint="eastAsia"/>
                      <w:b/>
                      <w:bCs/>
                      <w:szCs w:val="21"/>
                      <w:u w:val="single"/>
                    </w:rPr>
                    <w:t>可满足要求</w:t>
                  </w:r>
                  <w:r>
                    <w:rPr>
                      <w:b/>
                      <w:bCs/>
                      <w:szCs w:val="21"/>
                      <w:u w:val="single"/>
                    </w:rPr>
                    <w:t>；</w:t>
                  </w:r>
                  <w:r>
                    <w:rPr>
                      <w:b/>
                      <w:bCs/>
                      <w:kern w:val="0"/>
                      <w:szCs w:val="21"/>
                      <w:u w:val="single"/>
                    </w:rPr>
                    <w:t>车间地面硬化，车间地面、墙壁、设备顶部整洁无积尘</w:t>
                  </w:r>
                  <w:r>
                    <w:rPr>
                      <w:rFonts w:hint="eastAsia"/>
                      <w:b/>
                      <w:bCs/>
                      <w:kern w:val="0"/>
                      <w:szCs w:val="21"/>
                      <w:u w:val="single"/>
                    </w:rPr>
                    <w:t>等。</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rFonts w:hint="eastAsia"/>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b/>
                      <w:bCs/>
                      <w:szCs w:val="21"/>
                      <w:u w:val="single"/>
                    </w:rPr>
                    <w:t>排放限值</w:t>
                  </w:r>
                </w:p>
              </w:tc>
              <w:tc>
                <w:tcPr>
                  <w:tcW w:w="4290" w:type="dxa"/>
                  <w:tcBorders>
                    <w:tl2br w:val="nil"/>
                    <w:tr2bl w:val="nil"/>
                  </w:tcBorders>
                  <w:vAlign w:val="center"/>
                </w:tcPr>
                <w:p>
                  <w:pPr>
                    <w:adjustRightInd w:val="0"/>
                    <w:snapToGrid w:val="0"/>
                    <w:spacing w:line="320" w:lineRule="exact"/>
                    <w:rPr>
                      <w:b/>
                      <w:bCs/>
                      <w:kern w:val="0"/>
                      <w:szCs w:val="21"/>
                      <w:u w:val="single"/>
                    </w:rPr>
                  </w:pPr>
                  <w:r>
                    <w:rPr>
                      <w:b/>
                      <w:bCs/>
                      <w:kern w:val="0"/>
                      <w:szCs w:val="21"/>
                      <w:u w:val="single"/>
                    </w:rPr>
                    <w:t>1.全厂有组织PM、NMHC有组织排放浓度分别不高于10、</w:t>
                  </w:r>
                  <w:r>
                    <w:rPr>
                      <w:rFonts w:hint="eastAsia"/>
                      <w:b/>
                      <w:bCs/>
                      <w:kern w:val="0"/>
                      <w:szCs w:val="21"/>
                      <w:u w:val="single"/>
                      <w:lang w:val="en-US" w:eastAsia="zh-CN"/>
                    </w:rPr>
                    <w:t>10</w:t>
                  </w:r>
                  <w:r>
                    <w:rPr>
                      <w:b/>
                      <w:bCs/>
                      <w:kern w:val="0"/>
                      <w:szCs w:val="21"/>
                      <w:u w:val="single"/>
                    </w:rPr>
                    <w:t>mg/m</w:t>
                  </w:r>
                  <w:r>
                    <w:rPr>
                      <w:b/>
                      <w:bCs/>
                      <w:kern w:val="0"/>
                      <w:szCs w:val="21"/>
                      <w:u w:val="single"/>
                      <w:vertAlign w:val="superscript"/>
                    </w:rPr>
                    <w:t>3</w:t>
                  </w:r>
                  <w:r>
                    <w:rPr>
                      <w:b/>
                      <w:bCs/>
                      <w:kern w:val="0"/>
                      <w:szCs w:val="21"/>
                      <w:u w:val="single"/>
                    </w:rPr>
                    <w:t>；</w:t>
                  </w:r>
                </w:p>
                <w:p>
                  <w:pPr>
                    <w:adjustRightInd w:val="0"/>
                    <w:snapToGrid w:val="0"/>
                    <w:spacing w:line="320" w:lineRule="exact"/>
                    <w:rPr>
                      <w:b/>
                      <w:bCs/>
                      <w:kern w:val="0"/>
                      <w:szCs w:val="21"/>
                      <w:u w:val="single"/>
                    </w:rPr>
                  </w:pPr>
                  <w:r>
                    <w:rPr>
                      <w:b/>
                      <w:bCs/>
                      <w:kern w:val="0"/>
                      <w:szCs w:val="21"/>
                      <w:u w:val="single"/>
                    </w:rPr>
                    <w:t>2.VOCs治理设施同步运行率和去除率分别达到100%和80%；去除率确实达不到的，生产车间或生产设备的无组织排放监控点NMHC浓度低于4mg/m³，企业边界1h NMHC平均浓度低于2mg/m³；</w:t>
                  </w:r>
                </w:p>
                <w:p>
                  <w:pPr>
                    <w:adjustRightInd w:val="0"/>
                    <w:snapToGrid w:val="0"/>
                    <w:spacing w:line="320" w:lineRule="exact"/>
                    <w:rPr>
                      <w:b/>
                      <w:bCs/>
                      <w:kern w:val="0"/>
                      <w:szCs w:val="21"/>
                      <w:u w:val="single"/>
                    </w:rPr>
                  </w:pPr>
                  <w:r>
                    <w:rPr>
                      <w:b/>
                      <w:bCs/>
                      <w:kern w:val="0"/>
                      <w:szCs w:val="21"/>
                      <w:u w:val="single"/>
                    </w:rPr>
                    <w:t>3.锅炉烟气排放限值要求：</w:t>
                  </w:r>
                </w:p>
                <w:p>
                  <w:pPr>
                    <w:adjustRightInd w:val="0"/>
                    <w:snapToGrid w:val="0"/>
                    <w:spacing w:line="320" w:lineRule="exact"/>
                    <w:rPr>
                      <w:b/>
                      <w:bCs/>
                      <w:kern w:val="0"/>
                      <w:szCs w:val="21"/>
                      <w:u w:val="single"/>
                    </w:rPr>
                  </w:pPr>
                  <w:r>
                    <w:rPr>
                      <w:rFonts w:hint="eastAsia"/>
                      <w:b/>
                      <w:bCs/>
                      <w:kern w:val="0"/>
                      <w:szCs w:val="21"/>
                      <w:u w:val="single"/>
                    </w:rPr>
                    <w:t>燃气</w:t>
                  </w:r>
                  <w:r>
                    <w:rPr>
                      <w:b/>
                      <w:bCs/>
                      <w:kern w:val="0"/>
                      <w:szCs w:val="21"/>
                      <w:u w:val="single"/>
                    </w:rPr>
                    <w:t>锅炉PM、SO</w:t>
                  </w:r>
                  <w:r>
                    <w:rPr>
                      <w:b/>
                      <w:bCs/>
                      <w:kern w:val="0"/>
                      <w:szCs w:val="21"/>
                      <w:u w:val="single"/>
                      <w:vertAlign w:val="subscript"/>
                    </w:rPr>
                    <w:t>2</w:t>
                  </w:r>
                  <w:r>
                    <w:rPr>
                      <w:b/>
                      <w:bCs/>
                      <w:kern w:val="0"/>
                      <w:szCs w:val="21"/>
                      <w:u w:val="single"/>
                    </w:rPr>
                    <w:t>、NO</w:t>
                  </w:r>
                  <w:r>
                    <w:rPr>
                      <w:b/>
                      <w:bCs/>
                      <w:kern w:val="0"/>
                      <w:szCs w:val="21"/>
                      <w:u w:val="single"/>
                      <w:vertAlign w:val="subscript"/>
                    </w:rPr>
                    <w:t>x</w:t>
                  </w:r>
                  <w:r>
                    <w:rPr>
                      <w:b/>
                      <w:bCs/>
                      <w:kern w:val="0"/>
                      <w:szCs w:val="21"/>
                      <w:u w:val="single"/>
                    </w:rPr>
                    <w:t>排放浓度不超过5、10、</w:t>
                  </w:r>
                  <w:r>
                    <w:rPr>
                      <w:rFonts w:hint="eastAsia"/>
                      <w:b/>
                      <w:bCs/>
                      <w:kern w:val="0"/>
                      <w:szCs w:val="21"/>
                      <w:u w:val="single"/>
                    </w:rPr>
                    <w:t>50/</w:t>
                  </w:r>
                  <w:r>
                    <w:rPr>
                      <w:b/>
                      <w:bCs/>
                      <w:kern w:val="0"/>
                      <w:szCs w:val="21"/>
                      <w:u w:val="single"/>
                    </w:rPr>
                    <w:t>30mg/m</w:t>
                  </w:r>
                  <w:r>
                    <w:rPr>
                      <w:b/>
                      <w:bCs/>
                      <w:kern w:val="0"/>
                      <w:szCs w:val="21"/>
                      <w:u w:val="single"/>
                      <w:vertAlign w:val="superscript"/>
                    </w:rPr>
                    <w:t>3</w:t>
                  </w:r>
                  <w:r>
                    <w:rPr>
                      <w:rFonts w:hint="eastAsia"/>
                      <w:b/>
                      <w:bCs/>
                      <w:kern w:val="0"/>
                      <w:szCs w:val="21"/>
                      <w:u w:val="single"/>
                    </w:rPr>
                    <w:t>（新建燃气锅炉和需要采取特别保护措施的区域，执行30排放限值。）</w:t>
                  </w:r>
                  <w:r>
                    <w:rPr>
                      <w:b/>
                      <w:bCs/>
                      <w:kern w:val="0"/>
                      <w:szCs w:val="21"/>
                      <w:u w:val="single"/>
                    </w:rPr>
                    <w:t>。</w:t>
                  </w:r>
                </w:p>
              </w:tc>
              <w:tc>
                <w:tcPr>
                  <w:tcW w:w="1935" w:type="dxa"/>
                  <w:tcBorders>
                    <w:tl2br w:val="nil"/>
                    <w:tr2bl w:val="nil"/>
                  </w:tcBorders>
                  <w:vAlign w:val="center"/>
                </w:tcPr>
                <w:p>
                  <w:pPr>
                    <w:adjustRightInd w:val="0"/>
                    <w:snapToGrid w:val="0"/>
                    <w:spacing w:line="320" w:lineRule="exact"/>
                    <w:jc w:val="both"/>
                    <w:rPr>
                      <w:b/>
                      <w:bCs/>
                      <w:kern w:val="0"/>
                      <w:szCs w:val="21"/>
                      <w:u w:val="single"/>
                    </w:rPr>
                  </w:pPr>
                  <w:r>
                    <w:rPr>
                      <w:b/>
                      <w:bCs/>
                      <w:kern w:val="0"/>
                      <w:szCs w:val="21"/>
                      <w:u w:val="single"/>
                    </w:rPr>
                    <w:t>根据工程分析，项目</w:t>
                  </w:r>
                  <w:r>
                    <w:rPr>
                      <w:rFonts w:hint="eastAsia"/>
                      <w:b/>
                      <w:bCs/>
                      <w:kern w:val="0"/>
                      <w:szCs w:val="21"/>
                      <w:u w:val="single"/>
                      <w:lang w:val="en-US" w:eastAsia="zh-CN"/>
                    </w:rPr>
                    <w:t>发泡、过胶、热压工序</w:t>
                  </w:r>
                  <w:r>
                    <w:rPr>
                      <w:b/>
                      <w:bCs/>
                      <w:kern w:val="0"/>
                      <w:szCs w:val="21"/>
                      <w:u w:val="single"/>
                    </w:rPr>
                    <w:t>NMHC有组织</w:t>
                  </w:r>
                  <w:r>
                    <w:rPr>
                      <w:b/>
                      <w:bCs/>
                      <w:szCs w:val="21"/>
                      <w:u w:val="single"/>
                    </w:rPr>
                    <w:t>排放</w:t>
                  </w:r>
                  <w:r>
                    <w:rPr>
                      <w:rFonts w:hint="eastAsia"/>
                      <w:b/>
                      <w:bCs/>
                      <w:szCs w:val="21"/>
                      <w:u w:val="single"/>
                      <w:lang w:val="en-US" w:eastAsia="zh-CN"/>
                    </w:rPr>
                    <w:t>浓度为2.66</w:t>
                  </w:r>
                  <w:r>
                    <w:rPr>
                      <w:b/>
                      <w:bCs/>
                      <w:kern w:val="0"/>
                      <w:szCs w:val="21"/>
                      <w:u w:val="single"/>
                    </w:rPr>
                    <w:t>mg/m</w:t>
                  </w:r>
                  <w:r>
                    <w:rPr>
                      <w:b/>
                      <w:bCs/>
                      <w:kern w:val="0"/>
                      <w:szCs w:val="21"/>
                      <w:u w:val="single"/>
                      <w:vertAlign w:val="superscript"/>
                    </w:rPr>
                    <w:t>3</w:t>
                  </w:r>
                  <w:r>
                    <w:rPr>
                      <w:rFonts w:hint="eastAsia"/>
                      <w:b/>
                      <w:bCs/>
                      <w:kern w:val="0"/>
                      <w:szCs w:val="21"/>
                      <w:u w:val="single"/>
                      <w:vertAlign w:val="baseline"/>
                      <w:lang w:val="en-US" w:eastAsia="zh-CN"/>
                    </w:rPr>
                    <w:t>,可</w:t>
                  </w:r>
                  <w:r>
                    <w:rPr>
                      <w:b/>
                      <w:bCs/>
                      <w:szCs w:val="21"/>
                      <w:u w:val="single"/>
                    </w:rPr>
                    <w:t>满足要求</w:t>
                  </w:r>
                  <w:r>
                    <w:rPr>
                      <w:rFonts w:hint="eastAsia"/>
                      <w:b/>
                      <w:bCs/>
                      <w:szCs w:val="21"/>
                      <w:u w:val="single"/>
                    </w:rPr>
                    <w:t>，</w:t>
                  </w:r>
                  <w:r>
                    <w:rPr>
                      <w:b/>
                      <w:bCs/>
                      <w:kern w:val="0"/>
                      <w:szCs w:val="21"/>
                      <w:u w:val="single"/>
                    </w:rPr>
                    <w:t>治理设施同步运行率和去除率</w:t>
                  </w:r>
                  <w:r>
                    <w:rPr>
                      <w:rFonts w:hint="eastAsia"/>
                      <w:b/>
                      <w:bCs/>
                      <w:kern w:val="0"/>
                      <w:szCs w:val="21"/>
                      <w:u w:val="single"/>
                    </w:rPr>
                    <w:t>均满足要求；项目不涉及锅炉</w:t>
                  </w:r>
                  <w:r>
                    <w:rPr>
                      <w:b/>
                      <w:bCs/>
                      <w:szCs w:val="21"/>
                      <w:u w:val="single"/>
                    </w:rPr>
                    <w:t>。</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kern w:val="0"/>
                      <w:szCs w:val="21"/>
                      <w:u w:val="single"/>
                    </w:rPr>
                  </w:pPr>
                  <w:r>
                    <w:rPr>
                      <w:b/>
                      <w:bCs/>
                      <w:szCs w:val="21"/>
                      <w:u w:val="single"/>
                    </w:rPr>
                    <w:t>监测监控水平</w:t>
                  </w:r>
                </w:p>
              </w:tc>
              <w:tc>
                <w:tcPr>
                  <w:tcW w:w="4290" w:type="dxa"/>
                  <w:tcBorders>
                    <w:tl2br w:val="nil"/>
                    <w:tr2bl w:val="nil"/>
                  </w:tcBorders>
                  <w:vAlign w:val="center"/>
                </w:tcPr>
                <w:p>
                  <w:pPr>
                    <w:adjustRightInd w:val="0"/>
                    <w:snapToGrid w:val="0"/>
                    <w:spacing w:line="320" w:lineRule="exact"/>
                    <w:rPr>
                      <w:b/>
                      <w:bCs/>
                      <w:szCs w:val="21"/>
                      <w:u w:val="single"/>
                    </w:rPr>
                  </w:pPr>
                  <w:r>
                    <w:rPr>
                      <w:b/>
                      <w:bCs/>
                      <w:szCs w:val="21"/>
                      <w:u w:val="single"/>
                    </w:rPr>
                    <w:t>1.有组织排放口</w:t>
                  </w:r>
                  <w:r>
                    <w:rPr>
                      <w:rFonts w:hint="eastAsia"/>
                      <w:b/>
                      <w:bCs/>
                      <w:szCs w:val="21"/>
                      <w:u w:val="single"/>
                    </w:rPr>
                    <w:t>按照生态环境部门要求安装烟气排放自动监控设施（CEMS，并按要求联网</w:t>
                  </w:r>
                  <w:r>
                    <w:rPr>
                      <w:b/>
                      <w:bCs/>
                      <w:szCs w:val="21"/>
                      <w:u w:val="single"/>
                    </w:rPr>
                    <w:t>；</w:t>
                  </w:r>
                </w:p>
                <w:p>
                  <w:pPr>
                    <w:adjustRightInd w:val="0"/>
                    <w:snapToGrid w:val="0"/>
                    <w:spacing w:line="320" w:lineRule="exact"/>
                    <w:rPr>
                      <w:b/>
                      <w:bCs/>
                      <w:szCs w:val="21"/>
                      <w:u w:val="single"/>
                    </w:rPr>
                  </w:pPr>
                  <w:r>
                    <w:rPr>
                      <w:b/>
                      <w:bCs/>
                      <w:szCs w:val="21"/>
                      <w:u w:val="single"/>
                    </w:rPr>
                    <w:t>2.</w:t>
                  </w:r>
                  <w:r>
                    <w:rPr>
                      <w:rFonts w:hint="eastAsia"/>
                      <w:b/>
                      <w:bCs/>
                      <w:szCs w:val="21"/>
                      <w:u w:val="single"/>
                    </w:rPr>
                    <w:t>有组织排放口按照排污许可证</w:t>
                  </w:r>
                  <w:r>
                    <w:rPr>
                      <w:rFonts w:hint="eastAsia"/>
                      <w:b/>
                      <w:bCs/>
                      <w:szCs w:val="21"/>
                      <w:u w:val="single"/>
                      <w:lang w:val="en-US" w:eastAsia="zh-CN"/>
                    </w:rPr>
                    <w:t>要求</w:t>
                  </w:r>
                  <w:r>
                    <w:rPr>
                      <w:rFonts w:hint="eastAsia"/>
                      <w:b/>
                      <w:bCs/>
                      <w:szCs w:val="21"/>
                      <w:u w:val="single"/>
                    </w:rPr>
                    <w:t>开展自行监测；</w:t>
                  </w:r>
                </w:p>
                <w:p>
                  <w:pPr>
                    <w:adjustRightInd w:val="0"/>
                    <w:snapToGrid w:val="0"/>
                    <w:spacing w:line="320" w:lineRule="exact"/>
                    <w:rPr>
                      <w:b/>
                      <w:bCs/>
                      <w:szCs w:val="21"/>
                      <w:u w:val="single"/>
                    </w:rPr>
                  </w:pPr>
                  <w:r>
                    <w:rPr>
                      <w:rFonts w:hint="eastAsia"/>
                      <w:b/>
                      <w:bCs/>
                      <w:szCs w:val="21"/>
                      <w:u w:val="single"/>
                    </w:rPr>
                    <w:t>3.</w:t>
                  </w:r>
                  <w:r>
                    <w:rPr>
                      <w:b/>
                      <w:bCs/>
                      <w:szCs w:val="21"/>
                      <w:u w:val="single"/>
                    </w:rPr>
                    <w:t>涉气生产工序、生产装置及污染治理设施安装用电监管设备，用电监管与省、市生态环境部门用电监管平台联网</w:t>
                  </w:r>
                  <w:r>
                    <w:rPr>
                      <w:rFonts w:hint="eastAsia"/>
                      <w:b/>
                      <w:bCs/>
                      <w:szCs w:val="21"/>
                      <w:u w:val="single"/>
                    </w:rPr>
                    <w:t>。</w:t>
                  </w:r>
                </w:p>
              </w:tc>
              <w:tc>
                <w:tcPr>
                  <w:tcW w:w="1935" w:type="dxa"/>
                  <w:tcBorders>
                    <w:tl2br w:val="nil"/>
                    <w:tr2bl w:val="nil"/>
                  </w:tcBorders>
                  <w:vAlign w:val="center"/>
                </w:tcPr>
                <w:p>
                  <w:pPr>
                    <w:adjustRightInd w:val="0"/>
                    <w:snapToGrid w:val="0"/>
                    <w:spacing w:line="320" w:lineRule="exact"/>
                    <w:rPr>
                      <w:b/>
                      <w:bCs/>
                      <w:kern w:val="0"/>
                      <w:szCs w:val="21"/>
                      <w:u w:val="single"/>
                    </w:rPr>
                  </w:pPr>
                  <w:r>
                    <w:rPr>
                      <w:rFonts w:hint="eastAsia"/>
                      <w:b/>
                      <w:bCs/>
                      <w:kern w:val="0"/>
                      <w:szCs w:val="21"/>
                      <w:u w:val="single"/>
                    </w:rPr>
                    <w:t>根据《偃师</w:t>
                  </w:r>
                  <w:r>
                    <w:rPr>
                      <w:rFonts w:hint="eastAsia"/>
                      <w:b/>
                      <w:bCs/>
                      <w:kern w:val="0"/>
                      <w:szCs w:val="21"/>
                      <w:u w:val="single"/>
                      <w:lang w:val="en-US" w:eastAsia="zh-CN"/>
                    </w:rPr>
                    <w:t>区2022</w:t>
                  </w:r>
                  <w:r>
                    <w:rPr>
                      <w:rFonts w:hint="eastAsia"/>
                      <w:b/>
                      <w:bCs/>
                      <w:kern w:val="0"/>
                      <w:szCs w:val="21"/>
                      <w:u w:val="single"/>
                    </w:rPr>
                    <w:t>年挥发性有机物</w:t>
                  </w:r>
                  <w:r>
                    <w:rPr>
                      <w:rFonts w:hint="eastAsia"/>
                      <w:b/>
                      <w:bCs/>
                      <w:kern w:val="0"/>
                      <w:szCs w:val="21"/>
                      <w:u w:val="single"/>
                      <w:lang w:val="en-US" w:eastAsia="zh-CN"/>
                    </w:rPr>
                    <w:t>防治实施</w:t>
                  </w:r>
                  <w:r>
                    <w:rPr>
                      <w:rFonts w:hint="eastAsia"/>
                      <w:b/>
                      <w:bCs/>
                      <w:kern w:val="0"/>
                      <w:szCs w:val="21"/>
                      <w:u w:val="single"/>
                    </w:rPr>
                    <w:t>方案》（偃环攻坚办〔</w:t>
                  </w:r>
                  <w:r>
                    <w:rPr>
                      <w:rFonts w:hint="eastAsia"/>
                      <w:b/>
                      <w:bCs/>
                      <w:kern w:val="0"/>
                      <w:szCs w:val="21"/>
                      <w:u w:val="single"/>
                      <w:lang w:val="en-US" w:eastAsia="zh-CN"/>
                    </w:rPr>
                    <w:t>2022</w:t>
                  </w:r>
                  <w:r>
                    <w:rPr>
                      <w:rFonts w:hint="eastAsia"/>
                      <w:b/>
                      <w:bCs/>
                      <w:kern w:val="0"/>
                      <w:szCs w:val="21"/>
                      <w:u w:val="single"/>
                    </w:rPr>
                    <w:t>〕</w:t>
                  </w:r>
                  <w:r>
                    <w:rPr>
                      <w:rFonts w:hint="eastAsia"/>
                      <w:b/>
                      <w:bCs/>
                      <w:kern w:val="0"/>
                      <w:szCs w:val="21"/>
                      <w:u w:val="single"/>
                      <w:lang w:val="en-US" w:eastAsia="zh-CN"/>
                    </w:rPr>
                    <w:t>7</w:t>
                  </w:r>
                  <w:r>
                    <w:rPr>
                      <w:rFonts w:hint="eastAsia"/>
                      <w:b/>
                      <w:bCs/>
                      <w:kern w:val="0"/>
                      <w:szCs w:val="21"/>
                      <w:u w:val="single"/>
                    </w:rPr>
                    <w:t xml:space="preserve">号） </w:t>
                  </w:r>
                </w:p>
                <w:p>
                  <w:pPr>
                    <w:adjustRightInd w:val="0"/>
                    <w:snapToGrid w:val="0"/>
                    <w:spacing w:line="320" w:lineRule="exact"/>
                    <w:rPr>
                      <w:b/>
                      <w:bCs/>
                      <w:kern w:val="0"/>
                      <w:szCs w:val="21"/>
                      <w:u w:val="single"/>
                    </w:rPr>
                  </w:pPr>
                  <w:r>
                    <w:rPr>
                      <w:rFonts w:hint="eastAsia"/>
                      <w:b/>
                      <w:bCs/>
                      <w:snapToGrid w:val="0"/>
                      <w:szCs w:val="21"/>
                      <w:u w:val="single" w:color="auto"/>
                    </w:rPr>
                    <w:t>对挥发性有机物排污单位风量大于10000m</w:t>
                  </w:r>
                  <w:r>
                    <w:rPr>
                      <w:rFonts w:hint="eastAsia"/>
                      <w:b/>
                      <w:bCs/>
                      <w:snapToGrid w:val="0"/>
                      <w:szCs w:val="21"/>
                      <w:u w:val="single" w:color="auto"/>
                      <w:vertAlign w:val="superscript"/>
                      <w:lang w:val="en-US" w:eastAsia="zh-CN"/>
                    </w:rPr>
                    <w:t>3</w:t>
                  </w:r>
                  <w:r>
                    <w:rPr>
                      <w:rFonts w:hint="eastAsia"/>
                      <w:b/>
                      <w:bCs/>
                      <w:snapToGrid w:val="0"/>
                      <w:szCs w:val="21"/>
                      <w:u w:val="single" w:color="auto"/>
                    </w:rPr>
                    <w:t>/h或挥发性有机物产生量大于2kg/h 以上的主要排放口须安装非甲烷总烃在线监测设施</w:t>
                  </w:r>
                  <w:r>
                    <w:rPr>
                      <w:rFonts w:hint="eastAsia"/>
                      <w:b/>
                      <w:bCs/>
                      <w:kern w:val="0"/>
                      <w:szCs w:val="21"/>
                      <w:u w:val="single"/>
                    </w:rPr>
                    <w:t>。</w:t>
                  </w:r>
                  <w:r>
                    <w:rPr>
                      <w:rFonts w:hint="eastAsia"/>
                      <w:b/>
                      <w:bCs/>
                      <w:kern w:val="0"/>
                      <w:szCs w:val="21"/>
                      <w:u w:val="single"/>
                      <w:lang w:val="en-US" w:eastAsia="zh-CN"/>
                    </w:rPr>
                    <w:t>本项</w:t>
                  </w:r>
                  <w:r>
                    <w:rPr>
                      <w:rFonts w:hint="eastAsia"/>
                      <w:b/>
                      <w:bCs/>
                      <w:kern w:val="0"/>
                      <w:szCs w:val="21"/>
                      <w:u w:val="single"/>
                    </w:rPr>
                    <w:t>目</w:t>
                  </w:r>
                  <w:r>
                    <w:rPr>
                      <w:rFonts w:hint="eastAsia"/>
                      <w:b/>
                      <w:bCs/>
                      <w:kern w:val="0"/>
                      <w:szCs w:val="21"/>
                      <w:u w:val="single"/>
                      <w:lang w:val="en-US" w:eastAsia="zh-CN"/>
                    </w:rPr>
                    <w:t>废气排放口为一般排放口</w:t>
                  </w:r>
                  <w:r>
                    <w:rPr>
                      <w:rFonts w:hint="eastAsia"/>
                      <w:b/>
                      <w:bCs/>
                      <w:kern w:val="0"/>
                      <w:szCs w:val="21"/>
                      <w:u w:val="single"/>
                    </w:rPr>
                    <w:t>，无需安装在线监控。</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szCs w:val="21"/>
                      <w:u w:val="single"/>
                    </w:rPr>
                  </w:pPr>
                  <w:r>
                    <w:rPr>
                      <w:b/>
                      <w:bCs/>
                      <w:szCs w:val="21"/>
                      <w:u w:val="single"/>
                    </w:rPr>
                    <w:t>环境管理</w:t>
                  </w:r>
                </w:p>
                <w:p>
                  <w:pPr>
                    <w:adjustRightInd w:val="0"/>
                    <w:snapToGrid w:val="0"/>
                    <w:spacing w:line="320" w:lineRule="exact"/>
                    <w:jc w:val="center"/>
                    <w:rPr>
                      <w:b/>
                      <w:bCs/>
                      <w:kern w:val="0"/>
                      <w:szCs w:val="21"/>
                      <w:u w:val="single"/>
                    </w:rPr>
                  </w:pPr>
                  <w:r>
                    <w:rPr>
                      <w:b/>
                      <w:bCs/>
                      <w:szCs w:val="21"/>
                      <w:u w:val="single"/>
                    </w:rPr>
                    <w:t>水平</w:t>
                  </w:r>
                </w:p>
              </w:tc>
              <w:tc>
                <w:tcPr>
                  <w:tcW w:w="4290" w:type="dxa"/>
                  <w:tcBorders>
                    <w:tl2br w:val="nil"/>
                    <w:tr2bl w:val="nil"/>
                  </w:tcBorders>
                  <w:vAlign w:val="center"/>
                </w:tcPr>
                <w:p>
                  <w:pPr>
                    <w:adjustRightInd w:val="0"/>
                    <w:snapToGrid w:val="0"/>
                    <w:spacing w:line="320" w:lineRule="exact"/>
                    <w:rPr>
                      <w:b/>
                      <w:bCs/>
                      <w:szCs w:val="21"/>
                      <w:u w:val="single"/>
                    </w:rPr>
                  </w:pPr>
                  <w:r>
                    <w:rPr>
                      <w:rFonts w:hint="eastAsia"/>
                      <w:b/>
                      <w:bCs/>
                      <w:szCs w:val="21"/>
                      <w:u w:val="single"/>
                    </w:rPr>
                    <w:t>1.</w:t>
                  </w:r>
                  <w:r>
                    <w:rPr>
                      <w:b/>
                      <w:bCs/>
                      <w:szCs w:val="21"/>
                      <w:u w:val="single"/>
                    </w:rPr>
                    <w:t>环保档案：</w:t>
                  </w:r>
                  <w:r>
                    <w:rPr>
                      <w:rFonts w:eastAsia="微软雅黑"/>
                      <w:b/>
                      <w:bCs/>
                      <w:szCs w:val="21"/>
                      <w:u w:val="single"/>
                    </w:rPr>
                    <w:t>①</w:t>
                  </w:r>
                  <w:r>
                    <w:rPr>
                      <w:b/>
                      <w:bCs/>
                      <w:szCs w:val="21"/>
                      <w:u w:val="single"/>
                    </w:rPr>
                    <w:t>环评批复文件和竣工环保验收文件或环境现状评估备案证明；②国家版排污许可证；③环境管理制度（有组织、无组织排放长效管理机制，主要包括岗位责任制度、达标公示制度和定期巡查维护制度等）；④废气治理设施运行管理规程；</w:t>
                  </w:r>
                  <w:r>
                    <w:rPr>
                      <w:rFonts w:eastAsia="微软雅黑"/>
                      <w:b/>
                      <w:bCs/>
                      <w:szCs w:val="21"/>
                      <w:u w:val="single"/>
                    </w:rPr>
                    <w:t>⑤</w:t>
                  </w:r>
                  <w:r>
                    <w:rPr>
                      <w:b/>
                      <w:bCs/>
                      <w:szCs w:val="21"/>
                      <w:u w:val="single"/>
                    </w:rPr>
                    <w:t>一年内废气监测报告（符合排污许可证监测项目及频次要求）。</w:t>
                  </w:r>
                </w:p>
                <w:p>
                  <w:pPr>
                    <w:adjustRightInd w:val="0"/>
                    <w:snapToGrid w:val="0"/>
                    <w:spacing w:line="320" w:lineRule="exact"/>
                    <w:rPr>
                      <w:b/>
                      <w:bCs/>
                      <w:szCs w:val="21"/>
                      <w:u w:val="single"/>
                    </w:rPr>
                  </w:pPr>
                  <w:r>
                    <w:rPr>
                      <w:b/>
                      <w:bCs/>
                      <w:szCs w:val="21"/>
                      <w:u w:val="single"/>
                    </w:rPr>
                    <w:t>2.台账记录：①生产设施运行管理信息（生产时间、运行负荷、产品产量等）；②</w:t>
                  </w:r>
                  <w:r>
                    <w:rPr>
                      <w:b/>
                      <w:bCs/>
                      <w:spacing w:val="-3"/>
                      <w:u w:val="single"/>
                    </w:rPr>
                    <w:t>废气污染治理设施运行管理信息</w:t>
                  </w:r>
                  <w:r>
                    <w:rPr>
                      <w:b/>
                      <w:bCs/>
                      <w:szCs w:val="21"/>
                      <w:u w:val="single"/>
                    </w:rPr>
                    <w:t>；③监测记录信息（主要污染排放口废气排放记录等）；④主要原辅材料消耗记录；⑤燃料消耗记录；⑥固废、危废处理记录；⑦运输车辆、厂内车辆、非道路移动机械电子台账（进出场时间、车辆或非道路移动机械信息、运送货物名称及运量等）；</w:t>
                  </w:r>
                </w:p>
                <w:p>
                  <w:pPr>
                    <w:adjustRightInd w:val="0"/>
                    <w:snapToGrid w:val="0"/>
                    <w:spacing w:line="320" w:lineRule="exact"/>
                    <w:rPr>
                      <w:b/>
                      <w:bCs/>
                      <w:szCs w:val="21"/>
                      <w:u w:val="single"/>
                    </w:rPr>
                  </w:pPr>
                  <w:r>
                    <w:rPr>
                      <w:b/>
                      <w:bCs/>
                      <w:szCs w:val="21"/>
                      <w:u w:val="single"/>
                    </w:rPr>
                    <w:t>3.人员配置：配备专职环保人员，并具备相应的环境管理能力（学历、培训、从业经验等）。</w:t>
                  </w:r>
                </w:p>
              </w:tc>
              <w:tc>
                <w:tcPr>
                  <w:tcW w:w="1935" w:type="dxa"/>
                  <w:tcBorders>
                    <w:tl2br w:val="nil"/>
                    <w:tr2bl w:val="nil"/>
                  </w:tcBorders>
                  <w:vAlign w:val="center"/>
                </w:tcPr>
                <w:p>
                  <w:pPr>
                    <w:adjustRightInd w:val="0"/>
                    <w:snapToGrid w:val="0"/>
                    <w:spacing w:line="320" w:lineRule="exact"/>
                    <w:rPr>
                      <w:b/>
                      <w:bCs/>
                      <w:kern w:val="0"/>
                      <w:szCs w:val="21"/>
                      <w:u w:val="single"/>
                    </w:rPr>
                  </w:pPr>
                  <w:r>
                    <w:rPr>
                      <w:rFonts w:hint="eastAsia"/>
                      <w:b/>
                      <w:bCs/>
                      <w:kern w:val="0"/>
                      <w:szCs w:val="21"/>
                      <w:u w:val="single"/>
                    </w:rPr>
                    <w:t>项目建成后按要求设置环保档案，记录和管理台账，并按要求配备专职环保人员。</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b/>
                      <w:bCs/>
                      <w:szCs w:val="21"/>
                      <w:u w:val="single"/>
                    </w:rPr>
                  </w:pPr>
                  <w:r>
                    <w:rPr>
                      <w:b/>
                      <w:bCs/>
                      <w:szCs w:val="21"/>
                      <w:u w:val="single"/>
                    </w:rPr>
                    <w:t>运输方式</w:t>
                  </w:r>
                </w:p>
              </w:tc>
              <w:tc>
                <w:tcPr>
                  <w:tcW w:w="4290" w:type="dxa"/>
                  <w:tcBorders>
                    <w:tl2br w:val="nil"/>
                    <w:tr2bl w:val="nil"/>
                  </w:tcBorders>
                  <w:vAlign w:val="center"/>
                </w:tcPr>
                <w:p>
                  <w:pPr>
                    <w:adjustRightInd w:val="0"/>
                    <w:snapToGrid w:val="0"/>
                    <w:spacing w:line="320" w:lineRule="exact"/>
                    <w:rPr>
                      <w:rFonts w:hint="eastAsia"/>
                      <w:b/>
                      <w:bCs/>
                      <w:szCs w:val="21"/>
                      <w:u w:val="single"/>
                    </w:rPr>
                  </w:pPr>
                  <w:r>
                    <w:rPr>
                      <w:rFonts w:hint="eastAsia"/>
                      <w:b/>
                      <w:bCs/>
                      <w:szCs w:val="21"/>
                      <w:u w:val="single"/>
                      <w:lang w:val="en-US" w:eastAsia="zh-CN"/>
                    </w:rPr>
                    <w:t xml:space="preserve">1.物料、产品运输全部使用国五及以上排放标准的重型载货车辆（重型燃气车辆达到国六排放标准）或新能源车辆； </w:t>
                  </w:r>
                </w:p>
                <w:p>
                  <w:pPr>
                    <w:adjustRightInd w:val="0"/>
                    <w:snapToGrid w:val="0"/>
                    <w:spacing w:line="320" w:lineRule="exact"/>
                    <w:rPr>
                      <w:rFonts w:hint="eastAsia"/>
                      <w:b/>
                      <w:bCs/>
                      <w:szCs w:val="21"/>
                      <w:u w:val="single"/>
                    </w:rPr>
                  </w:pPr>
                  <w:r>
                    <w:rPr>
                      <w:rFonts w:hint="eastAsia"/>
                      <w:b/>
                      <w:bCs/>
                      <w:szCs w:val="21"/>
                      <w:u w:val="single"/>
                      <w:lang w:val="en-US" w:eastAsia="zh-CN"/>
                    </w:rPr>
                    <w:t xml:space="preserve">2.厂区车辆全部达国五及以上排放标准（重型燃气车辆达到国六排放标准）或使用新能源车辆； </w:t>
                  </w:r>
                </w:p>
                <w:p>
                  <w:pPr>
                    <w:adjustRightInd w:val="0"/>
                    <w:snapToGrid w:val="0"/>
                    <w:spacing w:line="320" w:lineRule="exact"/>
                    <w:rPr>
                      <w:b/>
                      <w:bCs/>
                      <w:szCs w:val="21"/>
                      <w:u w:val="single"/>
                    </w:rPr>
                  </w:pPr>
                  <w:r>
                    <w:rPr>
                      <w:rFonts w:hint="eastAsia"/>
                      <w:b/>
                      <w:bCs/>
                      <w:szCs w:val="21"/>
                      <w:u w:val="single"/>
                      <w:lang w:val="en-US" w:eastAsia="zh-CN"/>
                    </w:rPr>
                    <w:t>3.厂内非道路移动机械达到国三及以上排放标准或使用新能源机械。</w:t>
                  </w:r>
                </w:p>
              </w:tc>
              <w:tc>
                <w:tcPr>
                  <w:tcW w:w="1935" w:type="dxa"/>
                  <w:tcBorders>
                    <w:tl2br w:val="nil"/>
                    <w:tr2bl w:val="nil"/>
                  </w:tcBorders>
                  <w:vAlign w:val="center"/>
                </w:tcPr>
                <w:p>
                  <w:pPr>
                    <w:adjustRightInd w:val="0"/>
                    <w:snapToGrid w:val="0"/>
                    <w:spacing w:line="320" w:lineRule="exact"/>
                    <w:rPr>
                      <w:b/>
                      <w:bCs/>
                      <w:kern w:val="0"/>
                      <w:szCs w:val="21"/>
                      <w:u w:val="single"/>
                    </w:rPr>
                  </w:pPr>
                  <w:r>
                    <w:rPr>
                      <w:rFonts w:hint="eastAsia"/>
                      <w:b/>
                      <w:bCs/>
                      <w:kern w:val="0"/>
                      <w:szCs w:val="21"/>
                      <w:u w:val="single"/>
                    </w:rPr>
                    <w:t xml:space="preserve">项目公路、厂区内运 </w:t>
                  </w:r>
                </w:p>
                <w:p>
                  <w:pPr>
                    <w:adjustRightInd w:val="0"/>
                    <w:snapToGrid w:val="0"/>
                    <w:spacing w:line="320" w:lineRule="exact"/>
                    <w:rPr>
                      <w:b/>
                      <w:bCs/>
                      <w:kern w:val="0"/>
                      <w:szCs w:val="21"/>
                      <w:u w:val="single"/>
                    </w:rPr>
                  </w:pPr>
                  <w:r>
                    <w:rPr>
                      <w:rFonts w:hint="eastAsia"/>
                      <w:b/>
                      <w:bCs/>
                      <w:kern w:val="0"/>
                      <w:szCs w:val="21"/>
                      <w:u w:val="single"/>
                    </w:rPr>
                    <w:t xml:space="preserve">输车辆将按左列要 </w:t>
                  </w:r>
                </w:p>
                <w:p>
                  <w:pPr>
                    <w:adjustRightInd w:val="0"/>
                    <w:snapToGrid w:val="0"/>
                    <w:spacing w:line="320" w:lineRule="exact"/>
                    <w:rPr>
                      <w:b/>
                      <w:bCs/>
                      <w:kern w:val="0"/>
                      <w:szCs w:val="21"/>
                      <w:u w:val="single"/>
                    </w:rPr>
                  </w:pPr>
                  <w:r>
                    <w:rPr>
                      <w:rFonts w:hint="eastAsia"/>
                      <w:b/>
                      <w:bCs/>
                      <w:kern w:val="0"/>
                      <w:szCs w:val="21"/>
                      <w:u w:val="single"/>
                    </w:rPr>
                    <w:t>求，</w:t>
                  </w:r>
                  <w:r>
                    <w:rPr>
                      <w:rFonts w:hint="eastAsia"/>
                      <w:b/>
                      <w:bCs/>
                      <w:kern w:val="0"/>
                      <w:szCs w:val="21"/>
                      <w:u w:val="single"/>
                      <w:lang w:val="en-US" w:eastAsia="zh-CN"/>
                    </w:rPr>
                    <w:t>全部</w:t>
                  </w:r>
                  <w:r>
                    <w:rPr>
                      <w:rFonts w:hint="eastAsia"/>
                      <w:b/>
                      <w:bCs/>
                      <w:kern w:val="0"/>
                      <w:szCs w:val="21"/>
                      <w:u w:val="single"/>
                    </w:rPr>
                    <w:t>达到使用国五及以上排放标准</w:t>
                  </w:r>
                  <w:r>
                    <w:rPr>
                      <w:rFonts w:hint="eastAsia"/>
                      <w:b/>
                      <w:bCs/>
                      <w:szCs w:val="21"/>
                      <w:u w:val="single"/>
                      <w:lang w:val="en-US" w:eastAsia="zh-CN"/>
                    </w:rPr>
                    <w:t>的重型载货车辆（重型燃气车辆达到国六排放标准）或新能源车辆</w:t>
                  </w:r>
                  <w:r>
                    <w:rPr>
                      <w:rFonts w:hint="eastAsia"/>
                      <w:b/>
                      <w:bCs/>
                      <w:kern w:val="0"/>
                      <w:szCs w:val="21"/>
                      <w:u w:val="single"/>
                    </w:rPr>
                    <w:t>；厂内无非道路移动机械。</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b/>
                      <w:bCs/>
                      <w:kern w:val="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tcPr>
                <w:p>
                  <w:pPr>
                    <w:spacing w:line="320" w:lineRule="exact"/>
                    <w:jc w:val="center"/>
                    <w:rPr>
                      <w:b/>
                      <w:bCs/>
                      <w:u w:val="single"/>
                    </w:rPr>
                  </w:pPr>
                  <w:r>
                    <w:rPr>
                      <w:b/>
                      <w:bCs/>
                      <w:szCs w:val="21"/>
                      <w:u w:val="single"/>
                    </w:rPr>
                    <w:t>运输监管</w:t>
                  </w:r>
                </w:p>
              </w:tc>
              <w:tc>
                <w:tcPr>
                  <w:tcW w:w="4290" w:type="dxa"/>
                  <w:tcBorders>
                    <w:tl2br w:val="nil"/>
                    <w:tr2bl w:val="nil"/>
                  </w:tcBorders>
                  <w:vAlign w:val="center"/>
                </w:tcPr>
                <w:p>
                  <w:pPr>
                    <w:spacing w:line="320" w:lineRule="exact"/>
                    <w:rPr>
                      <w:b/>
                      <w:bCs/>
                      <w:szCs w:val="21"/>
                      <w:u w:val="single"/>
                    </w:rPr>
                  </w:pPr>
                  <w:r>
                    <w:rPr>
                      <w:b/>
                      <w:bCs/>
                      <w:szCs w:val="21"/>
                      <w:u w:val="single"/>
                    </w:rPr>
                    <w:t>日均进出货物 150 吨（或载货车辆日进出 10 辆次）及以上（货物包括原料、辅料、燃料、产品和其他与生产相关物料）的企业，或纳入我省重点行业年产值 1000 万及以上的企业，应参照《重污染天气重点行业移动源应急管理技术指南》建立门禁视频监控系统和电子台账；其他企业建立电子台账。</w:t>
                  </w:r>
                </w:p>
              </w:tc>
              <w:tc>
                <w:tcPr>
                  <w:tcW w:w="1935" w:type="dxa"/>
                  <w:tcBorders>
                    <w:tl2br w:val="nil"/>
                    <w:tr2bl w:val="nil"/>
                  </w:tcBorders>
                  <w:vAlign w:val="center"/>
                </w:tcPr>
                <w:p>
                  <w:pPr>
                    <w:adjustRightInd w:val="0"/>
                    <w:snapToGrid w:val="0"/>
                    <w:spacing w:line="320" w:lineRule="exact"/>
                    <w:rPr>
                      <w:b/>
                      <w:bCs/>
                      <w:szCs w:val="21"/>
                      <w:u w:val="single"/>
                    </w:rPr>
                  </w:pPr>
                  <w:r>
                    <w:rPr>
                      <w:rFonts w:hint="eastAsia"/>
                      <w:b/>
                      <w:bCs/>
                      <w:szCs w:val="21"/>
                      <w:u w:val="single"/>
                    </w:rPr>
                    <w:t>本项目日均进出货物不足150吨，且非我省重点行业年产值1000万及以上的企业，无需建立门禁视频监控系统。项目建成后按要求建立</w:t>
                  </w:r>
                  <w:r>
                    <w:rPr>
                      <w:b/>
                      <w:bCs/>
                      <w:szCs w:val="21"/>
                      <w:u w:val="single"/>
                    </w:rPr>
                    <w:t>电子台账</w:t>
                  </w:r>
                </w:p>
              </w:tc>
              <w:tc>
                <w:tcPr>
                  <w:tcW w:w="1014" w:type="dxa"/>
                  <w:tcBorders>
                    <w:tl2br w:val="nil"/>
                    <w:tr2bl w:val="nil"/>
                  </w:tcBorders>
                  <w:vAlign w:val="center"/>
                </w:tcPr>
                <w:p>
                  <w:pPr>
                    <w:adjustRightInd w:val="0"/>
                    <w:snapToGrid w:val="0"/>
                    <w:spacing w:line="320" w:lineRule="exact"/>
                    <w:jc w:val="center"/>
                    <w:rPr>
                      <w:b/>
                      <w:bCs/>
                      <w:kern w:val="0"/>
                      <w:szCs w:val="21"/>
                      <w:u w:val="single"/>
                    </w:rPr>
                  </w:pPr>
                  <w:r>
                    <w:rPr>
                      <w:rFonts w:hint="eastAsia"/>
                      <w:b/>
                      <w:bCs/>
                      <w:kern w:val="0"/>
                      <w:szCs w:val="21"/>
                      <w:u w:val="single"/>
                    </w:rPr>
                    <w:t>相符</w:t>
                  </w:r>
                </w:p>
              </w:tc>
            </w:tr>
          </w:tbl>
          <w:p>
            <w:pPr>
              <w:autoSpaceDE w:val="0"/>
              <w:autoSpaceDN w:val="0"/>
              <w:adjustRightInd w:val="0"/>
              <w:snapToGrid w:val="0"/>
              <w:spacing w:line="460" w:lineRule="exact"/>
              <w:ind w:firstLine="482" w:firstLineChars="200"/>
              <w:rPr>
                <w:rFonts w:hint="eastAsia"/>
                <w:b/>
                <w:bCs/>
                <w:sz w:val="24"/>
                <w:u w:val="single"/>
              </w:rPr>
            </w:pPr>
            <w:r>
              <w:rPr>
                <w:rFonts w:hint="eastAsia"/>
                <w:b/>
                <w:bCs/>
                <w:sz w:val="24"/>
                <w:u w:val="single"/>
              </w:rPr>
              <w:t>由上表可知，项目的建设符合《河南省重污染天气重点行业应急减排措施制定技术指南（2021年修订版）》塑料制品企业</w:t>
            </w:r>
            <w:r>
              <w:rPr>
                <w:rFonts w:hint="eastAsia"/>
                <w:b/>
                <w:bCs/>
                <w:sz w:val="24"/>
                <w:u w:val="single"/>
                <w:lang w:val="en-US" w:eastAsia="zh-CN"/>
              </w:rPr>
              <w:t>A</w:t>
            </w:r>
            <w:r>
              <w:rPr>
                <w:b/>
                <w:bCs/>
                <w:sz w:val="24"/>
                <w:u w:val="single"/>
              </w:rPr>
              <w:t>级绩效指标</w:t>
            </w:r>
            <w:r>
              <w:rPr>
                <w:rFonts w:hint="eastAsia"/>
                <w:b/>
                <w:bCs/>
                <w:sz w:val="24"/>
                <w:u w:val="single"/>
              </w:rPr>
              <w:t>要求。</w:t>
            </w:r>
          </w:p>
          <w:p>
            <w:pPr>
              <w:numPr>
                <w:ilvl w:val="255"/>
                <w:numId w:val="0"/>
              </w:numPr>
              <w:spacing w:line="460" w:lineRule="exact"/>
              <w:ind w:firstLine="482" w:firstLineChars="200"/>
              <w:jc w:val="left"/>
              <w:rPr>
                <w:rFonts w:hint="eastAsia"/>
                <w:b/>
                <w:bCs/>
                <w:color w:val="000000"/>
                <w:sz w:val="24"/>
                <w:u w:val="single"/>
                <w:lang w:val="en-US" w:eastAsia="zh-CN"/>
              </w:rPr>
            </w:pPr>
            <w:r>
              <w:rPr>
                <w:rFonts w:hint="eastAsia"/>
                <w:b/>
                <w:bCs/>
                <w:color w:val="000000"/>
                <w:sz w:val="24"/>
                <w:u w:val="single"/>
                <w:lang w:val="en-US" w:eastAsia="zh-CN"/>
              </w:rPr>
              <w:t>9</w:t>
            </w:r>
            <w:r>
              <w:rPr>
                <w:rFonts w:hint="eastAsia"/>
                <w:b/>
                <w:bCs/>
                <w:color w:val="000000"/>
                <w:sz w:val="24"/>
                <w:u w:val="single"/>
              </w:rPr>
              <w:t>、与《重污染天气重点行业应急减排措施制定技术指南（2020年修订版）》</w:t>
            </w:r>
            <w:r>
              <w:rPr>
                <w:rFonts w:hint="eastAsia"/>
                <w:b/>
                <w:bCs/>
                <w:color w:val="000000"/>
                <w:sz w:val="24"/>
                <w:u w:val="single"/>
                <w:lang w:val="en-US" w:eastAsia="zh-CN"/>
              </w:rPr>
              <w:t>相符性分析</w:t>
            </w:r>
          </w:p>
          <w:p>
            <w:pPr>
              <w:widowControl/>
              <w:snapToGrid w:val="0"/>
              <w:spacing w:line="480" w:lineRule="exact"/>
              <w:ind w:firstLine="482" w:firstLineChars="200"/>
              <w:rPr>
                <w:b/>
                <w:bCs/>
                <w:sz w:val="24"/>
                <w:u w:val="single"/>
              </w:rPr>
            </w:pPr>
            <w:r>
              <w:rPr>
                <w:b/>
                <w:bCs/>
                <w:sz w:val="24"/>
                <w:u w:val="single"/>
              </w:rPr>
              <w:t>根据</w:t>
            </w:r>
            <w:r>
              <w:rPr>
                <w:rFonts w:hint="eastAsia"/>
                <w:b/>
                <w:bCs/>
                <w:color w:val="000000"/>
                <w:sz w:val="24"/>
                <w:u w:val="single"/>
              </w:rPr>
              <w:t>《重污染天气重点行业应急减排措施制定技术指南（2020年修订版）》</w:t>
            </w:r>
            <w:r>
              <w:rPr>
                <w:b/>
                <w:bCs/>
                <w:sz w:val="24"/>
                <w:u w:val="single"/>
              </w:rPr>
              <w:t>中</w:t>
            </w:r>
            <w:r>
              <w:rPr>
                <w:rFonts w:hint="eastAsia"/>
                <w:b/>
                <w:bCs/>
                <w:color w:val="000000"/>
                <w:sz w:val="24"/>
                <w:u w:val="single"/>
              </w:rPr>
              <w:t>“三十一、包装印刷，（四）绩效分级指标”中“包装印刷业绩效分级指标”</w:t>
            </w:r>
            <w:r>
              <w:rPr>
                <w:b/>
                <w:bCs/>
                <w:sz w:val="24"/>
                <w:u w:val="single"/>
              </w:rPr>
              <w:t>，项目与</w:t>
            </w:r>
            <w:r>
              <w:rPr>
                <w:rFonts w:hint="eastAsia"/>
                <w:b/>
                <w:bCs/>
                <w:sz w:val="24"/>
                <w:u w:val="single"/>
              </w:rPr>
              <w:t>包装印刷业</w:t>
            </w:r>
            <w:r>
              <w:rPr>
                <w:rFonts w:hint="eastAsia"/>
                <w:b/>
                <w:bCs/>
                <w:sz w:val="24"/>
                <w:u w:val="single"/>
                <w:lang w:val="en-US" w:eastAsia="zh-CN"/>
              </w:rPr>
              <w:t>A</w:t>
            </w:r>
            <w:r>
              <w:rPr>
                <w:b/>
                <w:bCs/>
                <w:sz w:val="24"/>
                <w:u w:val="single"/>
              </w:rPr>
              <w:t>级绩效指标要相符性见</w:t>
            </w:r>
            <w:r>
              <w:rPr>
                <w:rFonts w:hint="eastAsia"/>
                <w:b/>
                <w:bCs/>
                <w:sz w:val="24"/>
                <w:u w:val="single"/>
              </w:rPr>
              <w:t>下表。</w:t>
            </w:r>
          </w:p>
          <w:p>
            <w:pPr>
              <w:numPr>
                <w:ilvl w:val="255"/>
                <w:numId w:val="0"/>
              </w:numPr>
              <w:adjustRightInd w:val="0"/>
              <w:spacing w:line="460" w:lineRule="exact"/>
              <w:ind w:firstLine="482" w:firstLineChars="200"/>
              <w:rPr>
                <w:b/>
                <w:bCs/>
                <w:kern w:val="0"/>
                <w:sz w:val="24"/>
                <w:u w:val="single"/>
              </w:rPr>
            </w:pPr>
            <w:r>
              <w:rPr>
                <w:rFonts w:hint="eastAsia"/>
                <w:b/>
                <w:bCs/>
                <w:kern w:val="0"/>
                <w:sz w:val="24"/>
                <w:u w:val="single"/>
              </w:rPr>
              <w:t>表</w:t>
            </w:r>
            <w:r>
              <w:rPr>
                <w:rFonts w:hint="eastAsia"/>
                <w:b/>
                <w:bCs/>
                <w:kern w:val="0"/>
                <w:sz w:val="24"/>
                <w:u w:val="single"/>
                <w:lang w:val="en-US" w:eastAsia="zh-CN"/>
              </w:rPr>
              <w:t>5</w:t>
            </w:r>
            <w:r>
              <w:rPr>
                <w:rFonts w:hint="eastAsia"/>
                <w:b/>
                <w:bCs/>
                <w:kern w:val="0"/>
                <w:sz w:val="24"/>
                <w:u w:val="single"/>
              </w:rPr>
              <w:t xml:space="preserve">    </w:t>
            </w:r>
            <w:r>
              <w:rPr>
                <w:rFonts w:hint="eastAsia"/>
                <w:b/>
                <w:bCs/>
                <w:kern w:val="0"/>
                <w:sz w:val="24"/>
                <w:u w:val="single"/>
                <w:lang w:val="en-US" w:eastAsia="zh-CN"/>
              </w:rPr>
              <w:t xml:space="preserve">   </w:t>
            </w:r>
            <w:r>
              <w:rPr>
                <w:rFonts w:hint="eastAsia"/>
                <w:b/>
                <w:bCs/>
                <w:kern w:val="0"/>
                <w:sz w:val="24"/>
                <w:u w:val="single"/>
              </w:rPr>
              <w:t>与包装印刷业绩效</w:t>
            </w:r>
            <w:r>
              <w:rPr>
                <w:rFonts w:hint="eastAsia"/>
                <w:b/>
                <w:bCs/>
                <w:color w:val="000000"/>
                <w:kern w:val="0"/>
                <w:sz w:val="24"/>
                <w:u w:val="single"/>
              </w:rPr>
              <w:t>分级</w:t>
            </w:r>
            <w:r>
              <w:rPr>
                <w:rFonts w:hint="eastAsia"/>
                <w:b/>
                <w:bCs/>
                <w:kern w:val="0"/>
                <w:sz w:val="24"/>
                <w:u w:val="single"/>
              </w:rPr>
              <w:t>指标相符性分析一览表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101"/>
              <w:gridCol w:w="237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差异化指标</w:t>
                  </w:r>
                </w:p>
              </w:tc>
              <w:tc>
                <w:tcPr>
                  <w:tcW w:w="254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包装印刷业</w:t>
                  </w:r>
                  <w:r>
                    <w:rPr>
                      <w:rFonts w:hint="eastAsia"/>
                      <w:b/>
                      <w:bCs/>
                      <w:color w:val="000000"/>
                      <w:szCs w:val="21"/>
                      <w:u w:val="single"/>
                      <w:lang w:val="en-US" w:eastAsia="zh-CN"/>
                    </w:rPr>
                    <w:t>A</w:t>
                  </w:r>
                  <w:r>
                    <w:rPr>
                      <w:b/>
                      <w:bCs/>
                      <w:color w:val="000000"/>
                      <w:szCs w:val="21"/>
                      <w:u w:val="single"/>
                    </w:rPr>
                    <w:t>级绩效指标要求</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企业对标情况</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原辅材料</w:t>
                  </w:r>
                </w:p>
              </w:tc>
              <w:tc>
                <w:tcPr>
                  <w:tcW w:w="4101" w:type="dxa"/>
                  <w:vAlign w:val="center"/>
                </w:tcPr>
                <w:p>
                  <w:pPr>
                    <w:jc w:val="left"/>
                    <w:rPr>
                      <w:b/>
                      <w:bCs/>
                      <w:u w:val="single"/>
                    </w:rPr>
                  </w:pPr>
                  <w:r>
                    <w:rPr>
                      <w:rFonts w:hint="eastAsia"/>
                      <w:b/>
                      <w:bCs/>
                      <w:u w:val="single"/>
                    </w:rPr>
                    <w:t>1、</w:t>
                  </w:r>
                  <w:r>
                    <w:rPr>
                      <w:rFonts w:hint="eastAsia"/>
                      <w:b/>
                      <w:bCs/>
                      <w:u w:val="single"/>
                    </w:rPr>
                    <w:tab/>
                  </w:r>
                  <w:r>
                    <w:rPr>
                      <w:rFonts w:hint="eastAsia"/>
                      <w:b/>
                      <w:bCs/>
                      <w:u w:val="single"/>
                    </w:rPr>
                    <w:t>凹版印刷工艺釆用吸收性材料印刷时，使用水性油墨(VOCs≤15%)、能量固化油墨(VOCs≤10%)等低VOCs含量油墨比例达60%及以上；釆用非吸收性材料印刷时，使用水性油墨(VOCs≤30%)、能量固化油墨(VOCs≤10%)等低VOCs含量油墨比例达30%及以上；</w:t>
                  </w:r>
                </w:p>
                <w:p>
                  <w:pPr>
                    <w:jc w:val="left"/>
                    <w:rPr>
                      <w:b/>
                      <w:bCs/>
                      <w:u w:val="single"/>
                    </w:rPr>
                  </w:pPr>
                  <w:r>
                    <w:rPr>
                      <w:rFonts w:hint="eastAsia"/>
                      <w:b/>
                      <w:bCs/>
                      <w:u w:val="single"/>
                    </w:rPr>
                    <w:t>2、</w:t>
                  </w:r>
                  <w:r>
                    <w:rPr>
                      <w:rFonts w:hint="eastAsia"/>
                      <w:b/>
                      <w:bCs/>
                      <w:u w:val="single"/>
                    </w:rPr>
                    <w:tab/>
                  </w:r>
                  <w:r>
                    <w:rPr>
                      <w:rFonts w:hint="eastAsia"/>
                      <w:b/>
                      <w:bCs/>
                      <w:u w:val="single"/>
                    </w:rPr>
                    <w:t>柔版印刷工艺釆用吸收性材料印刷时，使用水性油墨(VOCs≤5%)的比例达100%：釆用非吸收性材料印刷时，使用水性油墨(VOCs≤25%)比例达60%及以上；</w:t>
                  </w:r>
                </w:p>
                <w:p>
                  <w:pPr>
                    <w:jc w:val="left"/>
                    <w:rPr>
                      <w:b/>
                      <w:bCs/>
                      <w:u w:val="single"/>
                    </w:rPr>
                  </w:pPr>
                  <w:r>
                    <w:rPr>
                      <w:rFonts w:hint="eastAsia"/>
                      <w:b/>
                      <w:bCs/>
                      <w:u w:val="single"/>
                    </w:rPr>
                    <w:t>3、</w:t>
                  </w:r>
                  <w:r>
                    <w:rPr>
                      <w:rFonts w:hint="eastAsia"/>
                      <w:b/>
                      <w:bCs/>
                      <w:u w:val="single"/>
                    </w:rPr>
                    <w:tab/>
                  </w:r>
                  <w:r>
                    <w:rPr>
                      <w:rFonts w:hint="eastAsia"/>
                      <w:b/>
                      <w:bCs/>
                      <w:u w:val="single"/>
                    </w:rPr>
                    <w:t>平版印刷工艺使用符合《油墨中可挥发性有机化合物(VOCs)含量的限值》(GB 38507-2020)中 VOCs含量限值要求的油墨产品比例达100%； 100%使用无(免)醇润版液(润版液原液中VOCs≤10%),或使用无水印刷技术，或使用零醇润版胶印技术；</w:t>
                  </w:r>
                </w:p>
                <w:p>
                  <w:pPr>
                    <w:jc w:val="left"/>
                    <w:rPr>
                      <w:b/>
                      <w:bCs/>
                      <w:u w:val="single"/>
                    </w:rPr>
                  </w:pPr>
                  <w:r>
                    <w:rPr>
                      <w:rFonts w:hint="eastAsia"/>
                      <w:b/>
                      <w:bCs/>
                      <w:u w:val="single"/>
                    </w:rPr>
                    <w:t>4、</w:t>
                  </w:r>
                  <w:r>
                    <w:rPr>
                      <w:rFonts w:hint="eastAsia"/>
                      <w:b/>
                      <w:bCs/>
                      <w:u w:val="single"/>
                    </w:rPr>
                    <w:tab/>
                  </w:r>
                  <w:r>
                    <w:rPr>
                      <w:rFonts w:hint="eastAsia"/>
                      <w:b/>
                      <w:bCs/>
                      <w:u w:val="single"/>
                    </w:rPr>
                    <w:t>丝网印刷工艺使用水性油墨(VOCs≤30% )、能量固化油墨(VOCs≤5%)的比例达60%及以上；</w:t>
                  </w:r>
                </w:p>
                <w:p>
                  <w:pPr>
                    <w:jc w:val="left"/>
                    <w:rPr>
                      <w:b/>
                      <w:bCs/>
                      <w:u w:val="single"/>
                    </w:rPr>
                  </w:pPr>
                  <w:r>
                    <w:rPr>
                      <w:rFonts w:hint="eastAsia"/>
                      <w:b/>
                      <w:bCs/>
                      <w:u w:val="single"/>
                    </w:rPr>
                    <w:t>5、</w:t>
                  </w:r>
                  <w:r>
                    <w:rPr>
                      <w:rFonts w:hint="eastAsia"/>
                      <w:b/>
                      <w:bCs/>
                      <w:u w:val="single"/>
                    </w:rPr>
                    <w:tab/>
                  </w:r>
                  <w:r>
                    <w:rPr>
                      <w:rFonts w:hint="eastAsia"/>
                      <w:b/>
                      <w:bCs/>
                      <w:u w:val="single"/>
                    </w:rPr>
                    <w:t>印铁制罐生产过程100%使用水性油墨(VOCs≤25%)、能量固化油墨(VOCs≤2%）；100%使用水性涂料、能量固化涂料替代溶剂型涂料；</w:t>
                  </w:r>
                </w:p>
                <w:p>
                  <w:pPr>
                    <w:jc w:val="left"/>
                    <w:rPr>
                      <w:b/>
                      <w:bCs/>
                      <w:u w:val="single"/>
                    </w:rPr>
                  </w:pPr>
                  <w:r>
                    <w:rPr>
                      <w:rFonts w:hint="eastAsia"/>
                      <w:b/>
                      <w:bCs/>
                      <w:u w:val="single"/>
                    </w:rPr>
                    <w:t>6、</w:t>
                  </w:r>
                  <w:r>
                    <w:rPr>
                      <w:rFonts w:hint="eastAsia"/>
                      <w:b/>
                      <w:bCs/>
                      <w:u w:val="single"/>
                    </w:rPr>
                    <w:tab/>
                  </w:r>
                  <w:r>
                    <w:rPr>
                      <w:rFonts w:hint="eastAsia"/>
                      <w:b/>
                      <w:bCs/>
                      <w:u w:val="single"/>
                    </w:rPr>
                    <w:t>复合、覆膜：使用符合《胶粘剂挥发性有机化合物限量》(GB 33372-2020)的无溶剂、水基型等非溶剂型胶粘剂比例达75%及以上；</w:t>
                  </w:r>
                </w:p>
                <w:p>
                  <w:pPr>
                    <w:jc w:val="left"/>
                    <w:rPr>
                      <w:b/>
                      <w:bCs/>
                      <w:u w:val="single"/>
                    </w:rPr>
                  </w:pPr>
                  <w:r>
                    <w:rPr>
                      <w:rFonts w:hint="eastAsia"/>
                      <w:b/>
                      <w:bCs/>
                      <w:u w:val="single"/>
                    </w:rPr>
                    <w:t>7、</w:t>
                  </w:r>
                  <w:r>
                    <w:rPr>
                      <w:rFonts w:hint="eastAsia"/>
                      <w:b/>
                      <w:bCs/>
                      <w:u w:val="single"/>
                    </w:rPr>
                    <w:tab/>
                  </w:r>
                  <w:r>
                    <w:rPr>
                      <w:rFonts w:hint="eastAsia"/>
                      <w:b/>
                      <w:bCs/>
                      <w:u w:val="single"/>
                    </w:rPr>
                    <w:t>上光：使用水性、UV等非溶剂型光油比例100%；</w:t>
                  </w:r>
                </w:p>
                <w:p>
                  <w:pPr>
                    <w:jc w:val="left"/>
                    <w:rPr>
                      <w:b/>
                      <w:bCs/>
                      <w:color w:val="000000"/>
                      <w:szCs w:val="21"/>
                      <w:u w:val="single"/>
                    </w:rPr>
                  </w:pPr>
                  <w:r>
                    <w:rPr>
                      <w:rFonts w:hint="eastAsia"/>
                      <w:b/>
                      <w:bCs/>
                      <w:u w:val="single"/>
                    </w:rPr>
                    <w:t>8、</w:t>
                  </w:r>
                  <w:r>
                    <w:rPr>
                      <w:rFonts w:hint="eastAsia"/>
                      <w:b/>
                      <w:bCs/>
                      <w:u w:val="single"/>
                    </w:rPr>
                    <w:tab/>
                  </w:r>
                  <w:r>
                    <w:rPr>
                      <w:rFonts w:hint="eastAsia"/>
                      <w:b/>
                      <w:bCs/>
                      <w:u w:val="single"/>
                    </w:rPr>
                    <w:t>清洗：采用胶印油墨、UV油墨印刷时，使用符合《清洗剂挥发性有机化合物含量限值》(GB 38508-2020)的低VOCs 含量清洗剂比例达到100%</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rFonts w:hint="eastAsia"/>
                      <w:b/>
                      <w:bCs/>
                      <w:color w:val="000000"/>
                      <w:szCs w:val="21"/>
                      <w:u w:val="single"/>
                    </w:rPr>
                    <w:t>项目</w:t>
                  </w:r>
                  <w:r>
                    <w:rPr>
                      <w:rFonts w:hint="eastAsia"/>
                      <w:b/>
                      <w:bCs/>
                      <w:color w:val="000000"/>
                      <w:szCs w:val="21"/>
                      <w:u w:val="single"/>
                      <w:lang w:val="en-US" w:eastAsia="zh-CN"/>
                    </w:rPr>
                    <w:t>印标工序为凹版印刷工艺，采用吸收性材料印刷</w:t>
                  </w:r>
                  <w:r>
                    <w:rPr>
                      <w:rFonts w:hint="eastAsia"/>
                      <w:b/>
                      <w:bCs/>
                      <w:color w:val="000000"/>
                      <w:szCs w:val="21"/>
                      <w:u w:val="single"/>
                    </w:rPr>
                    <w:t>，水性油墨使用比例达100%，不涉及清洗剂。</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无组织排放</w:t>
                  </w:r>
                </w:p>
              </w:tc>
              <w:tc>
                <w:tcPr>
                  <w:tcW w:w="4101" w:type="dxa"/>
                  <w:vAlign w:val="center"/>
                </w:tcPr>
                <w:p>
                  <w:pPr>
                    <w:jc w:val="left"/>
                    <w:rPr>
                      <w:b/>
                      <w:bCs/>
                      <w:color w:val="000000"/>
                      <w:szCs w:val="21"/>
                      <w:u w:val="single"/>
                    </w:rPr>
                  </w:pPr>
                  <w:r>
                    <w:rPr>
                      <w:b/>
                      <w:bCs/>
                      <w:color w:val="000000"/>
                      <w:szCs w:val="21"/>
                      <w:u w:val="single"/>
                    </w:rPr>
                    <w:t>1、</w:t>
                  </w:r>
                  <w:r>
                    <w:rPr>
                      <w:b/>
                      <w:bCs/>
                      <w:color w:val="000000"/>
                      <w:szCs w:val="21"/>
                      <w:u w:val="single"/>
                    </w:rPr>
                    <w:tab/>
                  </w:r>
                  <w:r>
                    <w:rPr>
                      <w:b/>
                      <w:bCs/>
                      <w:color w:val="000000"/>
                      <w:szCs w:val="21"/>
                      <w:u w:val="single"/>
                    </w:rPr>
                    <w:t>满足《挥发性有机物无组织排放控制标准》(GB 37822-2019)特别控制要求；</w:t>
                  </w:r>
                </w:p>
                <w:p>
                  <w:pPr>
                    <w:jc w:val="left"/>
                    <w:rPr>
                      <w:b/>
                      <w:bCs/>
                      <w:color w:val="000000"/>
                      <w:szCs w:val="21"/>
                      <w:u w:val="single"/>
                    </w:rPr>
                  </w:pPr>
                  <w:r>
                    <w:rPr>
                      <w:rFonts w:hint="eastAsia"/>
                      <w:b/>
                      <w:bCs/>
                      <w:color w:val="000000"/>
                      <w:szCs w:val="21"/>
                      <w:u w:val="single"/>
                    </w:rPr>
                    <w:t>2</w:t>
                  </w:r>
                  <w:r>
                    <w:rPr>
                      <w:b/>
                      <w:bCs/>
                      <w:color w:val="000000"/>
                      <w:szCs w:val="21"/>
                      <w:u w:val="single"/>
                    </w:rPr>
                    <w:t>、</w:t>
                  </w:r>
                  <w:r>
                    <w:rPr>
                      <w:b/>
                      <w:bCs/>
                      <w:color w:val="000000"/>
                      <w:szCs w:val="21"/>
                      <w:u w:val="single"/>
                    </w:rPr>
                    <w:tab/>
                  </w:r>
                  <w:r>
                    <w:rPr>
                      <w:rFonts w:hint="eastAsia"/>
                      <w:b/>
                      <w:bCs/>
                      <w:color w:val="000000"/>
                      <w:szCs w:val="21"/>
                      <w:u w:val="single"/>
                    </w:rPr>
                    <w:t>调配过程：胶印工艺使用自动配墨系统；凹印工艺调配稀释剂釆用管道集中输送系统：设置专门的调配间进行调墨、调胶等，废气排至VOCs废气收集处理系统；</w:t>
                  </w:r>
                </w:p>
                <w:p>
                  <w:pPr>
                    <w:jc w:val="left"/>
                    <w:rPr>
                      <w:b/>
                      <w:bCs/>
                      <w:color w:val="000000"/>
                      <w:szCs w:val="21"/>
                      <w:u w:val="single"/>
                    </w:rPr>
                  </w:pPr>
                  <w:r>
                    <w:rPr>
                      <w:b/>
                      <w:bCs/>
                      <w:color w:val="000000"/>
                      <w:szCs w:val="21"/>
                      <w:u w:val="single"/>
                    </w:rPr>
                    <w:t>3、</w:t>
                  </w:r>
                  <w:r>
                    <w:rPr>
                      <w:b/>
                      <w:bCs/>
                      <w:color w:val="000000"/>
                      <w:szCs w:val="21"/>
                      <w:u w:val="single"/>
                    </w:rPr>
                    <w:tab/>
                  </w:r>
                  <w:r>
                    <w:rPr>
                      <w:b/>
                      <w:bCs/>
                      <w:color w:val="000000"/>
                      <w:szCs w:val="21"/>
                      <w:u w:val="single"/>
                    </w:rPr>
                    <w:t>供墨过程：在密闭设备或密闭负压空间内操作；向墨槽中加油墨或稀释剂时采用漏斗或软管等接驳工具；</w:t>
                  </w:r>
                </w:p>
                <w:p>
                  <w:pPr>
                    <w:jc w:val="left"/>
                    <w:rPr>
                      <w:b/>
                      <w:bCs/>
                      <w:color w:val="000000"/>
                      <w:szCs w:val="21"/>
                      <w:u w:val="single"/>
                    </w:rPr>
                  </w:pPr>
                  <w:r>
                    <w:rPr>
                      <w:b/>
                      <w:bCs/>
                      <w:color w:val="000000"/>
                      <w:szCs w:val="21"/>
                      <w:u w:val="single"/>
                    </w:rPr>
                    <w:t>4、</w:t>
                  </w:r>
                  <w:r>
                    <w:rPr>
                      <w:b/>
                      <w:bCs/>
                      <w:color w:val="000000"/>
                      <w:szCs w:val="21"/>
                      <w:u w:val="single"/>
                    </w:rPr>
                    <w:tab/>
                  </w:r>
                  <w:r>
                    <w:rPr>
                      <w:b/>
                      <w:bCs/>
                      <w:color w:val="000000"/>
                      <w:szCs w:val="21"/>
                      <w:u w:val="single"/>
                    </w:rPr>
                    <w:t>印刷过程：柔版印刷机采用封闭刮刀；凹版印刷机通过安装盖板、改变墨槽开口形状等减小墨盘、墨桶、搅墨机等开口面积；烘箱密闭，保持负压；印刷机整体排风收集；</w:t>
                  </w:r>
                </w:p>
                <w:p>
                  <w:pPr>
                    <w:jc w:val="left"/>
                    <w:rPr>
                      <w:b/>
                      <w:bCs/>
                      <w:color w:val="000000"/>
                      <w:szCs w:val="21"/>
                      <w:u w:val="single"/>
                    </w:rPr>
                  </w:pPr>
                  <w:r>
                    <w:rPr>
                      <w:b/>
                      <w:bCs/>
                      <w:color w:val="000000"/>
                      <w:szCs w:val="21"/>
                      <w:u w:val="single"/>
                    </w:rPr>
                    <w:t>5、</w:t>
                  </w:r>
                  <w:r>
                    <w:rPr>
                      <w:b/>
                      <w:bCs/>
                      <w:color w:val="000000"/>
                      <w:szCs w:val="21"/>
                      <w:u w:val="single"/>
                    </w:rPr>
                    <w:tab/>
                  </w:r>
                  <w:r>
                    <w:rPr>
                      <w:b/>
                      <w:bCs/>
                      <w:color w:val="000000"/>
                      <w:szCs w:val="21"/>
                      <w:u w:val="single"/>
                    </w:rPr>
                    <w:t>清洗过程：清洗专用清洗间、排风收集；沾染清洗剂的毛巾或抹布储存于密闭容器；</w:t>
                  </w:r>
                </w:p>
                <w:p>
                  <w:pPr>
                    <w:jc w:val="left"/>
                    <w:rPr>
                      <w:b/>
                      <w:bCs/>
                      <w:color w:val="000000"/>
                      <w:szCs w:val="21"/>
                      <w:u w:val="single"/>
                    </w:rPr>
                  </w:pPr>
                  <w:r>
                    <w:rPr>
                      <w:b/>
                      <w:bCs/>
                      <w:color w:val="000000"/>
                      <w:szCs w:val="21"/>
                      <w:u w:val="single"/>
                    </w:rPr>
                    <w:t>6、</w:t>
                  </w:r>
                  <w:r>
                    <w:rPr>
                      <w:b/>
                      <w:bCs/>
                      <w:color w:val="000000"/>
                      <w:szCs w:val="21"/>
                      <w:u w:val="single"/>
                    </w:rPr>
                    <w:tab/>
                  </w:r>
                  <w:r>
                    <w:rPr>
                      <w:b/>
                      <w:bCs/>
                      <w:color w:val="000000"/>
                      <w:szCs w:val="21"/>
                      <w:u w:val="single"/>
                    </w:rPr>
                    <w:t>复合过程：烘箱密闭，保持负压；干式复合机整机封闭集气收集；</w:t>
                  </w:r>
                </w:p>
                <w:p>
                  <w:pPr>
                    <w:jc w:val="left"/>
                    <w:rPr>
                      <w:b/>
                      <w:bCs/>
                      <w:color w:val="000000"/>
                      <w:szCs w:val="21"/>
                      <w:u w:val="single"/>
                    </w:rPr>
                  </w:pPr>
                  <w:r>
                    <w:rPr>
                      <w:b/>
                      <w:bCs/>
                      <w:color w:val="000000"/>
                      <w:szCs w:val="21"/>
                      <w:u w:val="single"/>
                    </w:rPr>
                    <w:t>7、</w:t>
                  </w:r>
                  <w:r>
                    <w:rPr>
                      <w:b/>
                      <w:bCs/>
                      <w:color w:val="000000"/>
                      <w:szCs w:val="21"/>
                      <w:u w:val="single"/>
                    </w:rPr>
                    <w:tab/>
                  </w:r>
                  <w:r>
                    <w:rPr>
                      <w:b/>
                      <w:bCs/>
                      <w:color w:val="000000"/>
                      <w:szCs w:val="21"/>
                      <w:u w:val="single"/>
                    </w:rPr>
                    <w:t>存储过程：油墨、稀释剂、胶粘剂、清洗剂、上光油等VOCs物料密闭存储，存放于无阳光直射的场所；废油墨、废清洗剂、废活性炭等含VOCs的废物应分类放置于贴有标识的容器内，加盖密封，存放于无阳光直射的场所</w:t>
                  </w:r>
                  <w:r>
                    <w:rPr>
                      <w:rFonts w:hint="eastAsia"/>
                      <w:b/>
                      <w:bCs/>
                      <w:color w:val="000000"/>
                      <w:szCs w:val="21"/>
                      <w:u w:val="single"/>
                    </w:rPr>
                    <w:t>。</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b/>
                      <w:bCs/>
                      <w:color w:val="000000"/>
                      <w:szCs w:val="21"/>
                      <w:u w:val="single"/>
                    </w:rPr>
                    <w:t>本项目</w:t>
                  </w:r>
                  <w:r>
                    <w:rPr>
                      <w:rFonts w:hint="eastAsia"/>
                      <w:b/>
                      <w:bCs/>
                      <w:color w:val="000000"/>
                      <w:szCs w:val="21"/>
                      <w:u w:val="single"/>
                    </w:rPr>
                    <w:t>无调墨过程，</w:t>
                  </w:r>
                  <w:r>
                    <w:rPr>
                      <w:b/>
                      <w:bCs/>
                      <w:color w:val="000000"/>
                      <w:szCs w:val="21"/>
                      <w:u w:val="single"/>
                    </w:rPr>
                    <w:t>无组织排放满足《挥发性有机物无组织排放控制标准》（GB 37822-2019）特别控制要求；不含清洗工序；油墨密闭存储，存放于无阳光直射的场所；废活性炭等放置于危废暂存间密闭储存。</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污染治理技术</w:t>
                  </w:r>
                </w:p>
              </w:tc>
              <w:tc>
                <w:tcPr>
                  <w:tcW w:w="4101" w:type="dxa"/>
                  <w:vAlign w:val="center"/>
                </w:tcPr>
                <w:p>
                  <w:pPr>
                    <w:jc w:val="left"/>
                    <w:rPr>
                      <w:b/>
                      <w:bCs/>
                      <w:color w:val="000000"/>
                      <w:szCs w:val="21"/>
                      <w:u w:val="single"/>
                    </w:rPr>
                  </w:pPr>
                  <w:r>
                    <w:rPr>
                      <w:b/>
                      <w:bCs/>
                      <w:color w:val="000000"/>
                      <w:szCs w:val="21"/>
                      <w:u w:val="single"/>
                    </w:rPr>
                    <w:t>1、</w:t>
                  </w:r>
                  <w:r>
                    <w:rPr>
                      <w:b/>
                      <w:bCs/>
                      <w:color w:val="000000"/>
                      <w:szCs w:val="21"/>
                      <w:u w:val="single"/>
                    </w:rPr>
                    <w:tab/>
                  </w:r>
                  <w:r>
                    <w:rPr>
                      <w:b/>
                      <w:bCs/>
                      <w:color w:val="000000"/>
                      <w:szCs w:val="21"/>
                      <w:u w:val="single"/>
                    </w:rPr>
                    <w:t>使用溶剂型原辅材料时，调墨、供墨、涂布（上光）、印刷、覆膜、复合、清洗等工序含VOCs废气采用燃烧、吸附+燃烧、吸附+冷凝回收、吸附等治理技术，处理效率≥</w:t>
                  </w:r>
                  <w:r>
                    <w:rPr>
                      <w:rFonts w:hint="eastAsia"/>
                      <w:b/>
                      <w:bCs/>
                      <w:color w:val="000000"/>
                      <w:szCs w:val="21"/>
                      <w:u w:val="single"/>
                    </w:rPr>
                    <w:t>90</w:t>
                  </w:r>
                  <w:r>
                    <w:rPr>
                      <w:b/>
                      <w:bCs/>
                      <w:color w:val="000000"/>
                      <w:szCs w:val="21"/>
                      <w:u w:val="single"/>
                    </w:rPr>
                    <w:t>%；</w:t>
                  </w:r>
                </w:p>
                <w:p>
                  <w:pPr>
                    <w:jc w:val="left"/>
                    <w:rPr>
                      <w:b/>
                      <w:bCs/>
                      <w:color w:val="000000"/>
                      <w:szCs w:val="21"/>
                      <w:u w:val="single"/>
                    </w:rPr>
                  </w:pPr>
                  <w:r>
                    <w:rPr>
                      <w:b/>
                      <w:bCs/>
                      <w:color w:val="000000"/>
                      <w:szCs w:val="21"/>
                      <w:u w:val="single"/>
                    </w:rPr>
                    <w:t>2、</w:t>
                  </w:r>
                  <w:r>
                    <w:rPr>
                      <w:b/>
                      <w:bCs/>
                      <w:color w:val="000000"/>
                      <w:szCs w:val="21"/>
                      <w:u w:val="single"/>
                    </w:rPr>
                    <w:tab/>
                  </w:r>
                  <w:r>
                    <w:rPr>
                      <w:b/>
                      <w:bCs/>
                      <w:color w:val="000000"/>
                      <w:szCs w:val="21"/>
                      <w:u w:val="single"/>
                    </w:rPr>
                    <w:t>采用平版印刷工艺或使用非溶剂型原辅材料时，当车间或生产设施排气中NMHC初始排放速率≥2kg/h时，建设末端治污设施，处理效率≥80%</w:t>
                  </w:r>
                  <w:r>
                    <w:rPr>
                      <w:rFonts w:hint="eastAsia"/>
                      <w:b/>
                      <w:bCs/>
                      <w:color w:val="000000"/>
                      <w:szCs w:val="21"/>
                      <w:u w:val="single"/>
                    </w:rPr>
                    <w:t>。</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b/>
                      <w:bCs/>
                      <w:color w:val="000000"/>
                      <w:szCs w:val="21"/>
                      <w:u w:val="single"/>
                    </w:rPr>
                    <w:t>项目采用水性油墨，收集到的废气均“UV光氧+活性炭吸附装置”处理后通过排气筒排放。</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排放限值</w:t>
                  </w:r>
                </w:p>
              </w:tc>
              <w:tc>
                <w:tcPr>
                  <w:tcW w:w="4101" w:type="dxa"/>
                  <w:vAlign w:val="center"/>
                </w:tcPr>
                <w:p>
                  <w:pPr>
                    <w:jc w:val="left"/>
                    <w:rPr>
                      <w:b/>
                      <w:bCs/>
                      <w:color w:val="000000"/>
                      <w:szCs w:val="21"/>
                      <w:u w:val="single"/>
                    </w:rPr>
                  </w:pPr>
                  <w:r>
                    <w:rPr>
                      <w:rFonts w:hint="eastAsia"/>
                      <w:b/>
                      <w:bCs/>
                      <w:color w:val="000000"/>
                      <w:szCs w:val="21"/>
                      <w:u w:val="single"/>
                    </w:rPr>
                    <w:t>1、</w:t>
                  </w:r>
                  <w:r>
                    <w:rPr>
                      <w:b/>
                      <w:bCs/>
                      <w:color w:val="000000"/>
                      <w:szCs w:val="21"/>
                      <w:u w:val="single"/>
                    </w:rPr>
                    <w:tab/>
                  </w:r>
                  <w:r>
                    <w:rPr>
                      <w:b/>
                      <w:bCs/>
                      <w:color w:val="000000"/>
                      <w:szCs w:val="21"/>
                      <w:u w:val="single"/>
                    </w:rPr>
                    <w:t>在连续一年的监测数据中，车间或生产设施排气筒排放的NMHC为</w:t>
                  </w:r>
                  <w:r>
                    <w:rPr>
                      <w:rFonts w:hint="eastAsia"/>
                      <w:b/>
                      <w:bCs/>
                      <w:color w:val="000000"/>
                      <w:szCs w:val="21"/>
                      <w:u w:val="single"/>
                    </w:rPr>
                    <w:t>20-30</w:t>
                  </w:r>
                  <w:r>
                    <w:rPr>
                      <w:b/>
                      <w:bCs/>
                      <w:color w:val="000000"/>
                      <w:szCs w:val="21"/>
                      <w:u w:val="single"/>
                    </w:rPr>
                    <w:t xml:space="preserve"> mg/m</w:t>
                  </w:r>
                  <w:r>
                    <w:rPr>
                      <w:rFonts w:hint="eastAsia"/>
                      <w:b/>
                      <w:bCs/>
                      <w:color w:val="000000"/>
                      <w:szCs w:val="21"/>
                      <w:u w:val="single"/>
                      <w:vertAlign w:val="superscript"/>
                    </w:rPr>
                    <w:t>3</w:t>
                  </w:r>
                  <w:r>
                    <w:rPr>
                      <w:rFonts w:hint="eastAsia"/>
                      <w:b/>
                      <w:bCs/>
                      <w:color w:val="000000"/>
                      <w:szCs w:val="21"/>
                      <w:u w:val="single"/>
                    </w:rPr>
                    <w:t>、</w:t>
                  </w:r>
                  <w:r>
                    <w:rPr>
                      <w:b/>
                      <w:bCs/>
                      <w:color w:val="000000"/>
                      <w:szCs w:val="21"/>
                      <w:u w:val="single"/>
                    </w:rPr>
                    <w:t>TVOC为</w:t>
                  </w:r>
                  <w:r>
                    <w:rPr>
                      <w:rFonts w:hint="eastAsia"/>
                      <w:b/>
                      <w:bCs/>
                      <w:color w:val="000000"/>
                      <w:szCs w:val="21"/>
                      <w:u w:val="single"/>
                    </w:rPr>
                    <w:t>40-50</w:t>
                  </w:r>
                  <w:r>
                    <w:rPr>
                      <w:b/>
                      <w:bCs/>
                      <w:color w:val="000000"/>
                      <w:szCs w:val="21"/>
                      <w:u w:val="single"/>
                    </w:rPr>
                    <w:t>mg/m</w:t>
                  </w:r>
                  <w:r>
                    <w:rPr>
                      <w:b/>
                      <w:bCs/>
                      <w:color w:val="000000"/>
                      <w:szCs w:val="21"/>
                      <w:u w:val="single"/>
                      <w:vertAlign w:val="superscript"/>
                    </w:rPr>
                    <w:t>3</w:t>
                  </w:r>
                  <w:r>
                    <w:rPr>
                      <w:b/>
                      <w:bCs/>
                      <w:color w:val="000000"/>
                      <w:szCs w:val="21"/>
                      <w:u w:val="single"/>
                    </w:rPr>
                    <w:t>；</w:t>
                  </w:r>
                </w:p>
                <w:p>
                  <w:pPr>
                    <w:jc w:val="left"/>
                    <w:rPr>
                      <w:b/>
                      <w:bCs/>
                      <w:color w:val="000000"/>
                      <w:szCs w:val="21"/>
                      <w:u w:val="single"/>
                    </w:rPr>
                  </w:pPr>
                  <w:r>
                    <w:rPr>
                      <w:b/>
                      <w:bCs/>
                      <w:color w:val="000000"/>
                      <w:szCs w:val="21"/>
                      <w:u w:val="single"/>
                    </w:rPr>
                    <w:t>2、</w:t>
                  </w:r>
                  <w:r>
                    <w:rPr>
                      <w:b/>
                      <w:bCs/>
                      <w:color w:val="000000"/>
                      <w:szCs w:val="21"/>
                      <w:u w:val="single"/>
                    </w:rPr>
                    <w:tab/>
                  </w:r>
                  <w:r>
                    <w:rPr>
                      <w:b/>
                      <w:bCs/>
                      <w:color w:val="000000"/>
                      <w:szCs w:val="21"/>
                      <w:u w:val="single"/>
                    </w:rPr>
                    <w:t>厂区内无组织排放监控点NMHC的1h平均浓度值不高于6mg/m</w:t>
                  </w:r>
                  <w:r>
                    <w:rPr>
                      <w:b/>
                      <w:bCs/>
                      <w:color w:val="000000"/>
                      <w:szCs w:val="21"/>
                      <w:u w:val="single"/>
                      <w:vertAlign w:val="superscript"/>
                    </w:rPr>
                    <w:t>3</w:t>
                  </w:r>
                  <w:r>
                    <w:rPr>
                      <w:b/>
                      <w:bCs/>
                      <w:color w:val="000000"/>
                      <w:szCs w:val="21"/>
                      <w:u w:val="single"/>
                    </w:rPr>
                    <w:t>、任意一次浓度值不高于20mg/m</w:t>
                  </w:r>
                  <w:r>
                    <w:rPr>
                      <w:b/>
                      <w:bCs/>
                      <w:color w:val="000000"/>
                      <w:szCs w:val="21"/>
                      <w:u w:val="single"/>
                      <w:vertAlign w:val="superscript"/>
                    </w:rPr>
                    <w:t>3</w:t>
                  </w:r>
                  <w:r>
                    <w:rPr>
                      <w:b/>
                      <w:bCs/>
                      <w:color w:val="000000"/>
                      <w:szCs w:val="21"/>
                      <w:u w:val="single"/>
                    </w:rPr>
                    <w:t>；</w:t>
                  </w:r>
                </w:p>
                <w:p>
                  <w:pPr>
                    <w:jc w:val="left"/>
                    <w:rPr>
                      <w:b/>
                      <w:bCs/>
                      <w:color w:val="000000"/>
                      <w:szCs w:val="21"/>
                      <w:u w:val="single"/>
                    </w:rPr>
                  </w:pPr>
                  <w:r>
                    <w:rPr>
                      <w:b/>
                      <w:bCs/>
                      <w:color w:val="000000"/>
                      <w:szCs w:val="21"/>
                      <w:u w:val="single"/>
                    </w:rPr>
                    <w:t>3、</w:t>
                  </w:r>
                  <w:r>
                    <w:rPr>
                      <w:b/>
                      <w:bCs/>
                      <w:color w:val="000000"/>
                      <w:szCs w:val="21"/>
                      <w:u w:val="single"/>
                    </w:rPr>
                    <w:tab/>
                  </w:r>
                  <w:r>
                    <w:rPr>
                      <w:b/>
                      <w:bCs/>
                      <w:color w:val="000000"/>
                      <w:szCs w:val="21"/>
                      <w:u w:val="single"/>
                    </w:rPr>
                    <w:t>其他各项污染物稳定达到现行排放控制要求，并从严地方要</w:t>
                  </w:r>
                  <w:r>
                    <w:rPr>
                      <w:rFonts w:hint="eastAsia"/>
                      <w:b/>
                      <w:bCs/>
                      <w:color w:val="000000"/>
                      <w:szCs w:val="21"/>
                      <w:u w:val="single"/>
                    </w:rPr>
                    <w:t>求。</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rFonts w:hint="eastAsia"/>
                      <w:b/>
                      <w:bCs/>
                      <w:color w:val="000000"/>
                      <w:szCs w:val="21"/>
                      <w:u w:val="single"/>
                    </w:rPr>
                    <w:t>根据工程分析，项目</w:t>
                  </w:r>
                  <w:r>
                    <w:rPr>
                      <w:rFonts w:hint="eastAsia"/>
                      <w:b/>
                      <w:bCs/>
                      <w:color w:val="000000"/>
                      <w:szCs w:val="21"/>
                      <w:u w:val="single"/>
                      <w:lang w:val="en-US" w:eastAsia="zh-CN"/>
                    </w:rPr>
                    <w:t>印标、转印工序</w:t>
                  </w:r>
                  <w:r>
                    <w:rPr>
                      <w:rFonts w:hint="eastAsia"/>
                      <w:b/>
                      <w:bCs/>
                      <w:color w:val="000000"/>
                      <w:szCs w:val="21"/>
                      <w:u w:val="single"/>
                    </w:rPr>
                    <w:t xml:space="preserve">NMHC </w:t>
                  </w:r>
                  <w:r>
                    <w:rPr>
                      <w:rFonts w:hint="eastAsia"/>
                      <w:b/>
                      <w:bCs/>
                      <w:color w:val="000000"/>
                      <w:szCs w:val="21"/>
                      <w:u w:val="single"/>
                      <w:lang w:val="en-US" w:eastAsia="zh-CN"/>
                    </w:rPr>
                    <w:t>排放浓度为</w:t>
                  </w:r>
                  <w:r>
                    <w:rPr>
                      <w:rFonts w:hint="eastAsia"/>
                      <w:b/>
                      <w:bCs/>
                      <w:kern w:val="0"/>
                      <w:szCs w:val="21"/>
                      <w:u w:val="single"/>
                      <w:vertAlign w:val="baseline"/>
                      <w:lang w:val="en-US" w:eastAsia="zh-CN"/>
                    </w:rPr>
                    <w:t>2.33</w:t>
                  </w:r>
                  <w:r>
                    <w:rPr>
                      <w:b/>
                      <w:bCs/>
                      <w:kern w:val="0"/>
                      <w:szCs w:val="21"/>
                      <w:u w:val="single"/>
                    </w:rPr>
                    <w:t>mg/m</w:t>
                  </w:r>
                  <w:r>
                    <w:rPr>
                      <w:b/>
                      <w:bCs/>
                      <w:kern w:val="0"/>
                      <w:szCs w:val="21"/>
                      <w:u w:val="single"/>
                      <w:vertAlign w:val="superscript"/>
                    </w:rPr>
                    <w:t>3</w:t>
                  </w:r>
                  <w:r>
                    <w:rPr>
                      <w:rFonts w:hint="eastAsia"/>
                      <w:b/>
                      <w:bCs/>
                      <w:color w:val="000000"/>
                      <w:szCs w:val="21"/>
                      <w:u w:val="single"/>
                    </w:rPr>
                    <w:t>，治理设施同步运行率和去除率均满足要求。</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监测监控水平</w:t>
                  </w:r>
                </w:p>
              </w:tc>
              <w:tc>
                <w:tcPr>
                  <w:tcW w:w="4101" w:type="dxa"/>
                  <w:vAlign w:val="center"/>
                </w:tcPr>
                <w:p>
                  <w:pPr>
                    <w:jc w:val="left"/>
                    <w:rPr>
                      <w:b/>
                      <w:bCs/>
                      <w:color w:val="000000"/>
                      <w:szCs w:val="21"/>
                      <w:u w:val="single"/>
                    </w:rPr>
                  </w:pPr>
                  <w:r>
                    <w:rPr>
                      <w:b/>
                      <w:bCs/>
                      <w:color w:val="000000"/>
                      <w:szCs w:val="21"/>
                      <w:u w:val="single"/>
                    </w:rPr>
                    <w:t>1、</w:t>
                  </w:r>
                  <w:r>
                    <w:rPr>
                      <w:b/>
                      <w:bCs/>
                      <w:color w:val="000000"/>
                      <w:szCs w:val="21"/>
                      <w:u w:val="single"/>
                    </w:rPr>
                    <w:tab/>
                  </w:r>
                  <w:r>
                    <w:rPr>
                      <w:b/>
                      <w:bCs/>
                      <w:color w:val="000000"/>
                      <w:szCs w:val="21"/>
                      <w:u w:val="single"/>
                    </w:rPr>
                    <w:t>严格执行《排污许可证申请与核发技术规范印刷工业》（HJ 1066-2019）规定的自行监测管理要求；</w:t>
                  </w:r>
                </w:p>
                <w:p>
                  <w:pPr>
                    <w:jc w:val="left"/>
                    <w:rPr>
                      <w:b/>
                      <w:bCs/>
                      <w:color w:val="000000"/>
                      <w:szCs w:val="21"/>
                      <w:u w:val="single"/>
                    </w:rPr>
                  </w:pPr>
                  <w:r>
                    <w:rPr>
                      <w:b/>
                      <w:bCs/>
                      <w:color w:val="000000"/>
                      <w:szCs w:val="21"/>
                      <w:u w:val="single"/>
                    </w:rPr>
                    <w:t>2、</w:t>
                  </w:r>
                  <w:r>
                    <w:rPr>
                      <w:b/>
                      <w:bCs/>
                      <w:color w:val="000000"/>
                      <w:szCs w:val="21"/>
                      <w:u w:val="single"/>
                    </w:rPr>
                    <w:tab/>
                  </w:r>
                  <w:r>
                    <w:rPr>
                      <w:b/>
                      <w:bCs/>
                      <w:color w:val="000000"/>
                      <w:szCs w:val="21"/>
                      <w:u w:val="single"/>
                    </w:rPr>
                    <w:t>重点排污企业风量大于10000m</w:t>
                  </w:r>
                  <w:r>
                    <w:rPr>
                      <w:b/>
                      <w:bCs/>
                      <w:color w:val="000000"/>
                      <w:szCs w:val="21"/>
                      <w:u w:val="single"/>
                      <w:vertAlign w:val="superscript"/>
                    </w:rPr>
                    <w:t>3</w:t>
                  </w:r>
                  <w:r>
                    <w:rPr>
                      <w:b/>
                      <w:bCs/>
                      <w:color w:val="000000"/>
                      <w:szCs w:val="21"/>
                      <w:u w:val="single"/>
                    </w:rPr>
                    <w:t>/h的主要排放口安装 NMHC在线监测设施（FID检测器），自动监控数据保存一年以上；</w:t>
                  </w:r>
                </w:p>
                <w:p>
                  <w:pPr>
                    <w:jc w:val="left"/>
                    <w:rPr>
                      <w:b/>
                      <w:bCs/>
                      <w:color w:val="000000"/>
                      <w:szCs w:val="21"/>
                      <w:u w:val="single"/>
                    </w:rPr>
                  </w:pPr>
                  <w:r>
                    <w:rPr>
                      <w:b/>
                      <w:bCs/>
                      <w:color w:val="000000"/>
                      <w:szCs w:val="21"/>
                      <w:u w:val="single"/>
                    </w:rPr>
                    <w:t>3、</w:t>
                  </w:r>
                  <w:r>
                    <w:rPr>
                      <w:b/>
                      <w:bCs/>
                      <w:color w:val="000000"/>
                      <w:szCs w:val="21"/>
                      <w:u w:val="single"/>
                    </w:rPr>
                    <w:tab/>
                  </w:r>
                  <w:r>
                    <w:rPr>
                      <w:rFonts w:hint="eastAsia"/>
                      <w:b/>
                      <w:bCs/>
                      <w:color w:val="000000"/>
                      <w:szCs w:val="21"/>
                      <w:u w:val="single"/>
                    </w:rPr>
                    <w:t>安装DCS系统、仪器仪表等装置，连续测量并记录治理设施控制指标温度、压力（压差）、时间和频率值。再生式活性炭连续自动测量并记录温度、再生时间和更换周</w:t>
                  </w:r>
                </w:p>
                <w:p>
                  <w:pPr>
                    <w:jc w:val="left"/>
                    <w:rPr>
                      <w:b/>
                      <w:bCs/>
                      <w:color w:val="000000"/>
                      <w:szCs w:val="21"/>
                      <w:u w:val="single"/>
                    </w:rPr>
                  </w:pPr>
                  <w:r>
                    <w:rPr>
                      <w:rFonts w:hint="eastAsia"/>
                      <w:b/>
                      <w:bCs/>
                      <w:color w:val="000000"/>
                      <w:szCs w:val="21"/>
                      <w:u w:val="single"/>
                    </w:rPr>
                    <w:t>期；更换式活性炭记录温度、更换周期及更换量；数据保存一年以上</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bCs/>
                      <w:color w:val="000000"/>
                      <w:szCs w:val="21"/>
                      <w:u w:val="single"/>
                    </w:rPr>
                  </w:pPr>
                  <w:r>
                    <w:rPr>
                      <w:rFonts w:hint="eastAsia"/>
                      <w:b/>
                      <w:bCs/>
                      <w:color w:val="000000"/>
                      <w:szCs w:val="21"/>
                      <w:u w:val="single"/>
                    </w:rPr>
                    <w:t>本项目建成后执行《排污许可证申请与核发技术规范印刷工业》（HJ 1066-2019）规定的自行监测管理要求。本项目不属于重点排污企业，无需安装</w:t>
                  </w:r>
                  <w:r>
                    <w:rPr>
                      <w:b/>
                      <w:bCs/>
                      <w:color w:val="000000"/>
                      <w:szCs w:val="21"/>
                      <w:u w:val="single"/>
                    </w:rPr>
                    <w:t>在线监测设施</w:t>
                  </w:r>
                  <w:r>
                    <w:rPr>
                      <w:rFonts w:hint="eastAsia"/>
                      <w:b/>
                      <w:bCs/>
                      <w:color w:val="000000"/>
                      <w:szCs w:val="21"/>
                      <w:u w:val="single"/>
                    </w:rPr>
                    <w:t>。</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环境管理水平</w:t>
                  </w:r>
                </w:p>
              </w:tc>
              <w:tc>
                <w:tcPr>
                  <w:tcW w:w="4101" w:type="dxa"/>
                  <w:vAlign w:val="center"/>
                </w:tcPr>
                <w:p>
                  <w:pPr>
                    <w:jc w:val="left"/>
                    <w:rPr>
                      <w:b/>
                      <w:bCs/>
                      <w:color w:val="000000"/>
                      <w:szCs w:val="21"/>
                      <w:u w:val="single"/>
                    </w:rPr>
                  </w:pPr>
                  <w:r>
                    <w:rPr>
                      <w:b/>
                      <w:bCs/>
                      <w:color w:val="000000"/>
                      <w:szCs w:val="21"/>
                      <w:u w:val="single"/>
                    </w:rPr>
                    <w:t>环保档案齐全：1、环评批复文件；2、排污许可证及季度、年度执行报告；3、竣工验收文件；4、废气治理设施运行管理规程；5、一年内废气监测报告</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bCs/>
                      <w:color w:val="000000"/>
                      <w:szCs w:val="21"/>
                      <w:u w:val="single"/>
                    </w:rPr>
                  </w:pPr>
                  <w:r>
                    <w:rPr>
                      <w:rFonts w:hint="eastAsia"/>
                      <w:b/>
                      <w:bCs/>
                      <w:color w:val="000000"/>
                      <w:szCs w:val="21"/>
                      <w:u w:val="single"/>
                    </w:rPr>
                    <w:t>项目建成后按要求设置环保档案。</w:t>
                  </w:r>
                  <w:r>
                    <w:rPr>
                      <w:b/>
                      <w:bCs/>
                      <w:color w:val="000000"/>
                      <w:szCs w:val="21"/>
                      <w:u w:val="single"/>
                    </w:rPr>
                    <w:t>1、环评批复文件；2、排污许可证及季度、年度执行报告；3、竣工验收文件；4、废气治理设施运行管理规程；5、一年内废气监测报告</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p>
              </w:tc>
              <w:tc>
                <w:tcPr>
                  <w:tcW w:w="4101" w:type="dxa"/>
                  <w:vAlign w:val="center"/>
                </w:tcPr>
                <w:p>
                  <w:pPr>
                    <w:jc w:val="left"/>
                    <w:rPr>
                      <w:b/>
                      <w:bCs/>
                      <w:color w:val="000000"/>
                      <w:szCs w:val="21"/>
                      <w:u w:val="single"/>
                    </w:rPr>
                  </w:pPr>
                  <w:r>
                    <w:rPr>
                      <w:b/>
                      <w:bCs/>
                      <w:color w:val="000000"/>
                      <w:szCs w:val="21"/>
                      <w:u w:val="single"/>
                    </w:rPr>
                    <w:t>台账记录：1、生产设施运行管理信息（生产时间、运行负荷、产品产量等，必须具备近一年及以上所用油墨的固含量、VOCs含量、含水率（水性油墨）等信息的检测报告）；2、废气污染治理设施运行管理信息（燃烧室温度、冷凝温度、过滤材料更换频次、吸附剂更换频次、催化剂更换频次）；3、监测记录信息（主要污染排放口废气排放记录（手工监测和在线监测）等）；4、主要原辅材料消耗记录；5、燃料（天然气）消耗记录</w:t>
                  </w:r>
                  <w:r>
                    <w:rPr>
                      <w:rFonts w:hint="eastAsia"/>
                      <w:b/>
                      <w:bCs/>
                      <w:color w:val="000000"/>
                      <w:szCs w:val="21"/>
                      <w:u w:val="single"/>
                    </w:rPr>
                    <w:t>。</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rFonts w:hint="eastAsia"/>
                      <w:b/>
                      <w:bCs/>
                      <w:color w:val="000000"/>
                      <w:szCs w:val="21"/>
                      <w:u w:val="single"/>
                    </w:rPr>
                    <w:t>项目生产不使用天然气，按要求整理台账记录：1、生产设施运行管理信息；2、废气污染治理设施运行管理信息；3、监测记录信息；4、主要原辅材料消耗记录</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p>
              </w:tc>
              <w:tc>
                <w:tcPr>
                  <w:tcW w:w="4101" w:type="dxa"/>
                  <w:vAlign w:val="center"/>
                </w:tcPr>
                <w:p>
                  <w:pPr>
                    <w:jc w:val="left"/>
                    <w:rPr>
                      <w:b/>
                      <w:bCs/>
                      <w:color w:val="000000"/>
                      <w:szCs w:val="21"/>
                      <w:u w:val="single"/>
                    </w:rPr>
                  </w:pPr>
                  <w:r>
                    <w:rPr>
                      <w:b/>
                      <w:bCs/>
                      <w:color w:val="000000"/>
                      <w:szCs w:val="21"/>
                      <w:u w:val="single"/>
                    </w:rPr>
                    <w:t>人员配置：设置环保部门，配备专职环保人员，并具备相应的环境管理能力</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rFonts w:hint="eastAsia"/>
                      <w:b/>
                      <w:bCs/>
                      <w:color w:val="000000"/>
                      <w:szCs w:val="21"/>
                      <w:u w:val="single"/>
                    </w:rPr>
                    <w:t>项目设置环保部门，配备专职环保人员，并具备相应的环境管理能力</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运输方式</w:t>
                  </w:r>
                </w:p>
              </w:tc>
              <w:tc>
                <w:tcPr>
                  <w:tcW w:w="4101" w:type="dxa"/>
                  <w:vAlign w:val="center"/>
                </w:tcPr>
                <w:p>
                  <w:pPr>
                    <w:jc w:val="left"/>
                    <w:rPr>
                      <w:b/>
                      <w:bCs/>
                      <w:color w:val="000000"/>
                      <w:szCs w:val="21"/>
                      <w:u w:val="single"/>
                    </w:rPr>
                  </w:pPr>
                  <w:r>
                    <w:rPr>
                      <w:b/>
                      <w:bCs/>
                      <w:color w:val="000000"/>
                      <w:szCs w:val="21"/>
                      <w:u w:val="single"/>
                    </w:rPr>
                    <w:t>1、</w:t>
                  </w:r>
                  <w:r>
                    <w:rPr>
                      <w:b/>
                      <w:bCs/>
                      <w:color w:val="000000"/>
                      <w:szCs w:val="21"/>
                      <w:u w:val="single"/>
                    </w:rPr>
                    <w:tab/>
                  </w:r>
                  <w:r>
                    <w:rPr>
                      <w:b/>
                      <w:bCs/>
                      <w:color w:val="000000"/>
                      <w:szCs w:val="21"/>
                      <w:u w:val="single"/>
                    </w:rPr>
                    <w:t>物料公路运输</w:t>
                  </w:r>
                  <w:r>
                    <w:rPr>
                      <w:rFonts w:hint="eastAsia"/>
                      <w:b/>
                      <w:bCs/>
                      <w:color w:val="000000"/>
                      <w:szCs w:val="21"/>
                      <w:u w:val="single"/>
                    </w:rPr>
                    <w:t>全部</w:t>
                  </w:r>
                  <w:r>
                    <w:rPr>
                      <w:b/>
                      <w:bCs/>
                      <w:color w:val="000000"/>
                      <w:szCs w:val="21"/>
                      <w:u w:val="single"/>
                    </w:rPr>
                    <w:t>使用达到国五及以上排放标准重型载货车辆（含燃气）或新能源车辆；</w:t>
                  </w:r>
                </w:p>
                <w:p>
                  <w:pPr>
                    <w:jc w:val="left"/>
                    <w:rPr>
                      <w:b/>
                      <w:bCs/>
                      <w:color w:val="000000"/>
                      <w:szCs w:val="21"/>
                      <w:u w:val="single"/>
                    </w:rPr>
                  </w:pPr>
                  <w:r>
                    <w:rPr>
                      <w:b/>
                      <w:bCs/>
                      <w:color w:val="000000"/>
                      <w:szCs w:val="21"/>
                      <w:u w:val="single"/>
                    </w:rPr>
                    <w:t>2、</w:t>
                  </w:r>
                  <w:r>
                    <w:rPr>
                      <w:b/>
                      <w:bCs/>
                      <w:color w:val="000000"/>
                      <w:szCs w:val="21"/>
                      <w:u w:val="single"/>
                    </w:rPr>
                    <w:tab/>
                  </w:r>
                  <w:r>
                    <w:rPr>
                      <w:b/>
                      <w:bCs/>
                      <w:color w:val="000000"/>
                      <w:szCs w:val="21"/>
                      <w:u w:val="single"/>
                    </w:rPr>
                    <w:t>厂内运输</w:t>
                  </w:r>
                  <w:r>
                    <w:rPr>
                      <w:rFonts w:hint="eastAsia"/>
                      <w:b/>
                      <w:bCs/>
                      <w:color w:val="000000"/>
                      <w:szCs w:val="21"/>
                      <w:u w:val="single"/>
                    </w:rPr>
                    <w:t>车辆全部</w:t>
                  </w:r>
                  <w:r>
                    <w:rPr>
                      <w:b/>
                      <w:bCs/>
                      <w:color w:val="000000"/>
                      <w:szCs w:val="21"/>
                      <w:u w:val="single"/>
                    </w:rPr>
                    <w:t>达到国五及以上排放标准车辆（含燃气）或新能源车辆；</w:t>
                  </w:r>
                </w:p>
                <w:p>
                  <w:pPr>
                    <w:jc w:val="left"/>
                    <w:rPr>
                      <w:b/>
                      <w:bCs/>
                      <w:color w:val="000000"/>
                      <w:szCs w:val="21"/>
                      <w:u w:val="single"/>
                    </w:rPr>
                  </w:pPr>
                  <w:r>
                    <w:rPr>
                      <w:b/>
                      <w:bCs/>
                      <w:color w:val="000000"/>
                      <w:szCs w:val="21"/>
                      <w:u w:val="single"/>
                    </w:rPr>
                    <w:t>3、</w:t>
                  </w:r>
                  <w:r>
                    <w:rPr>
                      <w:b/>
                      <w:bCs/>
                      <w:color w:val="000000"/>
                      <w:szCs w:val="21"/>
                      <w:u w:val="single"/>
                    </w:rPr>
                    <w:tab/>
                  </w:r>
                  <w:r>
                    <w:rPr>
                      <w:b/>
                      <w:bCs/>
                      <w:color w:val="000000"/>
                      <w:szCs w:val="21"/>
                      <w:u w:val="single"/>
                    </w:rPr>
                    <w:t>厂内非道路移动机械</w:t>
                  </w:r>
                  <w:r>
                    <w:rPr>
                      <w:rFonts w:hint="eastAsia"/>
                      <w:b/>
                      <w:bCs/>
                      <w:color w:val="000000"/>
                      <w:szCs w:val="21"/>
                      <w:u w:val="single"/>
                    </w:rPr>
                    <w:t>全部</w:t>
                  </w:r>
                  <w:r>
                    <w:rPr>
                      <w:b/>
                      <w:bCs/>
                      <w:color w:val="000000"/>
                      <w:szCs w:val="21"/>
                      <w:u w:val="single"/>
                    </w:rPr>
                    <w:t>使用达到国三及以上排放标准或新能源机械</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b/>
                      <w:bCs/>
                      <w:color w:val="000000"/>
                      <w:szCs w:val="21"/>
                      <w:u w:val="single"/>
                    </w:rPr>
                    <w:t>1、物料公路运输使用达到国五及以上排放标准重型载货车辆（含燃气）或新能源车辆；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b/>
                      <w:bCs/>
                      <w:color w:val="000000"/>
                      <w:szCs w:val="21"/>
                      <w:u w:val="single"/>
                    </w:rPr>
                    <w:t>2、厂内运输使用达到国五及以上排放标准车辆（含燃气）或新能源车辆；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b/>
                      <w:bCs/>
                      <w:color w:val="000000"/>
                      <w:szCs w:val="21"/>
                      <w:u w:val="single"/>
                    </w:rPr>
                    <w:t>3、厂内非道路移动机械使用达到国三及以上排放标准或新能源机械</w:t>
                  </w:r>
                  <w:r>
                    <w:rPr>
                      <w:rFonts w:hint="eastAsia"/>
                      <w:b/>
                      <w:bCs/>
                      <w:color w:val="000000"/>
                      <w:szCs w:val="21"/>
                      <w:u w:val="single"/>
                    </w:rPr>
                    <w:t>。</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b/>
                      <w:bCs/>
                      <w:color w:val="000000"/>
                      <w:szCs w:val="21"/>
                      <w:u w:val="single"/>
                    </w:rPr>
                    <w:t>运输监管要求</w:t>
                  </w:r>
                </w:p>
              </w:tc>
              <w:tc>
                <w:tcPr>
                  <w:tcW w:w="4101" w:type="dxa"/>
                  <w:vAlign w:val="center"/>
                </w:tcPr>
                <w:p>
                  <w:pPr>
                    <w:jc w:val="left"/>
                    <w:rPr>
                      <w:b/>
                      <w:bCs/>
                      <w:color w:val="000000"/>
                      <w:szCs w:val="21"/>
                      <w:u w:val="single"/>
                    </w:rPr>
                  </w:pPr>
                  <w:r>
                    <w:rPr>
                      <w:b/>
                      <w:bCs/>
                      <w:color w:val="000000"/>
                      <w:szCs w:val="21"/>
                      <w:u w:val="single"/>
                    </w:rPr>
                    <w:t>参照《重污染天气重点行业移动源应急管理技术指南》建立门禁系统和电子台账</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bCs/>
                      <w:color w:val="000000"/>
                      <w:szCs w:val="21"/>
                      <w:u w:val="single"/>
                    </w:rPr>
                  </w:pPr>
                  <w:r>
                    <w:rPr>
                      <w:rFonts w:hint="eastAsia"/>
                      <w:b/>
                      <w:bCs/>
                      <w:szCs w:val="21"/>
                      <w:u w:val="single"/>
                    </w:rPr>
                    <w:t>本项目日均进出货物不足150吨，且非</w:t>
                  </w:r>
                  <w:r>
                    <w:rPr>
                      <w:rFonts w:hint="eastAsia" w:cs="宋体"/>
                      <w:b/>
                      <w:bCs/>
                      <w:color w:val="000000" w:themeColor="text1"/>
                      <w:u w:val="single"/>
                      <w14:textFill>
                        <w14:solidFill>
                          <w14:schemeClr w14:val="tx1"/>
                        </w14:solidFill>
                      </w14:textFill>
                    </w:rPr>
                    <w:t>我省重点行业年产值1000 万及以上的企业，无需建立门禁视频监控系统。项目建成后建立</w:t>
                  </w:r>
                  <w:r>
                    <w:rPr>
                      <w:b/>
                      <w:bCs/>
                      <w:color w:val="000000"/>
                      <w:szCs w:val="21"/>
                      <w:u w:val="single"/>
                    </w:rPr>
                    <w:t>电子台账</w:t>
                  </w:r>
                  <w:r>
                    <w:rPr>
                      <w:rFonts w:hint="eastAsia"/>
                      <w:b/>
                      <w:bCs/>
                      <w:color w:val="000000"/>
                      <w:szCs w:val="21"/>
                      <w:u w:val="single"/>
                    </w:rPr>
                    <w:t>。</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000000"/>
                      <w:szCs w:val="21"/>
                      <w:u w:val="single"/>
                    </w:rPr>
                  </w:pPr>
                  <w:r>
                    <w:rPr>
                      <w:rFonts w:hint="eastAsia"/>
                      <w:b/>
                      <w:bCs/>
                      <w:color w:val="000000"/>
                      <w:szCs w:val="21"/>
                      <w:u w:val="single"/>
                    </w:rPr>
                    <w:t>相符</w:t>
                  </w:r>
                </w:p>
              </w:tc>
            </w:tr>
          </w:tbl>
          <w:p>
            <w:pPr>
              <w:autoSpaceDE w:val="0"/>
              <w:autoSpaceDN w:val="0"/>
              <w:adjustRightInd w:val="0"/>
              <w:snapToGrid w:val="0"/>
              <w:spacing w:line="460" w:lineRule="exact"/>
              <w:ind w:firstLine="482" w:firstLineChars="200"/>
              <w:rPr>
                <w:b/>
                <w:bCs/>
                <w:color w:val="000000"/>
                <w:sz w:val="24"/>
                <w:szCs w:val="20"/>
                <w:u w:val="none"/>
              </w:rPr>
            </w:pPr>
            <w:r>
              <w:rPr>
                <w:rFonts w:hint="eastAsia"/>
                <w:b/>
                <w:bCs/>
                <w:sz w:val="24"/>
                <w:u w:val="single"/>
              </w:rPr>
              <w:t>由上表可知，项目的建设符合《重污染天气重点行业应急减排措施制定技术指南（2020年修订版）》（环办大气函〔2020〕340号）中“（三十一）包装印刷，（四）绩效分级指标”中“包装印刷行业绩效分级指标”的相关要求。</w:t>
            </w:r>
          </w:p>
          <w:p>
            <w:pPr>
              <w:pStyle w:val="3"/>
              <w:spacing w:before="0" w:after="0" w:line="460" w:lineRule="exact"/>
              <w:ind w:firstLine="482" w:firstLineChars="200"/>
              <w:rPr>
                <w:b/>
                <w:bCs/>
                <w:color w:val="000000"/>
                <w:sz w:val="24"/>
                <w:szCs w:val="24"/>
                <w:u w:val="single" w:color="auto"/>
              </w:rPr>
            </w:pPr>
            <w:r>
              <w:rPr>
                <w:rFonts w:hint="eastAsia"/>
                <w:b/>
                <w:bCs/>
                <w:color w:val="000000"/>
                <w:sz w:val="24"/>
                <w:szCs w:val="24"/>
                <w:u w:val="single" w:color="auto"/>
                <w:lang w:val="en-US" w:eastAsia="zh-CN"/>
              </w:rPr>
              <w:t>10</w:t>
            </w:r>
            <w:r>
              <w:rPr>
                <w:b/>
                <w:bCs/>
                <w:color w:val="000000"/>
                <w:sz w:val="24"/>
                <w:szCs w:val="24"/>
                <w:u w:val="single" w:color="auto"/>
              </w:rPr>
              <w:t>、与《偃师</w:t>
            </w:r>
            <w:r>
              <w:rPr>
                <w:rFonts w:hint="eastAsia"/>
                <w:b/>
                <w:bCs/>
                <w:color w:val="000000"/>
                <w:sz w:val="24"/>
                <w:szCs w:val="24"/>
                <w:u w:val="single" w:color="auto"/>
                <w:lang w:val="en-US" w:eastAsia="zh-CN"/>
              </w:rPr>
              <w:t>区2022</w:t>
            </w:r>
            <w:r>
              <w:rPr>
                <w:b/>
                <w:bCs/>
                <w:color w:val="000000"/>
                <w:sz w:val="24"/>
                <w:szCs w:val="24"/>
                <w:u w:val="single" w:color="auto"/>
              </w:rPr>
              <w:t>年挥发性有机物</w:t>
            </w:r>
            <w:r>
              <w:rPr>
                <w:rFonts w:hint="eastAsia"/>
                <w:b/>
                <w:bCs/>
                <w:color w:val="000000"/>
                <w:sz w:val="24"/>
                <w:szCs w:val="24"/>
                <w:u w:val="single" w:color="auto"/>
                <w:lang w:val="en-US" w:eastAsia="zh-CN"/>
              </w:rPr>
              <w:t>防治实施</w:t>
            </w:r>
            <w:r>
              <w:rPr>
                <w:b/>
                <w:bCs/>
                <w:color w:val="000000"/>
                <w:sz w:val="24"/>
                <w:szCs w:val="24"/>
                <w:u w:val="single" w:color="auto"/>
              </w:rPr>
              <w:t>方案</w:t>
            </w:r>
            <w:r>
              <w:rPr>
                <w:rFonts w:hint="eastAsia"/>
                <w:b/>
                <w:bCs/>
                <w:color w:val="000000"/>
                <w:sz w:val="24"/>
                <w:szCs w:val="24"/>
                <w:u w:val="single" w:color="auto"/>
              </w:rPr>
              <w:t>》（偃环攻坚办〔</w:t>
            </w:r>
            <w:r>
              <w:rPr>
                <w:rFonts w:hint="eastAsia"/>
                <w:b/>
                <w:bCs/>
                <w:color w:val="000000"/>
                <w:sz w:val="24"/>
                <w:szCs w:val="24"/>
                <w:u w:val="single" w:color="auto"/>
                <w:lang w:val="en-US" w:eastAsia="zh-CN"/>
              </w:rPr>
              <w:t>2022</w:t>
            </w:r>
            <w:r>
              <w:rPr>
                <w:rFonts w:hint="eastAsia"/>
                <w:b/>
                <w:bCs/>
                <w:color w:val="000000"/>
                <w:sz w:val="24"/>
                <w:szCs w:val="24"/>
                <w:u w:val="single" w:color="auto"/>
              </w:rPr>
              <w:t>〕</w:t>
            </w:r>
            <w:r>
              <w:rPr>
                <w:rFonts w:hint="eastAsia"/>
                <w:b/>
                <w:bCs/>
                <w:color w:val="000000"/>
                <w:sz w:val="24"/>
                <w:szCs w:val="24"/>
                <w:u w:val="single" w:color="auto"/>
                <w:lang w:val="en-US" w:eastAsia="zh-CN"/>
              </w:rPr>
              <w:t>7</w:t>
            </w:r>
            <w:r>
              <w:rPr>
                <w:rFonts w:hint="eastAsia"/>
                <w:b/>
                <w:bCs/>
                <w:color w:val="000000"/>
                <w:sz w:val="24"/>
                <w:szCs w:val="24"/>
                <w:u w:val="single" w:color="auto"/>
              </w:rPr>
              <w:t>号）</w:t>
            </w:r>
            <w:r>
              <w:rPr>
                <w:b/>
                <w:bCs/>
                <w:color w:val="000000"/>
                <w:sz w:val="24"/>
                <w:szCs w:val="24"/>
                <w:u w:val="single" w:color="auto"/>
              </w:rPr>
              <w:t>相符性分析</w:t>
            </w:r>
          </w:p>
          <w:p>
            <w:pPr>
              <w:spacing w:line="460" w:lineRule="exact"/>
              <w:ind w:firstLine="482" w:firstLineChars="200"/>
              <w:rPr>
                <w:b/>
                <w:bCs/>
                <w:u w:val="single" w:color="auto"/>
              </w:rPr>
            </w:pPr>
            <w:r>
              <w:rPr>
                <w:b/>
                <w:bCs/>
                <w:color w:val="000000"/>
                <w:sz w:val="24"/>
                <w:u w:val="single" w:color="auto"/>
              </w:rPr>
              <w:t>本项目与之相符性分析详见下表。</w:t>
            </w:r>
          </w:p>
          <w:p>
            <w:pPr>
              <w:pStyle w:val="5"/>
              <w:numPr>
                <w:ilvl w:val="0"/>
                <w:numId w:val="0"/>
              </w:numPr>
              <w:ind w:left="420" w:leftChars="200"/>
              <w:rPr>
                <w:b/>
                <w:bCs/>
                <w:color w:val="000000"/>
                <w:u w:val="single" w:color="auto"/>
              </w:rPr>
            </w:pPr>
            <w:r>
              <w:rPr>
                <w:rFonts w:hint="eastAsia"/>
                <w:b/>
                <w:bCs/>
                <w:color w:val="000000"/>
                <w:u w:val="single" w:color="auto"/>
              </w:rPr>
              <w:t>表</w:t>
            </w:r>
            <w:r>
              <w:rPr>
                <w:rFonts w:hint="eastAsia"/>
                <w:b/>
                <w:bCs/>
                <w:color w:val="000000"/>
                <w:u w:val="single" w:color="auto"/>
                <w:lang w:val="en-US" w:eastAsia="zh-CN"/>
              </w:rPr>
              <w:t xml:space="preserve">6 </w:t>
            </w:r>
            <w:r>
              <w:rPr>
                <w:rFonts w:hint="eastAsia"/>
                <w:b/>
                <w:bCs/>
                <w:color w:val="000000"/>
                <w:u w:val="single" w:color="auto"/>
              </w:rPr>
              <w:t xml:space="preserve">      </w:t>
            </w:r>
            <w:r>
              <w:rPr>
                <w:b/>
                <w:bCs/>
                <w:color w:val="000000"/>
                <w:u w:val="single" w:color="auto"/>
              </w:rPr>
              <w:t>项目与</w:t>
            </w:r>
            <w:r>
              <w:rPr>
                <w:rFonts w:hint="eastAsia"/>
                <w:b/>
                <w:bCs/>
                <w:color w:val="000000"/>
                <w:sz w:val="24"/>
                <w:szCs w:val="24"/>
                <w:u w:val="single" w:color="auto"/>
              </w:rPr>
              <w:t>偃环攻坚办〔</w:t>
            </w:r>
            <w:r>
              <w:rPr>
                <w:rFonts w:hint="eastAsia"/>
                <w:b/>
                <w:bCs/>
                <w:color w:val="000000"/>
                <w:sz w:val="24"/>
                <w:szCs w:val="24"/>
                <w:u w:val="single" w:color="auto"/>
                <w:lang w:val="en-US" w:eastAsia="zh-CN"/>
              </w:rPr>
              <w:t>2022</w:t>
            </w:r>
            <w:r>
              <w:rPr>
                <w:rFonts w:hint="eastAsia"/>
                <w:b/>
                <w:bCs/>
                <w:color w:val="000000"/>
                <w:sz w:val="24"/>
                <w:szCs w:val="24"/>
                <w:u w:val="single" w:color="auto"/>
              </w:rPr>
              <w:t>〕</w:t>
            </w:r>
            <w:r>
              <w:rPr>
                <w:rFonts w:hint="eastAsia"/>
                <w:b/>
                <w:bCs/>
                <w:color w:val="000000"/>
                <w:sz w:val="24"/>
                <w:szCs w:val="24"/>
                <w:u w:val="single" w:color="auto"/>
                <w:lang w:val="en-US" w:eastAsia="zh-CN"/>
              </w:rPr>
              <w:t>7</w:t>
            </w:r>
            <w:r>
              <w:rPr>
                <w:rFonts w:hint="eastAsia"/>
                <w:b/>
                <w:bCs/>
                <w:color w:val="000000"/>
                <w:sz w:val="24"/>
                <w:szCs w:val="24"/>
                <w:u w:val="single" w:color="auto"/>
              </w:rPr>
              <w:t>号</w:t>
            </w:r>
            <w:r>
              <w:rPr>
                <w:b/>
                <w:bCs/>
                <w:color w:val="000000"/>
                <w:u w:val="single" w:color="auto"/>
              </w:rPr>
              <w:t>相符性分析</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4305"/>
              <w:gridCol w:w="1968"/>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196" w:type="pct"/>
                  <w:gridSpan w:val="2"/>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r>
                    <w:rPr>
                      <w:b/>
                      <w:bCs/>
                      <w:color w:val="000000"/>
                      <w:szCs w:val="21"/>
                      <w:u w:val="single" w:color="auto"/>
                    </w:rPr>
                    <w:t>文件要求</w:t>
                  </w:r>
                </w:p>
              </w:tc>
              <w:tc>
                <w:tcPr>
                  <w:tcW w:w="1221" w:type="pct"/>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r>
                    <w:rPr>
                      <w:b/>
                      <w:bCs/>
                      <w:color w:val="000000"/>
                      <w:szCs w:val="21"/>
                      <w:u w:val="single" w:color="auto"/>
                    </w:rPr>
                    <w:t>项目情况</w:t>
                  </w:r>
                </w:p>
              </w:tc>
              <w:tc>
                <w:tcPr>
                  <w:tcW w:w="581" w:type="pct"/>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r>
                    <w:rPr>
                      <w:b/>
                      <w:bCs/>
                      <w:color w:val="000000"/>
                      <w:szCs w:val="21"/>
                      <w:u w:val="single" w:color="auto"/>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26" w:type="pct"/>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eastAsia="宋体"/>
                      <w:b/>
                      <w:bCs/>
                      <w:color w:val="000000"/>
                      <w:szCs w:val="21"/>
                      <w:u w:val="single" w:color="auto"/>
                      <w:lang w:val="en-US" w:eastAsia="zh-CN"/>
                    </w:rPr>
                  </w:pPr>
                  <w:r>
                    <w:rPr>
                      <w:rFonts w:hint="eastAsia" w:ascii="宋体" w:hAnsi="宋体" w:cs="宋体"/>
                      <w:b/>
                      <w:bCs/>
                      <w:color w:val="000000"/>
                      <w:u w:val="single" w:color="auto"/>
                    </w:rPr>
                    <w:t>（</w:t>
                  </w:r>
                  <w:r>
                    <w:rPr>
                      <w:rFonts w:hint="eastAsia" w:ascii="宋体" w:hAnsi="宋体" w:cs="宋体"/>
                      <w:b/>
                      <w:bCs/>
                      <w:color w:val="000000"/>
                      <w:u w:val="single" w:color="auto"/>
                      <w:lang w:val="en-US" w:eastAsia="zh-CN"/>
                    </w:rPr>
                    <w:t>二</w:t>
                  </w:r>
                  <w:r>
                    <w:rPr>
                      <w:rFonts w:hint="eastAsia" w:ascii="宋体" w:hAnsi="宋体" w:cs="宋体"/>
                      <w:b/>
                      <w:bCs/>
                      <w:color w:val="000000"/>
                      <w:u w:val="single" w:color="auto"/>
                    </w:rPr>
                    <w:t>）</w:t>
                  </w:r>
                  <w:r>
                    <w:rPr>
                      <w:rFonts w:hint="eastAsia"/>
                      <w:b/>
                      <w:bCs/>
                      <w:color w:val="000000"/>
                      <w:szCs w:val="21"/>
                      <w:u w:val="single" w:color="auto"/>
                    </w:rPr>
                    <w:t>强化无组织排放过程控制</w:t>
                  </w:r>
                </w:p>
              </w:tc>
              <w:tc>
                <w:tcPr>
                  <w:tcW w:w="2670" w:type="pct"/>
                  <w:vAlign w:val="center"/>
                </w:tcPr>
                <w:p>
                  <w:pPr>
                    <w:keepNext w:val="0"/>
                    <w:keepLines w:val="0"/>
                    <w:pageBreakBefore w:val="0"/>
                    <w:widowControl w:val="0"/>
                    <w:kinsoku/>
                    <w:wordWrap/>
                    <w:overflowPunct/>
                    <w:topLinePunct w:val="0"/>
                    <w:bidi w:val="0"/>
                    <w:spacing w:line="320" w:lineRule="exact"/>
                    <w:textAlignment w:val="auto"/>
                    <w:rPr>
                      <w:rFonts w:hint="eastAsia" w:eastAsia="宋体"/>
                      <w:b/>
                      <w:bCs/>
                      <w:color w:val="000000"/>
                      <w:szCs w:val="21"/>
                      <w:u w:val="single" w:color="auto"/>
                      <w:lang w:eastAsia="zh-CN"/>
                    </w:rPr>
                  </w:pPr>
                  <w:r>
                    <w:rPr>
                      <w:rFonts w:hint="eastAsia"/>
                      <w:b/>
                      <w:bCs/>
                      <w:color w:val="000000"/>
                      <w:szCs w:val="21"/>
                      <w:u w:val="single" w:color="auto"/>
                    </w:rPr>
                    <w:t>4.加强无组织排放废气收集</w:t>
                  </w:r>
                  <w:r>
                    <w:rPr>
                      <w:rFonts w:hint="eastAsia"/>
                      <w:b/>
                      <w:bCs/>
                      <w:color w:val="000000"/>
                      <w:szCs w:val="21"/>
                      <w:u w:val="single" w:color="auto"/>
                      <w:lang w:eastAsia="zh-CN"/>
                    </w:rPr>
                    <w:t>。</w:t>
                  </w:r>
                  <w:r>
                    <w:rPr>
                      <w:rFonts w:hint="eastAsia"/>
                      <w:b/>
                      <w:bCs/>
                      <w:color w:val="000000"/>
                      <w:szCs w:val="21"/>
                      <w:u w:val="single" w:color="auto"/>
                    </w:rPr>
                    <w:t>产生VOCs的生产环节优先采用密闭设备、在密闭空间中操作或采用全密闭集气罩收集方式,并保持负压运行。无尘等级要求需设置成正压的车间，要建设内层正压、外层微负压的双层整体密闭收集空间：对釆用局部收集方式的企业，距废气收集系统排风罩开口面最远处的VOCs无组织排放位置控制风速不低于0.3m/s;推广以生产线或设备为单位设置隔间，收集风量应确保隔间保持微负压。废气收集系统的输送管道应密闭、无破损。涂料、油墨、胶粘剂等间歇性生产工序较多的行业应对进出料、物籽输送、搅拌、固液分离、干燥、灌装、取样等过程采取密闭化措施，提升工艺装备水平；含VOCs物料输送原则上采用重力流或泵送方式；有机液体进料应采用底部、浸入管给料方式；固体物料投加逐步推进釆用密闭式投料装</w:t>
                  </w:r>
                  <w:r>
                    <w:rPr>
                      <w:rFonts w:hint="eastAsia"/>
                      <w:b/>
                      <w:bCs/>
                      <w:color w:val="000000"/>
                      <w:szCs w:val="21"/>
                      <w:u w:val="single" w:color="auto"/>
                      <w:lang w:eastAsia="zh-CN"/>
                    </w:rPr>
                    <w:t>。</w:t>
                  </w:r>
                </w:p>
              </w:tc>
              <w:tc>
                <w:tcPr>
                  <w:tcW w:w="1221" w:type="pct"/>
                  <w:vAlign w:val="center"/>
                </w:tcPr>
                <w:p>
                  <w:pPr>
                    <w:keepNext w:val="0"/>
                    <w:keepLines w:val="0"/>
                    <w:pageBreakBefore w:val="0"/>
                    <w:widowControl w:val="0"/>
                    <w:kinsoku/>
                    <w:wordWrap/>
                    <w:overflowPunct/>
                    <w:topLinePunct w:val="0"/>
                    <w:bidi w:val="0"/>
                    <w:spacing w:line="320" w:lineRule="exact"/>
                    <w:textAlignment w:val="auto"/>
                    <w:rPr>
                      <w:b/>
                      <w:bCs/>
                      <w:color w:val="000000"/>
                      <w:u w:val="single" w:color="auto"/>
                    </w:rPr>
                  </w:pPr>
                  <w:r>
                    <w:rPr>
                      <w:rFonts w:hint="eastAsia"/>
                      <w:b/>
                      <w:bCs/>
                      <w:color w:val="000000" w:themeColor="text1"/>
                      <w:highlight w:val="none"/>
                      <w:u w:val="single" w:color="auto"/>
                      <w14:textFill>
                        <w14:solidFill>
                          <w14:schemeClr w14:val="tx1"/>
                        </w14:solidFill>
                      </w14:textFill>
                    </w:rPr>
                    <w:t>项目车间</w:t>
                  </w:r>
                  <w:r>
                    <w:rPr>
                      <w:rFonts w:hint="eastAsia"/>
                      <w:b/>
                      <w:bCs/>
                      <w:color w:val="000000" w:themeColor="text1"/>
                      <w:highlight w:val="none"/>
                      <w:u w:val="single" w:color="auto"/>
                      <w:lang w:val="en-US" w:eastAsia="zh-CN"/>
                      <w14:textFill>
                        <w14:solidFill>
                          <w14:schemeClr w14:val="tx1"/>
                        </w14:solidFill>
                      </w14:textFill>
                    </w:rPr>
                    <w:t>四面密闭</w:t>
                  </w:r>
                  <w:r>
                    <w:rPr>
                      <w:rFonts w:hint="eastAsia"/>
                      <w:b/>
                      <w:bCs/>
                      <w:color w:val="000000" w:themeColor="text1"/>
                      <w:highlight w:val="none"/>
                      <w:u w:val="single" w:color="auto"/>
                      <w14:textFill>
                        <w14:solidFill>
                          <w14:schemeClr w14:val="tx1"/>
                        </w14:solidFill>
                      </w14:textFill>
                    </w:rPr>
                    <w:t>，</w:t>
                  </w:r>
                  <w:r>
                    <w:rPr>
                      <w:rFonts w:hint="eastAsia" w:ascii="Times New Roman" w:hAnsi="Times New Roman" w:eastAsia="宋体" w:cs="Times New Roman"/>
                      <w:b/>
                      <w:bCs/>
                      <w:sz w:val="21"/>
                      <w:szCs w:val="21"/>
                      <w:highlight w:val="none"/>
                      <w:u w:val="single" w:color="auto"/>
                      <w:lang w:val="en-US" w:eastAsia="zh-CN"/>
                    </w:rPr>
                    <w:t>对产生VOCs的工序进行二次封闭（集气罩口四周加装软帘，长度覆盖至污染源产生位置下方），控制无组织VOCs的排放。有机废气经过“UV光氧催化+活性炭吸附”处理后达标排放</w:t>
                  </w:r>
                  <w:r>
                    <w:rPr>
                      <w:rFonts w:hint="eastAsia"/>
                      <w:b/>
                      <w:bCs/>
                      <w:color w:val="000000" w:themeColor="text1"/>
                      <w:highlight w:val="none"/>
                      <w:u w:val="single" w:color="auto"/>
                      <w14:textFill>
                        <w14:solidFill>
                          <w14:schemeClr w14:val="tx1"/>
                        </w14:solidFill>
                      </w14:textFill>
                    </w:rPr>
                    <w:t>，风速大于0.3米/秒</w:t>
                  </w:r>
                  <w:r>
                    <w:rPr>
                      <w:rFonts w:hint="eastAsia"/>
                      <w:b/>
                      <w:bCs/>
                      <w:color w:val="000000" w:themeColor="text1"/>
                      <w:highlight w:val="none"/>
                      <w:u w:val="single" w:color="auto"/>
                      <w:lang w:eastAsia="zh-CN"/>
                      <w14:textFill>
                        <w14:solidFill>
                          <w14:schemeClr w14:val="tx1"/>
                        </w14:solidFill>
                      </w14:textFill>
                    </w:rPr>
                    <w:t>。</w:t>
                  </w:r>
                </w:p>
              </w:tc>
              <w:tc>
                <w:tcPr>
                  <w:tcW w:w="581" w:type="pct"/>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r>
                    <w:rPr>
                      <w:b/>
                      <w:bCs/>
                      <w:color w:val="000000"/>
                      <w:szCs w:val="21"/>
                      <w:u w:val="single" w:color="auto"/>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jc w:val="center"/>
              </w:trPr>
              <w:tc>
                <w:tcPr>
                  <w:tcW w:w="849" w:type="dxa"/>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u w:val="single" w:color="auto"/>
                    </w:rPr>
                  </w:pPr>
                  <w:r>
                    <w:rPr>
                      <w:rFonts w:hint="eastAsia" w:ascii="宋体" w:hAnsi="宋体" w:cs="宋体"/>
                      <w:b/>
                      <w:bCs/>
                      <w:color w:val="000000"/>
                      <w:u w:val="single" w:color="auto"/>
                      <w:lang w:eastAsia="zh-CN"/>
                    </w:rPr>
                    <w:t>（</w:t>
                  </w:r>
                  <w:r>
                    <w:rPr>
                      <w:rFonts w:hint="eastAsia" w:ascii="宋体" w:hAnsi="宋体" w:cs="宋体"/>
                      <w:b/>
                      <w:bCs/>
                      <w:color w:val="000000"/>
                      <w:u w:val="single" w:color="auto"/>
                      <w:lang w:val="en-US" w:eastAsia="zh-CN"/>
                    </w:rPr>
                    <w:t>三</w:t>
                  </w:r>
                  <w:r>
                    <w:rPr>
                      <w:rFonts w:hint="eastAsia" w:ascii="宋体" w:hAnsi="宋体" w:cs="宋体"/>
                      <w:b/>
                      <w:bCs/>
                      <w:color w:val="000000"/>
                      <w:u w:val="single" w:color="auto"/>
                      <w:lang w:eastAsia="zh-CN"/>
                    </w:rPr>
                    <w:t>）</w:t>
                  </w:r>
                  <w:r>
                    <w:rPr>
                      <w:rFonts w:hint="eastAsia" w:ascii="宋体" w:hAnsi="宋体" w:cs="宋体"/>
                      <w:b/>
                      <w:bCs/>
                      <w:color w:val="000000"/>
                      <w:u w:val="single" w:color="auto"/>
                      <w:lang w:val="en-US" w:eastAsia="zh-CN"/>
                    </w:rPr>
                    <w:t>强化工业企业</w:t>
                  </w:r>
                  <w:r>
                    <w:rPr>
                      <w:rFonts w:hint="eastAsia" w:ascii="Times New Roman" w:hAnsi="Times New Roman" w:cs="Times New Roman"/>
                      <w:b/>
                      <w:bCs/>
                      <w:color w:val="000000"/>
                      <w:szCs w:val="21"/>
                      <w:u w:val="single" w:color="auto"/>
                      <w:lang w:val="en-US" w:eastAsia="zh-CN"/>
                    </w:rPr>
                    <w:t>VOCs</w:t>
                  </w:r>
                  <w:r>
                    <w:rPr>
                      <w:rFonts w:hint="eastAsia" w:cs="Times New Roman"/>
                      <w:b/>
                      <w:bCs/>
                      <w:color w:val="000000"/>
                      <w:szCs w:val="21"/>
                      <w:u w:val="single" w:color="auto"/>
                      <w:lang w:val="en-US" w:eastAsia="zh-CN"/>
                    </w:rPr>
                    <w:t>治理</w:t>
                  </w:r>
                </w:p>
              </w:tc>
              <w:tc>
                <w:tcPr>
                  <w:tcW w:w="4304" w:type="dxa"/>
                  <w:vAlign w:val="center"/>
                </w:tcPr>
                <w:p>
                  <w:pPr>
                    <w:keepNext w:val="0"/>
                    <w:keepLines w:val="0"/>
                    <w:pageBreakBefore w:val="0"/>
                    <w:widowControl w:val="0"/>
                    <w:kinsoku/>
                    <w:wordWrap/>
                    <w:overflowPunct/>
                    <w:topLinePunct w:val="0"/>
                    <w:bidi w:val="0"/>
                    <w:spacing w:line="320" w:lineRule="exact"/>
                    <w:textAlignment w:val="auto"/>
                    <w:rPr>
                      <w:b/>
                      <w:bCs/>
                      <w:color w:val="000000"/>
                      <w:szCs w:val="21"/>
                      <w:u w:val="single" w:color="auto"/>
                    </w:rPr>
                  </w:pPr>
                  <w:r>
                    <w:rPr>
                      <w:rFonts w:hint="eastAsia"/>
                      <w:b/>
                      <w:bCs/>
                      <w:color w:val="000000"/>
                      <w:szCs w:val="21"/>
                      <w:u w:val="single" w:color="auto"/>
                      <w:lang w:val="en-US" w:eastAsia="zh-CN"/>
                    </w:rPr>
                    <w:t>9</w:t>
                  </w:r>
                  <w:r>
                    <w:rPr>
                      <w:rFonts w:hint="eastAsia"/>
                      <w:b/>
                      <w:bCs/>
                      <w:color w:val="000000"/>
                      <w:szCs w:val="21"/>
                      <w:u w:val="single" w:color="auto"/>
                    </w:rPr>
                    <w:t>、全面淘汰低效治理设施。</w:t>
                  </w:r>
                  <w:r>
                    <w:rPr>
                      <w:rFonts w:hint="eastAsia"/>
                      <w:b/>
                      <w:bCs/>
                      <w:color w:val="000000"/>
                      <w:szCs w:val="21"/>
                      <w:u w:val="single" w:color="auto"/>
                      <w:lang w:val="en-US" w:eastAsia="zh-CN"/>
                    </w:rPr>
                    <w:t>各镇（街道）</w:t>
                  </w:r>
                  <w:r>
                    <w:rPr>
                      <w:rFonts w:hint="eastAsia"/>
                      <w:b/>
                      <w:bCs/>
                      <w:color w:val="000000"/>
                      <w:szCs w:val="21"/>
                      <w:u w:val="single" w:color="auto"/>
                    </w:rPr>
                    <w:t>进一步排查单一低温等离子、光氧化、光催化、一次性活性炭吸附以及非水溶性 VOCs 废气采用单一喷淋吸收等低效治理技术，对于治理成效差、无法稳定达标排放的涉VOCs 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 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 m²/g（BET法）。一次性活性炭吸附工艺宜采用颗粒活性炭作为吸附剂。</w:t>
                  </w:r>
                </w:p>
              </w:tc>
              <w:tc>
                <w:tcPr>
                  <w:tcW w:w="1221" w:type="pct"/>
                  <w:vAlign w:val="center"/>
                </w:tcPr>
                <w:p>
                  <w:pPr>
                    <w:keepNext w:val="0"/>
                    <w:keepLines w:val="0"/>
                    <w:pageBreakBefore w:val="0"/>
                    <w:widowControl w:val="0"/>
                    <w:kinsoku/>
                    <w:wordWrap/>
                    <w:overflowPunct/>
                    <w:topLinePunct w:val="0"/>
                    <w:bidi w:val="0"/>
                    <w:spacing w:line="320" w:lineRule="exact"/>
                    <w:textAlignment w:val="auto"/>
                    <w:rPr>
                      <w:b/>
                      <w:bCs/>
                      <w:color w:val="000000"/>
                      <w:szCs w:val="21"/>
                      <w:u w:val="single" w:color="auto"/>
                    </w:rPr>
                  </w:pPr>
                  <w:r>
                    <w:rPr>
                      <w:rFonts w:hint="eastAsia" w:ascii="Times New Roman" w:hAnsi="Times New Roman" w:eastAsia="宋体" w:cs="Times New Roman"/>
                      <w:b/>
                      <w:bCs/>
                      <w:color w:val="000000"/>
                      <w:highlight w:val="none"/>
                      <w:u w:val="single" w:color="auto"/>
                      <w:lang w:val="en-US" w:eastAsia="zh-CN"/>
                    </w:rPr>
                    <w:t>项目产生的废气经</w:t>
                  </w:r>
                  <w:r>
                    <w:rPr>
                      <w:rFonts w:hint="eastAsia" w:cs="Times New Roman"/>
                      <w:b/>
                      <w:bCs/>
                      <w:color w:val="000000"/>
                      <w:kern w:val="2"/>
                      <w:sz w:val="21"/>
                      <w:szCs w:val="24"/>
                      <w:highlight w:val="none"/>
                      <w:u w:val="single" w:color="auto"/>
                      <w:lang w:val="en-US" w:eastAsia="zh-CN"/>
                    </w:rPr>
                    <w:t>收集后进入</w:t>
                  </w:r>
                  <w:r>
                    <w:rPr>
                      <w:rFonts w:hint="eastAsia"/>
                      <w:b/>
                      <w:bCs/>
                      <w:kern w:val="0"/>
                      <w:u w:val="single" w:color="auto"/>
                    </w:rPr>
                    <w:t>“UV光氧+活性炭吸附</w:t>
                  </w:r>
                  <w:r>
                    <w:rPr>
                      <w:rFonts w:hint="eastAsia"/>
                      <w:b/>
                      <w:bCs/>
                      <w:kern w:val="0"/>
                      <w:u w:val="single" w:color="auto"/>
                      <w:lang w:val="en-US" w:eastAsia="zh-CN"/>
                    </w:rPr>
                    <w:t>装置</w:t>
                  </w:r>
                  <w:r>
                    <w:rPr>
                      <w:rFonts w:hint="eastAsia"/>
                      <w:b/>
                      <w:bCs/>
                      <w:kern w:val="0"/>
                      <w:u w:val="single" w:color="auto"/>
                    </w:rPr>
                    <w:t>”</w:t>
                  </w:r>
                  <w:r>
                    <w:rPr>
                      <w:rFonts w:hint="eastAsia" w:cs="Times New Roman"/>
                      <w:b/>
                      <w:bCs/>
                      <w:color w:val="000000"/>
                      <w:kern w:val="2"/>
                      <w:sz w:val="21"/>
                      <w:szCs w:val="24"/>
                      <w:highlight w:val="none"/>
                      <w:u w:val="single" w:color="auto"/>
                      <w:lang w:val="en-US" w:eastAsia="zh-CN"/>
                    </w:rPr>
                    <w:t>处理后排放</w:t>
                  </w:r>
                  <w:r>
                    <w:rPr>
                      <w:rFonts w:hint="eastAsia" w:ascii="Times New Roman" w:hAnsi="Times New Roman" w:eastAsia="宋体" w:cs="Times New Roman"/>
                      <w:b/>
                      <w:bCs/>
                      <w:color w:val="000000"/>
                      <w:highlight w:val="none"/>
                      <w:u w:val="single" w:color="auto"/>
                      <w:lang w:val="en-US" w:eastAsia="zh-CN"/>
                    </w:rPr>
                    <w:t>，废活性炭更换后分类暂存至危废暂存间，</w:t>
                  </w:r>
                  <w:r>
                    <w:rPr>
                      <w:rFonts w:hint="default" w:ascii="Times New Roman" w:hAnsi="Times New Roman" w:eastAsia="宋体" w:cs="Times New Roman"/>
                      <w:b/>
                      <w:bCs/>
                      <w:color w:val="000000"/>
                      <w:sz w:val="21"/>
                      <w:szCs w:val="21"/>
                      <w:highlight w:val="none"/>
                      <w:u w:val="single" w:color="auto"/>
                      <w:lang w:val="en-US" w:eastAsia="zh-CN"/>
                    </w:rPr>
                    <w:t>交有资质的单位处理处置</w:t>
                  </w:r>
                  <w:r>
                    <w:rPr>
                      <w:rFonts w:hint="eastAsia" w:ascii="Times New Roman" w:hAnsi="Times New Roman" w:eastAsia="宋体" w:cs="Times New Roman"/>
                      <w:b/>
                      <w:bCs/>
                      <w:color w:val="000000"/>
                      <w:sz w:val="21"/>
                      <w:szCs w:val="21"/>
                      <w:highlight w:val="none"/>
                      <w:u w:val="single" w:color="auto"/>
                      <w:lang w:val="en-US" w:eastAsia="zh-CN"/>
                    </w:rPr>
                    <w:t>；本项目</w:t>
                  </w:r>
                  <w:r>
                    <w:rPr>
                      <w:rFonts w:hint="default" w:ascii="Times New Roman" w:hAnsi="Times New Roman" w:eastAsia="宋体" w:cs="Times New Roman"/>
                      <w:b/>
                      <w:bCs/>
                      <w:color w:val="000000"/>
                      <w:sz w:val="21"/>
                      <w:szCs w:val="21"/>
                      <w:highlight w:val="none"/>
                      <w:u w:val="single" w:color="auto"/>
                      <w:lang w:val="en-US" w:eastAsia="zh-CN"/>
                    </w:rPr>
                    <w:t>采用颗粒活性炭作为吸附剂时，其碘值不低于800mg/g</w:t>
                  </w:r>
                  <w:r>
                    <w:rPr>
                      <w:rFonts w:hint="eastAsia" w:ascii="Times New Roman" w:hAnsi="Times New Roman" w:eastAsia="宋体" w:cs="Times New Roman"/>
                      <w:b/>
                      <w:bCs/>
                      <w:color w:val="000000"/>
                      <w:sz w:val="21"/>
                      <w:szCs w:val="21"/>
                      <w:highlight w:val="none"/>
                      <w:u w:val="single" w:color="auto"/>
                      <w:lang w:val="en-US" w:eastAsia="zh-CN"/>
                    </w:rPr>
                    <w:t>，</w:t>
                  </w:r>
                  <w:r>
                    <w:rPr>
                      <w:rFonts w:hint="eastAsia" w:ascii="Times New Roman" w:hAnsi="Times New Roman" w:eastAsia="宋体" w:cs="Times New Roman"/>
                      <w:b/>
                      <w:bCs/>
                      <w:snapToGrid w:val="0"/>
                      <w:u w:val="single" w:color="auto"/>
                      <w:lang w:val="en-US" w:eastAsia="zh-CN"/>
                    </w:rPr>
                    <w:t>并定期进行更换。</w:t>
                  </w:r>
                </w:p>
              </w:tc>
              <w:tc>
                <w:tcPr>
                  <w:tcW w:w="581" w:type="pct"/>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r>
                    <w:rPr>
                      <w:b/>
                      <w:bCs/>
                      <w:color w:val="000000"/>
                      <w:szCs w:val="21"/>
                      <w:u w:val="single" w:color="auto"/>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49" w:type="dxa"/>
                  <w:vAlign w:val="center"/>
                </w:tcPr>
                <w:p>
                  <w:pPr>
                    <w:keepNext w:val="0"/>
                    <w:keepLines w:val="0"/>
                    <w:pageBreakBefore w:val="0"/>
                    <w:widowControl w:val="0"/>
                    <w:kinsoku/>
                    <w:wordWrap/>
                    <w:overflowPunct/>
                    <w:topLinePunct w:val="0"/>
                    <w:bidi w:val="0"/>
                    <w:spacing w:line="320" w:lineRule="exact"/>
                    <w:jc w:val="center"/>
                    <w:textAlignment w:val="auto"/>
                    <w:rPr>
                      <w:rFonts w:hint="eastAsia" w:ascii="宋体" w:hAnsi="宋体" w:cs="宋体"/>
                      <w:b/>
                      <w:bCs/>
                      <w:color w:val="000000"/>
                      <w:u w:val="single" w:color="auto"/>
                      <w:lang w:eastAsia="zh-CN"/>
                    </w:rPr>
                  </w:pPr>
                  <w:r>
                    <w:rPr>
                      <w:rFonts w:hint="eastAsia" w:ascii="宋体" w:hAnsi="宋体" w:cs="宋体"/>
                      <w:b/>
                      <w:bCs/>
                      <w:color w:val="000000"/>
                      <w:u w:val="single" w:color="auto"/>
                      <w:lang w:eastAsia="zh-CN"/>
                    </w:rPr>
                    <w:t>（</w:t>
                  </w:r>
                  <w:r>
                    <w:rPr>
                      <w:rFonts w:hint="eastAsia" w:ascii="宋体" w:hAnsi="宋体" w:cs="宋体"/>
                      <w:b/>
                      <w:bCs/>
                      <w:color w:val="000000"/>
                      <w:u w:val="single" w:color="auto"/>
                      <w:lang w:val="en-US" w:eastAsia="zh-CN"/>
                    </w:rPr>
                    <w:t>五</w:t>
                  </w:r>
                  <w:r>
                    <w:rPr>
                      <w:rFonts w:hint="eastAsia" w:ascii="宋体" w:hAnsi="宋体" w:cs="宋体"/>
                      <w:b/>
                      <w:bCs/>
                      <w:color w:val="000000"/>
                      <w:u w:val="single" w:color="auto"/>
                      <w:lang w:eastAsia="zh-CN"/>
                    </w:rPr>
                    <w:t>）</w:t>
                  </w:r>
                  <w:r>
                    <w:rPr>
                      <w:rFonts w:hint="eastAsia" w:ascii="宋体" w:hAnsi="宋体" w:cs="宋体"/>
                      <w:b/>
                      <w:bCs/>
                      <w:color w:val="000000"/>
                      <w:u w:val="single" w:color="auto"/>
                      <w:lang w:val="en-US" w:eastAsia="zh-CN"/>
                    </w:rPr>
                    <w:t>完善监测监控体系</w:t>
                  </w:r>
                </w:p>
              </w:tc>
              <w:tc>
                <w:tcPr>
                  <w:tcW w:w="4304" w:type="dxa"/>
                  <w:vAlign w:val="center"/>
                </w:tcPr>
                <w:p>
                  <w:pPr>
                    <w:keepNext w:val="0"/>
                    <w:keepLines w:val="0"/>
                    <w:pageBreakBefore w:val="0"/>
                    <w:widowControl w:val="0"/>
                    <w:kinsoku/>
                    <w:wordWrap/>
                    <w:overflowPunct/>
                    <w:topLinePunct w:val="0"/>
                    <w:bidi w:val="0"/>
                    <w:spacing w:line="320" w:lineRule="exact"/>
                    <w:jc w:val="left"/>
                    <w:textAlignment w:val="auto"/>
                    <w:rPr>
                      <w:rFonts w:hint="eastAsia"/>
                      <w:b/>
                      <w:bCs/>
                      <w:color w:val="000000"/>
                      <w:szCs w:val="21"/>
                      <w:u w:val="single" w:color="auto"/>
                    </w:rPr>
                  </w:pPr>
                  <w:r>
                    <w:rPr>
                      <w:rFonts w:hint="eastAsia"/>
                      <w:b/>
                      <w:bCs/>
                      <w:snapToGrid w:val="0"/>
                      <w:szCs w:val="21"/>
                      <w:u w:val="single" w:color="auto"/>
                      <w:lang w:val="en-US" w:eastAsia="zh-CN"/>
                    </w:rPr>
                    <w:t>13</w:t>
                  </w:r>
                  <w:r>
                    <w:rPr>
                      <w:rFonts w:hint="eastAsia"/>
                      <w:b/>
                      <w:bCs/>
                      <w:snapToGrid w:val="0"/>
                      <w:szCs w:val="21"/>
                      <w:u w:val="single" w:color="auto"/>
                    </w:rPr>
                    <w:t>、开展监测工作。</w:t>
                  </w:r>
                  <w:r>
                    <w:rPr>
                      <w:rFonts w:hint="eastAsia"/>
                      <w:b/>
                      <w:bCs/>
                      <w:snapToGrid w:val="0"/>
                      <w:szCs w:val="21"/>
                      <w:u w:val="single" w:color="auto"/>
                      <w:lang w:val="en-US" w:eastAsia="zh-CN"/>
                    </w:rPr>
                    <w:t>...</w:t>
                  </w:r>
                  <w:r>
                    <w:rPr>
                      <w:rFonts w:hint="eastAsia"/>
                      <w:b/>
                      <w:bCs/>
                      <w:snapToGrid w:val="0"/>
                      <w:szCs w:val="21"/>
                      <w:u w:val="single" w:color="auto"/>
                    </w:rPr>
                    <w:t>进一步加强排查，对挥发性有机物排污单位风量大于10000m</w:t>
                  </w:r>
                  <w:r>
                    <w:rPr>
                      <w:rFonts w:hint="eastAsia"/>
                      <w:b/>
                      <w:bCs/>
                      <w:snapToGrid w:val="0"/>
                      <w:szCs w:val="21"/>
                      <w:u w:val="single" w:color="auto"/>
                      <w:vertAlign w:val="superscript"/>
                      <w:lang w:val="en-US" w:eastAsia="zh-CN"/>
                    </w:rPr>
                    <w:t>3</w:t>
                  </w:r>
                  <w:r>
                    <w:rPr>
                      <w:rFonts w:hint="eastAsia"/>
                      <w:b/>
                      <w:bCs/>
                      <w:snapToGrid w:val="0"/>
                      <w:szCs w:val="21"/>
                      <w:u w:val="single" w:color="auto"/>
                    </w:rPr>
                    <w:t>/h或挥发性有机物产生量大于2kg/h 以上的主要排放口须安装非甲烷总烃在线监测设施（FID 检测器）。</w:t>
                  </w:r>
                </w:p>
              </w:tc>
              <w:tc>
                <w:tcPr>
                  <w:tcW w:w="1968" w:type="dxa"/>
                  <w:vAlign w:val="center"/>
                </w:tcPr>
                <w:p>
                  <w:pPr>
                    <w:keepNext w:val="0"/>
                    <w:keepLines w:val="0"/>
                    <w:pageBreakBefore w:val="0"/>
                    <w:widowControl w:val="0"/>
                    <w:kinsoku/>
                    <w:wordWrap/>
                    <w:overflowPunct/>
                    <w:topLinePunct w:val="0"/>
                    <w:bidi w:val="0"/>
                    <w:spacing w:line="320" w:lineRule="exact"/>
                    <w:jc w:val="left"/>
                    <w:textAlignment w:val="auto"/>
                    <w:rPr>
                      <w:rFonts w:hint="eastAsia" w:ascii="Times New Roman" w:hAnsi="Times New Roman" w:eastAsia="宋体" w:cs="Times New Roman"/>
                      <w:b/>
                      <w:bCs/>
                      <w:color w:val="000000"/>
                      <w:highlight w:val="none"/>
                      <w:u w:val="single" w:color="auto"/>
                      <w:lang w:val="en-US" w:eastAsia="zh-CN"/>
                    </w:rPr>
                  </w:pPr>
                  <w:r>
                    <w:rPr>
                      <w:rFonts w:hint="eastAsia"/>
                      <w:b/>
                      <w:bCs/>
                      <w:color w:val="000000"/>
                      <w:u w:val="single" w:color="auto"/>
                      <w:lang w:val="en-US" w:eastAsia="zh-CN"/>
                    </w:rPr>
                    <w:t>根据《排污许可证申请与核发技术规范 橡胶和塑料制品工业(HJ1122—2020)》，本项</w:t>
                  </w:r>
                  <w:r>
                    <w:rPr>
                      <w:rFonts w:hint="eastAsia"/>
                      <w:b/>
                      <w:bCs/>
                      <w:color w:val="000000"/>
                      <w:u w:val="single" w:color="auto"/>
                    </w:rPr>
                    <w:t>目</w:t>
                  </w:r>
                  <w:r>
                    <w:rPr>
                      <w:rFonts w:hint="eastAsia"/>
                      <w:b/>
                      <w:bCs/>
                      <w:color w:val="000000"/>
                      <w:u w:val="single" w:color="auto"/>
                      <w:lang w:val="en-US" w:eastAsia="zh-CN"/>
                    </w:rPr>
                    <w:t>废气排放口为一般排放口，无需安装</w:t>
                  </w:r>
                  <w:r>
                    <w:rPr>
                      <w:rFonts w:hint="default" w:ascii="Times New Roman" w:hAnsi="Times New Roman" w:eastAsia="宋体" w:cs="Times New Roman"/>
                      <w:b/>
                      <w:bCs/>
                      <w:color w:val="000000"/>
                      <w:sz w:val="21"/>
                      <w:szCs w:val="21"/>
                      <w:highlight w:val="none"/>
                      <w:u w:val="single" w:color="auto"/>
                      <w:lang w:val="en-US" w:eastAsia="zh-CN"/>
                    </w:rPr>
                    <w:t>在线监测设施</w:t>
                  </w:r>
                  <w:r>
                    <w:rPr>
                      <w:rFonts w:hint="eastAsia"/>
                      <w:b/>
                      <w:bCs/>
                      <w:color w:val="000000"/>
                      <w:u w:val="single" w:color="auto"/>
                    </w:rPr>
                    <w:t>。</w:t>
                  </w:r>
                </w:p>
              </w:tc>
              <w:tc>
                <w:tcPr>
                  <w:tcW w:w="581" w:type="pct"/>
                  <w:vAlign w:val="center"/>
                </w:tcPr>
                <w:p>
                  <w:pPr>
                    <w:keepNext w:val="0"/>
                    <w:keepLines w:val="0"/>
                    <w:pageBreakBefore w:val="0"/>
                    <w:widowControl w:val="0"/>
                    <w:kinsoku/>
                    <w:wordWrap/>
                    <w:overflowPunct/>
                    <w:topLinePunct w:val="0"/>
                    <w:bidi w:val="0"/>
                    <w:spacing w:line="320" w:lineRule="exact"/>
                    <w:jc w:val="center"/>
                    <w:textAlignment w:val="auto"/>
                    <w:rPr>
                      <w:b/>
                      <w:bCs/>
                      <w:color w:val="000000"/>
                      <w:szCs w:val="21"/>
                      <w:u w:val="single" w:color="auto"/>
                    </w:rPr>
                  </w:pPr>
                </w:p>
              </w:tc>
            </w:tr>
          </w:tbl>
          <w:p>
            <w:pPr>
              <w:adjustRightInd w:val="0"/>
              <w:snapToGrid w:val="0"/>
              <w:spacing w:line="460" w:lineRule="exact"/>
              <w:ind w:firstLine="482" w:firstLineChars="200"/>
              <w:textAlignment w:val="baseline"/>
              <w:rPr>
                <w:sz w:val="24"/>
                <w:u w:val="none"/>
              </w:rPr>
            </w:pPr>
            <w:r>
              <w:rPr>
                <w:b/>
                <w:bCs/>
                <w:color w:val="000000"/>
                <w:sz w:val="24"/>
                <w:u w:val="single" w:color="auto"/>
              </w:rPr>
              <w:t>由上表可知</w:t>
            </w:r>
            <w:r>
              <w:rPr>
                <w:b/>
                <w:bCs/>
                <w:color w:val="000000"/>
                <w:kern w:val="0"/>
                <w:sz w:val="24"/>
                <w:u w:val="single" w:color="auto"/>
              </w:rPr>
              <w:t>，项目的建设符合《偃师</w:t>
            </w:r>
            <w:r>
              <w:rPr>
                <w:rFonts w:hint="eastAsia"/>
                <w:b/>
                <w:bCs/>
                <w:color w:val="000000"/>
                <w:kern w:val="0"/>
                <w:sz w:val="24"/>
                <w:u w:val="single" w:color="auto"/>
                <w:lang w:val="en-US" w:eastAsia="zh-CN"/>
              </w:rPr>
              <w:t>区2022</w:t>
            </w:r>
            <w:r>
              <w:rPr>
                <w:b/>
                <w:bCs/>
                <w:color w:val="000000"/>
                <w:kern w:val="0"/>
                <w:sz w:val="24"/>
                <w:u w:val="single" w:color="auto"/>
              </w:rPr>
              <w:t>年挥发性有机物</w:t>
            </w:r>
            <w:r>
              <w:rPr>
                <w:rFonts w:hint="eastAsia"/>
                <w:b/>
                <w:bCs/>
                <w:color w:val="000000"/>
                <w:kern w:val="0"/>
                <w:sz w:val="24"/>
                <w:u w:val="single" w:color="auto"/>
                <w:lang w:val="en-US" w:eastAsia="zh-CN"/>
              </w:rPr>
              <w:t>防治实施</w:t>
            </w:r>
            <w:r>
              <w:rPr>
                <w:b/>
                <w:bCs/>
                <w:color w:val="000000"/>
                <w:kern w:val="0"/>
                <w:sz w:val="24"/>
                <w:u w:val="single" w:color="auto"/>
              </w:rPr>
              <w:t>方案</w:t>
            </w:r>
            <w:r>
              <w:rPr>
                <w:rFonts w:hint="eastAsia"/>
                <w:b/>
                <w:bCs/>
                <w:color w:val="000000"/>
                <w:kern w:val="0"/>
                <w:sz w:val="24"/>
                <w:u w:val="single" w:color="auto"/>
              </w:rPr>
              <w:t>》（偃环攻坚办〔</w:t>
            </w:r>
            <w:r>
              <w:rPr>
                <w:rFonts w:hint="eastAsia"/>
                <w:b/>
                <w:bCs/>
                <w:color w:val="000000"/>
                <w:kern w:val="0"/>
                <w:sz w:val="24"/>
                <w:u w:val="single" w:color="auto"/>
                <w:lang w:val="en-US" w:eastAsia="zh-CN"/>
              </w:rPr>
              <w:t>2022</w:t>
            </w:r>
            <w:r>
              <w:rPr>
                <w:rFonts w:hint="eastAsia"/>
                <w:b/>
                <w:bCs/>
                <w:color w:val="000000"/>
                <w:kern w:val="0"/>
                <w:sz w:val="24"/>
                <w:u w:val="single" w:color="auto"/>
              </w:rPr>
              <w:t>〕</w:t>
            </w:r>
            <w:r>
              <w:rPr>
                <w:rFonts w:hint="eastAsia"/>
                <w:b/>
                <w:bCs/>
                <w:color w:val="000000"/>
                <w:kern w:val="0"/>
                <w:sz w:val="24"/>
                <w:u w:val="single" w:color="auto"/>
                <w:lang w:val="en-US" w:eastAsia="zh-CN"/>
              </w:rPr>
              <w:t>7</w:t>
            </w:r>
            <w:r>
              <w:rPr>
                <w:rFonts w:hint="eastAsia"/>
                <w:b/>
                <w:bCs/>
                <w:color w:val="000000"/>
                <w:kern w:val="0"/>
                <w:sz w:val="24"/>
                <w:u w:val="single" w:color="auto"/>
              </w:rPr>
              <w:t>号）</w:t>
            </w:r>
            <w:r>
              <w:rPr>
                <w:b/>
                <w:bCs/>
                <w:color w:val="000000"/>
                <w:kern w:val="0"/>
                <w:sz w:val="24"/>
                <w:u w:val="single" w:color="auto"/>
              </w:rPr>
              <w:t>的有关规定。</w:t>
            </w:r>
          </w:p>
        </w:tc>
      </w:tr>
    </w:tbl>
    <w:p>
      <w:pPr>
        <w:spacing w:line="360" w:lineRule="auto"/>
        <w:rPr>
          <w:rFonts w:eastAsia="黑体"/>
          <w:sz w:val="30"/>
        </w:rPr>
        <w:sectPr>
          <w:footerReference r:id="rId3" w:type="default"/>
          <w:pgSz w:w="11906" w:h="16838"/>
          <w:pgMar w:top="1134" w:right="1417" w:bottom="1134" w:left="1417" w:header="851" w:footer="1077" w:gutter="0"/>
          <w:pgNumType w:fmt="numberInDash" w:start="1"/>
          <w:cols w:space="720" w:num="1"/>
          <w:docGrid w:linePitch="312" w:charSpace="0"/>
        </w:sectPr>
      </w:pPr>
    </w:p>
    <w:p>
      <w:pPr>
        <w:spacing w:beforeLines="50" w:afterLines="50"/>
        <w:outlineLvl w:val="0"/>
        <w:rPr>
          <w:rFonts w:eastAsia="黑体"/>
          <w:b/>
          <w:bCs/>
          <w:sz w:val="30"/>
          <w:szCs w:val="30"/>
        </w:rPr>
      </w:pPr>
      <w:r>
        <w:rPr>
          <w:rFonts w:eastAsia="黑体"/>
          <w:b/>
          <w:bCs/>
          <w:sz w:val="30"/>
          <w:szCs w:val="30"/>
        </w:rPr>
        <w:t>二、建设项目工程分析</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5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852" w:hRule="atLeast"/>
          <w:jc w:val="center"/>
        </w:trPr>
        <w:tc>
          <w:tcPr>
            <w:tcW w:w="751" w:type="dxa"/>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ascii="Times New Roman" w:hAnsi="Times New Roman"/>
                <w:b/>
                <w:bCs/>
                <w:szCs w:val="24"/>
              </w:rPr>
              <w:t>建设内容</w:t>
            </w:r>
          </w:p>
        </w:tc>
        <w:tc>
          <w:tcPr>
            <w:tcW w:w="8531" w:type="dxa"/>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sz w:val="24"/>
              </w:rPr>
            </w:pPr>
            <w:r>
              <w:rPr>
                <w:rFonts w:hint="eastAsia" w:ascii="Times New Roman" w:hAnsi="Times New Roman" w:eastAsia="宋体" w:cs="Times New Roman"/>
                <w:i w:val="0"/>
                <w:iCs w:val="0"/>
                <w:sz w:val="24"/>
                <w:szCs w:val="24"/>
                <w:u w:val="none"/>
                <w:lang w:eastAsia="zh-CN"/>
              </w:rPr>
              <w:t>偃师市山化镇盛达鞋垫厂位于洛阳市偃师</w:t>
            </w:r>
            <w:r>
              <w:rPr>
                <w:rFonts w:hint="eastAsia" w:ascii="Times New Roman" w:hAnsi="Times New Roman" w:eastAsia="宋体" w:cs="Times New Roman"/>
                <w:i w:val="0"/>
                <w:iCs w:val="0"/>
                <w:sz w:val="24"/>
                <w:szCs w:val="24"/>
                <w:u w:val="none"/>
                <w:lang w:val="en-US" w:eastAsia="zh-CN"/>
              </w:rPr>
              <w:t>区</w:t>
            </w:r>
            <w:r>
              <w:rPr>
                <w:rFonts w:hint="eastAsia" w:ascii="Times New Roman" w:hAnsi="Times New Roman" w:eastAsia="宋体" w:cs="Times New Roman"/>
                <w:i w:val="0"/>
                <w:iCs w:val="0"/>
                <w:sz w:val="24"/>
                <w:szCs w:val="24"/>
                <w:u w:val="none"/>
                <w:lang w:eastAsia="zh-CN"/>
              </w:rPr>
              <w:t>山化镇东屯村</w:t>
            </w:r>
            <w:r>
              <w:rPr>
                <w:rFonts w:hint="eastAsia"/>
                <w:sz w:val="24"/>
              </w:rPr>
              <w:t>，</w:t>
            </w:r>
            <w:r>
              <w:rPr>
                <w:sz w:val="24"/>
              </w:rPr>
              <w:t>主要从事</w:t>
            </w:r>
            <w:r>
              <w:rPr>
                <w:rFonts w:hint="eastAsia"/>
                <w:sz w:val="24"/>
                <w:lang w:val="en-US" w:eastAsia="zh-CN"/>
              </w:rPr>
              <w:t>鞋垫</w:t>
            </w:r>
            <w:r>
              <w:rPr>
                <w:sz w:val="24"/>
              </w:rPr>
              <w:t>的生产</w:t>
            </w:r>
            <w:r>
              <w:rPr>
                <w:rFonts w:hint="eastAsia"/>
                <w:sz w:val="24"/>
                <w:lang w:val="en-US" w:eastAsia="zh-CN"/>
              </w:rPr>
              <w:t>及</w:t>
            </w:r>
            <w:r>
              <w:rPr>
                <w:rFonts w:hint="eastAsia"/>
                <w:sz w:val="24"/>
              </w:rPr>
              <w:t>销售。为了满足市场需求，</w:t>
            </w:r>
            <w:r>
              <w:rPr>
                <w:rFonts w:hint="eastAsia" w:ascii="Times New Roman" w:hAnsi="Times New Roman" w:eastAsia="宋体" w:cs="Times New Roman"/>
                <w:i w:val="0"/>
                <w:iCs w:val="0"/>
                <w:sz w:val="24"/>
                <w:szCs w:val="24"/>
                <w:u w:val="none"/>
                <w:lang w:eastAsia="zh-CN"/>
              </w:rPr>
              <w:t>偃师市山化镇盛达鞋垫厂</w:t>
            </w:r>
            <w:r>
              <w:rPr>
                <w:rFonts w:hint="eastAsia" w:cs="Times New Roman"/>
                <w:i w:val="0"/>
                <w:iCs w:val="0"/>
                <w:sz w:val="24"/>
                <w:szCs w:val="24"/>
                <w:u w:val="none"/>
                <w:lang w:val="en-US" w:eastAsia="zh-CN"/>
              </w:rPr>
              <w:t>租赁现有闲置厂房</w:t>
            </w:r>
            <w:r>
              <w:rPr>
                <w:rFonts w:hint="eastAsia"/>
                <w:sz w:val="24"/>
              </w:rPr>
              <w:t>，投资</w:t>
            </w:r>
            <w:r>
              <w:rPr>
                <w:rFonts w:hint="eastAsia"/>
                <w:sz w:val="24"/>
                <w:lang w:val="en-US" w:eastAsia="zh-CN"/>
              </w:rPr>
              <w:t>60</w:t>
            </w:r>
            <w:r>
              <w:rPr>
                <w:rFonts w:hint="eastAsia"/>
                <w:sz w:val="24"/>
              </w:rPr>
              <w:t>万建设年产</w:t>
            </w:r>
            <w:r>
              <w:rPr>
                <w:rFonts w:hint="eastAsia"/>
                <w:sz w:val="24"/>
                <w:lang w:val="en-US" w:eastAsia="zh-CN"/>
              </w:rPr>
              <w:t>500</w:t>
            </w:r>
            <w:r>
              <w:rPr>
                <w:rFonts w:hint="eastAsia"/>
                <w:sz w:val="24"/>
              </w:rPr>
              <w:t>万</w:t>
            </w:r>
            <w:r>
              <w:rPr>
                <w:rFonts w:hint="eastAsia"/>
                <w:sz w:val="24"/>
                <w:lang w:val="en-US" w:eastAsia="zh-CN"/>
              </w:rPr>
              <w:t>鞋垫项</w:t>
            </w:r>
            <w:r>
              <w:rPr>
                <w:rFonts w:hint="eastAsia"/>
                <w:sz w:val="24"/>
              </w:rPr>
              <w:t>目。</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不在鼓励类、限制类和淘汰类项目之列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2020</w:t>
            </w:r>
            <w:r>
              <w:rPr>
                <w:rFonts w:hint="eastAsia"/>
                <w:color w:val="000000"/>
                <w:sz w:val="24"/>
              </w:rPr>
              <w:t>年</w:t>
            </w:r>
            <w:r>
              <w:rPr>
                <w:rFonts w:hint="eastAsia"/>
                <w:color w:val="000000"/>
                <w:sz w:val="24"/>
                <w:lang w:val="en-US" w:eastAsia="zh-CN"/>
              </w:rPr>
              <w:t>12</w:t>
            </w:r>
            <w:r>
              <w:rPr>
                <w:rFonts w:hint="eastAsia"/>
                <w:color w:val="000000"/>
                <w:sz w:val="24"/>
              </w:rPr>
              <w:t>月</w:t>
            </w:r>
            <w:r>
              <w:rPr>
                <w:rFonts w:hint="eastAsia"/>
                <w:color w:val="000000"/>
                <w:sz w:val="24"/>
                <w:lang w:val="en-US" w:eastAsia="zh-CN"/>
              </w:rPr>
              <w:t>21</w:t>
            </w:r>
            <w:r>
              <w:rPr>
                <w:rFonts w:hint="eastAsia"/>
                <w:color w:val="000000"/>
                <w:sz w:val="24"/>
              </w:rPr>
              <w:t>日在洛阳市偃师区发展和改革委员会进行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sz w:val="24"/>
                <w:highlight w:val="none"/>
                <w:lang w:val="en-US" w:eastAsia="zh-CN"/>
              </w:rPr>
              <w:t>2020-410381-19-03-101836</w:t>
            </w:r>
            <w:r>
              <w:rPr>
                <w:color w:val="000000"/>
                <w:sz w:val="24"/>
              </w:rPr>
              <w:t>（附件</w:t>
            </w:r>
            <w:r>
              <w:rPr>
                <w:rFonts w:hint="eastAsia"/>
                <w:color w:val="000000"/>
                <w:sz w:val="24"/>
              </w:rPr>
              <w:t>2</w:t>
            </w:r>
            <w:r>
              <w:rPr>
                <w:color w:val="000000"/>
                <w:sz w:val="24"/>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b/>
                <w:bCs/>
                <w:color w:val="000000"/>
                <w:sz w:val="24"/>
                <w:u w:val="single"/>
              </w:rPr>
              <w:t>“</w:t>
            </w:r>
            <w:r>
              <w:rPr>
                <w:rFonts w:hint="eastAsia"/>
                <w:b/>
                <w:bCs/>
                <w:color w:val="000000"/>
                <w:sz w:val="24"/>
                <w:u w:val="single"/>
                <w:lang w:val="en-US" w:eastAsia="zh-CN"/>
              </w:rPr>
              <w:t>二</w:t>
            </w:r>
            <w:r>
              <w:rPr>
                <w:rFonts w:eastAsia="宋体"/>
                <w:b/>
                <w:bCs/>
                <w:sz w:val="24"/>
                <w:szCs w:val="24"/>
                <w:u w:val="single"/>
              </w:rPr>
              <w:t>十六、</w:t>
            </w:r>
            <w:r>
              <w:rPr>
                <w:rFonts w:hint="eastAsia"/>
                <w:b/>
                <w:bCs/>
                <w:sz w:val="24"/>
                <w:szCs w:val="24"/>
                <w:u w:val="single"/>
                <w:lang w:val="en-US" w:eastAsia="zh-CN"/>
              </w:rPr>
              <w:t>橡胶和塑料制品业2</w:t>
            </w:r>
            <w:r>
              <w:rPr>
                <w:rFonts w:hint="eastAsia" w:eastAsia="宋体"/>
                <w:b/>
                <w:bCs/>
                <w:sz w:val="24"/>
                <w:szCs w:val="24"/>
                <w:u w:val="single"/>
              </w:rPr>
              <w:t>9</w:t>
            </w:r>
            <w:r>
              <w:rPr>
                <w:rFonts w:eastAsia="宋体"/>
                <w:b/>
                <w:bCs/>
                <w:sz w:val="24"/>
                <w:szCs w:val="24"/>
                <w:u w:val="single"/>
              </w:rPr>
              <w:t>，</w:t>
            </w:r>
            <w:r>
              <w:rPr>
                <w:rFonts w:hint="eastAsia"/>
                <w:b/>
                <w:bCs/>
                <w:sz w:val="24"/>
                <w:szCs w:val="24"/>
                <w:u w:val="single"/>
                <w:lang w:val="en-US" w:eastAsia="zh-CN"/>
              </w:rPr>
              <w:t>53</w:t>
            </w:r>
            <w:r>
              <w:rPr>
                <w:rFonts w:eastAsia="宋体"/>
                <w:b/>
                <w:bCs/>
                <w:sz w:val="24"/>
                <w:szCs w:val="24"/>
                <w:u w:val="single"/>
              </w:rPr>
              <w:t>、</w:t>
            </w:r>
            <w:r>
              <w:rPr>
                <w:rFonts w:hint="eastAsia"/>
                <w:b/>
                <w:bCs/>
                <w:sz w:val="24"/>
                <w:szCs w:val="24"/>
                <w:u w:val="single"/>
                <w:lang w:val="en-US" w:eastAsia="zh-CN"/>
              </w:rPr>
              <w:t>塑料制品</w:t>
            </w:r>
            <w:r>
              <w:rPr>
                <w:rFonts w:hint="eastAsia" w:eastAsia="宋体"/>
                <w:b/>
                <w:bCs/>
                <w:sz w:val="24"/>
                <w:szCs w:val="24"/>
                <w:u w:val="single"/>
              </w:rPr>
              <w:t>业</w:t>
            </w:r>
            <w:r>
              <w:rPr>
                <w:rFonts w:hint="eastAsia"/>
                <w:b/>
                <w:bCs/>
                <w:sz w:val="24"/>
                <w:szCs w:val="24"/>
                <w:u w:val="single"/>
                <w:lang w:val="en-US" w:eastAsia="zh-CN"/>
              </w:rPr>
              <w:t>292</w:t>
            </w:r>
            <w:r>
              <w:rPr>
                <w:rFonts w:hint="eastAsia"/>
                <w:b/>
                <w:bCs/>
                <w:color w:val="000000"/>
                <w:sz w:val="24"/>
                <w:u w:val="single"/>
              </w:rPr>
              <w:t>”类别中的“其他（年用非溶剂型低VOCs含量涂料10吨以下的除外）”</w:t>
            </w:r>
            <w:r>
              <w:rPr>
                <w:color w:val="000000"/>
                <w:sz w:val="24"/>
              </w:rPr>
              <w:t>类别</w:t>
            </w:r>
            <w:r>
              <w:rPr>
                <w:rFonts w:hint="eastAsia"/>
                <w:color w:val="000000"/>
                <w:sz w:val="24"/>
              </w:rPr>
              <w:t>，</w:t>
            </w:r>
            <w:r>
              <w:rPr>
                <w:color w:val="000000"/>
                <w:sz w:val="24"/>
              </w:rPr>
              <w:t>应编制环境影响报告表。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hint="eastAsia" w:ascii="Times New Roman" w:hAnsi="Times New Roman" w:eastAsia="宋体" w:cs="Times New Roman"/>
                <w:i w:val="0"/>
                <w:iCs w:val="0"/>
                <w:sz w:val="24"/>
                <w:szCs w:val="24"/>
                <w:u w:val="none"/>
                <w:lang w:eastAsia="zh-CN"/>
              </w:rPr>
              <w:t>偃师市山化镇盛达鞋垫厂</w:t>
            </w:r>
            <w:r>
              <w:rPr>
                <w:rFonts w:hint="eastAsia" w:ascii="宋体" w:hAnsi="宋体" w:cs="宋体"/>
                <w:color w:val="000000" w:themeColor="text1"/>
                <w:sz w:val="24"/>
                <w:shd w:val="clear" w:color="auto" w:fill="FFFFFF"/>
                <w14:textFill>
                  <w14:solidFill>
                    <w14:schemeClr w14:val="tx1"/>
                  </w14:solidFill>
                </w14:textFill>
              </w:rPr>
              <w:t>委托</w:t>
            </w:r>
            <w:r>
              <w:rPr>
                <w:color w:val="000000"/>
                <w:sz w:val="24"/>
              </w:rPr>
              <w:t>（见附件</w:t>
            </w:r>
            <w:r>
              <w:rPr>
                <w:rFonts w:hint="eastAsia"/>
                <w:color w:val="000000"/>
                <w:sz w:val="24"/>
              </w:rPr>
              <w:t>1</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规定，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olor w:val="000000"/>
                <w:sz w:val="24"/>
              </w:rPr>
              <w:t>本项目位于</w:t>
            </w:r>
            <w:r>
              <w:rPr>
                <w:rFonts w:hint="eastAsia" w:ascii="Times New Roman" w:hAnsi="Times New Roman" w:eastAsia="宋体" w:cs="Times New Roman"/>
                <w:i w:val="0"/>
                <w:iCs w:val="0"/>
                <w:sz w:val="24"/>
                <w:szCs w:val="24"/>
                <w:u w:val="none"/>
                <w:lang w:eastAsia="zh-CN"/>
              </w:rPr>
              <w:t>洛阳市偃师</w:t>
            </w:r>
            <w:r>
              <w:rPr>
                <w:rFonts w:hint="eastAsia" w:ascii="Times New Roman" w:hAnsi="Times New Roman" w:eastAsia="宋体" w:cs="Times New Roman"/>
                <w:i w:val="0"/>
                <w:iCs w:val="0"/>
                <w:sz w:val="24"/>
                <w:szCs w:val="24"/>
                <w:u w:val="none"/>
                <w:lang w:val="en-US" w:eastAsia="zh-CN"/>
              </w:rPr>
              <w:t>区</w:t>
            </w:r>
            <w:r>
              <w:rPr>
                <w:rFonts w:hint="eastAsia" w:ascii="Times New Roman" w:hAnsi="Times New Roman" w:eastAsia="宋体" w:cs="Times New Roman"/>
                <w:i w:val="0"/>
                <w:iCs w:val="0"/>
                <w:sz w:val="24"/>
                <w:szCs w:val="24"/>
                <w:u w:val="none"/>
                <w:lang w:eastAsia="zh-CN"/>
              </w:rPr>
              <w:t>山化镇东屯村</w:t>
            </w:r>
            <w:r>
              <w:rPr>
                <w:rFonts w:hint="eastAsia" w:cs="Times New Roman"/>
                <w:i w:val="0"/>
                <w:iCs w:val="0"/>
                <w:sz w:val="24"/>
                <w:szCs w:val="24"/>
                <w:u w:val="none"/>
                <w:lang w:val="en-US" w:eastAsia="zh-CN"/>
              </w:rPr>
              <w:t>20组</w:t>
            </w:r>
            <w:r>
              <w:rPr>
                <w:bCs/>
                <w:color w:val="000000"/>
                <w:sz w:val="24"/>
              </w:rPr>
              <w:t>，</w:t>
            </w:r>
            <w:r>
              <w:rPr>
                <w:rFonts w:hint="eastAsia"/>
                <w:color w:val="000000" w:themeColor="text1"/>
                <w:sz w:val="24"/>
                <w14:textFill>
                  <w14:solidFill>
                    <w14:schemeClr w14:val="tx1"/>
                  </w14:solidFill>
                </w14:textFill>
              </w:rPr>
              <w:t>租用</w:t>
            </w:r>
            <w:r>
              <w:rPr>
                <w:rFonts w:hint="eastAsia"/>
                <w:color w:val="000000" w:themeColor="text1"/>
                <w:sz w:val="24"/>
                <w:lang w:val="en-US" w:eastAsia="zh-CN"/>
                <w14:textFill>
                  <w14:solidFill>
                    <w14:schemeClr w14:val="tx1"/>
                  </w14:solidFill>
                </w14:textFill>
              </w:rPr>
              <w:t>新强海绵厂</w:t>
            </w:r>
            <w:r>
              <w:rPr>
                <w:rFonts w:hint="eastAsia"/>
                <w:sz w:val="24"/>
              </w:rPr>
              <w:t>厂房</w:t>
            </w:r>
            <w:r>
              <w:rPr>
                <w:rFonts w:hint="eastAsia"/>
                <w:color w:val="000000" w:themeColor="text1"/>
                <w:sz w:val="24"/>
                <w14:textFill>
                  <w14:solidFill>
                    <w14:schemeClr w14:val="tx1"/>
                  </w14:solidFill>
                </w14:textFill>
              </w:rPr>
              <w:t>进行建设</w:t>
            </w:r>
            <w:r>
              <w:rPr>
                <w:rFonts w:hint="eastAsia"/>
                <w:color w:val="000000"/>
                <w:sz w:val="24"/>
                <w:u w:val="none"/>
              </w:rPr>
              <w:t>。</w:t>
            </w:r>
            <w:r>
              <w:rPr>
                <w:rFonts w:hint="eastAsia"/>
                <w:color w:val="000000" w:themeColor="text1"/>
                <w:sz w:val="24"/>
                <w14:textFill>
                  <w14:solidFill>
                    <w14:schemeClr w14:val="tx1"/>
                  </w14:solidFill>
                </w14:textFill>
              </w:rPr>
              <w:t>本项目所在厂区</w:t>
            </w:r>
            <w:r>
              <w:rPr>
                <w:rFonts w:hint="eastAsia"/>
                <w:color w:val="000000" w:themeColor="text1"/>
                <w:sz w:val="24"/>
                <w:lang w:val="en-US" w:eastAsia="zh-CN"/>
                <w14:textFill>
                  <w14:solidFill>
                    <w14:schemeClr w14:val="tx1"/>
                  </w14:solidFill>
                </w14:textFill>
              </w:rPr>
              <w:t>北侧、</w:t>
            </w:r>
            <w:r>
              <w:rPr>
                <w:rFonts w:hint="eastAsia" w:cs="Times New Roman"/>
                <w:bCs/>
                <w:i w:val="0"/>
                <w:iCs w:val="0"/>
                <w:sz w:val="24"/>
                <w:szCs w:val="24"/>
                <w:highlight w:val="none"/>
                <w:u w:val="none"/>
                <w:lang w:val="en-US" w:eastAsia="zh-CN"/>
              </w:rPr>
              <w:t>西</w:t>
            </w:r>
            <w:r>
              <w:rPr>
                <w:rFonts w:ascii="Times New Roman" w:hAnsi="Times New Roman" w:eastAsia="宋体" w:cs="Times New Roman"/>
                <w:bCs/>
                <w:i w:val="0"/>
                <w:iCs w:val="0"/>
                <w:sz w:val="24"/>
                <w:szCs w:val="24"/>
                <w:highlight w:val="none"/>
                <w:u w:val="none"/>
              </w:rPr>
              <w:t>侧</w:t>
            </w:r>
            <w:r>
              <w:rPr>
                <w:rFonts w:hint="eastAsia" w:cs="Times New Roman"/>
                <w:bCs/>
                <w:i w:val="0"/>
                <w:iCs w:val="0"/>
                <w:sz w:val="24"/>
                <w:szCs w:val="24"/>
                <w:highlight w:val="none"/>
                <w:u w:val="none"/>
                <w:lang w:eastAsia="zh-CN"/>
              </w:rPr>
              <w:t>、</w:t>
            </w:r>
            <w:r>
              <w:rPr>
                <w:rFonts w:hint="eastAsia" w:cs="Times New Roman"/>
                <w:bCs/>
                <w:i w:val="0"/>
                <w:iCs w:val="0"/>
                <w:sz w:val="24"/>
                <w:szCs w:val="24"/>
                <w:highlight w:val="none"/>
                <w:u w:val="none"/>
                <w:lang w:val="en-US" w:eastAsia="zh-CN"/>
              </w:rPr>
              <w:t>南侧均为村路，东侧为空地</w:t>
            </w:r>
            <w:r>
              <w:rPr>
                <w:rFonts w:hint="eastAsia"/>
                <w:color w:val="000000" w:themeColor="text1"/>
                <w:sz w:val="24"/>
                <w:highlight w:val="none"/>
                <w14:textFill>
                  <w14:solidFill>
                    <w14:schemeClr w14:val="tx1"/>
                  </w14:solidFill>
                </w14:textFill>
              </w:rPr>
              <w:t>。</w:t>
            </w:r>
            <w:r>
              <w:rPr>
                <w:bCs/>
                <w:color w:val="000000"/>
                <w:sz w:val="24"/>
                <w:highlight w:val="none"/>
              </w:rPr>
              <w:t>项目地理位置详见附图</w:t>
            </w:r>
            <w:r>
              <w:rPr>
                <w:rFonts w:hint="eastAsia"/>
                <w:bCs/>
                <w:color w:val="000000"/>
                <w:sz w:val="24"/>
                <w:highlight w:val="none"/>
              </w:rPr>
              <w:t>一，周边环境</w:t>
            </w:r>
            <w:r>
              <w:rPr>
                <w:rFonts w:hint="eastAsia"/>
                <w:bCs/>
                <w:color w:val="000000"/>
                <w:sz w:val="24"/>
              </w:rPr>
              <w:t>示意图见附图二</w:t>
            </w:r>
            <w:r>
              <w:rPr>
                <w:bCs/>
                <w:color w:val="000000"/>
                <w:sz w:val="24"/>
              </w:rPr>
              <w:t>。</w:t>
            </w:r>
          </w:p>
          <w:p>
            <w:pPr>
              <w:spacing w:line="460" w:lineRule="exact"/>
              <w:ind w:firstLine="482" w:firstLineChars="200"/>
              <w:rPr>
                <w:b/>
                <w:bCs/>
                <w:color w:val="000000"/>
                <w:sz w:val="24"/>
              </w:rPr>
            </w:pPr>
            <w:r>
              <w:rPr>
                <w:b/>
                <w:bCs/>
                <w:color w:val="000000"/>
                <w:sz w:val="24"/>
              </w:rPr>
              <w:t>3、主要建设内容</w:t>
            </w:r>
          </w:p>
          <w:p>
            <w:pPr>
              <w:adjustRightInd w:val="0"/>
              <w:snapToGrid w:val="0"/>
              <w:spacing w:line="460" w:lineRule="exact"/>
              <w:ind w:firstLine="480" w:firstLineChars="200"/>
              <w:rPr>
                <w:color w:val="000000"/>
                <w:sz w:val="24"/>
              </w:rPr>
            </w:pPr>
            <w:r>
              <w:rPr>
                <w:rFonts w:hint="eastAsia"/>
                <w:color w:val="000000"/>
                <w:sz w:val="24"/>
              </w:rPr>
              <w:t>本项目租赁厂房进行建设，</w:t>
            </w:r>
            <w:r>
              <w:rPr>
                <w:color w:val="000000"/>
                <w:sz w:val="24"/>
              </w:rPr>
              <w:t>主要建设内容见表</w:t>
            </w:r>
            <w:r>
              <w:rPr>
                <w:rFonts w:hint="eastAsia"/>
                <w:color w:val="000000"/>
                <w:sz w:val="24"/>
                <w:lang w:val="en-US" w:eastAsia="zh-CN"/>
              </w:rPr>
              <w:t>8</w:t>
            </w:r>
            <w:r>
              <w:rPr>
                <w:color w:val="000000"/>
                <w:sz w:val="24"/>
              </w:rPr>
              <w:t>，</w:t>
            </w:r>
            <w:r>
              <w:rPr>
                <w:rFonts w:hint="eastAsia"/>
                <w:color w:val="000000"/>
                <w:sz w:val="24"/>
              </w:rPr>
              <w:t>车间</w:t>
            </w:r>
            <w:r>
              <w:rPr>
                <w:color w:val="000000"/>
                <w:sz w:val="24"/>
              </w:rPr>
              <w:t>平面图见附图</w:t>
            </w:r>
            <w:r>
              <w:rPr>
                <w:rFonts w:hint="eastAsia"/>
                <w:color w:val="000000"/>
                <w:sz w:val="24"/>
                <w:lang w:val="en-US" w:eastAsia="zh-CN"/>
              </w:rPr>
              <w:t>三</w:t>
            </w:r>
            <w:r>
              <w:rPr>
                <w:color w:val="000000"/>
                <w:sz w:val="24"/>
              </w:rPr>
              <w:t>。</w:t>
            </w:r>
          </w:p>
          <w:p>
            <w:pPr>
              <w:pStyle w:val="5"/>
              <w:numPr>
                <w:ilvl w:val="0"/>
                <w:numId w:val="0"/>
              </w:numPr>
              <w:ind w:firstLine="482" w:firstLineChars="200"/>
              <w:rPr>
                <w:color w:val="000000"/>
              </w:rPr>
            </w:pPr>
            <w:r>
              <w:rPr>
                <w:rFonts w:hint="eastAsia"/>
                <w:color w:val="000000"/>
              </w:rPr>
              <w:t>表</w:t>
            </w:r>
            <w:r>
              <w:rPr>
                <w:rFonts w:hint="eastAsia"/>
                <w:color w:val="000000"/>
                <w:lang w:val="en-US" w:eastAsia="zh-CN"/>
              </w:rPr>
              <w:t>8</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本项目</w:t>
            </w:r>
            <w:r>
              <w:rPr>
                <w:color w:val="000000"/>
              </w:rPr>
              <w:t>主要建设内容一览表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
              <w:gridCol w:w="420"/>
              <w:gridCol w:w="1113"/>
              <w:gridCol w:w="2347"/>
              <w:gridCol w:w="152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gridSpan w:val="2"/>
                  <w:vAlign w:val="center"/>
                </w:tcPr>
                <w:p>
                  <w:pPr>
                    <w:adjustRightInd w:val="0"/>
                    <w:snapToGrid w:val="0"/>
                    <w:spacing w:line="320" w:lineRule="exact"/>
                    <w:jc w:val="center"/>
                    <w:rPr>
                      <w:bCs/>
                      <w:spacing w:val="-3"/>
                      <w:szCs w:val="21"/>
                    </w:rPr>
                  </w:pPr>
                  <w:r>
                    <w:rPr>
                      <w:rFonts w:hint="eastAsia"/>
                      <w:bCs/>
                      <w:spacing w:val="-3"/>
                      <w:szCs w:val="21"/>
                    </w:rPr>
                    <w:t>类别</w:t>
                  </w:r>
                </w:p>
              </w:tc>
              <w:tc>
                <w:tcPr>
                  <w:tcW w:w="3460" w:type="dxa"/>
                  <w:gridSpan w:val="2"/>
                  <w:vAlign w:val="center"/>
                </w:tcPr>
                <w:p>
                  <w:pPr>
                    <w:adjustRightInd w:val="0"/>
                    <w:snapToGrid w:val="0"/>
                    <w:spacing w:line="320" w:lineRule="exact"/>
                    <w:jc w:val="center"/>
                    <w:rPr>
                      <w:bCs/>
                      <w:spacing w:val="-3"/>
                      <w:szCs w:val="21"/>
                    </w:rPr>
                  </w:pPr>
                  <w:r>
                    <w:rPr>
                      <w:bCs/>
                      <w:spacing w:val="-3"/>
                      <w:szCs w:val="21"/>
                    </w:rPr>
                    <w:t>名称</w:t>
                  </w:r>
                </w:p>
              </w:tc>
              <w:tc>
                <w:tcPr>
                  <w:tcW w:w="1526" w:type="dxa"/>
                  <w:vAlign w:val="center"/>
                </w:tcPr>
                <w:p>
                  <w:pPr>
                    <w:adjustRightInd w:val="0"/>
                    <w:snapToGrid w:val="0"/>
                    <w:spacing w:line="320" w:lineRule="exact"/>
                    <w:jc w:val="center"/>
                    <w:rPr>
                      <w:bCs/>
                      <w:spacing w:val="-3"/>
                      <w:szCs w:val="21"/>
                    </w:rPr>
                  </w:pPr>
                  <w:r>
                    <w:rPr>
                      <w:bCs/>
                      <w:spacing w:val="-3"/>
                      <w:szCs w:val="21"/>
                    </w:rPr>
                    <w:t>建筑面积/容积</w:t>
                  </w:r>
                </w:p>
              </w:tc>
              <w:tc>
                <w:tcPr>
                  <w:tcW w:w="2445" w:type="dxa"/>
                  <w:vAlign w:val="center"/>
                </w:tcPr>
                <w:p>
                  <w:pPr>
                    <w:adjustRightInd w:val="0"/>
                    <w:snapToGrid w:val="0"/>
                    <w:spacing w:line="320" w:lineRule="exact"/>
                    <w:jc w:val="center"/>
                    <w:rPr>
                      <w:bCs/>
                      <w:spacing w:val="-3"/>
                      <w:szCs w:val="21"/>
                    </w:rPr>
                  </w:pPr>
                  <w:r>
                    <w:rPr>
                      <w:bCs/>
                      <w:spacing w:val="-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restart"/>
                  <w:vAlign w:val="center"/>
                </w:tcPr>
                <w:p>
                  <w:pPr>
                    <w:adjustRightInd w:val="0"/>
                    <w:snapToGrid w:val="0"/>
                    <w:spacing w:line="320" w:lineRule="exact"/>
                    <w:jc w:val="center"/>
                    <w:rPr>
                      <w:bCs/>
                      <w:spacing w:val="-3"/>
                      <w:szCs w:val="21"/>
                    </w:rPr>
                  </w:pPr>
                  <w:r>
                    <w:rPr>
                      <w:bCs/>
                      <w:spacing w:val="-3"/>
                      <w:szCs w:val="21"/>
                    </w:rPr>
                    <w:t>主体工程</w:t>
                  </w:r>
                </w:p>
              </w:tc>
              <w:tc>
                <w:tcPr>
                  <w:tcW w:w="3460" w:type="dxa"/>
                  <w:gridSpan w:val="2"/>
                  <w:vAlign w:val="center"/>
                </w:tcPr>
                <w:p>
                  <w:pPr>
                    <w:adjustRightInd w:val="0"/>
                    <w:snapToGrid w:val="0"/>
                    <w:spacing w:line="320" w:lineRule="exact"/>
                    <w:jc w:val="center"/>
                    <w:rPr>
                      <w:rFonts w:hint="eastAsia" w:eastAsia="宋体"/>
                      <w:bCs/>
                      <w:spacing w:val="-3"/>
                      <w:szCs w:val="21"/>
                      <w:lang w:eastAsia="zh-CN"/>
                    </w:rPr>
                  </w:pPr>
                  <w:r>
                    <w:rPr>
                      <w:rFonts w:hint="eastAsia"/>
                      <w:bCs/>
                      <w:spacing w:val="-3"/>
                      <w:szCs w:val="21"/>
                      <w:lang w:val="en-US" w:eastAsia="zh-CN"/>
                    </w:rPr>
                    <w:t>生产车间</w:t>
                  </w:r>
                </w:p>
              </w:tc>
              <w:tc>
                <w:tcPr>
                  <w:tcW w:w="1526" w:type="dxa"/>
                  <w:vAlign w:val="center"/>
                </w:tcPr>
                <w:p>
                  <w:pPr>
                    <w:adjustRightInd w:val="0"/>
                    <w:snapToGrid w:val="0"/>
                    <w:spacing w:line="320" w:lineRule="exact"/>
                    <w:jc w:val="center"/>
                    <w:rPr>
                      <w:bCs/>
                      <w:spacing w:val="-3"/>
                      <w:szCs w:val="21"/>
                    </w:rPr>
                  </w:pPr>
                  <w:r>
                    <w:rPr>
                      <w:rFonts w:hint="eastAsia"/>
                      <w:bCs/>
                      <w:spacing w:val="-3"/>
                      <w:szCs w:val="21"/>
                      <w:lang w:val="en-US" w:eastAsia="zh-CN"/>
                    </w:rPr>
                    <w:t>370</w:t>
                  </w:r>
                  <w:r>
                    <w:rPr>
                      <w:rFonts w:hint="eastAsia"/>
                      <w:bCs/>
                      <w:spacing w:val="-3"/>
                      <w:szCs w:val="21"/>
                    </w:rPr>
                    <w:t>m</w:t>
                  </w:r>
                  <w:r>
                    <w:rPr>
                      <w:rFonts w:hint="eastAsia"/>
                      <w:bCs/>
                      <w:spacing w:val="-3"/>
                      <w:szCs w:val="21"/>
                      <w:vertAlign w:val="superscript"/>
                    </w:rPr>
                    <w:t>2</w:t>
                  </w:r>
                </w:p>
              </w:tc>
              <w:tc>
                <w:tcPr>
                  <w:tcW w:w="2445" w:type="dxa"/>
                  <w:vAlign w:val="center"/>
                </w:tcPr>
                <w:p>
                  <w:pPr>
                    <w:adjustRightInd w:val="0"/>
                    <w:snapToGrid w:val="0"/>
                    <w:spacing w:line="320" w:lineRule="exact"/>
                    <w:jc w:val="center"/>
                    <w:rPr>
                      <w:rFonts w:hint="default" w:eastAsia="宋体"/>
                      <w:lang w:val="en-US" w:eastAsia="zh-CN"/>
                    </w:rPr>
                  </w:pPr>
                  <w:r>
                    <w:rPr>
                      <w:rFonts w:hint="eastAsi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continue"/>
                  <w:vAlign w:val="center"/>
                </w:tcPr>
                <w:p>
                  <w:pPr>
                    <w:adjustRightInd w:val="0"/>
                    <w:snapToGrid w:val="0"/>
                    <w:spacing w:line="320" w:lineRule="exact"/>
                    <w:jc w:val="center"/>
                    <w:rPr>
                      <w:bCs/>
                      <w:spacing w:val="-3"/>
                      <w:szCs w:val="21"/>
                    </w:rPr>
                  </w:pPr>
                </w:p>
              </w:tc>
              <w:tc>
                <w:tcPr>
                  <w:tcW w:w="3460" w:type="dxa"/>
                  <w:gridSpan w:val="2"/>
                  <w:vAlign w:val="center"/>
                </w:tcPr>
                <w:p>
                  <w:pPr>
                    <w:adjustRightInd w:val="0"/>
                    <w:snapToGrid w:val="0"/>
                    <w:spacing w:line="320" w:lineRule="exact"/>
                    <w:jc w:val="center"/>
                    <w:rPr>
                      <w:rFonts w:hint="default"/>
                      <w:bCs/>
                      <w:spacing w:val="-3"/>
                      <w:szCs w:val="21"/>
                      <w:lang w:val="en-US" w:eastAsia="zh-CN"/>
                    </w:rPr>
                  </w:pPr>
                  <w:r>
                    <w:rPr>
                      <w:rFonts w:hint="eastAsia"/>
                      <w:bCs/>
                      <w:spacing w:val="-3"/>
                      <w:szCs w:val="21"/>
                      <w:lang w:val="en-US" w:eastAsia="zh-CN"/>
                    </w:rPr>
                    <w:t>仓库</w:t>
                  </w:r>
                </w:p>
              </w:tc>
              <w:tc>
                <w:tcPr>
                  <w:tcW w:w="1526" w:type="dxa"/>
                  <w:vAlign w:val="center"/>
                </w:tcPr>
                <w:p>
                  <w:pPr>
                    <w:adjustRightInd w:val="0"/>
                    <w:snapToGrid w:val="0"/>
                    <w:spacing w:line="320" w:lineRule="exact"/>
                    <w:jc w:val="center"/>
                    <w:rPr>
                      <w:rFonts w:hint="default"/>
                      <w:bCs/>
                      <w:spacing w:val="-3"/>
                      <w:szCs w:val="21"/>
                      <w:lang w:val="en-US" w:eastAsia="zh-CN"/>
                    </w:rPr>
                  </w:pPr>
                  <w:r>
                    <w:rPr>
                      <w:rFonts w:hint="eastAsia"/>
                      <w:bCs/>
                      <w:spacing w:val="-3"/>
                      <w:szCs w:val="21"/>
                      <w:lang w:val="en-US" w:eastAsia="zh-CN"/>
                    </w:rPr>
                    <w:t>260</w:t>
                  </w:r>
                  <w:r>
                    <w:rPr>
                      <w:rFonts w:hint="eastAsia"/>
                      <w:bCs/>
                      <w:spacing w:val="-3"/>
                      <w:szCs w:val="21"/>
                    </w:rPr>
                    <w:t>m</w:t>
                  </w:r>
                  <w:r>
                    <w:rPr>
                      <w:rFonts w:hint="eastAsia"/>
                      <w:bCs/>
                      <w:spacing w:val="-3"/>
                      <w:szCs w:val="21"/>
                      <w:vertAlign w:val="superscript"/>
                    </w:rPr>
                    <w:t>2</w:t>
                  </w:r>
                </w:p>
              </w:tc>
              <w:tc>
                <w:tcPr>
                  <w:tcW w:w="2445" w:type="dxa"/>
                  <w:vAlign w:val="center"/>
                </w:tcPr>
                <w:p>
                  <w:pPr>
                    <w:adjustRightInd w:val="0"/>
                    <w:snapToGrid w:val="0"/>
                    <w:spacing w:line="320" w:lineRule="exact"/>
                    <w:jc w:val="center"/>
                    <w:rPr>
                      <w:rFonts w:hint="eastAsia"/>
                    </w:rPr>
                  </w:pPr>
                  <w:r>
                    <w:rPr>
                      <w:rFonts w:hint="eastAsi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continue"/>
                  <w:vAlign w:val="center"/>
                </w:tcPr>
                <w:p>
                  <w:pPr>
                    <w:adjustRightInd w:val="0"/>
                    <w:snapToGrid w:val="0"/>
                    <w:spacing w:line="320" w:lineRule="exact"/>
                    <w:jc w:val="center"/>
                    <w:rPr>
                      <w:bCs/>
                      <w:spacing w:val="-3"/>
                      <w:szCs w:val="21"/>
                    </w:rPr>
                  </w:pPr>
                </w:p>
              </w:tc>
              <w:tc>
                <w:tcPr>
                  <w:tcW w:w="3460" w:type="dxa"/>
                  <w:gridSpan w:val="2"/>
                  <w:vAlign w:val="center"/>
                </w:tcPr>
                <w:p>
                  <w:pPr>
                    <w:adjustRightInd w:val="0"/>
                    <w:snapToGrid w:val="0"/>
                    <w:spacing w:line="320" w:lineRule="exact"/>
                    <w:jc w:val="center"/>
                    <w:rPr>
                      <w:rFonts w:hint="default"/>
                      <w:bCs/>
                      <w:spacing w:val="-3"/>
                      <w:szCs w:val="21"/>
                      <w:lang w:val="en-US" w:eastAsia="zh-CN"/>
                    </w:rPr>
                  </w:pPr>
                  <w:r>
                    <w:rPr>
                      <w:rFonts w:hint="eastAsia"/>
                      <w:bCs/>
                      <w:spacing w:val="-3"/>
                      <w:szCs w:val="21"/>
                      <w:lang w:val="en-US" w:eastAsia="zh-CN"/>
                    </w:rPr>
                    <w:t>办公室</w:t>
                  </w:r>
                </w:p>
              </w:tc>
              <w:tc>
                <w:tcPr>
                  <w:tcW w:w="1526" w:type="dxa"/>
                  <w:vAlign w:val="center"/>
                </w:tcPr>
                <w:p>
                  <w:pPr>
                    <w:adjustRightInd w:val="0"/>
                    <w:snapToGrid w:val="0"/>
                    <w:spacing w:line="320" w:lineRule="exact"/>
                    <w:jc w:val="center"/>
                    <w:rPr>
                      <w:rFonts w:hint="default"/>
                      <w:bCs/>
                      <w:spacing w:val="-3"/>
                      <w:szCs w:val="21"/>
                      <w:lang w:val="en-US" w:eastAsia="zh-CN"/>
                    </w:rPr>
                  </w:pPr>
                  <w:r>
                    <w:rPr>
                      <w:rFonts w:hint="eastAsia"/>
                      <w:bCs/>
                      <w:spacing w:val="-3"/>
                      <w:szCs w:val="21"/>
                      <w:lang w:val="en-US" w:eastAsia="zh-CN"/>
                    </w:rPr>
                    <w:t>170</w:t>
                  </w:r>
                  <w:r>
                    <w:rPr>
                      <w:rFonts w:hint="eastAsia"/>
                      <w:bCs/>
                      <w:spacing w:val="-3"/>
                      <w:szCs w:val="21"/>
                    </w:rPr>
                    <w:t>m</w:t>
                  </w:r>
                  <w:r>
                    <w:rPr>
                      <w:rFonts w:hint="eastAsia"/>
                      <w:bCs/>
                      <w:spacing w:val="-3"/>
                      <w:szCs w:val="21"/>
                      <w:vertAlign w:val="superscript"/>
                    </w:rPr>
                    <w:t>2</w:t>
                  </w:r>
                </w:p>
              </w:tc>
              <w:tc>
                <w:tcPr>
                  <w:tcW w:w="2445" w:type="dxa"/>
                  <w:vAlign w:val="center"/>
                </w:tcPr>
                <w:p>
                  <w:pPr>
                    <w:adjustRightInd w:val="0"/>
                    <w:snapToGrid w:val="0"/>
                    <w:spacing w:line="320" w:lineRule="exact"/>
                    <w:jc w:val="center"/>
                    <w:rPr>
                      <w:rFonts w:hint="eastAsia" w:eastAsia="宋体"/>
                      <w:lang w:val="en-US" w:eastAsia="zh-CN"/>
                    </w:rPr>
                  </w:pPr>
                  <w:r>
                    <w:rPr>
                      <w:rFonts w:hint="eastAsia"/>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restart"/>
                  <w:vAlign w:val="center"/>
                </w:tcPr>
                <w:p>
                  <w:pPr>
                    <w:adjustRightInd w:val="0"/>
                    <w:snapToGrid w:val="0"/>
                    <w:spacing w:line="320" w:lineRule="exact"/>
                    <w:jc w:val="center"/>
                    <w:rPr>
                      <w:bCs/>
                      <w:spacing w:val="-3"/>
                      <w:szCs w:val="21"/>
                    </w:rPr>
                  </w:pPr>
                  <w:r>
                    <w:rPr>
                      <w:rFonts w:hint="eastAsia"/>
                      <w:bCs/>
                      <w:spacing w:val="-3"/>
                      <w:szCs w:val="21"/>
                    </w:rPr>
                    <w:t>公用工程</w:t>
                  </w: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供水</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lang w:val="en-US" w:eastAsia="zh-CN"/>
                    </w:rPr>
                    <w:t>山化镇</w:t>
                  </w:r>
                  <w:r>
                    <w:rPr>
                      <w:rFonts w:hint="eastAsia"/>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continue"/>
                  <w:vAlign w:val="center"/>
                </w:tcPr>
                <w:p>
                  <w:pPr>
                    <w:adjustRightInd w:val="0"/>
                    <w:snapToGrid w:val="0"/>
                    <w:spacing w:line="320" w:lineRule="exact"/>
                    <w:jc w:val="center"/>
                  </w:pP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排水</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ascii="Times New Roman" w:hAnsi="Times New Roman" w:eastAsia="宋体" w:cs="Times New Roman"/>
                      <w:i w:val="0"/>
                      <w:iCs w:val="0"/>
                      <w:spacing w:val="-3"/>
                      <w:szCs w:val="21"/>
                      <w:u w:val="none"/>
                      <w:lang w:eastAsia="zh-CN"/>
                    </w:rPr>
                    <w:t>经</w:t>
                  </w:r>
                  <w:r>
                    <w:rPr>
                      <w:rFonts w:hint="eastAsia" w:ascii="Times New Roman" w:hAnsi="Times New Roman" w:eastAsia="宋体" w:cs="Times New Roman"/>
                      <w:i w:val="0"/>
                      <w:iCs w:val="0"/>
                      <w:spacing w:val="-3"/>
                      <w:szCs w:val="21"/>
                      <w:u w:val="none"/>
                    </w:rPr>
                    <w:t>化粪池</w:t>
                  </w:r>
                  <w:r>
                    <w:rPr>
                      <w:rFonts w:hint="eastAsia" w:ascii="Times New Roman" w:hAnsi="Times New Roman" w:eastAsia="宋体" w:cs="Times New Roman"/>
                      <w:i w:val="0"/>
                      <w:iCs w:val="0"/>
                      <w:spacing w:val="-3"/>
                      <w:szCs w:val="21"/>
                      <w:u w:val="none"/>
                      <w:lang w:val="en-US" w:eastAsia="zh-CN"/>
                    </w:rPr>
                    <w:t>处理后通过污水管网排入中州渠人工湿地进一步处理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0" w:type="dxa"/>
                  <w:gridSpan w:val="2"/>
                  <w:vMerge w:val="continue"/>
                  <w:vAlign w:val="center"/>
                </w:tcPr>
                <w:p>
                  <w:pPr>
                    <w:adjustRightInd w:val="0"/>
                    <w:snapToGrid w:val="0"/>
                    <w:spacing w:line="320" w:lineRule="exact"/>
                    <w:jc w:val="center"/>
                    <w:rPr>
                      <w:bCs/>
                      <w:spacing w:val="-3"/>
                      <w:szCs w:val="21"/>
                    </w:rPr>
                  </w:pP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供电</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rFonts w:hint="eastAsia" w:eastAsia="宋体"/>
                      <w:bCs/>
                      <w:spacing w:val="-3"/>
                      <w:szCs w:val="21"/>
                      <w:lang w:eastAsia="zh-CN"/>
                    </w:rPr>
                  </w:pPr>
                  <w:r>
                    <w:rPr>
                      <w:rFonts w:hint="eastAsia" w:eastAsia="宋体" w:cs="Times New Roman"/>
                      <w:i w:val="0"/>
                      <w:iCs w:val="0"/>
                      <w:spacing w:val="-3"/>
                      <w:szCs w:val="21"/>
                      <w:u w:val="none"/>
                      <w:lang w:val="en-US" w:eastAsia="zh-CN"/>
                    </w:rPr>
                    <w:t>区域电网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0" w:type="dxa"/>
                  <w:vMerge w:val="restart"/>
                  <w:vAlign w:val="center"/>
                </w:tcPr>
                <w:p>
                  <w:pPr>
                    <w:adjustRightInd w:val="0"/>
                    <w:snapToGrid w:val="0"/>
                    <w:spacing w:line="320" w:lineRule="exact"/>
                    <w:jc w:val="center"/>
                    <w:rPr>
                      <w:bCs/>
                      <w:spacing w:val="-3"/>
                      <w:szCs w:val="21"/>
                    </w:rPr>
                  </w:pPr>
                  <w:r>
                    <w:rPr>
                      <w:bCs/>
                      <w:spacing w:val="-3"/>
                      <w:szCs w:val="21"/>
                    </w:rPr>
                    <w:t>环保工程</w:t>
                  </w:r>
                </w:p>
              </w:tc>
              <w:tc>
                <w:tcPr>
                  <w:tcW w:w="420" w:type="dxa"/>
                  <w:vAlign w:val="center"/>
                </w:tcPr>
                <w:p>
                  <w:pPr>
                    <w:widowControl/>
                    <w:adjustRightInd w:val="0"/>
                    <w:snapToGrid w:val="0"/>
                    <w:spacing w:line="320" w:lineRule="exact"/>
                    <w:jc w:val="center"/>
                    <w:rPr>
                      <w:bCs/>
                      <w:spacing w:val="-3"/>
                      <w:szCs w:val="21"/>
                    </w:rPr>
                  </w:pPr>
                  <w:r>
                    <w:rPr>
                      <w:rFonts w:hint="eastAsia"/>
                      <w:bCs/>
                      <w:spacing w:val="-3"/>
                      <w:szCs w:val="21"/>
                    </w:rPr>
                    <w:t>废水</w:t>
                  </w:r>
                </w:p>
              </w:tc>
              <w:tc>
                <w:tcPr>
                  <w:tcW w:w="3460" w:type="dxa"/>
                  <w:gridSpan w:val="2"/>
                  <w:vAlign w:val="center"/>
                </w:tcPr>
                <w:p>
                  <w:pPr>
                    <w:adjustRightInd w:val="0"/>
                    <w:snapToGrid w:val="0"/>
                    <w:spacing w:line="320" w:lineRule="exact"/>
                    <w:jc w:val="center"/>
                    <w:rPr>
                      <w:bCs/>
                      <w:spacing w:val="-3"/>
                      <w:szCs w:val="21"/>
                    </w:rPr>
                  </w:pPr>
                  <w:r>
                    <w:rPr>
                      <w:bCs/>
                      <w:spacing w:val="-3"/>
                      <w:szCs w:val="21"/>
                    </w:rPr>
                    <w:t>化粪池</w:t>
                  </w:r>
                </w:p>
              </w:tc>
              <w:tc>
                <w:tcPr>
                  <w:tcW w:w="1526" w:type="dxa"/>
                  <w:vAlign w:val="center"/>
                </w:tcPr>
                <w:p>
                  <w:pPr>
                    <w:adjustRightInd w:val="0"/>
                    <w:snapToGrid w:val="0"/>
                    <w:spacing w:line="320" w:lineRule="exact"/>
                    <w:jc w:val="center"/>
                    <w:rPr>
                      <w:bCs/>
                      <w:spacing w:val="-3"/>
                      <w:szCs w:val="21"/>
                    </w:rPr>
                  </w:pPr>
                  <w:r>
                    <w:rPr>
                      <w:rFonts w:hint="eastAsia"/>
                      <w:bCs/>
                      <w:spacing w:val="-3"/>
                      <w:szCs w:val="21"/>
                      <w:highlight w:val="none"/>
                      <w:lang w:val="en-US" w:eastAsia="zh-CN"/>
                    </w:rPr>
                    <w:t>10</w:t>
                  </w:r>
                  <w:r>
                    <w:rPr>
                      <w:rFonts w:hint="eastAsia"/>
                      <w:bCs/>
                      <w:spacing w:val="-3"/>
                      <w:szCs w:val="21"/>
                      <w:highlight w:val="none"/>
                    </w:rPr>
                    <w:t>m</w:t>
                  </w:r>
                  <w:r>
                    <w:rPr>
                      <w:rFonts w:hint="eastAsia"/>
                      <w:bCs/>
                      <w:spacing w:val="-3"/>
                      <w:szCs w:val="21"/>
                      <w:highlight w:val="none"/>
                      <w:vertAlign w:val="superscript"/>
                    </w:rPr>
                    <w:t>3</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0" w:type="dxa"/>
                  <w:vMerge w:val="continue"/>
                  <w:vAlign w:val="center"/>
                </w:tcPr>
                <w:p>
                  <w:pPr>
                    <w:adjustRightInd w:val="0"/>
                    <w:snapToGrid w:val="0"/>
                    <w:spacing w:line="320" w:lineRule="exact"/>
                    <w:jc w:val="center"/>
                    <w:rPr>
                      <w:bCs/>
                      <w:spacing w:val="-3"/>
                      <w:szCs w:val="21"/>
                      <w:highlight w:val="yellow"/>
                    </w:rPr>
                  </w:pPr>
                </w:p>
              </w:tc>
              <w:tc>
                <w:tcPr>
                  <w:tcW w:w="420" w:type="dxa"/>
                  <w:vMerge w:val="restart"/>
                  <w:vAlign w:val="center"/>
                </w:tcPr>
                <w:p>
                  <w:pPr>
                    <w:widowControl/>
                    <w:adjustRightInd w:val="0"/>
                    <w:snapToGrid w:val="0"/>
                    <w:spacing w:line="320" w:lineRule="exact"/>
                    <w:jc w:val="center"/>
                    <w:rPr>
                      <w:bCs/>
                      <w:spacing w:val="-3"/>
                      <w:szCs w:val="21"/>
                    </w:rPr>
                  </w:pPr>
                  <w:r>
                    <w:rPr>
                      <w:rFonts w:hint="eastAsia"/>
                      <w:bCs/>
                      <w:spacing w:val="-3"/>
                      <w:szCs w:val="21"/>
                    </w:rPr>
                    <w:t>废气</w:t>
                  </w:r>
                </w:p>
              </w:tc>
              <w:tc>
                <w:tcPr>
                  <w:tcW w:w="1113" w:type="dxa"/>
                  <w:vAlign w:val="center"/>
                </w:tcPr>
                <w:p>
                  <w:pPr>
                    <w:adjustRightInd w:val="0"/>
                    <w:snapToGrid w:val="0"/>
                    <w:spacing w:line="320" w:lineRule="exact"/>
                    <w:jc w:val="center"/>
                    <w:rPr>
                      <w:rFonts w:hint="default" w:eastAsia="宋体"/>
                      <w:bCs/>
                      <w:spacing w:val="-3"/>
                      <w:szCs w:val="21"/>
                      <w:lang w:val="en-US" w:eastAsia="zh-CN"/>
                    </w:rPr>
                  </w:pPr>
                  <w:r>
                    <w:rPr>
                      <w:rFonts w:hint="eastAsia"/>
                      <w:bCs/>
                      <w:spacing w:val="-3"/>
                      <w:szCs w:val="21"/>
                      <w:lang w:val="en-US" w:eastAsia="zh-CN"/>
                    </w:rPr>
                    <w:t>发泡、过胶、热压工序</w:t>
                  </w:r>
                </w:p>
              </w:tc>
              <w:tc>
                <w:tcPr>
                  <w:tcW w:w="2347" w:type="dxa"/>
                  <w:vAlign w:val="center"/>
                </w:tcPr>
                <w:p>
                  <w:pPr>
                    <w:adjustRightInd w:val="0"/>
                    <w:snapToGrid w:val="0"/>
                    <w:spacing w:line="320" w:lineRule="exact"/>
                    <w:jc w:val="center"/>
                    <w:rPr>
                      <w:bCs/>
                      <w:spacing w:val="-3"/>
                      <w:szCs w:val="21"/>
                    </w:rPr>
                  </w:pPr>
                  <w:r>
                    <w:rPr>
                      <w:rFonts w:hint="eastAsia"/>
                      <w:b/>
                      <w:bCs w:val="0"/>
                      <w:spacing w:val="-3"/>
                      <w:szCs w:val="21"/>
                      <w:u w:val="single"/>
                      <w:lang w:val="en-US" w:eastAsia="zh-CN"/>
                    </w:rPr>
                    <w:t>二次密闭</w:t>
                  </w:r>
                  <w:r>
                    <w:rPr>
                      <w:rFonts w:hint="eastAsia"/>
                      <w:b w:val="0"/>
                      <w:bCs/>
                      <w:spacing w:val="-3"/>
                      <w:szCs w:val="21"/>
                      <w:u w:val="none"/>
                      <w:lang w:val="en-US" w:eastAsia="zh-CN"/>
                    </w:rPr>
                    <w:t>+</w:t>
                  </w:r>
                  <w:r>
                    <w:rPr>
                      <w:rFonts w:hint="eastAsia"/>
                      <w:b w:val="0"/>
                      <w:bCs/>
                      <w:spacing w:val="-3"/>
                      <w:szCs w:val="21"/>
                      <w:u w:val="none"/>
                    </w:rPr>
                    <w:t>集气罩</w:t>
                  </w:r>
                  <w:r>
                    <w:rPr>
                      <w:rFonts w:hint="eastAsia"/>
                      <w:b w:val="0"/>
                      <w:bCs/>
                      <w:u w:val="none"/>
                      <w:lang w:eastAsia="zh-CN"/>
                    </w:rPr>
                    <w:t>（</w:t>
                  </w:r>
                  <w:r>
                    <w:rPr>
                      <w:rFonts w:hint="eastAsia"/>
                      <w:b w:val="0"/>
                      <w:bCs/>
                      <w:u w:val="none"/>
                      <w:lang w:val="en-US" w:eastAsia="zh-CN"/>
                    </w:rPr>
                    <w:t>加装</w:t>
                  </w:r>
                  <w:r>
                    <w:rPr>
                      <w:rFonts w:hint="eastAsia"/>
                      <w:b w:val="0"/>
                      <w:bCs/>
                      <w:u w:val="none"/>
                    </w:rPr>
                    <w:t>软帘</w:t>
                  </w:r>
                  <w:r>
                    <w:rPr>
                      <w:rFonts w:hint="eastAsia"/>
                      <w:b w:val="0"/>
                      <w:bCs/>
                      <w:u w:val="none"/>
                      <w:lang w:eastAsia="zh-CN"/>
                    </w:rPr>
                    <w:t>）</w:t>
                  </w:r>
                  <w:r>
                    <w:rPr>
                      <w:rFonts w:hint="eastAsia"/>
                      <w:b w:val="0"/>
                      <w:bCs/>
                      <w:spacing w:val="-3"/>
                      <w:szCs w:val="21"/>
                      <w:u w:val="none"/>
                    </w:rPr>
                    <w:t>+</w:t>
                  </w:r>
                  <w:r>
                    <w:rPr>
                      <w:b w:val="0"/>
                      <w:bCs/>
                      <w:kern w:val="0"/>
                      <w:szCs w:val="21"/>
                      <w:u w:val="none"/>
                    </w:rPr>
                    <w:t>UV光</w:t>
                  </w:r>
                  <w:r>
                    <w:rPr>
                      <w:rFonts w:hint="eastAsia"/>
                      <w:b w:val="0"/>
                      <w:bCs/>
                      <w:kern w:val="0"/>
                      <w:szCs w:val="21"/>
                      <w:u w:val="none"/>
                    </w:rPr>
                    <w:t>氧</w:t>
                  </w:r>
                  <w:r>
                    <w:rPr>
                      <w:b w:val="0"/>
                      <w:bCs/>
                      <w:kern w:val="0"/>
                      <w:szCs w:val="21"/>
                      <w:u w:val="none"/>
                    </w:rPr>
                    <w:t>+活性炭吸附装置</w:t>
                  </w:r>
                </w:p>
                <w:p>
                  <w:pPr>
                    <w:adjustRightInd w:val="0"/>
                    <w:snapToGrid w:val="0"/>
                    <w:spacing w:line="320" w:lineRule="exact"/>
                    <w:jc w:val="center"/>
                    <w:rPr>
                      <w:bCs/>
                      <w:spacing w:val="-3"/>
                      <w:szCs w:val="21"/>
                    </w:rPr>
                  </w:pPr>
                  <w:r>
                    <w:rPr>
                      <w:rFonts w:hint="eastAsia"/>
                      <w:bCs/>
                      <w:spacing w:val="-3"/>
                      <w:szCs w:val="21"/>
                      <w:lang w:val="en-US" w:eastAsia="zh-CN"/>
                    </w:rPr>
                    <w:t>+</w:t>
                  </w:r>
                  <w:r>
                    <w:rPr>
                      <w:rFonts w:hint="eastAsia"/>
                      <w:bCs/>
                      <w:spacing w:val="-3"/>
                      <w:szCs w:val="21"/>
                    </w:rPr>
                    <w:t>15m高排气筒</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rFonts w:hint="eastAsia" w:eastAsia="宋体"/>
                      <w:bCs/>
                      <w:spacing w:val="-3"/>
                      <w:szCs w:val="21"/>
                      <w:lang w:eastAsia="zh-CN"/>
                    </w:rPr>
                  </w:pPr>
                  <w:r>
                    <w:rPr>
                      <w:rFonts w:hint="eastAsia"/>
                      <w:bCs/>
                      <w:spacing w:val="-3"/>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0" w:type="dxa"/>
                  <w:vMerge w:val="continue"/>
                  <w:vAlign w:val="center"/>
                </w:tcPr>
                <w:p>
                  <w:pPr>
                    <w:adjustRightInd w:val="0"/>
                    <w:snapToGrid w:val="0"/>
                    <w:spacing w:line="320" w:lineRule="exact"/>
                    <w:jc w:val="center"/>
                    <w:rPr>
                      <w:bCs/>
                      <w:spacing w:val="-3"/>
                      <w:szCs w:val="21"/>
                      <w:highlight w:val="yellow"/>
                    </w:rPr>
                  </w:pPr>
                </w:p>
              </w:tc>
              <w:tc>
                <w:tcPr>
                  <w:tcW w:w="420" w:type="dxa"/>
                  <w:vMerge w:val="continue"/>
                  <w:vAlign w:val="center"/>
                </w:tcPr>
                <w:p>
                  <w:pPr>
                    <w:widowControl/>
                    <w:adjustRightInd w:val="0"/>
                    <w:snapToGrid w:val="0"/>
                    <w:spacing w:line="320" w:lineRule="exact"/>
                    <w:jc w:val="center"/>
                    <w:rPr>
                      <w:rFonts w:hint="eastAsia"/>
                      <w:bCs/>
                      <w:spacing w:val="-3"/>
                      <w:szCs w:val="21"/>
                    </w:rPr>
                  </w:pPr>
                </w:p>
              </w:tc>
              <w:tc>
                <w:tcPr>
                  <w:tcW w:w="1113" w:type="dxa"/>
                  <w:vAlign w:val="center"/>
                </w:tcPr>
                <w:p>
                  <w:pPr>
                    <w:adjustRightInd w:val="0"/>
                    <w:snapToGrid w:val="0"/>
                    <w:spacing w:line="320" w:lineRule="exact"/>
                    <w:jc w:val="center"/>
                    <w:rPr>
                      <w:rFonts w:hint="default"/>
                      <w:b/>
                      <w:bCs w:val="0"/>
                      <w:spacing w:val="-3"/>
                      <w:szCs w:val="21"/>
                      <w:u w:val="single"/>
                      <w:lang w:val="en-US" w:eastAsia="zh-CN"/>
                    </w:rPr>
                  </w:pPr>
                  <w:r>
                    <w:rPr>
                      <w:rFonts w:hint="eastAsia"/>
                      <w:b/>
                      <w:bCs w:val="0"/>
                      <w:spacing w:val="-3"/>
                      <w:szCs w:val="21"/>
                      <w:u w:val="single"/>
                      <w:lang w:val="en-US" w:eastAsia="zh-CN"/>
                    </w:rPr>
                    <w:t>印标、转印工序</w:t>
                  </w:r>
                </w:p>
              </w:tc>
              <w:tc>
                <w:tcPr>
                  <w:tcW w:w="2347" w:type="dxa"/>
                  <w:vAlign w:val="center"/>
                </w:tcPr>
                <w:p>
                  <w:pPr>
                    <w:adjustRightInd w:val="0"/>
                    <w:snapToGrid w:val="0"/>
                    <w:spacing w:line="320" w:lineRule="exact"/>
                    <w:jc w:val="center"/>
                    <w:rPr>
                      <w:b/>
                      <w:bCs w:val="0"/>
                      <w:spacing w:val="-3"/>
                      <w:szCs w:val="21"/>
                      <w:u w:val="single"/>
                    </w:rPr>
                  </w:pPr>
                  <w:r>
                    <w:rPr>
                      <w:rFonts w:hint="eastAsia"/>
                      <w:b/>
                      <w:bCs w:val="0"/>
                      <w:spacing w:val="-3"/>
                      <w:szCs w:val="21"/>
                      <w:u w:val="single"/>
                    </w:rPr>
                    <w:t>集气罩</w:t>
                  </w:r>
                  <w:r>
                    <w:rPr>
                      <w:rFonts w:hint="eastAsia"/>
                      <w:b/>
                      <w:bCs w:val="0"/>
                      <w:u w:val="single"/>
                      <w:lang w:eastAsia="zh-CN"/>
                    </w:rPr>
                    <w:t>（</w:t>
                  </w:r>
                  <w:r>
                    <w:rPr>
                      <w:rFonts w:hint="eastAsia"/>
                      <w:b/>
                      <w:bCs w:val="0"/>
                      <w:u w:val="single"/>
                      <w:lang w:val="en-US" w:eastAsia="zh-CN"/>
                    </w:rPr>
                    <w:t>加装</w:t>
                  </w:r>
                  <w:r>
                    <w:rPr>
                      <w:rFonts w:hint="eastAsia"/>
                      <w:b/>
                      <w:bCs w:val="0"/>
                      <w:u w:val="single"/>
                    </w:rPr>
                    <w:t>软帘</w:t>
                  </w:r>
                  <w:r>
                    <w:rPr>
                      <w:rFonts w:hint="eastAsia"/>
                      <w:b/>
                      <w:bCs w:val="0"/>
                      <w:u w:val="single"/>
                      <w:lang w:eastAsia="zh-CN"/>
                    </w:rPr>
                    <w:t>）</w:t>
                  </w:r>
                  <w:r>
                    <w:rPr>
                      <w:rFonts w:hint="eastAsia"/>
                      <w:b/>
                      <w:bCs w:val="0"/>
                      <w:spacing w:val="-3"/>
                      <w:szCs w:val="21"/>
                      <w:u w:val="single"/>
                    </w:rPr>
                    <w:t>+</w:t>
                  </w:r>
                  <w:r>
                    <w:rPr>
                      <w:b/>
                      <w:bCs w:val="0"/>
                      <w:kern w:val="0"/>
                      <w:szCs w:val="21"/>
                      <w:u w:val="single"/>
                    </w:rPr>
                    <w:t>UV光</w:t>
                  </w:r>
                  <w:r>
                    <w:rPr>
                      <w:rFonts w:hint="eastAsia"/>
                      <w:b/>
                      <w:bCs w:val="0"/>
                      <w:kern w:val="0"/>
                      <w:szCs w:val="21"/>
                      <w:u w:val="single"/>
                    </w:rPr>
                    <w:t>氧</w:t>
                  </w:r>
                  <w:r>
                    <w:rPr>
                      <w:b/>
                      <w:bCs w:val="0"/>
                      <w:kern w:val="0"/>
                      <w:szCs w:val="21"/>
                      <w:u w:val="single"/>
                    </w:rPr>
                    <w:t>+活性炭吸附装置</w:t>
                  </w:r>
                </w:p>
                <w:p>
                  <w:pPr>
                    <w:adjustRightInd w:val="0"/>
                    <w:snapToGrid w:val="0"/>
                    <w:spacing w:line="320" w:lineRule="exact"/>
                    <w:jc w:val="center"/>
                    <w:rPr>
                      <w:rFonts w:hint="eastAsia"/>
                      <w:b/>
                      <w:bCs w:val="0"/>
                      <w:spacing w:val="-3"/>
                      <w:szCs w:val="21"/>
                      <w:u w:val="single"/>
                      <w:lang w:val="en-US" w:eastAsia="zh-CN"/>
                    </w:rPr>
                  </w:pPr>
                  <w:r>
                    <w:rPr>
                      <w:rFonts w:hint="eastAsia"/>
                      <w:b/>
                      <w:bCs w:val="0"/>
                      <w:spacing w:val="-3"/>
                      <w:szCs w:val="21"/>
                      <w:u w:val="single"/>
                      <w:lang w:val="en-US" w:eastAsia="zh-CN"/>
                    </w:rPr>
                    <w:t>+</w:t>
                  </w:r>
                  <w:r>
                    <w:rPr>
                      <w:rFonts w:hint="eastAsia"/>
                      <w:b/>
                      <w:bCs w:val="0"/>
                      <w:spacing w:val="-3"/>
                      <w:szCs w:val="21"/>
                      <w:u w:val="single"/>
                    </w:rPr>
                    <w:t>15m高排气筒</w:t>
                  </w:r>
                </w:p>
              </w:tc>
              <w:tc>
                <w:tcPr>
                  <w:tcW w:w="1526" w:type="dxa"/>
                  <w:vAlign w:val="center"/>
                </w:tcPr>
                <w:p>
                  <w:pPr>
                    <w:adjustRightInd w:val="0"/>
                    <w:snapToGrid w:val="0"/>
                    <w:spacing w:line="320" w:lineRule="exact"/>
                    <w:jc w:val="center"/>
                    <w:rPr>
                      <w:rFonts w:hint="eastAsia" w:eastAsia="宋体"/>
                      <w:b/>
                      <w:bCs w:val="0"/>
                      <w:spacing w:val="-3"/>
                      <w:szCs w:val="21"/>
                      <w:u w:val="single"/>
                      <w:lang w:val="en-US" w:eastAsia="zh-CN"/>
                    </w:rPr>
                  </w:pPr>
                  <w:r>
                    <w:rPr>
                      <w:rFonts w:hint="eastAsia"/>
                      <w:b/>
                      <w:bCs w:val="0"/>
                      <w:spacing w:val="-3"/>
                      <w:szCs w:val="21"/>
                      <w:u w:val="single"/>
                      <w:lang w:val="en-US" w:eastAsia="zh-CN"/>
                    </w:rPr>
                    <w:t>/</w:t>
                  </w:r>
                </w:p>
              </w:tc>
              <w:tc>
                <w:tcPr>
                  <w:tcW w:w="2445" w:type="dxa"/>
                  <w:vAlign w:val="center"/>
                </w:tcPr>
                <w:p>
                  <w:pPr>
                    <w:adjustRightInd w:val="0"/>
                    <w:snapToGrid w:val="0"/>
                    <w:spacing w:line="320" w:lineRule="exact"/>
                    <w:jc w:val="center"/>
                    <w:rPr>
                      <w:rFonts w:hint="default"/>
                      <w:b/>
                      <w:bCs w:val="0"/>
                      <w:spacing w:val="-3"/>
                      <w:szCs w:val="21"/>
                      <w:u w:val="single"/>
                      <w:lang w:val="en-US" w:eastAsia="zh-CN"/>
                    </w:rPr>
                  </w:pPr>
                  <w:r>
                    <w:rPr>
                      <w:rFonts w:hint="eastAsia"/>
                      <w:b/>
                      <w:bCs w:val="0"/>
                      <w:spacing w:val="-3"/>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0" w:type="dxa"/>
                  <w:vMerge w:val="continue"/>
                  <w:vAlign w:val="center"/>
                </w:tcPr>
                <w:p>
                  <w:pPr>
                    <w:adjustRightInd w:val="0"/>
                    <w:snapToGrid w:val="0"/>
                    <w:spacing w:line="320" w:lineRule="exact"/>
                    <w:jc w:val="center"/>
                    <w:rPr>
                      <w:bCs/>
                      <w:spacing w:val="-3"/>
                      <w:szCs w:val="21"/>
                      <w:highlight w:val="yellow"/>
                    </w:rPr>
                  </w:pPr>
                </w:p>
              </w:tc>
              <w:tc>
                <w:tcPr>
                  <w:tcW w:w="420" w:type="dxa"/>
                  <w:vMerge w:val="restart"/>
                  <w:vAlign w:val="center"/>
                </w:tcPr>
                <w:p>
                  <w:pPr>
                    <w:widowControl/>
                    <w:adjustRightInd w:val="0"/>
                    <w:snapToGrid w:val="0"/>
                    <w:spacing w:line="320" w:lineRule="exact"/>
                    <w:jc w:val="center"/>
                    <w:rPr>
                      <w:bCs/>
                      <w:spacing w:val="-3"/>
                      <w:szCs w:val="21"/>
                    </w:rPr>
                  </w:pPr>
                  <w:r>
                    <w:rPr>
                      <w:rFonts w:hint="eastAsia"/>
                      <w:bCs/>
                      <w:spacing w:val="-3"/>
                      <w:szCs w:val="21"/>
                    </w:rPr>
                    <w:t>固废</w:t>
                  </w: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一般固废暂存间</w:t>
                  </w:r>
                </w:p>
              </w:tc>
              <w:tc>
                <w:tcPr>
                  <w:tcW w:w="1526" w:type="dxa"/>
                  <w:vAlign w:val="center"/>
                </w:tcPr>
                <w:p>
                  <w:pPr>
                    <w:adjustRightInd w:val="0"/>
                    <w:snapToGrid w:val="0"/>
                    <w:spacing w:line="320" w:lineRule="exact"/>
                    <w:jc w:val="center"/>
                    <w:rPr>
                      <w:bCs/>
                      <w:spacing w:val="-3"/>
                      <w:szCs w:val="21"/>
                      <w:highlight w:val="none"/>
                    </w:rPr>
                  </w:pPr>
                  <w:r>
                    <w:rPr>
                      <w:rFonts w:hint="eastAsia"/>
                      <w:bCs/>
                      <w:spacing w:val="-3"/>
                      <w:szCs w:val="21"/>
                      <w:highlight w:val="none"/>
                      <w:lang w:val="en-US" w:eastAsia="zh-CN"/>
                    </w:rPr>
                    <w:t>10</w:t>
                  </w:r>
                  <w:r>
                    <w:rPr>
                      <w:rFonts w:hint="eastAsia"/>
                      <w:bCs/>
                      <w:spacing w:val="-3"/>
                      <w:szCs w:val="21"/>
                      <w:highlight w:val="none"/>
                    </w:rPr>
                    <w:t>m</w:t>
                  </w:r>
                  <w:r>
                    <w:rPr>
                      <w:rFonts w:hint="eastAsia"/>
                      <w:bCs/>
                      <w:spacing w:val="-3"/>
                      <w:szCs w:val="21"/>
                      <w:highlight w:val="none"/>
                      <w:vertAlign w:val="superscript"/>
                    </w:rPr>
                    <w:t>2</w:t>
                  </w:r>
                </w:p>
              </w:tc>
              <w:tc>
                <w:tcPr>
                  <w:tcW w:w="2445" w:type="dxa"/>
                  <w:vMerge w:val="restart"/>
                  <w:vAlign w:val="center"/>
                </w:tcPr>
                <w:p>
                  <w:pPr>
                    <w:adjustRightInd w:val="0"/>
                    <w:snapToGrid w:val="0"/>
                    <w:spacing w:line="320" w:lineRule="exact"/>
                    <w:jc w:val="center"/>
                    <w:rPr>
                      <w:bCs/>
                      <w:spacing w:val="-3"/>
                      <w:szCs w:val="21"/>
                    </w:rPr>
                  </w:pPr>
                  <w:r>
                    <w:rPr>
                      <w:rFonts w:hint="eastAsia"/>
                      <w:bCs/>
                      <w:spacing w:val="-3"/>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0" w:type="dxa"/>
                  <w:vMerge w:val="continue"/>
                  <w:vAlign w:val="center"/>
                </w:tcPr>
                <w:p>
                  <w:pPr>
                    <w:adjustRightInd w:val="0"/>
                    <w:snapToGrid w:val="0"/>
                    <w:spacing w:line="320" w:lineRule="exact"/>
                    <w:jc w:val="center"/>
                    <w:rPr>
                      <w:bCs/>
                      <w:spacing w:val="-3"/>
                      <w:szCs w:val="21"/>
                      <w:highlight w:val="yellow"/>
                    </w:rPr>
                  </w:pPr>
                </w:p>
              </w:tc>
              <w:tc>
                <w:tcPr>
                  <w:tcW w:w="420" w:type="dxa"/>
                  <w:vMerge w:val="continue"/>
                  <w:vAlign w:val="center"/>
                </w:tcPr>
                <w:p>
                  <w:pPr>
                    <w:widowControl/>
                    <w:adjustRightInd w:val="0"/>
                    <w:snapToGrid w:val="0"/>
                    <w:spacing w:line="320" w:lineRule="exact"/>
                    <w:jc w:val="center"/>
                    <w:rPr>
                      <w:bCs/>
                      <w:spacing w:val="-3"/>
                      <w:szCs w:val="21"/>
                    </w:rPr>
                  </w:pP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危险废物暂存间</w:t>
                  </w:r>
                </w:p>
              </w:tc>
              <w:tc>
                <w:tcPr>
                  <w:tcW w:w="1526" w:type="dxa"/>
                  <w:vAlign w:val="center"/>
                </w:tcPr>
                <w:p>
                  <w:pPr>
                    <w:adjustRightInd w:val="0"/>
                    <w:snapToGrid w:val="0"/>
                    <w:spacing w:line="320" w:lineRule="exact"/>
                    <w:jc w:val="center"/>
                    <w:rPr>
                      <w:bCs/>
                      <w:spacing w:val="-3"/>
                      <w:szCs w:val="21"/>
                      <w:highlight w:val="none"/>
                    </w:rPr>
                  </w:pPr>
                  <w:r>
                    <w:rPr>
                      <w:rFonts w:hint="eastAsia"/>
                      <w:bCs/>
                      <w:spacing w:val="-3"/>
                      <w:szCs w:val="21"/>
                      <w:highlight w:val="none"/>
                      <w:lang w:val="en-US" w:eastAsia="zh-CN"/>
                    </w:rPr>
                    <w:t>6</w:t>
                  </w:r>
                  <w:r>
                    <w:rPr>
                      <w:rFonts w:hint="eastAsia"/>
                      <w:bCs/>
                      <w:spacing w:val="-3"/>
                      <w:szCs w:val="21"/>
                      <w:highlight w:val="none"/>
                    </w:rPr>
                    <w:t>m</w:t>
                  </w:r>
                  <w:r>
                    <w:rPr>
                      <w:rFonts w:hint="eastAsia"/>
                      <w:bCs/>
                      <w:spacing w:val="-3"/>
                      <w:szCs w:val="21"/>
                      <w:highlight w:val="none"/>
                      <w:vertAlign w:val="superscript"/>
                    </w:rPr>
                    <w:t>2</w:t>
                  </w:r>
                </w:p>
              </w:tc>
              <w:tc>
                <w:tcPr>
                  <w:tcW w:w="2445" w:type="dxa"/>
                  <w:vMerge w:val="continue"/>
                  <w:vAlign w:val="center"/>
                </w:tcPr>
                <w:p>
                  <w:pPr>
                    <w:adjustRightInd w:val="0"/>
                    <w:snapToGrid w:val="0"/>
                    <w:spacing w:line="320" w:lineRule="exact"/>
                    <w:jc w:val="center"/>
                    <w:rPr>
                      <w:bCs/>
                      <w:spacing w:val="-3"/>
                      <w:szCs w:val="21"/>
                    </w:rPr>
                  </w:pPr>
                </w:p>
              </w:tc>
            </w:tr>
          </w:tbl>
          <w:p>
            <w:pPr>
              <w:spacing w:line="460" w:lineRule="exact"/>
              <w:ind w:firstLine="482" w:firstLineChars="200"/>
              <w:rPr>
                <w:b/>
                <w:bCs/>
                <w:color w:val="000000"/>
                <w:sz w:val="24"/>
              </w:rPr>
            </w:pPr>
            <w:r>
              <w:rPr>
                <w:b/>
                <w:bCs/>
                <w:color w:val="000000"/>
                <w:sz w:val="24"/>
              </w:rPr>
              <w:t>4、产品方案及规模</w:t>
            </w:r>
          </w:p>
          <w:p>
            <w:pPr>
              <w:adjustRightInd w:val="0"/>
              <w:snapToGrid w:val="0"/>
              <w:spacing w:line="460" w:lineRule="exact"/>
              <w:ind w:firstLine="480" w:firstLineChars="200"/>
              <w:rPr>
                <w:color w:val="000000"/>
                <w:sz w:val="24"/>
              </w:rPr>
            </w:pPr>
            <w:r>
              <w:rPr>
                <w:rFonts w:hint="eastAsia"/>
                <w:color w:val="000000"/>
                <w:sz w:val="24"/>
              </w:rPr>
              <w:t>本项目实施后，其具体产品及生产规模详见表</w:t>
            </w:r>
            <w:r>
              <w:rPr>
                <w:rFonts w:hint="eastAsia"/>
                <w:color w:val="000000"/>
                <w:sz w:val="24"/>
                <w:lang w:val="en-US" w:eastAsia="zh-CN"/>
              </w:rPr>
              <w:t>9</w:t>
            </w:r>
            <w:r>
              <w:rPr>
                <w:rFonts w:hint="eastAsia"/>
                <w:color w:val="000000"/>
                <w:sz w:val="24"/>
              </w:rPr>
              <w:t>。</w:t>
            </w:r>
          </w:p>
          <w:p>
            <w:pPr>
              <w:pStyle w:val="5"/>
              <w:numPr>
                <w:ilvl w:val="0"/>
                <w:numId w:val="0"/>
              </w:numPr>
              <w:ind w:firstLine="482" w:firstLineChars="200"/>
            </w:pPr>
            <w:r>
              <w:rPr>
                <w:rFonts w:hint="eastAsia"/>
              </w:rPr>
              <w:t>表</w:t>
            </w:r>
            <w:r>
              <w:rPr>
                <w:rFonts w:hint="eastAsia"/>
                <w:lang w:val="en-US" w:eastAsia="zh-CN"/>
              </w:rPr>
              <w:t xml:space="preserve">9  </w:t>
            </w:r>
            <w:r>
              <w:rPr>
                <w:rFonts w:hint="eastAsia"/>
              </w:rPr>
              <w:t xml:space="preserve">          本项目产品方案及生产规模一览表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874"/>
              <w:gridCol w:w="266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38" w:type="pct"/>
                  <w:vAlign w:val="center"/>
                </w:tcPr>
                <w:p>
                  <w:pPr>
                    <w:spacing w:line="320" w:lineRule="exact"/>
                    <w:jc w:val="center"/>
                  </w:pPr>
                  <w:r>
                    <w:rPr>
                      <w:rFonts w:hint="eastAsia"/>
                    </w:rPr>
                    <w:t>序号</w:t>
                  </w:r>
                </w:p>
              </w:tc>
              <w:tc>
                <w:tcPr>
                  <w:tcW w:w="1730" w:type="pct"/>
                  <w:vAlign w:val="center"/>
                </w:tcPr>
                <w:p>
                  <w:pPr>
                    <w:spacing w:line="320" w:lineRule="exact"/>
                    <w:jc w:val="center"/>
                  </w:pPr>
                  <w:r>
                    <w:rPr>
                      <w:rFonts w:hint="eastAsia"/>
                    </w:rPr>
                    <w:t>产品名称</w:t>
                  </w:r>
                </w:p>
              </w:tc>
              <w:tc>
                <w:tcPr>
                  <w:tcW w:w="1606" w:type="pct"/>
                  <w:vAlign w:val="center"/>
                </w:tcPr>
                <w:p>
                  <w:pPr>
                    <w:adjustRightInd w:val="0"/>
                    <w:snapToGrid w:val="0"/>
                    <w:jc w:val="center"/>
                  </w:pPr>
                  <w:r>
                    <w:rPr>
                      <w:rFonts w:eastAsia="宋体"/>
                      <w:szCs w:val="21"/>
                    </w:rPr>
                    <w:t>单位</w:t>
                  </w:r>
                </w:p>
              </w:tc>
              <w:tc>
                <w:tcPr>
                  <w:tcW w:w="1023" w:type="pct"/>
                  <w:vAlign w:val="center"/>
                </w:tcPr>
                <w:p>
                  <w:pPr>
                    <w:adjustRightInd w:val="0"/>
                    <w:snapToGrid w:val="0"/>
                    <w:jc w:val="center"/>
                  </w:pPr>
                  <w:r>
                    <w:rPr>
                      <w:rFonts w:eastAsia="宋体"/>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38" w:type="pct"/>
                  <w:vAlign w:val="center"/>
                </w:tcPr>
                <w:p>
                  <w:pPr>
                    <w:spacing w:line="320" w:lineRule="exact"/>
                    <w:jc w:val="center"/>
                  </w:pPr>
                  <w:r>
                    <w:rPr>
                      <w:rFonts w:hint="eastAsia"/>
                    </w:rPr>
                    <w:t>1</w:t>
                  </w:r>
                </w:p>
              </w:tc>
              <w:tc>
                <w:tcPr>
                  <w:tcW w:w="1730" w:type="pct"/>
                  <w:vAlign w:val="center"/>
                </w:tcPr>
                <w:p>
                  <w:pPr>
                    <w:adjustRightInd w:val="0"/>
                    <w:snapToGrid w:val="0"/>
                    <w:jc w:val="center"/>
                    <w:rPr>
                      <w:rFonts w:hint="eastAsia" w:eastAsia="宋体"/>
                      <w:kern w:val="0"/>
                      <w:szCs w:val="21"/>
                      <w:lang w:eastAsia="zh-CN"/>
                    </w:rPr>
                  </w:pPr>
                  <w:r>
                    <w:rPr>
                      <w:rFonts w:hint="eastAsia"/>
                      <w:szCs w:val="21"/>
                    </w:rPr>
                    <w:t>EVA鞋垫</w:t>
                  </w:r>
                </w:p>
              </w:tc>
              <w:tc>
                <w:tcPr>
                  <w:tcW w:w="1606" w:type="pct"/>
                  <w:vAlign w:val="center"/>
                </w:tcPr>
                <w:p>
                  <w:pPr>
                    <w:adjustRightInd w:val="0"/>
                    <w:snapToGrid w:val="0"/>
                    <w:jc w:val="center"/>
                    <w:rPr>
                      <w:rFonts w:hint="default" w:eastAsia="宋体"/>
                      <w:lang w:val="en-US" w:eastAsia="zh-CN"/>
                    </w:rPr>
                  </w:pPr>
                  <w:r>
                    <w:rPr>
                      <w:rFonts w:eastAsia="宋体"/>
                      <w:szCs w:val="21"/>
                    </w:rPr>
                    <w:t>万</w:t>
                  </w:r>
                  <w:r>
                    <w:rPr>
                      <w:rFonts w:hint="eastAsia" w:eastAsia="宋体"/>
                      <w:szCs w:val="21"/>
                    </w:rPr>
                    <w:t>双</w:t>
                  </w:r>
                  <w:r>
                    <w:rPr>
                      <w:rFonts w:eastAsia="宋体"/>
                      <w:szCs w:val="21"/>
                    </w:rPr>
                    <w:t>/年</w:t>
                  </w:r>
                </w:p>
              </w:tc>
              <w:tc>
                <w:tcPr>
                  <w:tcW w:w="1023" w:type="pct"/>
                  <w:vAlign w:val="center"/>
                </w:tcPr>
                <w:p>
                  <w:pPr>
                    <w:adjustRightInd w:val="0"/>
                    <w:snapToGrid w:val="0"/>
                    <w:jc w:val="center"/>
                    <w:rPr>
                      <w:rFonts w:hint="default" w:eastAsia="宋体"/>
                      <w:lang w:val="en-US" w:eastAsia="zh-CN"/>
                    </w:rPr>
                  </w:pPr>
                  <w:r>
                    <w:rPr>
                      <w:rFonts w:hint="eastAsia"/>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38" w:type="pct"/>
                  <w:vAlign w:val="center"/>
                </w:tcPr>
                <w:p>
                  <w:pPr>
                    <w:spacing w:line="320" w:lineRule="exact"/>
                    <w:jc w:val="center"/>
                    <w:rPr>
                      <w:rFonts w:hint="eastAsia" w:eastAsia="宋体"/>
                      <w:lang w:val="en-US" w:eastAsia="zh-CN"/>
                    </w:rPr>
                  </w:pPr>
                  <w:r>
                    <w:rPr>
                      <w:rFonts w:hint="eastAsia"/>
                      <w:lang w:val="en-US" w:eastAsia="zh-CN"/>
                    </w:rPr>
                    <w:t>2</w:t>
                  </w:r>
                </w:p>
              </w:tc>
              <w:tc>
                <w:tcPr>
                  <w:tcW w:w="1730" w:type="pct"/>
                  <w:vAlign w:val="center"/>
                </w:tcPr>
                <w:p>
                  <w:pPr>
                    <w:adjustRightInd w:val="0"/>
                    <w:snapToGrid w:val="0"/>
                    <w:jc w:val="center"/>
                    <w:rPr>
                      <w:rFonts w:hint="eastAsia"/>
                      <w:kern w:val="0"/>
                      <w:szCs w:val="21"/>
                      <w:lang w:val="en-US" w:eastAsia="zh-CN"/>
                    </w:rPr>
                  </w:pPr>
                  <w:r>
                    <w:rPr>
                      <w:rFonts w:hint="eastAsia"/>
                      <w:szCs w:val="21"/>
                    </w:rPr>
                    <w:t>大力棉鞋垫</w:t>
                  </w:r>
                </w:p>
              </w:tc>
              <w:tc>
                <w:tcPr>
                  <w:tcW w:w="1606" w:type="pct"/>
                  <w:vAlign w:val="center"/>
                </w:tcPr>
                <w:p>
                  <w:pPr>
                    <w:adjustRightInd w:val="0"/>
                    <w:snapToGrid w:val="0"/>
                    <w:jc w:val="center"/>
                    <w:rPr>
                      <w:rFonts w:eastAsia="宋体"/>
                      <w:szCs w:val="21"/>
                    </w:rPr>
                  </w:pPr>
                  <w:r>
                    <w:rPr>
                      <w:rFonts w:eastAsia="宋体"/>
                      <w:szCs w:val="21"/>
                    </w:rPr>
                    <w:t>万</w:t>
                  </w:r>
                  <w:r>
                    <w:rPr>
                      <w:rFonts w:hint="eastAsia" w:eastAsia="宋体"/>
                      <w:szCs w:val="21"/>
                    </w:rPr>
                    <w:t>双</w:t>
                  </w:r>
                  <w:r>
                    <w:rPr>
                      <w:rFonts w:eastAsia="宋体"/>
                      <w:szCs w:val="21"/>
                    </w:rPr>
                    <w:t>/年</w:t>
                  </w:r>
                </w:p>
              </w:tc>
              <w:tc>
                <w:tcPr>
                  <w:tcW w:w="1023" w:type="pct"/>
                  <w:vAlign w:val="center"/>
                </w:tcPr>
                <w:p>
                  <w:pPr>
                    <w:adjustRightInd w:val="0"/>
                    <w:snapToGrid w:val="0"/>
                    <w:jc w:val="center"/>
                    <w:rPr>
                      <w:rFonts w:hint="default" w:eastAsia="宋体"/>
                      <w:szCs w:val="21"/>
                      <w:lang w:val="en-US" w:eastAsia="zh-CN"/>
                    </w:rPr>
                  </w:pPr>
                  <w:r>
                    <w:rPr>
                      <w:rFonts w:hint="eastAsia"/>
                      <w:szCs w:val="21"/>
                      <w:lang w:val="en-US" w:eastAsia="zh-CN"/>
                    </w:rPr>
                    <w:t>100</w:t>
                  </w: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color w:val="000000"/>
                <w:sz w:val="24"/>
              </w:rPr>
              <w:t>本项目</w:t>
            </w:r>
            <w:r>
              <w:rPr>
                <w:color w:val="000000"/>
                <w:sz w:val="24"/>
              </w:rPr>
              <w:t>主要原辅材料、能源消耗情况见表</w:t>
            </w:r>
            <w:r>
              <w:rPr>
                <w:rFonts w:hint="eastAsia"/>
                <w:color w:val="000000"/>
                <w:sz w:val="24"/>
                <w:lang w:val="en-US" w:eastAsia="zh-CN"/>
              </w:rPr>
              <w:t>10</w:t>
            </w:r>
            <w:r>
              <w:rPr>
                <w:color w:val="000000"/>
                <w:sz w:val="24"/>
              </w:rPr>
              <w:t>。</w:t>
            </w:r>
          </w:p>
          <w:p>
            <w:pPr>
              <w:pStyle w:val="5"/>
              <w:numPr>
                <w:ilvl w:val="0"/>
                <w:numId w:val="0"/>
              </w:numPr>
              <w:ind w:firstLine="482" w:firstLineChars="200"/>
              <w:rPr>
                <w:color w:val="000000"/>
              </w:rPr>
            </w:pPr>
            <w:r>
              <w:rPr>
                <w:rFonts w:hint="eastAsia"/>
                <w:color w:val="000000"/>
              </w:rPr>
              <w:t>表</w:t>
            </w:r>
            <w:r>
              <w:rPr>
                <w:rFonts w:hint="eastAsia"/>
                <w:color w:val="000000"/>
                <w:lang w:val="en-US" w:eastAsia="zh-CN"/>
              </w:rPr>
              <w:t>10</w:t>
            </w:r>
            <w:r>
              <w:rPr>
                <w:color w:val="000000"/>
              </w:rPr>
              <w:t xml:space="preserve">        </w:t>
            </w:r>
            <w:r>
              <w:rPr>
                <w:rFonts w:hint="eastAsia"/>
                <w:color w:val="000000"/>
              </w:rPr>
              <w:t>本</w:t>
            </w:r>
            <w:r>
              <w:rPr>
                <w:color w:val="000000"/>
              </w:rPr>
              <w:t>项目主要原辅材料及能源消耗一览表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065"/>
              <w:gridCol w:w="1545"/>
              <w:gridCol w:w="1109"/>
              <w:gridCol w:w="1012"/>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6"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u w:val="none"/>
                    </w:rPr>
                    <w:t>类型</w:t>
                  </w:r>
                </w:p>
              </w:tc>
              <w:tc>
                <w:tcPr>
                  <w:tcW w:w="2610" w:type="dxa"/>
                  <w:gridSpan w:val="2"/>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u w:val="none"/>
                    </w:rPr>
                    <w:t>材料名称</w:t>
                  </w:r>
                </w:p>
              </w:tc>
              <w:tc>
                <w:tcPr>
                  <w:tcW w:w="110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u w:val="none"/>
                    </w:rPr>
                    <w:t>单位</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u w:val="none"/>
                    </w:rPr>
                    <w:t>消耗量</w:t>
                  </w:r>
                </w:p>
              </w:tc>
              <w:tc>
                <w:tcPr>
                  <w:tcW w:w="2860"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u w:val="none"/>
                    </w:rPr>
                    <w:t>原辅材料</w:t>
                  </w:r>
                </w:p>
              </w:tc>
              <w:tc>
                <w:tcPr>
                  <w:tcW w:w="1065"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szCs w:val="21"/>
                      <w:u w:val="none"/>
                    </w:rPr>
                    <w:t>EVA鞋垫生产</w:t>
                  </w:r>
                </w:p>
              </w:tc>
              <w:tc>
                <w:tcPr>
                  <w:tcW w:w="1545" w:type="dxa"/>
                  <w:vAlign w:val="center"/>
                </w:tcPr>
                <w:p>
                  <w:pPr>
                    <w:keepNext w:val="0"/>
                    <w:keepLines w:val="0"/>
                    <w:pageBreakBefore w:val="0"/>
                    <w:widowControl w:val="0"/>
                    <w:kinsoku/>
                    <w:wordWrap/>
                    <w:overflowPunct/>
                    <w:topLinePunct w:val="0"/>
                    <w:autoSpaceDE/>
                    <w:autoSpaceDN/>
                    <w:bidi w:val="0"/>
                    <w:spacing w:before="24" w:line="320" w:lineRule="exact"/>
                    <w:jc w:val="center"/>
                    <w:textAlignment w:val="auto"/>
                    <w:rPr>
                      <w:b w:val="0"/>
                      <w:bCs w:val="0"/>
                      <w:u w:val="none"/>
                    </w:rPr>
                  </w:pPr>
                  <w:r>
                    <w:rPr>
                      <w:rFonts w:hint="eastAsia"/>
                      <w:b w:val="0"/>
                      <w:bCs w:val="0"/>
                      <w:szCs w:val="21"/>
                      <w:u w:val="none"/>
                    </w:rPr>
                    <w:t>EVA颗粒</w:t>
                  </w:r>
                </w:p>
              </w:tc>
              <w:tc>
                <w:tcPr>
                  <w:tcW w:w="110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b w:val="0"/>
                      <w:bCs w:val="0"/>
                      <w:u w:val="none"/>
                    </w:rPr>
                  </w:pPr>
                  <w:r>
                    <w:rPr>
                      <w:rFonts w:hint="eastAsia"/>
                      <w:b w:val="0"/>
                      <w:bCs w:val="0"/>
                      <w:szCs w:val="21"/>
                      <w:u w:val="none"/>
                    </w:rPr>
                    <w:t>t/a</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100</w:t>
                  </w:r>
                </w:p>
              </w:tc>
              <w:tc>
                <w:tcPr>
                  <w:tcW w:w="286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eastAsia="宋体"/>
                      <w:b w:val="0"/>
                      <w:bCs w:val="0"/>
                      <w:u w:val="none"/>
                      <w:lang w:val="en-US" w:eastAsia="zh-CN"/>
                    </w:rPr>
                  </w:pPr>
                  <w:r>
                    <w:rPr>
                      <w:rFonts w:hint="eastAsia"/>
                      <w:b w:val="0"/>
                      <w:bCs w:val="0"/>
                      <w:szCs w:val="21"/>
                      <w:u w:val="none"/>
                      <w:lang w:val="en-US" w:eastAsia="zh-CN"/>
                    </w:rPr>
                    <w:t>外购，颗粒状，25kg/袋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ascii="Times New Roman" w:hAnsi="Times New Roman" w:eastAsia="宋体" w:cs="Times New Roman"/>
                      <w:b w:val="0"/>
                      <w:bCs w:val="0"/>
                      <w:color w:val="000000"/>
                      <w:kern w:val="2"/>
                      <w:sz w:val="21"/>
                      <w:szCs w:val="21"/>
                      <w:u w:val="none"/>
                      <w:lang w:val="en-US" w:eastAsia="zh-CN" w:bidi="ar-SA"/>
                    </w:rPr>
                  </w:pPr>
                  <w:r>
                    <w:rPr>
                      <w:rFonts w:hint="eastAsia"/>
                      <w:b w:val="0"/>
                      <w:bCs w:val="0"/>
                      <w:u w:val="none"/>
                    </w:rPr>
                    <w:t>PUR热熔胶</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ascii="Times New Roman" w:hAnsi="Times New Roman" w:eastAsia="宋体" w:cs="Times New Roman"/>
                      <w:b w:val="0"/>
                      <w:bCs w:val="0"/>
                      <w:color w:val="000000"/>
                      <w:kern w:val="2"/>
                      <w:sz w:val="21"/>
                      <w:szCs w:val="21"/>
                      <w:u w:val="none"/>
                      <w:lang w:val="en-US" w:eastAsia="zh-CN" w:bidi="ar-SA"/>
                    </w:rPr>
                  </w:pPr>
                  <w:r>
                    <w:rPr>
                      <w:rFonts w:hint="eastAsia"/>
                      <w:b w:val="0"/>
                      <w:bCs w:val="0"/>
                      <w:u w:val="none"/>
                    </w:rPr>
                    <w:t>吨/年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0"/>
                      <w:sz w:val="21"/>
                      <w:szCs w:val="21"/>
                      <w:u w:val="none"/>
                      <w:lang w:val="en-US" w:eastAsia="zh-CN" w:bidi="ar-SA"/>
                    </w:rPr>
                  </w:pPr>
                  <w:r>
                    <w:rPr>
                      <w:rFonts w:hint="eastAsia"/>
                      <w:b w:val="0"/>
                      <w:bCs w:val="0"/>
                      <w:color w:val="000000"/>
                      <w:kern w:val="0"/>
                      <w:szCs w:val="21"/>
                      <w:u w:val="none"/>
                      <w:lang w:val="en-US" w:eastAsia="zh-CN"/>
                    </w:rPr>
                    <w:t>5</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szCs w:val="21"/>
                      <w:u w:val="none"/>
                      <w:lang w:val="en-US" w:eastAsia="zh-CN"/>
                    </w:rPr>
                    <w:t>外购，颗粒状，用于EVA鞋垫生产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1545" w:type="dxa"/>
                  <w:tcBorders>
                    <w:top w:val="single" w:color="auto" w:sz="4" w:space="0"/>
                    <w:left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u w:val="none"/>
                    </w:rPr>
                  </w:pPr>
                  <w:r>
                    <w:rPr>
                      <w:rFonts w:hint="eastAsia"/>
                      <w:b w:val="0"/>
                      <w:bCs w:val="0"/>
                      <w:u w:val="none"/>
                    </w:rPr>
                    <w:t>衬面</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u w:val="none"/>
                    </w:rPr>
                  </w:pPr>
                  <w:r>
                    <w:rPr>
                      <w:rFonts w:hint="eastAsia"/>
                      <w:b w:val="0"/>
                      <w:bCs w:val="0"/>
                      <w:u w:val="none"/>
                    </w:rPr>
                    <w:t>万米/年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23</w:t>
                  </w:r>
                </w:p>
              </w:tc>
              <w:tc>
                <w:tcPr>
                  <w:tcW w:w="286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b w:val="0"/>
                      <w:bCs w:val="0"/>
                      <w:u w:val="none"/>
                      <w:lang w:val="en-US" w:eastAsia="zh-CN"/>
                    </w:rPr>
                  </w:pPr>
                  <w:r>
                    <w:rPr>
                      <w:rFonts w:hint="eastAsia"/>
                      <w:b w:val="0"/>
                      <w:bCs w:val="0"/>
                      <w:szCs w:val="21"/>
                      <w:u w:val="none"/>
                      <w:lang w:val="en-US" w:eastAsia="zh-CN"/>
                    </w:rPr>
                    <w:t>外购，2t/万米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大力棉鞋垫生产</w:t>
                  </w:r>
                </w:p>
              </w:tc>
              <w:tc>
                <w:tcPr>
                  <w:tcW w:w="154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color w:val="000000"/>
                      <w:szCs w:val="21"/>
                      <w:u w:val="none"/>
                    </w:rPr>
                  </w:pPr>
                  <w:r>
                    <w:rPr>
                      <w:rFonts w:hint="eastAsia"/>
                      <w:b w:val="0"/>
                      <w:bCs w:val="0"/>
                      <w:u w:val="none"/>
                    </w:rPr>
                    <w:t>大力棉</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u w:val="none"/>
                    </w:rPr>
                  </w:pPr>
                  <w:r>
                    <w:rPr>
                      <w:rFonts w:hint="eastAsia"/>
                      <w:b w:val="0"/>
                      <w:bCs w:val="0"/>
                      <w:u w:val="none"/>
                    </w:rPr>
                    <w:t>万米/年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color w:val="000000"/>
                      <w:kern w:val="0"/>
                      <w:szCs w:val="21"/>
                      <w:u w:val="none"/>
                      <w:lang w:val="en-US" w:eastAsia="zh-CN"/>
                    </w:rPr>
                  </w:pPr>
                  <w:r>
                    <w:rPr>
                      <w:rFonts w:hint="eastAsia"/>
                      <w:b w:val="0"/>
                      <w:bCs w:val="0"/>
                      <w:u w:val="none"/>
                      <w:lang w:val="en-US" w:eastAsia="zh-CN"/>
                    </w:rPr>
                    <w:t>5</w:t>
                  </w:r>
                </w:p>
              </w:tc>
              <w:tc>
                <w:tcPr>
                  <w:tcW w:w="286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eastAsia="宋体"/>
                      <w:b w:val="0"/>
                      <w:bCs w:val="0"/>
                      <w:color w:val="000000"/>
                      <w:szCs w:val="21"/>
                      <w:u w:val="none"/>
                      <w:lang w:val="en-US" w:eastAsia="zh-CN"/>
                    </w:rPr>
                  </w:pPr>
                  <w:r>
                    <w:rPr>
                      <w:rFonts w:hint="eastAsia"/>
                      <w:b w:val="0"/>
                      <w:bCs w:val="0"/>
                      <w:szCs w:val="21"/>
                      <w:u w:val="none"/>
                      <w:lang w:val="en-US" w:eastAsia="zh-CN"/>
                    </w:rPr>
                    <w:t>外购，2t/万米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b w:val="0"/>
                      <w:bCs w:val="0"/>
                      <w:u w:val="none"/>
                      <w:lang w:val="en-US" w:eastAsia="zh-CN"/>
                    </w:rPr>
                  </w:pPr>
                  <w:r>
                    <w:rPr>
                      <w:rFonts w:hint="eastAsia"/>
                      <w:b w:val="0"/>
                      <w:bCs w:val="0"/>
                      <w:u w:val="none"/>
                      <w:lang w:val="en-US"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color w:val="000000"/>
                      <w:szCs w:val="21"/>
                      <w:u w:val="none"/>
                    </w:rPr>
                  </w:pPr>
                  <w:r>
                    <w:rPr>
                      <w:rFonts w:hint="eastAsia"/>
                      <w:b w:val="0"/>
                      <w:bCs w:val="0"/>
                      <w:u w:val="none"/>
                    </w:rPr>
                    <w:t>液压油</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b w:val="0"/>
                      <w:bCs w:val="0"/>
                      <w:u w:val="none"/>
                    </w:rPr>
                  </w:pPr>
                  <w:r>
                    <w:rPr>
                      <w:rFonts w:hint="eastAsia"/>
                      <w:b w:val="0"/>
                      <w:bCs w:val="0"/>
                      <w:u w:val="none"/>
                    </w:rPr>
                    <w:t>吨/年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0.1</w:t>
                  </w:r>
                </w:p>
              </w:tc>
              <w:tc>
                <w:tcPr>
                  <w:tcW w:w="286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eastAsia="宋体"/>
                      <w:b w:val="0"/>
                      <w:bCs w:val="0"/>
                      <w:color w:val="000000"/>
                      <w:szCs w:val="21"/>
                      <w:u w:val="none"/>
                      <w:lang w:val="en-US" w:eastAsia="zh-CN"/>
                    </w:rPr>
                  </w:pPr>
                  <w:r>
                    <w:rPr>
                      <w:rFonts w:eastAsia="宋体"/>
                      <w:b w:val="0"/>
                      <w:bCs w:val="0"/>
                      <w:szCs w:val="21"/>
                      <w:u w:val="none"/>
                    </w:rPr>
                    <w:t>外购</w:t>
                  </w:r>
                  <w:r>
                    <w:rPr>
                      <w:rFonts w:hint="eastAsia"/>
                      <w:b w:val="0"/>
                      <w:bCs w:val="0"/>
                      <w:szCs w:val="21"/>
                      <w:u w:val="none"/>
                      <w:lang w:eastAsia="zh-CN"/>
                    </w:rPr>
                    <w:t>，</w:t>
                  </w:r>
                  <w:r>
                    <w:rPr>
                      <w:rFonts w:hint="eastAsia"/>
                      <w:b w:val="0"/>
                      <w:bCs w:val="0"/>
                      <w:szCs w:val="21"/>
                      <w:u w:val="none"/>
                      <w:lang w:val="en-US" w:eastAsia="zh-CN"/>
                    </w:rPr>
                    <w:t>液态，25kg/桶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hint="default" w:eastAsia="宋体"/>
                      <w:b w:val="0"/>
                      <w:bCs w:val="0"/>
                      <w:u w:val="none"/>
                      <w:lang w:val="en-US" w:eastAsia="zh-CN"/>
                    </w:rPr>
                  </w:pPr>
                  <w:r>
                    <w:rPr>
                      <w:rFonts w:hint="eastAsia"/>
                      <w:b w:val="0"/>
                      <w:bCs w:val="0"/>
                      <w:u w:val="none"/>
                      <w:lang w:val="en-US" w:eastAsia="zh-CN"/>
                    </w:rPr>
                    <w:t>热转印商标纸</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hint="default" w:eastAsia="宋体"/>
                      <w:b w:val="0"/>
                      <w:bCs w:val="0"/>
                      <w:u w:val="none"/>
                      <w:lang w:val="en-US" w:eastAsia="zh-CN"/>
                    </w:rPr>
                  </w:pPr>
                  <w:r>
                    <w:rPr>
                      <w:rFonts w:hint="eastAsia"/>
                      <w:b w:val="0"/>
                      <w:bCs w:val="0"/>
                      <w:u w:val="none"/>
                      <w:lang w:val="en-US" w:eastAsia="zh-CN"/>
                    </w:rPr>
                    <w:t>万张/年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b w:val="0"/>
                      <w:bCs w:val="0"/>
                      <w:color w:val="000000"/>
                      <w:kern w:val="0"/>
                      <w:szCs w:val="21"/>
                      <w:u w:val="none"/>
                      <w:lang w:val="en-US" w:eastAsia="zh-CN"/>
                    </w:rPr>
                  </w:pPr>
                  <w:r>
                    <w:rPr>
                      <w:rFonts w:hint="eastAsia"/>
                      <w:b w:val="0"/>
                      <w:bCs w:val="0"/>
                      <w:color w:val="000000"/>
                      <w:kern w:val="0"/>
                      <w:szCs w:val="21"/>
                      <w:u w:val="none"/>
                      <w:lang w:val="en-US" w:eastAsia="zh-CN"/>
                    </w:rPr>
                    <w:t>200</w:t>
                  </w:r>
                </w:p>
              </w:tc>
              <w:tc>
                <w:tcPr>
                  <w:tcW w:w="286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eastAsia="宋体"/>
                      <w:b w:val="0"/>
                      <w:bCs w:val="0"/>
                      <w:szCs w:val="21"/>
                      <w:u w:val="none"/>
                      <w:lang w:val="en-US" w:eastAsia="zh-CN"/>
                    </w:rPr>
                  </w:pPr>
                  <w:r>
                    <w:rPr>
                      <w:rFonts w:hint="eastAsia"/>
                      <w:b w:val="0"/>
                      <w:bCs w:val="0"/>
                      <w:szCs w:val="21"/>
                      <w:u w:val="none"/>
                      <w:lang w:val="en-US" w:eastAsia="zh-CN"/>
                    </w:rPr>
                    <w:t>外购，用于转印工序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1065"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bCs/>
                      <w:u w:val="single"/>
                      <w:lang w:val="en-US" w:eastAsia="zh-CN"/>
                    </w:rPr>
                  </w:pPr>
                  <w:r>
                    <w:rPr>
                      <w:rFonts w:hint="eastAsia"/>
                      <w:b/>
                      <w:bCs/>
                      <w:u w:val="single"/>
                      <w:lang w:val="en-US"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hint="default"/>
                      <w:lang w:val="en-US" w:eastAsia="zh-CN"/>
                    </w:rPr>
                  </w:pPr>
                  <w:r>
                    <w:rPr>
                      <w:rFonts w:hint="eastAsia"/>
                      <w:lang w:val="en-US" w:eastAsia="zh-CN"/>
                    </w:rPr>
                    <w:t>水性油墨</w:t>
                  </w:r>
                </w:p>
              </w:tc>
              <w:tc>
                <w:tcPr>
                  <w:tcW w:w="1109" w:type="dxa"/>
                  <w:vAlign w:val="center"/>
                </w:tcPr>
                <w:p>
                  <w:pPr>
                    <w:pStyle w:val="50"/>
                    <w:keepNext w:val="0"/>
                    <w:keepLines w:val="0"/>
                    <w:pageBreakBefore w:val="0"/>
                    <w:widowControl w:val="0"/>
                    <w:kinsoku/>
                    <w:wordWrap/>
                    <w:overflowPunct/>
                    <w:topLinePunct w:val="0"/>
                    <w:autoSpaceDE/>
                    <w:autoSpaceDN/>
                    <w:bidi w:val="0"/>
                    <w:spacing w:line="320" w:lineRule="exact"/>
                    <w:textAlignment w:val="auto"/>
                    <w:rPr>
                      <w:rFonts w:hint="default"/>
                      <w:lang w:val="en-US" w:eastAsia="zh-CN"/>
                    </w:rPr>
                  </w:pPr>
                  <w:r>
                    <w:rPr>
                      <w:rFonts w:hint="eastAsia"/>
                      <w:lang w:val="en-US" w:eastAsia="zh-CN"/>
                    </w:rPr>
                    <w:t>吨/年</w:t>
                  </w:r>
                </w:p>
              </w:tc>
              <w:tc>
                <w:tcPr>
                  <w:tcW w:w="1012" w:type="dxa"/>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bCs/>
                      <w:color w:val="000000"/>
                      <w:kern w:val="0"/>
                      <w:szCs w:val="21"/>
                      <w:u w:val="none"/>
                      <w:lang w:val="en-US" w:eastAsia="zh-CN"/>
                    </w:rPr>
                  </w:pPr>
                  <w:r>
                    <w:rPr>
                      <w:rFonts w:hint="eastAsia"/>
                      <w:bCs/>
                      <w:color w:val="000000"/>
                      <w:kern w:val="0"/>
                      <w:szCs w:val="21"/>
                      <w:u w:val="none"/>
                      <w:lang w:val="en-US" w:eastAsia="zh-CN"/>
                    </w:rPr>
                    <w:t>0.02</w:t>
                  </w:r>
                </w:p>
              </w:tc>
              <w:tc>
                <w:tcPr>
                  <w:tcW w:w="286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szCs w:val="21"/>
                      <w:u w:val="none"/>
                      <w:lang w:val="en-US" w:eastAsia="zh-CN"/>
                    </w:rPr>
                  </w:pPr>
                  <w:r>
                    <w:rPr>
                      <w:rFonts w:hint="eastAsia"/>
                      <w:szCs w:val="21"/>
                      <w:u w:val="none"/>
                      <w:lang w:val="en-US" w:eastAsia="zh-CN"/>
                    </w:rPr>
                    <w:t>外购，1kg/桶，用于印标工序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u w:val="none"/>
                    </w:rPr>
                    <w:t>能源消耗</w:t>
                  </w:r>
                </w:p>
              </w:tc>
              <w:tc>
                <w:tcPr>
                  <w:tcW w:w="261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u w:val="none"/>
                    </w:rPr>
                    <w:t>电</w:t>
                  </w:r>
                </w:p>
              </w:tc>
              <w:tc>
                <w:tcPr>
                  <w:tcW w:w="110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u w:val="none"/>
                    </w:rPr>
                    <w:t>万</w:t>
                  </w:r>
                  <w:r>
                    <w:rPr>
                      <w:rFonts w:hint="eastAsia"/>
                      <w:u w:val="none"/>
                    </w:rPr>
                    <w:t>kWh</w:t>
                  </w:r>
                  <w:r>
                    <w:rPr>
                      <w:u w:val="none"/>
                    </w:rPr>
                    <w:t>/a</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u w:val="none"/>
                      <w:lang w:val="en-US" w:eastAsia="zh-CN"/>
                    </w:rPr>
                  </w:pPr>
                  <w:r>
                    <w:rPr>
                      <w:rFonts w:hint="eastAsia"/>
                      <w:u w:val="none"/>
                      <w:lang w:val="en-US" w:eastAsia="zh-CN"/>
                    </w:rPr>
                    <w:t>20</w:t>
                  </w:r>
                </w:p>
              </w:tc>
              <w:tc>
                <w:tcPr>
                  <w:tcW w:w="2860"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r>
                    <w:rPr>
                      <w:rFonts w:hint="eastAsia"/>
                      <w:szCs w:val="21"/>
                      <w:u w:val="none"/>
                      <w:lang w:val="en-US" w:eastAsia="zh-CN"/>
                    </w:rPr>
                    <w:t>区域电网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u w:val="none"/>
                    </w:rPr>
                  </w:pPr>
                </w:p>
              </w:tc>
              <w:tc>
                <w:tcPr>
                  <w:tcW w:w="261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rFonts w:hint="eastAsia"/>
                      <w:b w:val="0"/>
                      <w:bCs w:val="0"/>
                      <w:u w:val="none"/>
                    </w:rPr>
                    <w:t>水</w:t>
                  </w:r>
                </w:p>
              </w:tc>
              <w:tc>
                <w:tcPr>
                  <w:tcW w:w="110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highlight w:val="yellow"/>
                      <w:u w:val="none"/>
                    </w:rPr>
                  </w:pPr>
                  <w:r>
                    <w:rPr>
                      <w:rFonts w:hint="eastAsia"/>
                      <w:b w:val="0"/>
                      <w:bCs w:val="0"/>
                      <w:u w:val="none"/>
                    </w:rPr>
                    <w:t>t</w:t>
                  </w:r>
                  <w:r>
                    <w:rPr>
                      <w:b w:val="0"/>
                      <w:bCs w:val="0"/>
                      <w:u w:val="none"/>
                    </w:rPr>
                    <w:t>/a</w:t>
                  </w:r>
                </w:p>
              </w:tc>
              <w:tc>
                <w:tcPr>
                  <w:tcW w:w="101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highlight w:val="yellow"/>
                      <w:u w:val="none"/>
                      <w:lang w:val="en-US" w:eastAsia="zh-CN"/>
                    </w:rPr>
                  </w:pPr>
                  <w:r>
                    <w:rPr>
                      <w:rFonts w:hint="eastAsia"/>
                      <w:b w:val="0"/>
                      <w:bCs w:val="0"/>
                      <w:highlight w:val="none"/>
                      <w:u w:val="none"/>
                      <w:lang w:val="en-US" w:eastAsia="zh-CN"/>
                    </w:rPr>
                    <w:t>276</w:t>
                  </w:r>
                </w:p>
              </w:tc>
              <w:tc>
                <w:tcPr>
                  <w:tcW w:w="2860"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bCs/>
                      <w:u w:val="none"/>
                    </w:rPr>
                  </w:pPr>
                  <w:r>
                    <w:rPr>
                      <w:rFonts w:hint="eastAsia"/>
                      <w:u w:val="none"/>
                      <w:lang w:val="en-US" w:eastAsia="zh-CN"/>
                    </w:rPr>
                    <w:t>山化镇</w:t>
                  </w:r>
                  <w:r>
                    <w:rPr>
                      <w:rFonts w:hint="eastAsia"/>
                      <w:u w:val="none"/>
                    </w:rPr>
                    <w:t>供水管网</w:t>
                  </w:r>
                </w:p>
              </w:tc>
            </w:tr>
          </w:tbl>
          <w:p>
            <w:pPr>
              <w:widowControl w:val="0"/>
              <w:spacing w:line="460" w:lineRule="exact"/>
              <w:ind w:firstLine="480" w:firstLineChars="200"/>
              <w:jc w:val="left"/>
              <w:rPr>
                <w:rFonts w:ascii="Times New Roman" w:hAnsi="Times New Roman" w:eastAsia="宋体" w:cs="Times New Roman"/>
                <w:b w:val="0"/>
                <w:bCs w:val="0"/>
                <w:i w:val="0"/>
                <w:iCs w:val="0"/>
                <w:color w:val="000000"/>
                <w:kern w:val="2"/>
                <w:sz w:val="24"/>
                <w:szCs w:val="24"/>
                <w:u w:val="none"/>
                <w:lang w:val="en-US" w:eastAsia="zh-CN" w:bidi="ar-SA"/>
              </w:rPr>
            </w:pPr>
            <w:r>
              <w:rPr>
                <w:rFonts w:ascii="Times New Roman" w:hAnsi="Times New Roman" w:eastAsia="宋体" w:cs="Times New Roman"/>
                <w:b w:val="0"/>
                <w:bCs w:val="0"/>
                <w:i w:val="0"/>
                <w:iCs w:val="0"/>
                <w:color w:val="000000"/>
                <w:kern w:val="2"/>
                <w:sz w:val="24"/>
                <w:szCs w:val="24"/>
                <w:u w:val="none"/>
                <w:lang w:val="en-US" w:eastAsia="zh-CN" w:bidi="ar-SA"/>
              </w:rPr>
              <w:t>EVA</w:t>
            </w:r>
            <w:r>
              <w:rPr>
                <w:rFonts w:hint="eastAsia" w:ascii="Times New Roman" w:hAnsi="Times New Roman" w:eastAsia="宋体" w:cs="Times New Roman"/>
                <w:b w:val="0"/>
                <w:bCs w:val="0"/>
                <w:i w:val="0"/>
                <w:iCs w:val="0"/>
                <w:color w:val="000000"/>
                <w:kern w:val="2"/>
                <w:sz w:val="24"/>
                <w:szCs w:val="24"/>
                <w:u w:val="none"/>
                <w:lang w:val="en-US" w:eastAsia="zh-CN" w:bidi="ar-SA"/>
              </w:rPr>
              <w:t>：是乙烯和醋酸共聚而成的，中文化学名称：乙烯</w:t>
            </w:r>
            <w:r>
              <w:rPr>
                <w:rFonts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醋酸乙烯共聚物（乙烯</w:t>
            </w:r>
            <w:r>
              <w:rPr>
                <w:rFonts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乙酸乙烯共聚物），英文化学名称：</w:t>
            </w:r>
            <w:r>
              <w:rPr>
                <w:rFonts w:ascii="Times New Roman" w:hAnsi="Times New Roman" w:eastAsia="宋体" w:cs="Times New Roman"/>
                <w:b w:val="0"/>
                <w:bCs w:val="0"/>
                <w:i w:val="0"/>
                <w:iCs w:val="0"/>
                <w:color w:val="000000"/>
                <w:kern w:val="2"/>
                <w:sz w:val="24"/>
                <w:szCs w:val="24"/>
                <w:u w:val="none"/>
                <w:lang w:val="en-US" w:eastAsia="zh-CN" w:bidi="ar-SA"/>
              </w:rPr>
              <w:t xml:space="preserve">Ethylene Vinyl Acetate Copolymer </w:t>
            </w:r>
            <w:r>
              <w:rPr>
                <w:rFonts w:hint="eastAsia" w:ascii="Times New Roman" w:hAnsi="Times New Roman" w:eastAsia="宋体" w:cs="Times New Roman"/>
                <w:b w:val="0"/>
                <w:bCs w:val="0"/>
                <w:i w:val="0"/>
                <w:iCs w:val="0"/>
                <w:color w:val="000000"/>
                <w:kern w:val="2"/>
                <w:sz w:val="24"/>
                <w:szCs w:val="24"/>
                <w:u w:val="none"/>
                <w:lang w:val="en-US" w:eastAsia="zh-CN" w:bidi="ar-SA"/>
              </w:rPr>
              <w:t>。与聚乙烯（</w:t>
            </w:r>
            <w:r>
              <w:rPr>
                <w:rFonts w:ascii="Times New Roman" w:hAnsi="Times New Roman" w:eastAsia="宋体" w:cs="Times New Roman"/>
                <w:b w:val="0"/>
                <w:bCs w:val="0"/>
                <w:i w:val="0"/>
                <w:iCs w:val="0"/>
                <w:color w:val="000000"/>
                <w:kern w:val="2"/>
                <w:sz w:val="24"/>
                <w:szCs w:val="24"/>
                <w:u w:val="none"/>
                <w:lang w:val="en-US" w:eastAsia="zh-CN" w:bidi="ar-SA"/>
              </w:rPr>
              <w:t>PE)</w:t>
            </w:r>
            <w:r>
              <w:rPr>
                <w:rFonts w:hint="eastAsia" w:ascii="Times New Roman" w:hAnsi="Times New Roman" w:eastAsia="宋体" w:cs="Times New Roman"/>
                <w:b w:val="0"/>
                <w:bCs w:val="0"/>
                <w:i w:val="0"/>
                <w:iCs w:val="0"/>
                <w:color w:val="000000"/>
                <w:kern w:val="2"/>
                <w:sz w:val="24"/>
                <w:szCs w:val="24"/>
                <w:u w:val="none"/>
                <w:lang w:val="en-US" w:eastAsia="zh-CN" w:bidi="ar-SA"/>
              </w:rPr>
              <w:t>相比，</w:t>
            </w:r>
            <w:r>
              <w:rPr>
                <w:rFonts w:ascii="Times New Roman" w:hAnsi="Times New Roman" w:eastAsia="宋体" w:cs="Times New Roman"/>
                <w:b w:val="0"/>
                <w:bCs w:val="0"/>
                <w:i w:val="0"/>
                <w:iCs w:val="0"/>
                <w:color w:val="000000"/>
                <w:kern w:val="2"/>
                <w:sz w:val="24"/>
                <w:szCs w:val="24"/>
                <w:u w:val="none"/>
                <w:lang w:val="en-US" w:eastAsia="zh-CN" w:bidi="ar-SA"/>
              </w:rPr>
              <w:t>EVA</w:t>
            </w:r>
            <w:r>
              <w:rPr>
                <w:rFonts w:hint="eastAsia" w:ascii="Times New Roman" w:hAnsi="Times New Roman" w:eastAsia="宋体" w:cs="Times New Roman"/>
                <w:b w:val="0"/>
                <w:bCs w:val="0"/>
                <w:i w:val="0"/>
                <w:iCs w:val="0"/>
                <w:color w:val="000000"/>
                <w:kern w:val="2"/>
                <w:sz w:val="24"/>
                <w:szCs w:val="24"/>
                <w:u w:val="none"/>
                <w:lang w:val="en-US" w:eastAsia="zh-CN" w:bidi="ar-SA"/>
              </w:rPr>
              <w:t>由于在分子链中引入醋酸乙烯单体，从而降低了高结晶度，提高了韧性、抗冲击性、填料相溶性和热密封性能，被广泛用于发泡鞋材、功能性棚膜、包装模、热熔胶、电线电缆及玩具等领域。在鞋材使用的</w:t>
            </w:r>
            <w:r>
              <w:rPr>
                <w:rFonts w:ascii="Times New Roman" w:hAnsi="Times New Roman" w:eastAsia="宋体" w:cs="Times New Roman"/>
                <w:b w:val="0"/>
                <w:bCs w:val="0"/>
                <w:i w:val="0"/>
                <w:iCs w:val="0"/>
                <w:color w:val="000000"/>
                <w:kern w:val="2"/>
                <w:sz w:val="24"/>
                <w:szCs w:val="24"/>
                <w:u w:val="none"/>
                <w:lang w:val="en-US" w:eastAsia="zh-CN" w:bidi="ar-SA"/>
              </w:rPr>
              <w:t>EVA</w:t>
            </w:r>
            <w:r>
              <w:rPr>
                <w:rFonts w:hint="eastAsia" w:ascii="Times New Roman" w:hAnsi="Times New Roman" w:eastAsia="宋体" w:cs="Times New Roman"/>
                <w:b w:val="0"/>
                <w:bCs w:val="0"/>
                <w:i w:val="0"/>
                <w:iCs w:val="0"/>
                <w:color w:val="000000"/>
                <w:kern w:val="2"/>
                <w:sz w:val="24"/>
                <w:szCs w:val="24"/>
                <w:u w:val="none"/>
                <w:lang w:val="en-US" w:eastAsia="zh-CN" w:bidi="ar-SA"/>
              </w:rPr>
              <w:t>树脂中，醋酸乙烯含量一般在</w:t>
            </w:r>
            <w:r>
              <w:rPr>
                <w:rFonts w:ascii="Times New Roman" w:hAnsi="Times New Roman" w:eastAsia="宋体" w:cs="Times New Roman"/>
                <w:b w:val="0"/>
                <w:bCs w:val="0"/>
                <w:i w:val="0"/>
                <w:iCs w:val="0"/>
                <w:color w:val="000000"/>
                <w:kern w:val="2"/>
                <w:sz w:val="24"/>
                <w:szCs w:val="24"/>
                <w:u w:val="none"/>
                <w:lang w:val="en-US" w:eastAsia="zh-CN" w:bidi="ar-SA"/>
              </w:rPr>
              <w:t>15%</w:t>
            </w:r>
            <w:r>
              <w:rPr>
                <w:rFonts w:hint="eastAsia" w:ascii="Times New Roman" w:hAnsi="Times New Roman" w:eastAsia="宋体" w:cs="Times New Roman"/>
                <w:b w:val="0"/>
                <w:bCs w:val="0"/>
                <w:i w:val="0"/>
                <w:iCs w:val="0"/>
                <w:color w:val="000000"/>
                <w:kern w:val="2"/>
                <w:sz w:val="24"/>
                <w:szCs w:val="24"/>
                <w:u w:val="none"/>
                <w:lang w:val="en-US" w:eastAsia="zh-CN" w:bidi="ar-SA"/>
              </w:rPr>
              <w:t>～</w:t>
            </w:r>
            <w:r>
              <w:rPr>
                <w:rFonts w:ascii="Times New Roman" w:hAnsi="Times New Roman" w:eastAsia="宋体" w:cs="Times New Roman"/>
                <w:b w:val="0"/>
                <w:bCs w:val="0"/>
                <w:i w:val="0"/>
                <w:iCs w:val="0"/>
                <w:color w:val="000000"/>
                <w:kern w:val="2"/>
                <w:sz w:val="24"/>
                <w:szCs w:val="24"/>
                <w:u w:val="none"/>
                <w:lang w:val="en-US" w:eastAsia="zh-CN" w:bidi="ar-SA"/>
              </w:rPr>
              <w:t>22%</w:t>
            </w:r>
            <w:r>
              <w:rPr>
                <w:rFonts w:hint="eastAsia" w:ascii="Times New Roman" w:hAnsi="Times New Roman" w:eastAsia="宋体" w:cs="Times New Roman"/>
                <w:b w:val="0"/>
                <w:bCs w:val="0"/>
                <w:i w:val="0"/>
                <w:iCs w:val="0"/>
                <w:color w:val="000000"/>
                <w:kern w:val="2"/>
                <w:sz w:val="24"/>
                <w:szCs w:val="24"/>
                <w:u w:val="none"/>
                <w:lang w:val="en-US" w:eastAsia="zh-CN" w:bidi="ar-SA"/>
              </w:rPr>
              <w:t>。由于</w:t>
            </w:r>
            <w:r>
              <w:rPr>
                <w:rFonts w:ascii="Times New Roman" w:hAnsi="Times New Roman" w:eastAsia="宋体" w:cs="Times New Roman"/>
                <w:b w:val="0"/>
                <w:bCs w:val="0"/>
                <w:i w:val="0"/>
                <w:iCs w:val="0"/>
                <w:color w:val="000000"/>
                <w:kern w:val="2"/>
                <w:sz w:val="24"/>
                <w:szCs w:val="24"/>
                <w:u w:val="none"/>
                <w:lang w:val="en-US" w:eastAsia="zh-CN" w:bidi="ar-SA"/>
              </w:rPr>
              <w:t>EVA</w:t>
            </w:r>
            <w:r>
              <w:rPr>
                <w:rFonts w:hint="eastAsia" w:ascii="Times New Roman" w:hAnsi="Times New Roman" w:eastAsia="宋体" w:cs="Times New Roman"/>
                <w:b w:val="0"/>
                <w:bCs w:val="0"/>
                <w:i w:val="0"/>
                <w:iCs w:val="0"/>
                <w:color w:val="000000"/>
                <w:kern w:val="2"/>
                <w:sz w:val="24"/>
                <w:szCs w:val="24"/>
                <w:u w:val="none"/>
                <w:lang w:val="en-US" w:eastAsia="zh-CN" w:bidi="ar-SA"/>
              </w:rPr>
              <w:t>树脂共混发泡制品具有柔软、弹性好、耐化学腐蚀等性能，因此被广泛应用于中高档旅游鞋、登山鞋、拖鞋、凉鞋的鞋底和内饰材料中。</w:t>
            </w:r>
          </w:p>
          <w:p>
            <w:pPr>
              <w:pStyle w:val="5"/>
              <w:numPr>
                <w:ilvl w:val="0"/>
                <w:numId w:val="0"/>
              </w:numPr>
              <w:ind w:firstLine="480" w:firstLineChars="200"/>
              <w:rPr>
                <w:b w:val="0"/>
                <w:bCs w:val="0"/>
                <w:kern w:val="2"/>
                <w:u w:val="none"/>
              </w:rPr>
            </w:pPr>
            <w:r>
              <w:rPr>
                <w:b w:val="0"/>
                <w:bCs w:val="0"/>
                <w:kern w:val="2"/>
                <w:u w:val="none"/>
              </w:rPr>
              <w:t>PUR</w:t>
            </w:r>
            <w:r>
              <w:rPr>
                <w:rFonts w:hint="eastAsia"/>
                <w:b w:val="0"/>
                <w:bCs w:val="0"/>
                <w:kern w:val="2"/>
                <w:u w:val="none"/>
              </w:rPr>
              <w:t>热熔胶：</w:t>
            </w:r>
            <w:r>
              <w:rPr>
                <w:b w:val="0"/>
                <w:bCs w:val="0"/>
                <w:kern w:val="2"/>
                <w:u w:val="none"/>
              </w:rPr>
              <w:t>PUR(Polyurethane Reactive)</w:t>
            </w:r>
            <w:r>
              <w:rPr>
                <w:rFonts w:hint="eastAsia"/>
                <w:b w:val="0"/>
                <w:bCs w:val="0"/>
                <w:kern w:val="2"/>
                <w:u w:val="none"/>
              </w:rPr>
              <w:t>，中文全称为湿气固化反应型聚氨酯热熔胶。主要成分是端异氰酸酯聚氨酯预聚体。</w:t>
            </w:r>
            <w:r>
              <w:rPr>
                <w:b w:val="0"/>
                <w:bCs w:val="0"/>
                <w:kern w:val="2"/>
                <w:u w:val="none"/>
              </w:rPr>
              <w:t>PUR</w:t>
            </w:r>
            <w:r>
              <w:rPr>
                <w:rFonts w:hint="eastAsia"/>
                <w:b w:val="0"/>
                <w:bCs w:val="0"/>
                <w:kern w:val="2"/>
                <w:u w:val="none"/>
              </w:rPr>
              <w:t>的粘接性和韧性</w:t>
            </w:r>
            <w:r>
              <w:rPr>
                <w:b w:val="0"/>
                <w:bCs w:val="0"/>
                <w:kern w:val="2"/>
                <w:u w:val="none"/>
              </w:rPr>
              <w:t>(</w:t>
            </w:r>
            <w:r>
              <w:rPr>
                <w:rFonts w:hint="eastAsia"/>
                <w:b w:val="0"/>
                <w:bCs w:val="0"/>
                <w:kern w:val="2"/>
                <w:u w:val="none"/>
              </w:rPr>
              <w:t>弹性</w:t>
            </w:r>
            <w:r>
              <w:rPr>
                <w:b w:val="0"/>
                <w:bCs w:val="0"/>
                <w:kern w:val="2"/>
                <w:u w:val="none"/>
              </w:rPr>
              <w:t>)</w:t>
            </w:r>
            <w:r>
              <w:rPr>
                <w:rFonts w:hint="eastAsia"/>
                <w:b w:val="0"/>
                <w:bCs w:val="0"/>
                <w:kern w:val="2"/>
                <w:u w:val="none"/>
              </w:rPr>
              <w:t>可调节，并有着优异的粘接强度，耐温性，耐化学腐蚀性和耐老化性。近年来已成为胶粘剂产业的重要品种之一。本次使用的</w:t>
            </w:r>
            <w:r>
              <w:rPr>
                <w:b w:val="0"/>
                <w:bCs w:val="0"/>
                <w:kern w:val="2"/>
                <w:u w:val="none"/>
              </w:rPr>
              <w:t>PUR</w:t>
            </w:r>
            <w:r>
              <w:rPr>
                <w:rFonts w:hint="eastAsia"/>
                <w:b w:val="0"/>
                <w:bCs w:val="0"/>
                <w:kern w:val="2"/>
                <w:u w:val="none"/>
              </w:rPr>
              <w:t>热熔胶为反应型</w:t>
            </w:r>
            <w:r>
              <w:rPr>
                <w:b w:val="0"/>
                <w:bCs w:val="0"/>
                <w:kern w:val="2"/>
                <w:u w:val="none"/>
              </w:rPr>
              <w:t>PU</w:t>
            </w:r>
            <w:r>
              <w:rPr>
                <w:rFonts w:hint="eastAsia"/>
                <w:b w:val="0"/>
                <w:bCs w:val="0"/>
                <w:kern w:val="2"/>
                <w:u w:val="none"/>
              </w:rPr>
              <w:t>胶，反应型热熔胶是在抑制化学反应的条件下，加热熔融成流体，以便于涂敷；两种被粘体贴合冷却后胶层凝聚起到粘接作用；之后借助于空气中存在的湿气和被粘体表面附着的湿气与之反应、扩链，生成具有高内聚力的高分子聚合物，使粘合力、耐热性、耐低温性等显著提高。由于其具有极高的反应活性，因而对多种材质显示出极好的粘接性，广泛应用于洗衣机顶盖板、消毒柜顶盖板、书籍装订、汽车车灯、家具封边、制鞋等的粘接。</w:t>
            </w:r>
            <w:r>
              <w:rPr>
                <w:rFonts w:hint="eastAsia"/>
                <w:b/>
                <w:bCs/>
                <w:color w:val="000000"/>
                <w:sz w:val="24"/>
                <w:u w:val="single"/>
              </w:rPr>
              <w:t>本项目PUR热熔胶主要成分</w:t>
            </w:r>
            <w:r>
              <w:rPr>
                <w:rFonts w:hint="eastAsia"/>
                <w:b/>
                <w:bCs/>
                <w:color w:val="000000"/>
                <w:sz w:val="24"/>
                <w:u w:val="single"/>
                <w:lang w:eastAsia="zh-CN"/>
              </w:rPr>
              <w:t>：</w:t>
            </w:r>
            <w:r>
              <w:rPr>
                <w:rFonts w:hint="eastAsia"/>
                <w:b/>
                <w:bCs/>
                <w:color w:val="000000"/>
                <w:sz w:val="24"/>
                <w:u w:val="single"/>
              </w:rPr>
              <w:t>乙烯-醋酸乙烯共聚物</w:t>
            </w:r>
            <w:r>
              <w:rPr>
                <w:rFonts w:hint="eastAsia"/>
                <w:b/>
                <w:bCs/>
                <w:color w:val="000000"/>
                <w:sz w:val="24"/>
                <w:u w:val="single"/>
                <w:lang w:val="en-US" w:eastAsia="zh-CN"/>
              </w:rPr>
              <w:t>40~50</w:t>
            </w:r>
            <w:r>
              <w:rPr>
                <w:rFonts w:hint="eastAsia"/>
                <w:b/>
                <w:bCs/>
                <w:color w:val="000000"/>
                <w:sz w:val="24"/>
                <w:u w:val="single"/>
              </w:rPr>
              <w:t>%，</w:t>
            </w:r>
            <w:r>
              <w:rPr>
                <w:rFonts w:hint="eastAsia"/>
                <w:b/>
                <w:bCs/>
                <w:color w:val="000000"/>
                <w:sz w:val="24"/>
                <w:u w:val="single"/>
                <w:lang w:val="en-US" w:eastAsia="zh-CN"/>
              </w:rPr>
              <w:t>松香40~50</w:t>
            </w:r>
            <w:r>
              <w:rPr>
                <w:rFonts w:hint="eastAsia"/>
                <w:b/>
                <w:bCs/>
                <w:color w:val="000000"/>
                <w:sz w:val="24"/>
                <w:u w:val="single"/>
              </w:rPr>
              <w:t>%，</w:t>
            </w:r>
            <w:r>
              <w:rPr>
                <w:rFonts w:hint="eastAsia"/>
                <w:b/>
                <w:bCs/>
                <w:color w:val="000000"/>
                <w:sz w:val="24"/>
                <w:u w:val="single"/>
                <w:lang w:val="en-US" w:eastAsia="zh-CN"/>
              </w:rPr>
              <w:t>石蜡5~15</w:t>
            </w:r>
            <w:r>
              <w:rPr>
                <w:rFonts w:hint="eastAsia"/>
                <w:b/>
                <w:bCs/>
                <w:color w:val="000000"/>
                <w:sz w:val="24"/>
                <w:u w:val="single"/>
              </w:rPr>
              <w:t>%。</w:t>
            </w:r>
          </w:p>
          <w:p>
            <w:pPr>
              <w:pStyle w:val="5"/>
              <w:numPr>
                <w:ilvl w:val="0"/>
                <w:numId w:val="0"/>
              </w:numPr>
              <w:ind w:firstLine="480" w:firstLineChars="200"/>
              <w:rPr>
                <w:b w:val="0"/>
                <w:bCs w:val="0"/>
                <w:kern w:val="2"/>
                <w:u w:val="none"/>
              </w:rPr>
            </w:pPr>
            <w:r>
              <w:rPr>
                <w:rFonts w:hint="eastAsia"/>
                <w:b w:val="0"/>
                <w:bCs w:val="0"/>
                <w:kern w:val="2"/>
                <w:u w:val="none"/>
              </w:rPr>
              <w:t>本项目所用</w:t>
            </w:r>
            <w:r>
              <w:rPr>
                <w:b w:val="0"/>
                <w:bCs w:val="0"/>
                <w:kern w:val="2"/>
                <w:u w:val="none"/>
              </w:rPr>
              <w:t>PUR</w:t>
            </w:r>
            <w:r>
              <w:rPr>
                <w:rFonts w:hint="eastAsia"/>
                <w:b w:val="0"/>
                <w:bCs w:val="0"/>
                <w:kern w:val="2"/>
                <w:u w:val="none"/>
              </w:rPr>
              <w:t>热熔胶为单组分无溶剂反应型聚氨酯热熔胶，属于本体性胶粘剂，为低</w:t>
            </w:r>
            <w:r>
              <w:rPr>
                <w:b w:val="0"/>
                <w:bCs w:val="0"/>
                <w:kern w:val="2"/>
                <w:u w:val="none"/>
              </w:rPr>
              <w:t>VOCs</w:t>
            </w:r>
            <w:r>
              <w:rPr>
                <w:rFonts w:hint="eastAsia"/>
                <w:b w:val="0"/>
                <w:bCs w:val="0"/>
                <w:kern w:val="2"/>
                <w:u w:val="none"/>
              </w:rPr>
              <w:t>胶粘剂。经对照《胶黏剂挥发性有机化合物限量》（</w:t>
            </w:r>
            <w:r>
              <w:rPr>
                <w:b w:val="0"/>
                <w:bCs w:val="0"/>
                <w:kern w:val="2"/>
                <w:u w:val="none"/>
              </w:rPr>
              <w:t>GB33372-2020</w:t>
            </w:r>
            <w:r>
              <w:rPr>
                <w:rFonts w:hint="eastAsia"/>
                <w:b w:val="0"/>
                <w:bCs w:val="0"/>
                <w:kern w:val="2"/>
                <w:u w:val="none"/>
              </w:rPr>
              <w:t>）表</w:t>
            </w:r>
            <w:r>
              <w:rPr>
                <w:b w:val="0"/>
                <w:bCs w:val="0"/>
                <w:kern w:val="2"/>
                <w:u w:val="none"/>
              </w:rPr>
              <w:t>3</w:t>
            </w:r>
            <w:r>
              <w:rPr>
                <w:rFonts w:hint="eastAsia"/>
                <w:b w:val="0"/>
                <w:bCs w:val="0"/>
                <w:kern w:val="2"/>
                <w:u w:val="none"/>
              </w:rPr>
              <w:t>，项目所用热熔胶应执行鞋和箱包业有机物限量值</w:t>
            </w:r>
            <w:r>
              <w:rPr>
                <w:b w:val="0"/>
                <w:bCs w:val="0"/>
                <w:kern w:val="2"/>
                <w:u w:val="none"/>
              </w:rPr>
              <w:t>--</w:t>
            </w:r>
            <w:r>
              <w:rPr>
                <w:rFonts w:hint="eastAsia"/>
                <w:b w:val="0"/>
                <w:bCs w:val="0"/>
                <w:kern w:val="2"/>
                <w:u w:val="none"/>
              </w:rPr>
              <w:t>聚氨酯脂类限量值</w:t>
            </w:r>
            <w:r>
              <w:rPr>
                <w:b w:val="0"/>
                <w:bCs w:val="0"/>
                <w:kern w:val="2"/>
                <w:u w:val="none"/>
              </w:rPr>
              <w:t>50g/kg</w:t>
            </w:r>
            <w:r>
              <w:rPr>
                <w:rFonts w:hint="eastAsia"/>
                <w:b w:val="0"/>
                <w:bCs w:val="0"/>
                <w:kern w:val="2"/>
                <w:u w:val="none"/>
              </w:rPr>
              <w:t>。</w:t>
            </w:r>
            <w:r>
              <w:rPr>
                <w:rFonts w:hint="eastAsia"/>
                <w:b/>
                <w:bCs/>
                <w:kern w:val="2"/>
                <w:u w:val="single"/>
              </w:rPr>
              <w:t>根据热熔胶成分可知，本项目热熔胶挥发成分为乙烯-醋酸乙烯共聚物，分解温度需达到</w:t>
            </w:r>
            <w:r>
              <w:rPr>
                <w:b/>
                <w:bCs/>
                <w:kern w:val="2"/>
                <w:u w:val="single"/>
              </w:rPr>
              <w:t>230</w:t>
            </w:r>
            <w:r>
              <w:rPr>
                <w:rFonts w:hint="eastAsia"/>
                <w:b/>
                <w:bCs/>
                <w:kern w:val="2"/>
                <w:u w:val="single"/>
              </w:rPr>
              <w:t>℃以上，</w:t>
            </w:r>
            <w:r>
              <w:rPr>
                <w:b/>
                <w:bCs/>
                <w:kern w:val="2"/>
                <w:u w:val="single"/>
              </w:rPr>
              <w:t>其</w:t>
            </w:r>
            <w:r>
              <w:rPr>
                <w:rFonts w:hint="eastAsia"/>
                <w:b/>
                <w:bCs/>
                <w:kern w:val="2"/>
                <w:u w:val="single"/>
              </w:rPr>
              <w:t>中有极少量的分子没有结合成链，处于游离状态，含量约</w:t>
            </w:r>
            <w:r>
              <w:rPr>
                <w:b/>
                <w:bCs/>
                <w:kern w:val="2"/>
                <w:u w:val="single"/>
              </w:rPr>
              <w:t>1%</w:t>
            </w:r>
            <w:r>
              <w:rPr>
                <w:rFonts w:hint="eastAsia"/>
                <w:b/>
                <w:bCs/>
                <w:kern w:val="2"/>
                <w:u w:val="single"/>
              </w:rPr>
              <w:t>，该部分游离分子在加热温度约</w:t>
            </w:r>
            <w:r>
              <w:rPr>
                <w:b/>
                <w:bCs/>
                <w:kern w:val="2"/>
                <w:u w:val="single"/>
              </w:rPr>
              <w:t>100</w:t>
            </w:r>
            <w:r>
              <w:rPr>
                <w:rFonts w:hint="eastAsia"/>
                <w:b/>
                <w:bCs/>
                <w:kern w:val="2"/>
                <w:u w:val="single"/>
              </w:rPr>
              <w:t>℃，受热挥发出来，以非甲烷总烃计。</w:t>
            </w:r>
            <w:r>
              <w:rPr>
                <w:rFonts w:hint="eastAsia"/>
                <w:b w:val="0"/>
                <w:bCs w:val="0"/>
                <w:kern w:val="2"/>
                <w:u w:val="none"/>
              </w:rPr>
              <w:t>由此，项目所用热熔胶挥发性有机物含量约</w:t>
            </w:r>
            <w:r>
              <w:rPr>
                <w:b w:val="0"/>
                <w:bCs w:val="0"/>
                <w:kern w:val="2"/>
                <w:u w:val="none"/>
              </w:rPr>
              <w:t>10g/kg</w:t>
            </w:r>
            <w:r>
              <w:rPr>
                <w:rFonts w:hint="eastAsia"/>
                <w:b w:val="0"/>
                <w:bCs w:val="0"/>
                <w:kern w:val="2"/>
                <w:u w:val="none"/>
              </w:rPr>
              <w:t>，</w:t>
            </w:r>
            <w:r>
              <w:rPr>
                <w:rFonts w:hint="eastAsia"/>
                <w:b w:val="0"/>
                <w:bCs w:val="0"/>
                <w:kern w:val="2"/>
                <w:u w:val="none"/>
                <w:lang w:val="en-US" w:eastAsia="zh-CN"/>
              </w:rPr>
              <w:t>可满</w:t>
            </w:r>
            <w:r>
              <w:rPr>
                <w:rFonts w:hint="eastAsia"/>
                <w:b w:val="0"/>
                <w:bCs w:val="0"/>
                <w:kern w:val="2"/>
                <w:u w:val="none"/>
              </w:rPr>
              <w:t>足《胶粘剂挥发性有机化合物限量》（GB33372-2020）标准要求。</w:t>
            </w:r>
          </w:p>
          <w:p>
            <w:pPr>
              <w:spacing w:line="460" w:lineRule="exact"/>
              <w:ind w:firstLine="480" w:firstLineChars="200"/>
              <w:rPr>
                <w:rFonts w:hint="eastAsia" w:eastAsia="宋体"/>
                <w:b w:val="0"/>
                <w:bCs w:val="0"/>
                <w:color w:val="000000"/>
                <w:sz w:val="24"/>
                <w:lang w:eastAsia="zh-CN"/>
              </w:rPr>
            </w:pPr>
            <w:r>
              <w:rPr>
                <w:rFonts w:hint="eastAsia"/>
                <w:b w:val="0"/>
                <w:bCs w:val="0"/>
                <w:color w:val="000000"/>
                <w:sz w:val="24"/>
              </w:rPr>
              <w:t>水性油墨：</w:t>
            </w:r>
            <w:r>
              <w:rPr>
                <w:rFonts w:hint="eastAsia"/>
                <w:b/>
                <w:bCs/>
                <w:color w:val="000000"/>
                <w:sz w:val="24"/>
                <w:u w:val="single"/>
              </w:rPr>
              <w:t>水性油墨由水性高分子乳液、有机颜料、树脂、表面活 性剂及相关添加剂经化学过程和物理混合而制得的水基印刷油墨，本项目水性油墨主要成分：丙烯酸树脂 30%，苯丙烯-丙烯酸树脂 30%，颜料10%， 丙二醇丁醚0.4%，水29.6%，外购成品，直接使用，不需要调墨。本项目拟使用水性油墨VOC含量符合《油墨中可挥发性有机化合物(VOCs)含量的限值》（GB38507-2020）“水性油墨 凹印油墨 吸收性承印物≦15%”</w:t>
            </w:r>
            <w:r>
              <w:rPr>
                <w:rFonts w:hint="eastAsia"/>
                <w:b w:val="0"/>
                <w:bCs w:val="0"/>
                <w:color w:val="000000"/>
                <w:sz w:val="24"/>
                <w:lang w:eastAsia="zh-CN"/>
              </w:rPr>
              <w:t>。</w:t>
            </w:r>
          </w:p>
          <w:p>
            <w:pPr>
              <w:spacing w:line="460" w:lineRule="exact"/>
              <w:ind w:firstLine="482" w:firstLineChars="200"/>
              <w:rPr>
                <w:rFonts w:hint="eastAsia"/>
                <w:b/>
                <w:bCs/>
                <w:color w:val="000000"/>
                <w:sz w:val="24"/>
              </w:rPr>
            </w:pPr>
            <w:r>
              <w:rPr>
                <w:rFonts w:hint="eastAsia"/>
                <w:b/>
                <w:bCs/>
                <w:color w:val="000000"/>
                <w:sz w:val="24"/>
                <w:u w:val="single"/>
                <w:lang w:val="en-US" w:eastAsia="zh-CN"/>
              </w:rPr>
              <w:t>热转印商标纸：是用水性油墨把各种图案印刷在特殊的一种纸上面，然后通过温度和压力将图案再转移到产品上。这种特殊的再热转印工艺中的纸张就叫做热转印纸。主要成分为</w:t>
            </w:r>
            <w:r>
              <w:rPr>
                <w:rFonts w:hint="default"/>
                <w:b/>
                <w:bCs/>
                <w:color w:val="000000"/>
                <w:sz w:val="24"/>
                <w:u w:val="single"/>
                <w:lang w:val="en-US" w:eastAsia="zh-CN"/>
              </w:rPr>
              <w:t>PET</w:t>
            </w:r>
            <w:r>
              <w:rPr>
                <w:rFonts w:hint="eastAsia"/>
                <w:b/>
                <w:bCs/>
                <w:color w:val="000000"/>
                <w:sz w:val="24"/>
                <w:u w:val="single"/>
                <w:lang w:val="en-US" w:eastAsia="zh-CN"/>
              </w:rPr>
              <w:t>膜，俗称涤纶树脂（聚对苯二甲酸乙二醇酯树脂），CAS 号：25038-59-9，分子式：C10H12O6，熔点：250-255℃，沸点&gt;170℃，密度 1.375克/cm</w:t>
            </w:r>
            <w:r>
              <w:rPr>
                <w:rFonts w:hint="eastAsia"/>
                <w:b/>
                <w:bCs/>
                <w:color w:val="000000"/>
                <w:sz w:val="24"/>
                <w:u w:val="single"/>
                <w:vertAlign w:val="superscript"/>
                <w:lang w:val="en-US" w:eastAsia="zh-CN"/>
              </w:rPr>
              <w:t>3</w:t>
            </w:r>
            <w:r>
              <w:rPr>
                <w:rFonts w:hint="eastAsia"/>
                <w:b/>
                <w:bCs/>
                <w:color w:val="000000"/>
                <w:sz w:val="24"/>
                <w:u w:val="single"/>
                <w:lang w:val="en-US" w:eastAsia="zh-CN"/>
              </w:rPr>
              <w:t>其耐热老化性好，热变形温度可达到 225℃，无毒、无味，卫生安全性好，可直接用于食品包装。</w:t>
            </w:r>
          </w:p>
          <w:p>
            <w:pPr>
              <w:spacing w:line="460" w:lineRule="exact"/>
              <w:ind w:firstLine="482" w:firstLineChars="200"/>
              <w:rPr>
                <w:b/>
                <w:bCs/>
                <w:color w:val="000000"/>
                <w:sz w:val="24"/>
              </w:rPr>
            </w:pPr>
            <w:r>
              <w:rPr>
                <w:rFonts w:hint="eastAsia"/>
                <w:b/>
                <w:bCs/>
                <w:color w:val="000000"/>
                <w:sz w:val="24"/>
              </w:rPr>
              <w:t>6、主要生产设备</w:t>
            </w:r>
          </w:p>
          <w:p>
            <w:pPr>
              <w:spacing w:line="460" w:lineRule="exact"/>
              <w:ind w:firstLine="480" w:firstLineChars="200"/>
              <w:rPr>
                <w:color w:val="000000"/>
                <w:sz w:val="24"/>
              </w:rPr>
            </w:pPr>
            <w:r>
              <w:rPr>
                <w:rFonts w:hint="eastAsia"/>
                <w:color w:val="000000"/>
                <w:sz w:val="24"/>
              </w:rPr>
              <w:t>本产品</w:t>
            </w:r>
            <w:r>
              <w:rPr>
                <w:color w:val="000000"/>
                <w:sz w:val="24"/>
              </w:rPr>
              <w:t>主要设备详见表</w:t>
            </w:r>
            <w:r>
              <w:rPr>
                <w:rFonts w:hint="eastAsia"/>
                <w:color w:val="000000"/>
                <w:sz w:val="24"/>
                <w:lang w:val="en-US" w:eastAsia="zh-CN"/>
              </w:rPr>
              <w:t>11</w:t>
            </w:r>
            <w:r>
              <w:rPr>
                <w:color w:val="000000"/>
                <w:sz w:val="24"/>
              </w:rPr>
              <w:t>。</w:t>
            </w:r>
          </w:p>
          <w:p>
            <w:pPr>
              <w:pStyle w:val="5"/>
              <w:numPr>
                <w:ilvl w:val="0"/>
                <w:numId w:val="0"/>
              </w:numPr>
              <w:ind w:firstLine="482" w:firstLineChars="200"/>
              <w:rPr>
                <w:color w:val="000000"/>
              </w:rPr>
            </w:pPr>
            <w:r>
              <w:rPr>
                <w:rFonts w:hint="eastAsia"/>
                <w:color w:val="000000"/>
              </w:rPr>
              <w:t>表</w:t>
            </w:r>
            <w:r>
              <w:rPr>
                <w:rFonts w:hint="eastAsia"/>
                <w:color w:val="000000"/>
                <w:lang w:val="en-US" w:eastAsia="zh-CN"/>
              </w:rPr>
              <w:t>11</w:t>
            </w:r>
            <w:r>
              <w:rPr>
                <w:color w:val="000000"/>
              </w:rPr>
              <w:t xml:space="preserve">          </w:t>
            </w:r>
            <w:r>
              <w:rPr>
                <w:rFonts w:hint="eastAsia"/>
                <w:color w:val="000000"/>
              </w:rPr>
              <w:t xml:space="preserve">  </w:t>
            </w:r>
            <w:r>
              <w:rPr>
                <w:color w:val="000000"/>
              </w:rPr>
              <w:t xml:space="preserve">  </w:t>
            </w:r>
            <w:r>
              <w:rPr>
                <w:rFonts w:hint="eastAsia"/>
                <w:color w:val="000000"/>
              </w:rPr>
              <w:t>本项目</w:t>
            </w:r>
            <w:r>
              <w:rPr>
                <w:color w:val="000000"/>
              </w:rPr>
              <w:t>主要设备一览表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456"/>
              <w:gridCol w:w="2393"/>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Align w:val="center"/>
                </w:tcPr>
                <w:p>
                  <w:pPr>
                    <w:adjustRightInd w:val="0"/>
                    <w:snapToGrid w:val="0"/>
                    <w:spacing w:line="320" w:lineRule="exact"/>
                    <w:jc w:val="center"/>
                    <w:rPr>
                      <w:szCs w:val="21"/>
                    </w:rPr>
                  </w:pPr>
                  <w:r>
                    <w:rPr>
                      <w:szCs w:val="21"/>
                    </w:rPr>
                    <w:t>序号</w:t>
                  </w:r>
                </w:p>
              </w:tc>
              <w:tc>
                <w:tcPr>
                  <w:tcW w:w="2456" w:type="dxa"/>
                  <w:vAlign w:val="center"/>
                </w:tcPr>
                <w:p>
                  <w:pPr>
                    <w:adjustRightInd w:val="0"/>
                    <w:snapToGrid w:val="0"/>
                    <w:spacing w:line="320" w:lineRule="exact"/>
                    <w:jc w:val="center"/>
                    <w:rPr>
                      <w:szCs w:val="21"/>
                    </w:rPr>
                  </w:pPr>
                  <w:r>
                    <w:rPr>
                      <w:szCs w:val="21"/>
                    </w:rPr>
                    <w:t>设备名称</w:t>
                  </w:r>
                </w:p>
              </w:tc>
              <w:tc>
                <w:tcPr>
                  <w:tcW w:w="2393" w:type="dxa"/>
                  <w:vAlign w:val="center"/>
                </w:tcPr>
                <w:p>
                  <w:pPr>
                    <w:adjustRightInd w:val="0"/>
                    <w:snapToGrid w:val="0"/>
                    <w:spacing w:line="320" w:lineRule="exact"/>
                    <w:jc w:val="center"/>
                    <w:rPr>
                      <w:szCs w:val="21"/>
                    </w:rPr>
                  </w:pPr>
                  <w:r>
                    <w:rPr>
                      <w:szCs w:val="21"/>
                    </w:rPr>
                    <w:t>型号/规格</w:t>
                  </w:r>
                </w:p>
              </w:tc>
              <w:tc>
                <w:tcPr>
                  <w:tcW w:w="2711" w:type="dxa"/>
                  <w:vAlign w:val="center"/>
                </w:tcPr>
                <w:p>
                  <w:pPr>
                    <w:adjustRightInd w:val="0"/>
                    <w:snapToGrid w:val="0"/>
                    <w:spacing w:line="320" w:lineRule="exact"/>
                    <w:jc w:val="center"/>
                    <w:rPr>
                      <w:szCs w:val="21"/>
                    </w:rPr>
                  </w:pPr>
                  <w:r>
                    <w:rPr>
                      <w:szCs w:val="21"/>
                    </w:rPr>
                    <w:t>数量</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szCs w:val="21"/>
                    </w:rPr>
                  </w:pPr>
                  <w:r>
                    <w:rPr>
                      <w:rFonts w:hint="eastAsia"/>
                      <w:szCs w:val="21"/>
                    </w:rPr>
                    <w:t>1</w:t>
                  </w:r>
                </w:p>
              </w:tc>
              <w:tc>
                <w:tcPr>
                  <w:tcW w:w="2456" w:type="dxa"/>
                  <w:vAlign w:val="center"/>
                </w:tcPr>
                <w:p>
                  <w:pPr>
                    <w:widowControl/>
                    <w:spacing w:beforeLines="0" w:line="360" w:lineRule="exact"/>
                    <w:ind w:firstLine="0" w:firstLineChars="0"/>
                    <w:jc w:val="center"/>
                    <w:textAlignment w:val="center"/>
                    <w:rPr>
                      <w:rFonts w:hint="eastAsia" w:eastAsia="宋体"/>
                      <w:szCs w:val="21"/>
                      <w:lang w:eastAsia="zh-CN"/>
                    </w:rPr>
                  </w:pPr>
                  <w:r>
                    <w:rPr>
                      <w:rFonts w:hint="eastAsia" w:ascii="Times New Roman" w:hAnsi="Times New Roman" w:eastAsia="宋体"/>
                      <w:color w:val="000000"/>
                      <w:sz w:val="22"/>
                      <w:szCs w:val="22"/>
                      <w:lang w:val="en-US" w:eastAsia="zh-CN"/>
                    </w:rPr>
                    <w:t>发泡机</w:t>
                  </w:r>
                </w:p>
              </w:tc>
              <w:tc>
                <w:tcPr>
                  <w:tcW w:w="2393"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HL-7200</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szCs w:val="21"/>
                    </w:rPr>
                  </w:pPr>
                  <w:r>
                    <w:rPr>
                      <w:rFonts w:hint="eastAsia"/>
                      <w:szCs w:val="21"/>
                    </w:rPr>
                    <w:t>2</w:t>
                  </w:r>
                </w:p>
              </w:tc>
              <w:tc>
                <w:tcPr>
                  <w:tcW w:w="2456" w:type="dxa"/>
                  <w:vAlign w:val="center"/>
                </w:tcPr>
                <w:p>
                  <w:pPr>
                    <w:widowControl/>
                    <w:spacing w:beforeLines="0" w:line="360" w:lineRule="exact"/>
                    <w:ind w:firstLine="0" w:firstLineChars="0"/>
                    <w:jc w:val="center"/>
                    <w:textAlignment w:val="center"/>
                    <w:rPr>
                      <w:rFonts w:hint="eastAsia" w:eastAsia="宋体"/>
                      <w:szCs w:val="21"/>
                      <w:lang w:eastAsia="zh-CN"/>
                    </w:rPr>
                  </w:pPr>
                  <w:r>
                    <w:rPr>
                      <w:rFonts w:hint="eastAsia"/>
                      <w:color w:val="000000"/>
                      <w:sz w:val="22"/>
                      <w:szCs w:val="22"/>
                      <w:lang w:val="en-US" w:eastAsia="zh-CN"/>
                    </w:rPr>
                    <w:t>涂胶机</w:t>
                  </w:r>
                </w:p>
              </w:tc>
              <w:tc>
                <w:tcPr>
                  <w:tcW w:w="2393"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szCs w:val="21"/>
                    </w:rPr>
                  </w:pPr>
                  <w:r>
                    <w:rPr>
                      <w:rFonts w:hint="eastAsia"/>
                      <w:szCs w:val="21"/>
                    </w:rPr>
                    <w:t>3</w:t>
                  </w:r>
                </w:p>
              </w:tc>
              <w:tc>
                <w:tcPr>
                  <w:tcW w:w="2456" w:type="dxa"/>
                  <w:vAlign w:val="center"/>
                </w:tcPr>
                <w:p>
                  <w:pPr>
                    <w:widowControl/>
                    <w:tabs>
                      <w:tab w:val="left" w:pos="437"/>
                    </w:tabs>
                    <w:spacing w:beforeLines="0" w:line="360" w:lineRule="exact"/>
                    <w:ind w:firstLine="0" w:firstLineChars="0"/>
                    <w:jc w:val="center"/>
                    <w:textAlignment w:val="center"/>
                    <w:rPr>
                      <w:rFonts w:hint="default" w:eastAsia="宋体"/>
                      <w:szCs w:val="21"/>
                      <w:lang w:val="en-US" w:eastAsia="zh-CN"/>
                    </w:rPr>
                  </w:pPr>
                  <w:r>
                    <w:rPr>
                      <w:rFonts w:hint="eastAsia" w:ascii="Times New Roman" w:hAnsi="Times New Roman" w:eastAsia="宋体"/>
                      <w:color w:val="000000"/>
                      <w:sz w:val="22"/>
                      <w:szCs w:val="22"/>
                      <w:lang w:val="en-US" w:eastAsia="zh-CN"/>
                    </w:rPr>
                    <w:t>冷压机</w:t>
                  </w:r>
                </w:p>
              </w:tc>
              <w:tc>
                <w:tcPr>
                  <w:tcW w:w="2393"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szCs w:val="21"/>
                    </w:rPr>
                  </w:pPr>
                  <w:r>
                    <w:rPr>
                      <w:rFonts w:hint="eastAsia"/>
                      <w:szCs w:val="21"/>
                    </w:rPr>
                    <w:t>4</w:t>
                  </w:r>
                </w:p>
              </w:tc>
              <w:tc>
                <w:tcPr>
                  <w:tcW w:w="2456" w:type="dxa"/>
                  <w:vAlign w:val="center"/>
                </w:tcPr>
                <w:p>
                  <w:pPr>
                    <w:widowControl/>
                    <w:spacing w:beforeLines="0" w:line="360" w:lineRule="exact"/>
                    <w:ind w:firstLine="0" w:firstLineChars="0"/>
                    <w:jc w:val="center"/>
                    <w:textAlignment w:val="center"/>
                    <w:rPr>
                      <w:rFonts w:hint="eastAsia" w:eastAsia="宋体"/>
                      <w:szCs w:val="21"/>
                      <w:lang w:val="en-US" w:eastAsia="zh-CN"/>
                    </w:rPr>
                  </w:pPr>
                  <w:r>
                    <w:rPr>
                      <w:rFonts w:hint="eastAsia" w:ascii="Times New Roman" w:hAnsi="Times New Roman" w:eastAsia="宋体"/>
                      <w:color w:val="000000"/>
                      <w:sz w:val="22"/>
                      <w:szCs w:val="22"/>
                      <w:lang w:val="en-US" w:eastAsia="zh-CN"/>
                    </w:rPr>
                    <w:t>热压机</w:t>
                  </w:r>
                </w:p>
              </w:tc>
              <w:tc>
                <w:tcPr>
                  <w:tcW w:w="2393"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szCs w:val="21"/>
                    </w:rPr>
                  </w:pPr>
                  <w:r>
                    <w:rPr>
                      <w:rFonts w:hint="eastAsia"/>
                      <w:szCs w:val="21"/>
                    </w:rPr>
                    <w:t>5</w:t>
                  </w:r>
                </w:p>
              </w:tc>
              <w:tc>
                <w:tcPr>
                  <w:tcW w:w="2456" w:type="dxa"/>
                  <w:vAlign w:val="center"/>
                </w:tcPr>
                <w:p>
                  <w:pPr>
                    <w:widowControl/>
                    <w:spacing w:beforeLines="0" w:line="360" w:lineRule="exact"/>
                    <w:ind w:firstLine="0" w:firstLineChars="0"/>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eastAsia="宋体"/>
                      <w:color w:val="000000"/>
                      <w:sz w:val="22"/>
                      <w:szCs w:val="22"/>
                      <w:lang w:val="en-US" w:eastAsia="zh-CN"/>
                    </w:rPr>
                    <w:t>液压裁断机</w:t>
                  </w:r>
                </w:p>
              </w:tc>
              <w:tc>
                <w:tcPr>
                  <w:tcW w:w="2393"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XCLP</w:t>
                  </w:r>
                  <w:r>
                    <w:rPr>
                      <w:rFonts w:hint="eastAsia"/>
                      <w:szCs w:val="21"/>
                      <w:vertAlign w:val="subscript"/>
                      <w:lang w:val="en-US" w:eastAsia="zh-CN"/>
                    </w:rPr>
                    <w:t>3</w:t>
                  </w:r>
                  <w:r>
                    <w:rPr>
                      <w:rFonts w:hint="eastAsia"/>
                      <w:szCs w:val="21"/>
                      <w:lang w:val="en-US" w:eastAsia="zh-CN"/>
                    </w:rPr>
                    <w:t>-450</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6</w:t>
                  </w:r>
                </w:p>
              </w:tc>
              <w:tc>
                <w:tcPr>
                  <w:tcW w:w="2456" w:type="dxa"/>
                  <w:vAlign w:val="center"/>
                </w:tcPr>
                <w:p>
                  <w:pPr>
                    <w:widowControl/>
                    <w:spacing w:beforeLines="0" w:line="360" w:lineRule="exact"/>
                    <w:ind w:firstLine="0" w:firstLineChars="0"/>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eastAsia="宋体"/>
                      <w:color w:val="000000"/>
                      <w:sz w:val="22"/>
                      <w:szCs w:val="22"/>
                      <w:lang w:val="en-US" w:eastAsia="zh-CN"/>
                    </w:rPr>
                    <w:t>液压摆臂裁断机</w:t>
                  </w:r>
                </w:p>
              </w:tc>
              <w:tc>
                <w:tcPr>
                  <w:tcW w:w="2393" w:type="dxa"/>
                  <w:vAlign w:val="center"/>
                </w:tcPr>
                <w:p>
                  <w:pPr>
                    <w:widowControl/>
                    <w:spacing w:line="320" w:lineRule="exact"/>
                    <w:jc w:val="center"/>
                    <w:textAlignment w:val="center"/>
                    <w:rPr>
                      <w:rFonts w:hint="eastAsia"/>
                      <w:szCs w:val="21"/>
                      <w:lang w:val="en-US" w:eastAsia="zh-CN"/>
                    </w:rPr>
                  </w:pPr>
                  <w:r>
                    <w:rPr>
                      <w:rFonts w:hint="eastAsia"/>
                      <w:szCs w:val="21"/>
                      <w:lang w:val="en-US" w:eastAsia="zh-CN"/>
                    </w:rPr>
                    <w:t>GSB-2C</w:t>
                  </w:r>
                </w:p>
              </w:tc>
              <w:tc>
                <w:tcPr>
                  <w:tcW w:w="2711" w:type="dxa"/>
                  <w:vAlign w:val="center"/>
                </w:tcPr>
                <w:p>
                  <w:pPr>
                    <w:widowControl/>
                    <w:spacing w:line="320" w:lineRule="exact"/>
                    <w:jc w:val="center"/>
                    <w:textAlignment w:val="center"/>
                    <w:rPr>
                      <w:rFonts w:hint="default"/>
                      <w:szCs w:val="21"/>
                      <w:lang w:val="en-US"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2456" w:type="dxa"/>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移印机</w:t>
                  </w:r>
                </w:p>
              </w:tc>
              <w:tc>
                <w:tcPr>
                  <w:tcW w:w="2393" w:type="dxa"/>
                  <w:vAlign w:val="center"/>
                </w:tcPr>
                <w:p>
                  <w:pPr>
                    <w:jc w:val="center"/>
                    <w:rPr>
                      <w:rFonts w:hint="default" w:eastAsia="宋体"/>
                      <w:szCs w:val="21"/>
                      <w:lang w:val="en-US" w:eastAsia="zh-CN"/>
                    </w:rPr>
                  </w:pPr>
                  <w:r>
                    <w:rPr>
                      <w:rFonts w:hint="eastAsia"/>
                      <w:szCs w:val="21"/>
                      <w:lang w:val="en-US" w:eastAsia="zh-CN"/>
                    </w:rPr>
                    <w:t>/</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8</w:t>
                  </w:r>
                </w:p>
              </w:tc>
              <w:tc>
                <w:tcPr>
                  <w:tcW w:w="2456" w:type="dxa"/>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油墨印标机</w:t>
                  </w:r>
                </w:p>
              </w:tc>
              <w:tc>
                <w:tcPr>
                  <w:tcW w:w="2393" w:type="dxa"/>
                  <w:vAlign w:val="center"/>
                </w:tcPr>
                <w:p>
                  <w:pPr>
                    <w:jc w:val="center"/>
                    <w:rPr>
                      <w:rFonts w:hint="default" w:eastAsia="宋体"/>
                      <w:szCs w:val="21"/>
                      <w:lang w:val="en-US" w:eastAsia="zh-CN"/>
                    </w:rPr>
                  </w:pPr>
                  <w:r>
                    <w:rPr>
                      <w:rFonts w:hint="eastAsia"/>
                      <w:szCs w:val="21"/>
                      <w:lang w:val="en-US" w:eastAsia="zh-CN"/>
                    </w:rPr>
                    <w:t>/</w:t>
                  </w:r>
                </w:p>
              </w:tc>
              <w:tc>
                <w:tcPr>
                  <w:tcW w:w="2711"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2</w:t>
                  </w:r>
                </w:p>
              </w:tc>
            </w:tr>
          </w:tbl>
          <w:p>
            <w:pPr>
              <w:spacing w:line="460" w:lineRule="exact"/>
              <w:ind w:firstLine="480" w:firstLineChars="200"/>
              <w:rPr>
                <w:b w:val="0"/>
                <w:bCs w:val="0"/>
                <w:color w:val="000000"/>
                <w:sz w:val="24"/>
                <w:u w:val="none"/>
              </w:rPr>
            </w:pPr>
            <w:r>
              <w:rPr>
                <w:b w:val="0"/>
                <w:bCs w:val="0"/>
                <w:sz w:val="24"/>
                <w:u w:val="none"/>
              </w:rPr>
              <w:t>经查阅国家工业及信息化部《高耗能落后机电设备（产品）淘汰目录</w:t>
            </w:r>
            <w:r>
              <w:rPr>
                <w:b w:val="0"/>
                <w:bCs w:val="0"/>
                <w:kern w:val="0"/>
                <w:sz w:val="24"/>
                <w:u w:val="none"/>
              </w:rPr>
              <w:t>（第一、二、三、四批）</w:t>
            </w:r>
            <w:r>
              <w:rPr>
                <w:b w:val="0"/>
                <w:bCs w:val="0"/>
                <w:sz w:val="24"/>
                <w:u w:val="none"/>
              </w:rPr>
              <w:t>》，生产设备中无淘汰类落后生产设备。</w:t>
            </w:r>
          </w:p>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b/>
                <w:bCs/>
                <w:color w:val="000000"/>
                <w:sz w:val="24"/>
              </w:rPr>
            </w:pPr>
            <w:r>
              <w:rPr>
                <w:color w:val="000000"/>
                <w:sz w:val="24"/>
              </w:rPr>
              <w:t>本项目用</w:t>
            </w:r>
            <w:r>
              <w:rPr>
                <w:sz w:val="24"/>
              </w:rPr>
              <w:t>电由</w:t>
            </w:r>
            <w:r>
              <w:rPr>
                <w:rFonts w:hint="eastAsia"/>
                <w:color w:val="000000"/>
                <w:sz w:val="24"/>
              </w:rPr>
              <w:t>区域电网</w:t>
            </w:r>
            <w:r>
              <w:rPr>
                <w:sz w:val="24"/>
              </w:rPr>
              <w:t>提供，可以满足本项目的用电需求</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2</w:t>
            </w:r>
            <w:r>
              <w:rPr>
                <w:b/>
                <w:bCs/>
                <w:color w:val="000000"/>
                <w:sz w:val="24"/>
              </w:rPr>
              <w:t xml:space="preserve"> 给水</w:t>
            </w:r>
          </w:p>
          <w:p>
            <w:pPr>
              <w:snapToGrid w:val="0"/>
              <w:spacing w:line="460" w:lineRule="exact"/>
              <w:ind w:firstLine="480"/>
              <w:rPr>
                <w:b w:val="0"/>
                <w:bCs w:val="0"/>
                <w:sz w:val="24"/>
                <w:u w:val="none"/>
              </w:rPr>
            </w:pPr>
            <w:r>
              <w:rPr>
                <w:rFonts w:hint="eastAsia"/>
                <w:sz w:val="24"/>
              </w:rPr>
              <w:t>本项目用水主要为职工生活用水</w:t>
            </w:r>
            <w:r>
              <w:rPr>
                <w:rFonts w:hint="eastAsia"/>
                <w:b w:val="0"/>
                <w:bCs w:val="0"/>
                <w:sz w:val="24"/>
                <w:u w:val="none"/>
              </w:rPr>
              <w:t>。</w:t>
            </w:r>
          </w:p>
          <w:p>
            <w:pPr>
              <w:snapToGrid w:val="0"/>
              <w:spacing w:line="460" w:lineRule="exact"/>
              <w:ind w:firstLine="480"/>
              <w:rPr>
                <w:sz w:val="24"/>
              </w:rPr>
            </w:pPr>
            <w:r>
              <w:rPr>
                <w:sz w:val="24"/>
              </w:rPr>
              <w:t>项目劳动定员为</w:t>
            </w:r>
            <w:r>
              <w:rPr>
                <w:rFonts w:hint="eastAsia"/>
                <w:sz w:val="24"/>
                <w:lang w:val="en-US" w:eastAsia="zh-CN"/>
              </w:rPr>
              <w:t>23</w:t>
            </w:r>
            <w:r>
              <w:rPr>
                <w:sz w:val="24"/>
              </w:rPr>
              <w:t>人，</w:t>
            </w:r>
            <w:r>
              <w:rPr>
                <w:rFonts w:hint="eastAsia"/>
                <w:sz w:val="24"/>
              </w:rPr>
              <w:t>均不在厂区食宿，年工作300天。</w:t>
            </w:r>
            <w:r>
              <w:rPr>
                <w:sz w:val="24"/>
              </w:rPr>
              <w:t>根据</w:t>
            </w:r>
            <w:r>
              <w:rPr>
                <w:color w:val="000000"/>
                <w:sz w:val="24"/>
              </w:rPr>
              <w:t>河南省地方标准《工业与城镇生活用水定额》（DB41/T385-2020），</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（人·d），则本项目生活用水量总计为</w:t>
            </w:r>
            <w:r>
              <w:rPr>
                <w:rFonts w:hint="eastAsia"/>
                <w:sz w:val="24"/>
                <w:lang w:val="en-US" w:eastAsia="zh-CN"/>
              </w:rPr>
              <w:t>0.92</w:t>
            </w:r>
            <w:r>
              <w:rPr>
                <w:rFonts w:hint="eastAsia" w:cs="MS Mincho"/>
                <w:color w:val="auto"/>
                <w:kern w:val="0"/>
                <w:sz w:val="24"/>
                <w:szCs w:val="24"/>
                <w:highlight w:val="none"/>
              </w:rPr>
              <w:t>m</w:t>
            </w:r>
            <w:r>
              <w:rPr>
                <w:rFonts w:hint="eastAsia" w:cs="MS Mincho"/>
                <w:color w:val="auto"/>
                <w:kern w:val="0"/>
                <w:sz w:val="24"/>
                <w:szCs w:val="24"/>
                <w:highlight w:val="none"/>
                <w:vertAlign w:val="superscript"/>
                <w:lang w:val="en-US" w:eastAsia="zh-CN"/>
              </w:rPr>
              <w:t>3</w:t>
            </w:r>
            <w:r>
              <w:rPr>
                <w:sz w:val="24"/>
              </w:rPr>
              <w:t>/d（</w:t>
            </w:r>
            <w:r>
              <w:rPr>
                <w:rFonts w:hint="eastAsia"/>
                <w:sz w:val="24"/>
                <w:lang w:val="en-US" w:eastAsia="zh-CN"/>
              </w:rPr>
              <w:t>276</w:t>
            </w:r>
            <w:r>
              <w:rPr>
                <w:rFonts w:hint="eastAsia" w:cs="MS Mincho"/>
                <w:color w:val="auto"/>
                <w:kern w:val="0"/>
                <w:sz w:val="24"/>
                <w:szCs w:val="24"/>
                <w:highlight w:val="none"/>
              </w:rPr>
              <w:t>m</w:t>
            </w:r>
            <w:r>
              <w:rPr>
                <w:rFonts w:hint="eastAsia" w:cs="MS Mincho"/>
                <w:color w:val="auto"/>
                <w:kern w:val="0"/>
                <w:sz w:val="24"/>
                <w:szCs w:val="24"/>
                <w:highlight w:val="none"/>
                <w:vertAlign w:val="superscript"/>
                <w:lang w:val="en-US" w:eastAsia="zh-CN"/>
              </w:rPr>
              <w:t>3</w:t>
            </w:r>
            <w:r>
              <w:rPr>
                <w:sz w:val="24"/>
              </w:rPr>
              <w:t>/a）。</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3</w:t>
            </w:r>
            <w:r>
              <w:rPr>
                <w:b/>
                <w:bCs/>
                <w:color w:val="000000"/>
                <w:sz w:val="24"/>
              </w:rPr>
              <w:t xml:space="preserve"> 排水</w:t>
            </w:r>
          </w:p>
          <w:p>
            <w:pPr>
              <w:adjustRightInd w:val="0"/>
              <w:snapToGrid w:val="0"/>
              <w:spacing w:line="460" w:lineRule="exact"/>
              <w:ind w:firstLine="480" w:firstLineChars="200"/>
              <w:rPr>
                <w:rFonts w:hint="eastAsia" w:ascii="Times New Roman" w:hAnsi="Times New Roman" w:eastAsia="宋体" w:cs="Times New Roman"/>
                <w:i w:val="0"/>
                <w:iCs w:val="0"/>
                <w:color w:val="000000"/>
                <w:kern w:val="24"/>
                <w:sz w:val="24"/>
                <w:szCs w:val="24"/>
                <w:u w:val="none"/>
                <w:lang w:val="en-US" w:eastAsia="zh-CN" w:bidi="ar-SA"/>
              </w:rPr>
            </w:pPr>
            <w:r>
              <w:rPr>
                <w:rFonts w:hint="eastAsia" w:ascii="Times New Roman" w:hAnsi="Times New Roman" w:eastAsia="宋体" w:cs="Times New Roman"/>
                <w:i w:val="0"/>
                <w:iCs w:val="0"/>
                <w:color w:val="000000"/>
                <w:kern w:val="24"/>
                <w:sz w:val="24"/>
                <w:szCs w:val="24"/>
                <w:u w:val="none"/>
                <w:lang w:val="en-US" w:eastAsia="zh-CN" w:bidi="ar-SA"/>
              </w:rPr>
              <w:t>生活污水经化粪池处理后通过东屯村污水管网排入中州渠人工湿地进一步处理，出水最终排至伊洛河。</w:t>
            </w:r>
          </w:p>
          <w:p>
            <w:pPr>
              <w:spacing w:line="460" w:lineRule="exact"/>
              <w:ind w:firstLine="482" w:firstLineChars="200"/>
              <w:rPr>
                <w:rFonts w:ascii="Times New Roman" w:hAnsi="Times New Roman" w:eastAsia="宋体" w:cs="Times New Roman"/>
                <w:b/>
                <w:bCs/>
                <w:i w:val="0"/>
                <w:iCs w:val="0"/>
                <w:color w:val="000000"/>
                <w:sz w:val="24"/>
                <w:szCs w:val="24"/>
                <w:u w:val="none"/>
              </w:rPr>
            </w:pPr>
            <w:r>
              <w:rPr>
                <w:rFonts w:ascii="Times New Roman" w:hAnsi="Times New Roman" w:eastAsia="宋体" w:cs="Times New Roman"/>
                <w:b/>
                <w:bCs/>
                <w:i w:val="0"/>
                <w:iCs w:val="0"/>
                <w:color w:val="000000"/>
                <w:sz w:val="24"/>
                <w:szCs w:val="24"/>
                <w:u w:val="none"/>
              </w:rPr>
              <w:t>8、劳动定员及工作制度</w:t>
            </w:r>
          </w:p>
          <w:p>
            <w:pPr>
              <w:snapToGrid w:val="0"/>
              <w:spacing w:line="460" w:lineRule="exact"/>
              <w:ind w:firstLine="480"/>
              <w:rPr>
                <w:bCs/>
                <w:szCs w:val="21"/>
              </w:rPr>
            </w:pPr>
            <w:r>
              <w:rPr>
                <w:rFonts w:hint="eastAsia" w:ascii="Times New Roman" w:hAnsi="Times New Roman" w:eastAsia="宋体" w:cs="Times New Roman"/>
                <w:i w:val="0"/>
                <w:iCs w:val="0"/>
                <w:color w:val="000000"/>
                <w:kern w:val="2"/>
                <w:sz w:val="24"/>
                <w:szCs w:val="24"/>
                <w:u w:val="none"/>
                <w:lang w:val="en-US" w:eastAsia="zh-CN" w:bidi="ar-SA"/>
              </w:rPr>
              <w:t>本项目劳动定员</w:t>
            </w:r>
            <w:r>
              <w:rPr>
                <w:rFonts w:hint="eastAsia" w:cs="Times New Roman"/>
                <w:i w:val="0"/>
                <w:iCs w:val="0"/>
                <w:color w:val="000000"/>
                <w:kern w:val="2"/>
                <w:sz w:val="24"/>
                <w:szCs w:val="24"/>
                <w:u w:val="none"/>
                <w:lang w:val="en-US" w:eastAsia="zh-CN" w:bidi="ar-SA"/>
              </w:rPr>
              <w:t>23</w:t>
            </w:r>
            <w:r>
              <w:rPr>
                <w:rFonts w:hint="eastAsia" w:ascii="Times New Roman" w:hAnsi="Times New Roman" w:eastAsia="宋体" w:cs="Times New Roman"/>
                <w:i w:val="0"/>
                <w:iCs w:val="0"/>
                <w:color w:val="000000"/>
                <w:kern w:val="2"/>
                <w:sz w:val="24"/>
                <w:szCs w:val="24"/>
                <w:u w:val="none"/>
                <w:lang w:val="en-US" w:eastAsia="zh-CN" w:bidi="ar-SA"/>
              </w:rPr>
              <w:t>人，项目实行8小时工作制</w:t>
            </w:r>
            <w:r>
              <w:rPr>
                <w:rFonts w:ascii="Times New Roman" w:hAnsi="Times New Roman" w:eastAsia="宋体" w:cs="Times New Roman"/>
                <w:i w:val="0"/>
                <w:iCs w:val="0"/>
                <w:color w:val="000000"/>
                <w:kern w:val="2"/>
                <w:sz w:val="24"/>
                <w:szCs w:val="24"/>
                <w:u w:val="none"/>
                <w:lang w:val="en-US" w:eastAsia="zh-CN" w:bidi="ar-SA"/>
              </w:rPr>
              <w:t>（8:00~12:00；14:00~18:00）</w:t>
            </w:r>
            <w:r>
              <w:rPr>
                <w:rFonts w:hint="eastAsia" w:ascii="Times New Roman" w:hAnsi="Times New Roman" w:eastAsia="宋体" w:cs="Times New Roman"/>
                <w:i w:val="0"/>
                <w:iCs w:val="0"/>
                <w:color w:val="000000"/>
                <w:kern w:val="2"/>
                <w:sz w:val="24"/>
                <w:szCs w:val="24"/>
                <w:u w:val="none"/>
                <w:lang w:val="en-US" w:eastAsia="zh-CN" w:bidi="ar-SA"/>
              </w:rPr>
              <w:t>，年工作天数300天。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51" w:type="dxa"/>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8531" w:type="dxa"/>
          </w:tcPr>
          <w:p>
            <w:pPr>
              <w:autoSpaceDE w:val="0"/>
              <w:autoSpaceDN w:val="0"/>
              <w:adjustRightInd w:val="0"/>
              <w:snapToGrid w:val="0"/>
              <w:spacing w:line="460" w:lineRule="exact"/>
              <w:ind w:firstLine="482" w:firstLineChars="200"/>
              <w:rPr>
                <w:b/>
                <w:bCs/>
                <w:sz w:val="24"/>
              </w:rPr>
            </w:pPr>
            <w:r>
              <w:rPr>
                <w:rFonts w:hint="eastAsia"/>
                <w:b/>
                <w:bCs/>
                <w:sz w:val="24"/>
              </w:rPr>
              <w:t>工艺流程及产污环节：</w:t>
            </w:r>
          </w:p>
          <w:p>
            <w:pPr>
              <w:autoSpaceDE w:val="0"/>
              <w:autoSpaceDN w:val="0"/>
              <w:adjustRightInd w:val="0"/>
              <w:snapToGrid w:val="0"/>
              <w:spacing w:line="460" w:lineRule="exact"/>
              <w:ind w:firstLine="482" w:firstLineChars="200"/>
              <w:rPr>
                <w:rFonts w:hint="eastAsia"/>
                <w:b/>
                <w:bCs/>
                <w:sz w:val="24"/>
                <w:lang w:eastAsia="zh-CN"/>
              </w:rPr>
            </w:pPr>
            <w:r>
              <w:rPr>
                <w:rFonts w:hint="eastAsia"/>
                <w:b/>
                <w:bCs/>
                <w:sz w:val="24"/>
              </w:rPr>
              <w:t>EVA鞋垫</w:t>
            </w:r>
            <w:r>
              <w:rPr>
                <w:rFonts w:hint="eastAsia"/>
                <w:b/>
                <w:bCs/>
                <w:sz w:val="24"/>
                <w:lang w:eastAsia="zh-CN"/>
              </w:rPr>
              <w:t>：</w:t>
            </w:r>
          </w:p>
          <w:p>
            <w:pPr>
              <w:pStyle w:val="2"/>
              <w:rPr>
                <w:rFonts w:hint="eastAsia"/>
                <w:lang w:eastAsia="zh-CN"/>
              </w:rPr>
            </w:pPr>
            <w:r>
              <w:drawing>
                <wp:anchor distT="0" distB="0" distL="114300" distR="114300" simplePos="0" relativeHeight="251664384" behindDoc="1" locked="0" layoutInCell="1" allowOverlap="1">
                  <wp:simplePos x="0" y="0"/>
                  <wp:positionH relativeFrom="column">
                    <wp:posOffset>733425</wp:posOffset>
                  </wp:positionH>
                  <wp:positionV relativeFrom="paragraph">
                    <wp:posOffset>19050</wp:posOffset>
                  </wp:positionV>
                  <wp:extent cx="3686175" cy="4448175"/>
                  <wp:effectExtent l="0" t="0" r="9525"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686175" cy="4448175"/>
                          </a:xfrm>
                          <a:prstGeom prst="rect">
                            <a:avLst/>
                          </a:prstGeom>
                          <a:noFill/>
                          <a:ln>
                            <a:noFill/>
                          </a:ln>
                        </pic:spPr>
                      </pic:pic>
                    </a:graphicData>
                  </a:graphic>
                </wp:anchor>
              </w:drawing>
            </w:r>
          </w:p>
          <w:p>
            <w:pPr>
              <w:rPr>
                <w:rFonts w:hint="eastAsia"/>
                <w:lang w:eastAsia="zh-CN"/>
              </w:rPr>
            </w:pPr>
          </w:p>
          <w:p>
            <w:pPr>
              <w:pStyle w:val="5"/>
              <w:numPr>
                <w:ilvl w:val="0"/>
                <w:numId w:val="0"/>
              </w:numPr>
              <w:rPr>
                <w:rFonts w:hint="eastAsia"/>
                <w:lang w:eastAsia="zh-CN"/>
              </w:rPr>
            </w:pPr>
          </w:p>
          <w:p>
            <w:pPr>
              <w:rPr>
                <w:rFonts w:hint="eastAsia"/>
                <w:lang w:eastAsia="zh-CN"/>
              </w:rPr>
            </w:pPr>
          </w:p>
          <w:p>
            <w:pPr>
              <w:pStyle w:val="5"/>
              <w:numPr>
                <w:ilvl w:val="0"/>
                <w:numId w:val="0"/>
              </w:numPr>
              <w:rPr>
                <w:rFonts w:hint="eastAsia"/>
                <w:lang w:eastAsia="zh-CN"/>
              </w:rPr>
            </w:pPr>
          </w:p>
          <w:p>
            <w:pPr>
              <w:rPr>
                <w:rFonts w:hint="eastAsia"/>
                <w:lang w:eastAsia="zh-CN"/>
              </w:rPr>
            </w:pPr>
          </w:p>
          <w:p>
            <w:pPr>
              <w:pStyle w:val="5"/>
              <w:numPr>
                <w:ilvl w:val="0"/>
                <w:numId w:val="0"/>
              </w:numPr>
              <w:rPr>
                <w:rFonts w:hint="eastAsia"/>
                <w:lang w:eastAsia="zh-CN"/>
              </w:rPr>
            </w:pPr>
          </w:p>
          <w:p>
            <w:pPr>
              <w:rPr>
                <w:rFonts w:hint="eastAsia"/>
                <w:lang w:eastAsia="zh-CN"/>
              </w:rPr>
            </w:pPr>
          </w:p>
          <w:p>
            <w:pPr>
              <w:pStyle w:val="5"/>
              <w:numPr>
                <w:ilvl w:val="0"/>
                <w:numId w:val="0"/>
              </w:numPr>
              <w:rPr>
                <w:rFonts w:hint="eastAsia"/>
                <w:lang w:eastAsia="zh-CN"/>
              </w:rPr>
            </w:pPr>
          </w:p>
          <w:p>
            <w:pPr>
              <w:pStyle w:val="5"/>
              <w:numPr>
                <w:ilvl w:val="0"/>
                <w:numId w:val="0"/>
              </w:numPr>
              <w:ind w:leftChars="200"/>
            </w:pPr>
          </w:p>
          <w:p>
            <w:pPr>
              <w:autoSpaceDE w:val="0"/>
              <w:autoSpaceDN w:val="0"/>
              <w:adjustRightInd w:val="0"/>
              <w:snapToGrid w:val="0"/>
              <w:spacing w:line="460" w:lineRule="exact"/>
              <w:rPr>
                <w:b/>
                <w:bCs/>
                <w:sz w:val="24"/>
              </w:rPr>
            </w:pPr>
          </w:p>
          <w:p>
            <w:pPr>
              <w:pStyle w:val="5"/>
              <w:numPr>
                <w:ilvl w:val="0"/>
                <w:numId w:val="0"/>
              </w:numPr>
              <w:ind w:leftChars="200"/>
            </w:pP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778510</wp:posOffset>
                      </wp:positionH>
                      <wp:positionV relativeFrom="paragraph">
                        <wp:posOffset>114300</wp:posOffset>
                      </wp:positionV>
                      <wp:extent cx="3399790" cy="323850"/>
                      <wp:effectExtent l="0" t="0" r="0" b="0"/>
                      <wp:wrapNone/>
                      <wp:docPr id="81" name="文本框 81"/>
                      <wp:cNvGraphicFramePr/>
                      <a:graphic xmlns:a="http://schemas.openxmlformats.org/drawingml/2006/main">
                        <a:graphicData uri="http://schemas.microsoft.com/office/word/2010/wordprocessingShape">
                          <wps:wsp>
                            <wps:cNvSpPr txBox="1"/>
                            <wps:spPr>
                              <a:xfrm>
                                <a:off x="2889885" y="3215005"/>
                                <a:ext cx="3399790" cy="323850"/>
                              </a:xfrm>
                              <a:prstGeom prst="rect">
                                <a:avLst/>
                              </a:prstGeom>
                              <a:noFill/>
                              <a:ln w="6350">
                                <a:noFill/>
                              </a:ln>
                              <a:effectLst/>
                            </wps:spPr>
                            <wps:txbx>
                              <w:txbxContent>
                                <w:p>
                                  <w:pPr>
                                    <w:jc w:val="center"/>
                                    <w:rPr>
                                      <w:rFonts w:ascii="宋体" w:hAnsi="宋体" w:cs="宋体"/>
                                      <w:b/>
                                      <w:bCs/>
                                      <w:sz w:val="24"/>
                                    </w:rPr>
                                  </w:pPr>
                                  <w:r>
                                    <w:rPr>
                                      <w:rFonts w:hint="eastAsia" w:ascii="宋体" w:hAnsi="宋体" w:cs="宋体"/>
                                      <w:b/>
                                      <w:bCs/>
                                      <w:sz w:val="24"/>
                                    </w:rPr>
                                    <w:t xml:space="preserve">图1     </w:t>
                                  </w:r>
                                  <w:r>
                                    <w:rPr>
                                      <w:rFonts w:hint="eastAsia" w:ascii="宋体" w:hAnsi="宋体" w:cs="宋体"/>
                                      <w:b/>
                                      <w:bCs/>
                                      <w:sz w:val="24"/>
                                      <w:lang w:val="en-US" w:eastAsia="zh-CN"/>
                                    </w:rPr>
                                    <w:t>EVA鞋垫生产</w:t>
                                  </w:r>
                                  <w:r>
                                    <w:rPr>
                                      <w:rFonts w:hint="eastAsia" w:ascii="宋体" w:hAnsi="宋体" w:cs="宋体"/>
                                      <w:b/>
                                      <w:bCs/>
                                      <w:sz w:val="24"/>
                                    </w:rPr>
                                    <w:t>工艺流程及产污环节图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pt;margin-top:9pt;height:25.5pt;width:267.7pt;z-index:251661312;mso-width-relative:page;mso-height-relative:page;" filled="f" stroked="f" coordsize="21600,21600" o:gfxdata="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8YAuHXAAAACQEAAA8AAAAA&#10;AAAAAQAgAAAAIgAAAGRycy9kb3ducmV2LnhtbFBLAQIUABQAAAAIAIdO4kDE59yFTgIAAIIEAAAO&#10;AAAAAAAAAAEAIAAAACYBAABkcnMvZTJvRG9jLnhtbFBLBQYAAAAABgAGAFkBAADmBQAAAAA=&#10;">
                      <v:fill on="f" focussize="0,0"/>
                      <v:stroke on="f" weight="0.5pt"/>
                      <v:imagedata o:title=""/>
                      <o:lock v:ext="edit" aspectratio="f"/>
                      <v:textbox>
                        <w:txbxContent>
                          <w:p>
                            <w:pPr>
                              <w:jc w:val="center"/>
                              <w:rPr>
                                <w:rFonts w:ascii="宋体" w:hAnsi="宋体" w:cs="宋体"/>
                                <w:b/>
                                <w:bCs/>
                                <w:sz w:val="24"/>
                              </w:rPr>
                            </w:pPr>
                            <w:r>
                              <w:rPr>
                                <w:rFonts w:hint="eastAsia" w:ascii="宋体" w:hAnsi="宋体" w:cs="宋体"/>
                                <w:b/>
                                <w:bCs/>
                                <w:sz w:val="24"/>
                              </w:rPr>
                              <w:t xml:space="preserve">图1     </w:t>
                            </w:r>
                            <w:r>
                              <w:rPr>
                                <w:rFonts w:hint="eastAsia" w:ascii="宋体" w:hAnsi="宋体" w:cs="宋体"/>
                                <w:b/>
                                <w:bCs/>
                                <w:sz w:val="24"/>
                                <w:lang w:val="en-US" w:eastAsia="zh-CN"/>
                              </w:rPr>
                              <w:t>EVA鞋垫生产</w:t>
                            </w:r>
                            <w:r>
                              <w:rPr>
                                <w:rFonts w:hint="eastAsia" w:ascii="宋体" w:hAnsi="宋体" w:cs="宋体"/>
                                <w:b/>
                                <w:bCs/>
                                <w:sz w:val="24"/>
                              </w:rPr>
                              <w:t>工艺流程及产污环节图</w:t>
                            </w:r>
                          </w:p>
                        </w:txbxContent>
                      </v:textbox>
                    </v:shape>
                  </w:pict>
                </mc:Fallback>
              </mc:AlternateContent>
            </w:r>
          </w:p>
          <w:p/>
          <w:p>
            <w:pPr>
              <w:autoSpaceDE w:val="0"/>
              <w:autoSpaceDN w:val="0"/>
              <w:adjustRightInd w:val="0"/>
              <w:snapToGrid w:val="0"/>
              <w:spacing w:line="460" w:lineRule="exact"/>
              <w:rPr>
                <w:b/>
                <w:bCs/>
                <w:sz w:val="24"/>
              </w:rPr>
            </w:pPr>
            <w:r>
              <w:rPr>
                <w:rFonts w:hint="eastAsia"/>
                <w:b/>
                <w:bCs/>
                <w:sz w:val="24"/>
              </w:rPr>
              <w:t>工艺流程简述：</w:t>
            </w:r>
          </w:p>
          <w:p>
            <w:pPr>
              <w:adjustRightInd w:val="0"/>
              <w:snapToGrid w:val="0"/>
              <w:spacing w:line="520" w:lineRule="exact"/>
              <w:ind w:firstLine="480" w:firstLineChars="200"/>
              <w:rPr>
                <w:kern w:val="0"/>
                <w:sz w:val="24"/>
              </w:rPr>
            </w:pPr>
            <w:r>
              <w:rPr>
                <w:sz w:val="24"/>
                <w:szCs w:val="24"/>
              </w:rPr>
              <w:t>（1）发泡：EVA颗粒进行称量后放入发泡机模具内，在温度180</w:t>
            </w:r>
            <w:r>
              <w:rPr>
                <w:rFonts w:hint="eastAsia" w:ascii="宋体" w:hAnsi="宋体" w:cs="宋体"/>
                <w:kern w:val="0"/>
                <w:sz w:val="24"/>
              </w:rPr>
              <w:t>℃</w:t>
            </w:r>
            <w:r>
              <w:rPr>
                <w:kern w:val="0"/>
                <w:sz w:val="24"/>
              </w:rPr>
              <w:t>左右下EVA树脂颗粒受热融化发泡定型得到鞋垫粗品；</w:t>
            </w:r>
          </w:p>
          <w:p>
            <w:pPr>
              <w:adjustRightInd w:val="0"/>
              <w:snapToGrid w:val="0"/>
              <w:spacing w:line="520" w:lineRule="exact"/>
              <w:ind w:firstLine="480" w:firstLineChars="200"/>
              <w:rPr>
                <w:kern w:val="0"/>
                <w:sz w:val="24"/>
              </w:rPr>
            </w:pPr>
            <w:r>
              <w:rPr>
                <w:kern w:val="0"/>
                <w:sz w:val="24"/>
              </w:rPr>
              <w:t>（2）过胶：发泡得到的鞋垫粗品经过胶机进行一面涂胶，衬面布卷按规格裁切后铺在鞋垫过胶面，放中转台面准备冷压定型</w:t>
            </w:r>
            <w:r>
              <w:rPr>
                <w:rFonts w:hint="eastAsia"/>
                <w:kern w:val="0"/>
                <w:sz w:val="24"/>
              </w:rPr>
              <w:t>，涂胶所用粘黏剂为环保型</w:t>
            </w:r>
            <w:r>
              <w:rPr>
                <w:kern w:val="0"/>
                <w:sz w:val="24"/>
              </w:rPr>
              <w:t xml:space="preserve">PUR </w:t>
            </w:r>
            <w:r>
              <w:rPr>
                <w:rFonts w:hint="eastAsia"/>
                <w:kern w:val="0"/>
                <w:sz w:val="24"/>
              </w:rPr>
              <w:t>热熔胶，过胶机加热温度约1</w:t>
            </w:r>
            <w:r>
              <w:rPr>
                <w:kern w:val="0"/>
                <w:sz w:val="24"/>
              </w:rPr>
              <w:t>00</w:t>
            </w:r>
            <w:r>
              <w:rPr>
                <w:rFonts w:hint="eastAsia"/>
                <w:sz w:val="24"/>
                <w:szCs w:val="24"/>
              </w:rPr>
              <w:t>℃，为电加热</w:t>
            </w:r>
            <w:r>
              <w:rPr>
                <w:kern w:val="0"/>
                <w:sz w:val="24"/>
              </w:rPr>
              <w:t>；</w:t>
            </w:r>
          </w:p>
          <w:p>
            <w:pPr>
              <w:adjustRightInd w:val="0"/>
              <w:snapToGrid w:val="0"/>
              <w:spacing w:line="520" w:lineRule="exact"/>
              <w:ind w:firstLine="480" w:firstLineChars="200"/>
              <w:rPr>
                <w:kern w:val="0"/>
                <w:sz w:val="24"/>
              </w:rPr>
            </w:pPr>
            <w:r>
              <w:rPr>
                <w:kern w:val="0"/>
                <w:sz w:val="24"/>
              </w:rPr>
              <w:t>（3）冷压定型：衬面和过胶后鞋垫经定型机进行冷压，使衬面和鞋垫更好贴合，并对鞋垫进行定型；</w:t>
            </w:r>
          </w:p>
          <w:p>
            <w:pPr>
              <w:adjustRightInd w:val="0"/>
              <w:snapToGrid w:val="0"/>
              <w:spacing w:line="520" w:lineRule="exact"/>
              <w:ind w:firstLine="480" w:firstLineChars="200"/>
              <w:rPr>
                <w:rFonts w:hint="eastAsia" w:eastAsia="宋体"/>
                <w:sz w:val="24"/>
                <w:szCs w:val="24"/>
                <w:lang w:val="en-US" w:eastAsia="zh-CN"/>
              </w:rPr>
            </w:pPr>
            <w:r>
              <w:rPr>
                <w:sz w:val="24"/>
                <w:szCs w:val="24"/>
              </w:rPr>
              <w:t>（4）修边</w:t>
            </w:r>
            <w:r>
              <w:rPr>
                <w:rFonts w:hint="eastAsia"/>
                <w:sz w:val="24"/>
                <w:szCs w:val="24"/>
                <w:lang w:eastAsia="zh-CN"/>
              </w:rPr>
              <w:t>：</w:t>
            </w:r>
            <w:r>
              <w:rPr>
                <w:sz w:val="24"/>
                <w:szCs w:val="24"/>
              </w:rPr>
              <w:t>将定型后鞋垫</w:t>
            </w:r>
            <w:r>
              <w:rPr>
                <w:rFonts w:hint="eastAsia"/>
                <w:sz w:val="24"/>
                <w:szCs w:val="24"/>
                <w:lang w:val="en-US" w:eastAsia="zh-CN"/>
              </w:rPr>
              <w:t>半成品，根据产品规格的大小使用</w:t>
            </w:r>
            <w:r>
              <w:rPr>
                <w:sz w:val="24"/>
                <w:szCs w:val="24"/>
              </w:rPr>
              <w:t>裁断机进行修边</w:t>
            </w:r>
            <w:r>
              <w:rPr>
                <w:rFonts w:hint="eastAsia"/>
                <w:sz w:val="24"/>
                <w:szCs w:val="24"/>
                <w:lang w:val="en-US" w:eastAsia="zh-CN"/>
              </w:rPr>
              <w:t>裁切。</w:t>
            </w:r>
          </w:p>
          <w:p>
            <w:pPr>
              <w:adjustRightInd w:val="0"/>
              <w:snapToGrid w:val="0"/>
              <w:spacing w:line="520" w:lineRule="exact"/>
              <w:ind w:firstLine="480" w:firstLineChars="200"/>
              <w:rPr>
                <w:rFonts w:hint="eastAsia"/>
                <w:bCs/>
                <w:lang w:val="en-US" w:eastAsia="zh-CN"/>
              </w:rPr>
            </w:pPr>
            <w:r>
              <w:rPr>
                <w:rFonts w:hint="eastAsia"/>
                <w:sz w:val="24"/>
                <w:szCs w:val="24"/>
                <w:lang w:val="en-US" w:eastAsia="zh-CN"/>
              </w:rPr>
              <w:t>（5）印标、转印</w:t>
            </w:r>
            <w:r>
              <w:rPr>
                <w:sz w:val="24"/>
                <w:szCs w:val="24"/>
              </w:rPr>
              <w:t>：</w:t>
            </w:r>
            <w:r>
              <w:rPr>
                <w:rFonts w:hint="eastAsia"/>
                <w:sz w:val="24"/>
                <w:szCs w:val="24"/>
                <w:lang w:val="en-US" w:eastAsia="zh-CN"/>
              </w:rPr>
              <w:t>使用印标机在鞋垫表面印上码数</w:t>
            </w:r>
            <w:r>
              <w:rPr>
                <w:sz w:val="24"/>
                <w:szCs w:val="24"/>
              </w:rPr>
              <w:t>，</w:t>
            </w:r>
            <w:r>
              <w:rPr>
                <w:rFonts w:hint="eastAsia"/>
                <w:sz w:val="24"/>
                <w:szCs w:val="24"/>
                <w:lang w:val="en-US" w:eastAsia="zh-CN"/>
              </w:rPr>
              <w:t>部分产品需要使用移印机将外购成品转印贴纸转印至鞋垫上，</w:t>
            </w:r>
            <w:r>
              <w:rPr>
                <w:sz w:val="24"/>
                <w:szCs w:val="24"/>
              </w:rPr>
              <w:t>得到鞋垫成品</w:t>
            </w:r>
            <w:r>
              <w:rPr>
                <w:rFonts w:hint="eastAsia"/>
                <w:sz w:val="24"/>
                <w:szCs w:val="24"/>
              </w:rPr>
              <w:t>，入库待售</w:t>
            </w:r>
            <w:r>
              <w:rPr>
                <w:sz w:val="24"/>
                <w:szCs w:val="24"/>
              </w:rPr>
              <w:t>。</w:t>
            </w:r>
          </w:p>
          <w:p>
            <w:pPr>
              <w:pStyle w:val="5"/>
              <w:numPr>
                <w:ilvl w:val="0"/>
                <w:numId w:val="0"/>
              </w:numPr>
              <w:ind w:firstLine="482" w:firstLineChars="200"/>
              <w:rPr>
                <w:rFonts w:hint="eastAsia" w:eastAsia="宋体"/>
                <w:bCs/>
                <w:lang w:val="en-US" w:eastAsia="zh-CN"/>
              </w:rPr>
            </w:pPr>
            <w:r>
              <w:rPr>
                <w:rFonts w:hint="eastAsia"/>
                <w:bCs/>
                <w:lang w:val="en-US" w:eastAsia="zh-CN"/>
              </w:rPr>
              <w:t>大力棉运动鞋垫：</w:t>
            </w:r>
          </w:p>
          <w:p>
            <w:pPr>
              <w:adjustRightInd w:val="0"/>
              <w:snapToGrid w:val="0"/>
              <w:spacing w:line="520" w:lineRule="exact"/>
              <w:ind w:firstLine="420" w:firstLineChars="200"/>
              <w:rPr>
                <w:rFonts w:hint="eastAsia"/>
                <w:kern w:val="0"/>
                <w:sz w:val="24"/>
              </w:rPr>
            </w:pPr>
            <w:r>
              <w:drawing>
                <wp:anchor distT="0" distB="0" distL="114300" distR="114300" simplePos="0" relativeHeight="251664384" behindDoc="1" locked="0" layoutInCell="1" allowOverlap="1">
                  <wp:simplePos x="0" y="0"/>
                  <wp:positionH relativeFrom="column">
                    <wp:posOffset>38100</wp:posOffset>
                  </wp:positionH>
                  <wp:positionV relativeFrom="paragraph">
                    <wp:posOffset>63500</wp:posOffset>
                  </wp:positionV>
                  <wp:extent cx="5219700" cy="1381125"/>
                  <wp:effectExtent l="0" t="0" r="0" b="9525"/>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5219700" cy="1381125"/>
                          </a:xfrm>
                          <a:prstGeom prst="rect">
                            <a:avLst/>
                          </a:prstGeom>
                          <a:noFill/>
                          <a:ln>
                            <a:noFill/>
                          </a:ln>
                        </pic:spPr>
                      </pic:pic>
                    </a:graphicData>
                  </a:graphic>
                </wp:anchor>
              </w:drawing>
            </w:r>
          </w:p>
          <w:p>
            <w:pPr>
              <w:adjustRightInd w:val="0"/>
              <w:snapToGrid w:val="0"/>
              <w:spacing w:line="520" w:lineRule="exact"/>
              <w:ind w:firstLine="480" w:firstLineChars="200"/>
              <w:rPr>
                <w:rFonts w:hint="eastAsia"/>
                <w:kern w:val="0"/>
                <w:sz w:val="24"/>
              </w:rPr>
            </w:pPr>
          </w:p>
          <w:p>
            <w:pPr>
              <w:adjustRightInd w:val="0"/>
              <w:snapToGrid w:val="0"/>
              <w:spacing w:line="520" w:lineRule="exact"/>
              <w:ind w:firstLine="480" w:firstLineChars="200"/>
              <w:rPr>
                <w:rFonts w:hint="eastAsia" w:eastAsia="宋体"/>
                <w:kern w:val="0"/>
                <w:sz w:val="24"/>
                <w:lang w:eastAsia="zh-CN"/>
              </w:rPr>
            </w:pPr>
          </w:p>
          <w:p>
            <w:pPr>
              <w:autoSpaceDE w:val="0"/>
              <w:autoSpaceDN w:val="0"/>
              <w:adjustRightInd w:val="0"/>
              <w:snapToGrid w:val="0"/>
              <w:spacing w:line="460" w:lineRule="exact"/>
              <w:rPr>
                <w:rFonts w:hint="eastAsia"/>
                <w:b/>
                <w:bCs/>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749935</wp:posOffset>
                      </wp:positionH>
                      <wp:positionV relativeFrom="paragraph">
                        <wp:posOffset>227965</wp:posOffset>
                      </wp:positionV>
                      <wp:extent cx="3836670" cy="323850"/>
                      <wp:effectExtent l="0" t="0" r="0" b="0"/>
                      <wp:wrapNone/>
                      <wp:docPr id="4" name="文本框 81"/>
                      <wp:cNvGraphicFramePr/>
                      <a:graphic xmlns:a="http://schemas.openxmlformats.org/drawingml/2006/main">
                        <a:graphicData uri="http://schemas.microsoft.com/office/word/2010/wordprocessingShape">
                          <wps:wsp>
                            <wps:cNvSpPr txBox="1"/>
                            <wps:spPr>
                              <a:xfrm>
                                <a:off x="2889885" y="3215005"/>
                                <a:ext cx="3399790" cy="323850"/>
                              </a:xfrm>
                              <a:prstGeom prst="rect">
                                <a:avLst/>
                              </a:prstGeom>
                              <a:noFill/>
                              <a:ln w="6350">
                                <a:noFill/>
                              </a:ln>
                              <a:effectLst/>
                            </wps:spPr>
                            <wps:txbx>
                              <w:txbxContent>
                                <w:p>
                                  <w:pPr>
                                    <w:jc w:val="center"/>
                                    <w:rPr>
                                      <w:rFonts w:ascii="宋体" w:hAnsi="宋体" w:cs="宋体"/>
                                      <w:b/>
                                      <w:bCs/>
                                      <w:sz w:val="24"/>
                                    </w:rPr>
                                  </w:pPr>
                                  <w:r>
                                    <w:rPr>
                                      <w:rFonts w:hint="eastAsia" w:ascii="宋体" w:hAnsi="宋体" w:cs="宋体"/>
                                      <w:b/>
                                      <w:bCs/>
                                      <w:sz w:val="24"/>
                                    </w:rPr>
                                    <w:t>图</w:t>
                                  </w:r>
                                  <w:r>
                                    <w:rPr>
                                      <w:rFonts w:hint="eastAsia" w:ascii="宋体" w:hAnsi="宋体" w:cs="宋体"/>
                                      <w:b/>
                                      <w:bCs/>
                                      <w:sz w:val="24"/>
                                      <w:lang w:val="en-US" w:eastAsia="zh-CN"/>
                                    </w:rPr>
                                    <w:t>2</w:t>
                                  </w:r>
                                  <w:r>
                                    <w:rPr>
                                      <w:rFonts w:hint="eastAsia" w:ascii="宋体" w:hAnsi="宋体" w:cs="宋体"/>
                                      <w:b/>
                                      <w:bCs/>
                                      <w:sz w:val="24"/>
                                    </w:rPr>
                                    <w:t xml:space="preserve">     </w:t>
                                  </w:r>
                                  <w:r>
                                    <w:rPr>
                                      <w:rFonts w:hint="eastAsia" w:ascii="宋体" w:hAnsi="宋体" w:cs="宋体"/>
                                      <w:b/>
                                      <w:bCs/>
                                      <w:sz w:val="24"/>
                                      <w:lang w:val="en-US" w:eastAsia="zh-CN"/>
                                    </w:rPr>
                                    <w:t>大力棉运动鞋垫生产</w:t>
                                  </w:r>
                                  <w:r>
                                    <w:rPr>
                                      <w:rFonts w:hint="eastAsia" w:ascii="宋体" w:hAnsi="宋体" w:cs="宋体"/>
                                      <w:b/>
                                      <w:bCs/>
                                      <w:sz w:val="24"/>
                                    </w:rPr>
                                    <w:t>工艺流程及产污环节图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26" o:spt="202" type="#_x0000_t202" style="position:absolute;left:0pt;margin-left:59.05pt;margin-top:17.95pt;height:25.5pt;width:302.1pt;z-index:251663360;mso-width-relative:page;mso-height-relative:page;" filled="f" stroked="f" coordsize="21600,21600" o:gfxdata="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JayyLaAAAACQEAAA8A&#10;AAAAAAAAAQAgAAAAIgAAAGRycy9kb3ducmV2LnhtbFBLAQIUABQAAAAIAIdO4kB8oR+dTgIAAIEE&#10;AAAOAAAAAAAAAAEAIAAAACkBAABkcnMvZTJvRG9jLnhtbFBLBQYAAAAABgAGAFkBAADpBQAAAAA=&#10;">
                      <v:fill on="f" focussize="0,0"/>
                      <v:stroke on="f" weight="0.5pt"/>
                      <v:imagedata o:title=""/>
                      <o:lock v:ext="edit" aspectratio="f"/>
                      <v:textbox>
                        <w:txbxContent>
                          <w:p>
                            <w:pPr>
                              <w:jc w:val="center"/>
                              <w:rPr>
                                <w:rFonts w:ascii="宋体" w:hAnsi="宋体" w:cs="宋体"/>
                                <w:b/>
                                <w:bCs/>
                                <w:sz w:val="24"/>
                              </w:rPr>
                            </w:pPr>
                            <w:r>
                              <w:rPr>
                                <w:rFonts w:hint="eastAsia" w:ascii="宋体" w:hAnsi="宋体" w:cs="宋体"/>
                                <w:b/>
                                <w:bCs/>
                                <w:sz w:val="24"/>
                              </w:rPr>
                              <w:t>图</w:t>
                            </w:r>
                            <w:r>
                              <w:rPr>
                                <w:rFonts w:hint="eastAsia" w:ascii="宋体" w:hAnsi="宋体" w:cs="宋体"/>
                                <w:b/>
                                <w:bCs/>
                                <w:sz w:val="24"/>
                                <w:lang w:val="en-US" w:eastAsia="zh-CN"/>
                              </w:rPr>
                              <w:t>2</w:t>
                            </w:r>
                            <w:r>
                              <w:rPr>
                                <w:rFonts w:hint="eastAsia" w:ascii="宋体" w:hAnsi="宋体" w:cs="宋体"/>
                                <w:b/>
                                <w:bCs/>
                                <w:sz w:val="24"/>
                              </w:rPr>
                              <w:t xml:space="preserve">     </w:t>
                            </w:r>
                            <w:r>
                              <w:rPr>
                                <w:rFonts w:hint="eastAsia" w:ascii="宋体" w:hAnsi="宋体" w:cs="宋体"/>
                                <w:b/>
                                <w:bCs/>
                                <w:sz w:val="24"/>
                                <w:lang w:val="en-US" w:eastAsia="zh-CN"/>
                              </w:rPr>
                              <w:t>大力棉运动鞋垫生产</w:t>
                            </w:r>
                            <w:r>
                              <w:rPr>
                                <w:rFonts w:hint="eastAsia" w:ascii="宋体" w:hAnsi="宋体" w:cs="宋体"/>
                                <w:b/>
                                <w:bCs/>
                                <w:sz w:val="24"/>
                              </w:rPr>
                              <w:t>工艺流程及产污环节图</w:t>
                            </w:r>
                          </w:p>
                        </w:txbxContent>
                      </v:textbox>
                    </v:shape>
                  </w:pict>
                </mc:Fallback>
              </mc:AlternateContent>
            </w:r>
          </w:p>
          <w:p>
            <w:pPr>
              <w:autoSpaceDE w:val="0"/>
              <w:autoSpaceDN w:val="0"/>
              <w:adjustRightInd w:val="0"/>
              <w:snapToGrid w:val="0"/>
              <w:spacing w:line="460" w:lineRule="exact"/>
              <w:rPr>
                <w:rFonts w:hint="eastAsia"/>
                <w:b/>
                <w:bCs/>
                <w:sz w:val="24"/>
              </w:rPr>
            </w:pPr>
          </w:p>
          <w:p>
            <w:pPr>
              <w:autoSpaceDE w:val="0"/>
              <w:autoSpaceDN w:val="0"/>
              <w:adjustRightInd w:val="0"/>
              <w:snapToGrid w:val="0"/>
              <w:spacing w:line="460" w:lineRule="exact"/>
              <w:rPr>
                <w:b/>
                <w:bCs/>
                <w:sz w:val="24"/>
              </w:rPr>
            </w:pPr>
            <w:r>
              <w:rPr>
                <w:rFonts w:hint="eastAsia"/>
                <w:b/>
                <w:bCs/>
                <w:sz w:val="24"/>
              </w:rPr>
              <w:t>工艺流程简述：</w:t>
            </w:r>
          </w:p>
          <w:p>
            <w:pPr>
              <w:adjustRightInd w:val="0"/>
              <w:snapToGrid w:val="0"/>
              <w:spacing w:line="520" w:lineRule="exact"/>
              <w:ind w:firstLine="480" w:firstLineChars="200"/>
              <w:rPr>
                <w:rFonts w:hint="eastAsia" w:eastAsia="黑体"/>
                <w:lang w:val="en-US" w:eastAsia="zh-CN"/>
              </w:rPr>
            </w:pPr>
            <w:r>
              <w:rPr>
                <w:rFonts w:hint="eastAsia"/>
                <w:kern w:val="0"/>
                <w:sz w:val="24"/>
              </w:rPr>
              <w:t>外购大力棉布卷，按规格经裁断机进行裁断后得到方块垫，之后进入热压机进行定型（温度为160℃左右，定型30秒），热压出鞋垫形状，然后经修边机进行修边得到</w:t>
            </w:r>
            <w:r>
              <w:rPr>
                <w:rFonts w:hint="eastAsia"/>
                <w:kern w:val="0"/>
                <w:sz w:val="24"/>
                <w:lang w:val="en-US" w:eastAsia="zh-CN"/>
              </w:rPr>
              <w:t>鞋垫</w:t>
            </w:r>
            <w:r>
              <w:rPr>
                <w:rFonts w:hint="eastAsia"/>
                <w:kern w:val="0"/>
                <w:sz w:val="24"/>
                <w:lang w:eastAsia="zh-CN"/>
              </w:rPr>
              <w:t>。</w:t>
            </w:r>
            <w:r>
              <w:rPr>
                <w:rFonts w:hint="eastAsia"/>
                <w:sz w:val="24"/>
                <w:szCs w:val="24"/>
                <w:lang w:val="en-US" w:eastAsia="zh-CN"/>
              </w:rPr>
              <w:t>使用印标机在鞋垫表面印上码数</w:t>
            </w:r>
            <w:r>
              <w:rPr>
                <w:sz w:val="24"/>
                <w:szCs w:val="24"/>
              </w:rPr>
              <w:t>，</w:t>
            </w:r>
            <w:r>
              <w:rPr>
                <w:rFonts w:hint="eastAsia"/>
                <w:sz w:val="24"/>
                <w:szCs w:val="24"/>
                <w:lang w:val="en-US" w:eastAsia="zh-CN"/>
              </w:rPr>
              <w:t>部分产品需要使用移印机将外购成品转印贴纸转印至鞋垫上，</w:t>
            </w:r>
            <w:r>
              <w:rPr>
                <w:sz w:val="24"/>
                <w:szCs w:val="24"/>
              </w:rPr>
              <w:t>得到鞋垫成品</w:t>
            </w:r>
            <w:r>
              <w:rPr>
                <w:rFonts w:hint="eastAsia"/>
                <w:sz w:val="24"/>
                <w:szCs w:val="24"/>
              </w:rPr>
              <w:t>，入库待售</w:t>
            </w:r>
            <w:r>
              <w:rPr>
                <w:sz w:val="24"/>
                <w:szCs w:val="24"/>
              </w:rPr>
              <w:t>。</w:t>
            </w:r>
          </w:p>
          <w:p>
            <w:pPr>
              <w:pStyle w:val="5"/>
              <w:numPr>
                <w:ilvl w:val="0"/>
                <w:numId w:val="0"/>
              </w:numPr>
              <w:ind w:firstLine="482" w:firstLineChars="200"/>
              <w:rPr>
                <w:bCs/>
              </w:rPr>
            </w:pPr>
            <w:r>
              <w:rPr>
                <w:rFonts w:hint="eastAsia"/>
                <w:bCs/>
              </w:rPr>
              <w:t>污染工序：</w:t>
            </w:r>
          </w:p>
          <w:p>
            <w:pPr>
              <w:numPr>
                <w:ilvl w:val="0"/>
                <w:numId w:val="4"/>
              </w:numPr>
              <w:autoSpaceDE w:val="0"/>
              <w:autoSpaceDN w:val="0"/>
              <w:adjustRightInd w:val="0"/>
              <w:snapToGrid w:val="0"/>
              <w:spacing w:line="460" w:lineRule="exact"/>
              <w:ind w:firstLine="482" w:firstLineChars="200"/>
              <w:rPr>
                <w:b/>
                <w:bCs/>
                <w:sz w:val="24"/>
              </w:rPr>
            </w:pPr>
            <w:r>
              <w:rPr>
                <w:rFonts w:hint="eastAsia"/>
                <w:b/>
                <w:bCs/>
                <w:sz w:val="24"/>
              </w:rPr>
              <w:t>废气</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single"/>
                <w:lang w:val="en-US" w:eastAsia="zh-CN" w:bidi="ar-SA"/>
              </w:rPr>
            </w:pPr>
            <w:r>
              <w:rPr>
                <w:rFonts w:ascii="Times New Roman" w:hAnsi="Times New Roman" w:eastAsia="宋体" w:cs="Times New Roman"/>
                <w:bCs/>
                <w:color w:val="auto"/>
                <w:kern w:val="2"/>
                <w:sz w:val="24"/>
                <w:szCs w:val="24"/>
                <w:u w:val="none"/>
                <w:lang w:val="en-US" w:eastAsia="zh-CN" w:bidi="ar-SA"/>
              </w:rPr>
              <w:t>项目营运过程中废气污染源包括</w:t>
            </w:r>
            <w:r>
              <w:rPr>
                <w:rFonts w:hint="eastAsia" w:ascii="Times New Roman" w:hAnsi="Times New Roman" w:eastAsia="宋体" w:cs="Times New Roman"/>
                <w:bCs/>
                <w:color w:val="auto"/>
                <w:kern w:val="2"/>
                <w:sz w:val="24"/>
                <w:szCs w:val="24"/>
                <w:u w:val="none"/>
                <w:lang w:val="en-US" w:eastAsia="zh-CN" w:bidi="ar-SA"/>
              </w:rPr>
              <w:t>：</w:t>
            </w:r>
            <w:r>
              <w:rPr>
                <w:rFonts w:hint="eastAsia"/>
                <w:sz w:val="24"/>
                <w:szCs w:val="24"/>
              </w:rPr>
              <w:t>EVA鞋垫生产过程发泡工序、过胶工序</w:t>
            </w:r>
            <w:r>
              <w:rPr>
                <w:rFonts w:hint="eastAsia"/>
                <w:sz w:val="24"/>
                <w:szCs w:val="24"/>
                <w:lang w:eastAsia="zh-CN"/>
              </w:rPr>
              <w:t>、</w:t>
            </w:r>
            <w:r>
              <w:rPr>
                <w:rFonts w:hint="eastAsia"/>
                <w:sz w:val="24"/>
                <w:szCs w:val="24"/>
                <w:lang w:val="en-US" w:eastAsia="zh-CN"/>
              </w:rPr>
              <w:t>印标工序</w:t>
            </w:r>
            <w:r>
              <w:rPr>
                <w:rFonts w:hint="eastAsia"/>
                <w:sz w:val="24"/>
                <w:szCs w:val="24"/>
              </w:rPr>
              <w:t>产生的有机废气</w:t>
            </w:r>
            <w:r>
              <w:rPr>
                <w:rFonts w:hint="eastAsia"/>
                <w:sz w:val="24"/>
                <w:szCs w:val="24"/>
                <w:lang w:eastAsia="zh-CN"/>
              </w:rPr>
              <w:t>，大力棉鞋垫生产过程热压工序、</w:t>
            </w:r>
            <w:r>
              <w:rPr>
                <w:rFonts w:hint="eastAsia"/>
                <w:sz w:val="24"/>
                <w:szCs w:val="24"/>
                <w:lang w:val="en-US" w:eastAsia="zh-CN"/>
              </w:rPr>
              <w:t>印标工序</w:t>
            </w:r>
            <w:r>
              <w:rPr>
                <w:rFonts w:hint="eastAsia"/>
                <w:sz w:val="24"/>
                <w:szCs w:val="24"/>
                <w:lang w:eastAsia="zh-CN"/>
              </w:rPr>
              <w:t>产生有机废气</w:t>
            </w:r>
            <w:r>
              <w:rPr>
                <w:rFonts w:hint="eastAsia" w:ascii="Times New Roman" w:hAnsi="Times New Roman" w:eastAsia="宋体" w:cs="Times New Roman"/>
                <w:color w:val="auto"/>
                <w:kern w:val="2"/>
                <w:sz w:val="24"/>
                <w:szCs w:val="24"/>
                <w:u w:val="none"/>
                <w:lang w:val="en-US" w:eastAsia="zh-CN" w:bidi="ar-SA"/>
              </w:rPr>
              <w:t>。</w:t>
            </w:r>
          </w:p>
          <w:p>
            <w:pPr>
              <w:numPr>
                <w:ilvl w:val="0"/>
                <w:numId w:val="4"/>
              </w:numPr>
              <w:autoSpaceDE w:val="0"/>
              <w:autoSpaceDN w:val="0"/>
              <w:adjustRightInd w:val="0"/>
              <w:snapToGrid w:val="0"/>
              <w:spacing w:line="460" w:lineRule="exact"/>
              <w:ind w:firstLine="482" w:firstLineChars="200"/>
              <w:rPr>
                <w:b/>
                <w:bCs/>
                <w:sz w:val="24"/>
              </w:rPr>
            </w:pPr>
            <w:r>
              <w:rPr>
                <w:rFonts w:hint="eastAsia"/>
                <w:b/>
                <w:bCs/>
                <w:sz w:val="24"/>
              </w:rPr>
              <w:t>废水</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本项目营运期产生的废水主要为员工活动中产生的生活废水。</w:t>
            </w:r>
          </w:p>
          <w:p>
            <w:pPr>
              <w:numPr>
                <w:ilvl w:val="0"/>
                <w:numId w:val="4"/>
              </w:numPr>
              <w:autoSpaceDE w:val="0"/>
              <w:autoSpaceDN w:val="0"/>
              <w:adjustRightInd w:val="0"/>
              <w:snapToGrid w:val="0"/>
              <w:spacing w:line="460" w:lineRule="exact"/>
              <w:ind w:firstLine="482" w:firstLineChars="200"/>
              <w:rPr>
                <w:b/>
                <w:bCs/>
                <w:sz w:val="24"/>
              </w:rPr>
            </w:pPr>
            <w:r>
              <w:rPr>
                <w:rFonts w:hint="eastAsia"/>
                <w:b/>
                <w:bCs/>
                <w:sz w:val="24"/>
              </w:rPr>
              <w:t>噪声</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本项目运营期噪声主要为设备运行噪声。</w:t>
            </w:r>
          </w:p>
          <w:p>
            <w:pPr>
              <w:autoSpaceDE w:val="0"/>
              <w:autoSpaceDN w:val="0"/>
              <w:adjustRightInd w:val="0"/>
              <w:snapToGrid w:val="0"/>
              <w:spacing w:line="460" w:lineRule="exact"/>
              <w:ind w:firstLine="482" w:firstLineChars="200"/>
              <w:rPr>
                <w:b/>
                <w:bCs/>
                <w:sz w:val="24"/>
              </w:rPr>
            </w:pPr>
            <w:r>
              <w:rPr>
                <w:rFonts w:hint="eastAsia"/>
                <w:b/>
                <w:bCs/>
                <w:sz w:val="24"/>
              </w:rPr>
              <w:t>4、固体废物</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ascii="Times New Roman" w:hAnsi="Times New Roman" w:eastAsia="宋体" w:cs="Times New Roman"/>
                <w:color w:val="auto"/>
                <w:kern w:val="2"/>
                <w:sz w:val="24"/>
                <w:szCs w:val="24"/>
                <w:u w:val="none"/>
                <w:lang w:val="en-US" w:eastAsia="zh-CN" w:bidi="ar-SA"/>
              </w:rPr>
              <w:t>项目营运期固废主要为</w:t>
            </w:r>
            <w:r>
              <w:rPr>
                <w:rFonts w:hint="eastAsia" w:cs="Times New Roman"/>
                <w:color w:val="auto"/>
                <w:kern w:val="2"/>
                <w:sz w:val="24"/>
                <w:szCs w:val="24"/>
                <w:u w:val="none"/>
                <w:lang w:val="en-US" w:eastAsia="zh-CN" w:bidi="ar-SA"/>
              </w:rPr>
              <w:t>原料包装袋</w:t>
            </w:r>
            <w:r>
              <w:rPr>
                <w:rFonts w:ascii="Times New Roman" w:hAnsi="Times New Roman" w:eastAsia="宋体" w:cs="Times New Roman"/>
                <w:color w:val="auto"/>
                <w:kern w:val="2"/>
                <w:sz w:val="24"/>
                <w:szCs w:val="24"/>
                <w:u w:val="none"/>
                <w:lang w:val="en-US" w:eastAsia="zh-CN" w:bidi="ar-SA"/>
              </w:rPr>
              <w:t>、</w:t>
            </w:r>
            <w:r>
              <w:rPr>
                <w:rFonts w:hint="eastAsia" w:cs="Times New Roman"/>
                <w:color w:val="auto"/>
                <w:kern w:val="2"/>
                <w:sz w:val="24"/>
                <w:szCs w:val="24"/>
                <w:u w:val="none"/>
                <w:lang w:val="en-US" w:eastAsia="zh-CN" w:bidi="ar-SA"/>
              </w:rPr>
              <w:t>衬布裁剪产生的废布边角料、大力棉布卷裁剪产生的废大力棉边角料</w:t>
            </w:r>
            <w:r>
              <w:rPr>
                <w:rFonts w:hint="eastAsia" w:ascii="Times New Roman" w:hAnsi="Times New Roman" w:eastAsia="宋体" w:cs="Times New Roman"/>
                <w:color w:val="auto"/>
                <w:kern w:val="2"/>
                <w:sz w:val="24"/>
                <w:szCs w:val="24"/>
                <w:u w:val="none"/>
                <w:lang w:val="en-US" w:eastAsia="zh-CN" w:bidi="ar-SA"/>
              </w:rPr>
              <w:t>、</w:t>
            </w:r>
            <w:r>
              <w:rPr>
                <w:rFonts w:hint="eastAsia" w:cs="Times New Roman"/>
                <w:color w:val="auto"/>
                <w:kern w:val="2"/>
                <w:sz w:val="24"/>
                <w:szCs w:val="24"/>
                <w:u w:val="none"/>
                <w:lang w:val="en-US" w:eastAsia="zh-CN" w:bidi="ar-SA"/>
              </w:rPr>
              <w:t>鞋垫修边产生的废鞋垫边角料、</w:t>
            </w:r>
            <w:r>
              <w:rPr>
                <w:rFonts w:hint="eastAsia" w:ascii="Times New Roman" w:hAnsi="Times New Roman" w:eastAsia="宋体" w:cs="Times New Roman"/>
                <w:color w:val="auto"/>
                <w:kern w:val="2"/>
                <w:sz w:val="24"/>
                <w:szCs w:val="24"/>
                <w:u w:val="none"/>
                <w:lang w:val="en-US" w:eastAsia="zh-CN" w:bidi="ar-SA"/>
              </w:rPr>
              <w:t>废UV灯管、</w:t>
            </w:r>
          </w:p>
          <w:p>
            <w:pPr>
              <w:widowControl w:val="0"/>
              <w:spacing w:line="460" w:lineRule="exact"/>
              <w:jc w:val="left"/>
              <w:rPr>
                <w:bCs/>
                <w:sz w:val="24"/>
              </w:rPr>
            </w:pPr>
            <w:r>
              <w:rPr>
                <w:rFonts w:hint="eastAsia" w:ascii="Times New Roman" w:hAnsi="Times New Roman" w:eastAsia="宋体" w:cs="Times New Roman"/>
                <w:color w:val="auto"/>
                <w:kern w:val="2"/>
                <w:sz w:val="24"/>
                <w:szCs w:val="24"/>
                <w:u w:val="none"/>
                <w:lang w:val="en-US" w:eastAsia="zh-CN" w:bidi="ar-SA"/>
              </w:rPr>
              <w:t>废活性炭、</w:t>
            </w:r>
            <w:r>
              <w:rPr>
                <w:rFonts w:hint="eastAsia" w:cs="Times New Roman"/>
                <w:color w:val="auto"/>
                <w:kern w:val="2"/>
                <w:sz w:val="24"/>
                <w:szCs w:val="24"/>
                <w:highlight w:val="none"/>
                <w:u w:val="none"/>
                <w:lang w:val="en-US" w:eastAsia="zh-CN" w:bidi="ar-SA"/>
              </w:rPr>
              <w:t>废液压油、废油墨桶</w:t>
            </w:r>
            <w:r>
              <w:rPr>
                <w:rFonts w:hint="eastAsia" w:ascii="Times New Roman" w:hAnsi="Times New Roman" w:eastAsia="宋体" w:cs="Times New Roman"/>
                <w:color w:val="auto"/>
                <w:kern w:val="2"/>
                <w:sz w:val="24"/>
                <w:szCs w:val="24"/>
                <w:u w:val="none"/>
                <w:lang w:val="en-US" w:eastAsia="zh-CN" w:bidi="ar-SA"/>
              </w:rPr>
              <w:t>及员工生活垃圾。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Align w:val="center"/>
          </w:tcPr>
          <w:p>
            <w:pPr>
              <w:spacing w:line="400" w:lineRule="exact"/>
              <w:rPr>
                <w:b/>
                <w:bCs/>
                <w:sz w:val="28"/>
                <w:szCs w:val="28"/>
              </w:rPr>
            </w:pPr>
            <w:r>
              <w:rPr>
                <w:rFonts w:hint="eastAsia"/>
                <w:b/>
                <w:bCs/>
                <w:sz w:val="24"/>
              </w:rPr>
              <w:t>与项目有关的原有环境污染问题</w:t>
            </w:r>
          </w:p>
        </w:tc>
        <w:tc>
          <w:tcPr>
            <w:tcW w:w="8531" w:type="dxa"/>
          </w:tcPr>
          <w:p>
            <w:pPr>
              <w:widowControl w:val="0"/>
              <w:spacing w:line="460" w:lineRule="exact"/>
              <w:ind w:firstLine="482" w:firstLineChars="200"/>
              <w:jc w:val="left"/>
              <w:rPr>
                <w:rFonts w:hint="default" w:ascii="Times New Roman" w:hAnsi="Times New Roman" w:eastAsia="宋体" w:cs="Times New Roman"/>
                <w:b/>
                <w:bCs/>
                <w:color w:val="000000"/>
                <w:kern w:val="2"/>
                <w:sz w:val="24"/>
                <w:szCs w:val="24"/>
                <w:u w:val="single"/>
                <w:lang w:val="en-US" w:eastAsia="zh-CN" w:bidi="ar-SA"/>
              </w:rPr>
            </w:pPr>
            <w:r>
              <w:rPr>
                <w:rFonts w:hint="eastAsia" w:ascii="Times New Roman" w:hAnsi="Times New Roman" w:eastAsia="宋体" w:cs="Times New Roman"/>
                <w:b/>
                <w:bCs/>
                <w:color w:val="000000"/>
                <w:kern w:val="2"/>
                <w:sz w:val="24"/>
                <w:szCs w:val="24"/>
                <w:u w:val="single"/>
                <w:lang w:val="en-US" w:eastAsia="zh-CN" w:bidi="ar-SA"/>
              </w:rPr>
              <w:t>根据现场勘察，本项目租赁</w:t>
            </w:r>
            <w:r>
              <w:rPr>
                <w:rFonts w:hint="eastAsia" w:eastAsia="宋体" w:cs="Times New Roman"/>
                <w:b/>
                <w:bCs/>
                <w:color w:val="000000"/>
                <w:kern w:val="2"/>
                <w:sz w:val="24"/>
                <w:szCs w:val="24"/>
                <w:u w:val="single"/>
                <w:lang w:val="en-US" w:eastAsia="zh-CN" w:bidi="ar-SA"/>
              </w:rPr>
              <w:t>偃师市新强海绵厂厂房进行建设</w:t>
            </w:r>
            <w:r>
              <w:rPr>
                <w:rFonts w:hint="eastAsia" w:ascii="Times New Roman" w:hAnsi="Times New Roman" w:eastAsia="宋体" w:cs="Times New Roman"/>
                <w:b/>
                <w:bCs/>
                <w:color w:val="000000"/>
                <w:kern w:val="2"/>
                <w:sz w:val="24"/>
                <w:szCs w:val="24"/>
                <w:u w:val="single"/>
                <w:lang w:val="en-US" w:eastAsia="zh-CN" w:bidi="ar-SA"/>
              </w:rPr>
              <w:t>（租赁协议见附件3）。</w:t>
            </w:r>
            <w:r>
              <w:rPr>
                <w:rFonts w:hint="eastAsia" w:eastAsia="宋体" w:cs="Times New Roman"/>
                <w:b/>
                <w:bCs/>
                <w:color w:val="000000"/>
                <w:kern w:val="2"/>
                <w:sz w:val="24"/>
                <w:szCs w:val="24"/>
                <w:u w:val="single"/>
                <w:lang w:val="en-US" w:eastAsia="zh-CN" w:bidi="ar-SA"/>
              </w:rPr>
              <w:t>偃师市新强海绵厂原从事海绵、合布的生产、加工及销售</w:t>
            </w:r>
            <w:r>
              <w:rPr>
                <w:rFonts w:hint="eastAsia" w:ascii="Times New Roman" w:hAnsi="Times New Roman" w:eastAsia="宋体" w:cs="Times New Roman"/>
                <w:b/>
                <w:bCs/>
                <w:color w:val="000000"/>
                <w:kern w:val="2"/>
                <w:sz w:val="24"/>
                <w:szCs w:val="24"/>
                <w:u w:val="single"/>
                <w:lang w:val="en-US" w:eastAsia="zh-CN" w:bidi="ar-SA"/>
              </w:rPr>
              <w:t>，</w:t>
            </w:r>
            <w:r>
              <w:rPr>
                <w:rFonts w:hint="eastAsia" w:eastAsia="宋体" w:cs="Times New Roman"/>
                <w:b/>
                <w:bCs/>
                <w:color w:val="000000"/>
                <w:kern w:val="2"/>
                <w:sz w:val="24"/>
                <w:szCs w:val="24"/>
                <w:u w:val="single"/>
                <w:lang w:val="en-US" w:eastAsia="zh-CN" w:bidi="ar-SA"/>
              </w:rPr>
              <w:t>现已停产，厂区内生产设备已清空，本项目所租用车间为空置车间，整体出租给本建设单位，不存在与本项目有关的原有污染问题。现偃师市新强海绵厂厂区</w:t>
            </w:r>
            <w:r>
              <w:rPr>
                <w:rFonts w:hint="eastAsia"/>
                <w:b/>
                <w:bCs/>
                <w:sz w:val="24"/>
                <w:szCs w:val="22"/>
                <w:u w:val="single"/>
                <w:lang w:val="en-US" w:eastAsia="zh-CN"/>
              </w:rPr>
              <w:t>内西北侧车间外租为仓库，</w:t>
            </w:r>
            <w:r>
              <w:rPr>
                <w:rFonts w:hint="eastAsia"/>
                <w:b/>
                <w:bCs w:val="0"/>
                <w:sz w:val="24"/>
                <w:u w:val="single"/>
                <w:lang w:val="en-US" w:eastAsia="zh-CN"/>
              </w:rPr>
              <w:t>仅用于存放货物（</w:t>
            </w:r>
            <w:r>
              <w:rPr>
                <w:rFonts w:hint="eastAsia"/>
                <w:b/>
                <w:bCs/>
                <w:sz w:val="24"/>
                <w:szCs w:val="22"/>
                <w:u w:val="single"/>
                <w:lang w:val="en-US" w:eastAsia="zh-CN"/>
              </w:rPr>
              <w:t>海绵卷</w:t>
            </w:r>
            <w:r>
              <w:rPr>
                <w:rFonts w:hint="eastAsia"/>
                <w:b/>
                <w:bCs w:val="0"/>
                <w:sz w:val="24"/>
                <w:u w:val="single"/>
                <w:lang w:val="en-US" w:eastAsia="zh-CN"/>
              </w:rPr>
              <w:t>），未设置生产线</w:t>
            </w:r>
            <w:r>
              <w:rPr>
                <w:rFonts w:hint="eastAsia"/>
                <w:b/>
                <w:bCs/>
                <w:sz w:val="24"/>
                <w:szCs w:val="22"/>
                <w:u w:val="single"/>
                <w:lang w:val="en-US" w:eastAsia="zh-CN"/>
              </w:rPr>
              <w:t>。</w:t>
            </w:r>
          </w:p>
          <w:p>
            <w:pPr>
              <w:widowControl w:val="0"/>
              <w:spacing w:line="460" w:lineRule="exact"/>
              <w:ind w:firstLine="480" w:firstLineChars="200"/>
              <w:jc w:val="left"/>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根据现场调查情况，项目属于未批先建项目，设备已安装，根据厂区现有实际现存在的主要环境问题及整改措施见下表。</w:t>
            </w:r>
          </w:p>
          <w:p>
            <w:pPr>
              <w:widowControl w:val="0"/>
              <w:numPr>
                <w:ilvl w:val="0"/>
                <w:numId w:val="0"/>
              </w:numPr>
              <w:adjustRightInd w:val="0"/>
              <w:spacing w:line="460" w:lineRule="exact"/>
              <w:ind w:leftChars="200"/>
              <w:jc w:val="both"/>
              <w:rPr>
                <w:rFonts w:hint="eastAsia" w:ascii="Times New Roman" w:hAnsi="Times New Roman" w:eastAsia="宋体" w:cs="Times New Roman"/>
                <w:b/>
                <w:bCs/>
                <w:kern w:val="0"/>
                <w:sz w:val="24"/>
                <w:szCs w:val="24"/>
                <w:u w:val="none"/>
                <w:lang w:val="en-US" w:eastAsia="zh-CN" w:bidi="ar-SA"/>
              </w:rPr>
            </w:pPr>
            <w:r>
              <w:rPr>
                <w:rFonts w:hint="eastAsia" w:cs="Times New Roman"/>
                <w:b/>
                <w:bCs/>
                <w:kern w:val="0"/>
                <w:sz w:val="24"/>
                <w:szCs w:val="24"/>
                <w:u w:val="none"/>
                <w:lang w:val="en-US" w:eastAsia="zh-CN" w:bidi="ar-SA"/>
              </w:rPr>
              <w:t>表12</w:t>
            </w:r>
            <w:r>
              <w:rPr>
                <w:rFonts w:hint="eastAsia" w:ascii="Times New Roman" w:hAnsi="Times New Roman" w:eastAsia="宋体" w:cs="Times New Roman"/>
                <w:b/>
                <w:bCs/>
                <w:kern w:val="0"/>
                <w:sz w:val="24"/>
                <w:szCs w:val="24"/>
                <w:u w:val="none"/>
                <w:lang w:val="en-US" w:eastAsia="zh-CN" w:bidi="ar-SA"/>
              </w:rPr>
              <w:t xml:space="preserve">           现存环境问题及整改措施一览表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966"/>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序号</w:t>
                  </w:r>
                </w:p>
              </w:tc>
              <w:tc>
                <w:tcPr>
                  <w:tcW w:w="178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现存环境问题</w:t>
                  </w:r>
                </w:p>
              </w:tc>
              <w:tc>
                <w:tcPr>
                  <w:tcW w:w="27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1</w:t>
                  </w:r>
                </w:p>
              </w:tc>
              <w:tc>
                <w:tcPr>
                  <w:tcW w:w="178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部分废气</w:t>
                  </w:r>
                  <w:r>
                    <w:rPr>
                      <w:rFonts w:hint="default" w:ascii="Times New Roman" w:hAnsi="Times New Roman" w:eastAsia="宋体" w:cs="Times New Roman"/>
                      <w:b w:val="0"/>
                      <w:bCs w:val="0"/>
                      <w:color w:val="000000"/>
                      <w:kern w:val="2"/>
                      <w:sz w:val="21"/>
                      <w:szCs w:val="21"/>
                      <w:u w:val="none"/>
                      <w:lang w:val="en-US" w:eastAsia="zh-CN" w:bidi="ar-SA"/>
                    </w:rPr>
                    <w:t>产生工序未实施二次密闭</w:t>
                  </w:r>
                </w:p>
              </w:tc>
              <w:tc>
                <w:tcPr>
                  <w:tcW w:w="27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产生废气设备上方集气罩口四周加装软帘，长度覆盖至污染源产生位置下方</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both"/>
              <w:textAlignment w:val="auto"/>
              <w:rPr>
                <w:bCs/>
                <w:szCs w:val="21"/>
              </w:rPr>
            </w:pPr>
          </w:p>
        </w:tc>
      </w:tr>
    </w:tbl>
    <w:p>
      <w:pPr>
        <w:pStyle w:val="17"/>
        <w:jc w:val="center"/>
        <w:rPr>
          <w:rFonts w:ascii="Times New Roman" w:hAnsi="Times New Roman" w:eastAsia="黑体"/>
          <w:snapToGrid w:val="0"/>
          <w:sz w:val="36"/>
          <w:szCs w:val="36"/>
        </w:rPr>
        <w:sectPr>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6"/>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lang w:val="en-US" w:eastAsia="zh-CN"/>
              </w:rPr>
              <w:t>2021</w:t>
            </w:r>
            <w:r>
              <w:rPr>
                <w:rFonts w:hint="eastAsia"/>
                <w:color w:val="000000"/>
                <w:sz w:val="24"/>
              </w:rPr>
              <w:t>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widowControl/>
              <w:adjustRightInd w:val="0"/>
              <w:snapToGrid w:val="0"/>
              <w:spacing w:line="460" w:lineRule="exact"/>
              <w:ind w:firstLine="482" w:firstLineChars="200"/>
              <w:rPr>
                <w:b/>
                <w:sz w:val="24"/>
              </w:rPr>
            </w:pPr>
            <w:r>
              <w:rPr>
                <w:b/>
                <w:sz w:val="24"/>
              </w:rPr>
              <w:t>表</w:t>
            </w:r>
            <w:r>
              <w:rPr>
                <w:rFonts w:hint="eastAsia"/>
                <w:b/>
                <w:sz w:val="24"/>
                <w:lang w:val="en-US" w:eastAsia="zh-CN"/>
              </w:rPr>
              <w:t>13</w:t>
            </w:r>
            <w:r>
              <w:rPr>
                <w:b/>
                <w:sz w:val="24"/>
              </w:rPr>
              <w:t xml:space="preserve">              洛阳市</w:t>
            </w:r>
            <w:r>
              <w:rPr>
                <w:rFonts w:hint="eastAsia"/>
                <w:b/>
                <w:sz w:val="24"/>
                <w:lang w:val="en-US" w:eastAsia="zh-CN"/>
              </w:rPr>
              <w:t>2021</w:t>
            </w:r>
            <w:r>
              <w:rPr>
                <w:b/>
                <w:sz w:val="24"/>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129"/>
              <w:gridCol w:w="1144"/>
              <w:gridCol w:w="1144"/>
              <w:gridCol w:w="109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污染物</w:t>
                  </w:r>
                </w:p>
              </w:tc>
              <w:tc>
                <w:tcPr>
                  <w:tcW w:w="3129" w:type="dxa"/>
                  <w:tcBorders>
                    <w:tl2br w:val="nil"/>
                    <w:tr2bl w:val="nil"/>
                  </w:tcBorders>
                  <w:vAlign w:val="center"/>
                </w:tcPr>
                <w:p>
                  <w:pPr>
                    <w:spacing w:line="320" w:lineRule="exact"/>
                    <w:jc w:val="center"/>
                    <w:rPr>
                      <w:szCs w:val="21"/>
                    </w:rPr>
                  </w:pPr>
                  <w:r>
                    <w:rPr>
                      <w:szCs w:val="21"/>
                    </w:rPr>
                    <w:t>年评价指标</w:t>
                  </w:r>
                </w:p>
              </w:tc>
              <w:tc>
                <w:tcPr>
                  <w:tcW w:w="1144" w:type="dxa"/>
                  <w:tcBorders>
                    <w:tl2br w:val="nil"/>
                    <w:tr2bl w:val="nil"/>
                  </w:tcBorders>
                  <w:vAlign w:val="center"/>
                </w:tcPr>
                <w:p>
                  <w:pPr>
                    <w:spacing w:line="320" w:lineRule="exact"/>
                    <w:jc w:val="center"/>
                    <w:rPr>
                      <w:szCs w:val="21"/>
                    </w:rPr>
                  </w:pPr>
                  <w:r>
                    <w:rPr>
                      <w:szCs w:val="21"/>
                    </w:rPr>
                    <w:t>现状浓度</w:t>
                  </w:r>
                </w:p>
                <w:p>
                  <w:pPr>
                    <w:spacing w:line="320" w:lineRule="exact"/>
                    <w:jc w:val="center"/>
                    <w:rPr>
                      <w:szCs w:val="21"/>
                    </w:rPr>
                  </w:pPr>
                  <w:r>
                    <w:rPr>
                      <w:szCs w:val="21"/>
                    </w:rPr>
                    <w:t>（μg/m</w:t>
                  </w:r>
                  <w:r>
                    <w:rPr>
                      <w:szCs w:val="21"/>
                      <w:vertAlign w:val="superscript"/>
                    </w:rPr>
                    <w:t>3</w:t>
                  </w:r>
                  <w:r>
                    <w:rPr>
                      <w:szCs w:val="21"/>
                    </w:rPr>
                    <w:t>）</w:t>
                  </w:r>
                </w:p>
              </w:tc>
              <w:tc>
                <w:tcPr>
                  <w:tcW w:w="1144" w:type="dxa"/>
                  <w:tcBorders>
                    <w:tl2br w:val="nil"/>
                    <w:tr2bl w:val="nil"/>
                  </w:tcBorders>
                  <w:vAlign w:val="center"/>
                </w:tcPr>
                <w:p>
                  <w:pPr>
                    <w:spacing w:line="320" w:lineRule="exact"/>
                    <w:jc w:val="center"/>
                    <w:rPr>
                      <w:szCs w:val="21"/>
                    </w:rPr>
                  </w:pPr>
                  <w:r>
                    <w:rPr>
                      <w:szCs w:val="21"/>
                    </w:rPr>
                    <w:t>标准值</w:t>
                  </w:r>
                </w:p>
                <w:p>
                  <w:pPr>
                    <w:spacing w:line="320" w:lineRule="exact"/>
                    <w:jc w:val="center"/>
                    <w:rPr>
                      <w:szCs w:val="21"/>
                    </w:rPr>
                  </w:pPr>
                  <w:r>
                    <w:rPr>
                      <w:szCs w:val="21"/>
                    </w:rPr>
                    <w:t>（μg/m</w:t>
                  </w:r>
                  <w:r>
                    <w:rPr>
                      <w:szCs w:val="21"/>
                      <w:vertAlign w:val="superscript"/>
                    </w:rPr>
                    <w:t>3</w:t>
                  </w:r>
                  <w:r>
                    <w:rPr>
                      <w:szCs w:val="21"/>
                    </w:rPr>
                    <w:t>）</w:t>
                  </w:r>
                </w:p>
              </w:tc>
              <w:tc>
                <w:tcPr>
                  <w:tcW w:w="1098" w:type="dxa"/>
                  <w:tcBorders>
                    <w:tl2br w:val="nil"/>
                    <w:tr2bl w:val="nil"/>
                  </w:tcBorders>
                  <w:vAlign w:val="center"/>
                </w:tcPr>
                <w:p>
                  <w:pPr>
                    <w:spacing w:line="320" w:lineRule="exact"/>
                    <w:jc w:val="center"/>
                    <w:rPr>
                      <w:szCs w:val="21"/>
                    </w:rPr>
                  </w:pPr>
                  <w:r>
                    <w:rPr>
                      <w:szCs w:val="21"/>
                    </w:rPr>
                    <w:t>占标率</w:t>
                  </w:r>
                </w:p>
                <w:p>
                  <w:pPr>
                    <w:spacing w:line="320" w:lineRule="exact"/>
                    <w:jc w:val="center"/>
                    <w:rPr>
                      <w:szCs w:val="21"/>
                    </w:rPr>
                  </w:pPr>
                  <w:r>
                    <w:rPr>
                      <w:szCs w:val="21"/>
                    </w:rPr>
                    <w:t>（%）</w:t>
                  </w:r>
                </w:p>
              </w:tc>
              <w:tc>
                <w:tcPr>
                  <w:tcW w:w="1102" w:type="dxa"/>
                  <w:tcBorders>
                    <w:tl2br w:val="nil"/>
                    <w:tr2bl w:val="nil"/>
                  </w:tcBorders>
                  <w:vAlign w:val="center"/>
                </w:tcPr>
                <w:p>
                  <w:pPr>
                    <w:spacing w:line="320" w:lineRule="exact"/>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2.5</w:t>
                  </w:r>
                </w:p>
              </w:tc>
              <w:tc>
                <w:tcPr>
                  <w:tcW w:w="3129" w:type="dxa"/>
                  <w:vMerge w:val="restart"/>
                  <w:tcBorders>
                    <w:tl2br w:val="nil"/>
                    <w:tr2bl w:val="nil"/>
                  </w:tcBorders>
                  <w:vAlign w:val="center"/>
                </w:tcPr>
                <w:p>
                  <w:pPr>
                    <w:spacing w:line="320" w:lineRule="exact"/>
                    <w:jc w:val="center"/>
                    <w:rPr>
                      <w:szCs w:val="21"/>
                    </w:rPr>
                  </w:pPr>
                  <w:r>
                    <w:rPr>
                      <w:szCs w:val="21"/>
                    </w:rPr>
                    <w:t>年平均质量浓度</w:t>
                  </w:r>
                </w:p>
              </w:tc>
              <w:tc>
                <w:tcPr>
                  <w:tcW w:w="1144" w:type="dxa"/>
                  <w:tcBorders>
                    <w:tl2br w:val="nil"/>
                    <w:tr2bl w:val="nil"/>
                  </w:tcBorders>
                  <w:vAlign w:val="center"/>
                </w:tcPr>
                <w:p>
                  <w:pPr>
                    <w:spacing w:line="320" w:lineRule="exact"/>
                    <w:jc w:val="center"/>
                    <w:rPr>
                      <w:rFonts w:hint="default"/>
                      <w:lang w:val="en-US" w:eastAsia="zh-CN"/>
                    </w:rPr>
                  </w:pPr>
                  <w:r>
                    <w:rPr>
                      <w:rFonts w:hint="eastAsia"/>
                      <w:lang w:val="en-US" w:eastAsia="zh-CN"/>
                    </w:rPr>
                    <w:t>43</w:t>
                  </w:r>
                </w:p>
              </w:tc>
              <w:tc>
                <w:tcPr>
                  <w:tcW w:w="1144" w:type="dxa"/>
                  <w:tcBorders>
                    <w:tl2br w:val="nil"/>
                    <w:tr2bl w:val="nil"/>
                  </w:tcBorders>
                  <w:vAlign w:val="center"/>
                </w:tcPr>
                <w:p>
                  <w:pPr>
                    <w:spacing w:line="320" w:lineRule="exact"/>
                    <w:jc w:val="center"/>
                    <w:rPr>
                      <w:szCs w:val="21"/>
                    </w:rPr>
                  </w:pPr>
                  <w:r>
                    <w:rPr>
                      <w:szCs w:val="21"/>
                    </w:rPr>
                    <w:t>35</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122.9</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10</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77</w:t>
                  </w:r>
                </w:p>
              </w:tc>
              <w:tc>
                <w:tcPr>
                  <w:tcW w:w="1144" w:type="dxa"/>
                  <w:tcBorders>
                    <w:tl2br w:val="nil"/>
                    <w:tr2bl w:val="nil"/>
                  </w:tcBorders>
                  <w:vAlign w:val="center"/>
                </w:tcPr>
                <w:p>
                  <w:pPr>
                    <w:spacing w:line="320" w:lineRule="exact"/>
                    <w:jc w:val="center"/>
                    <w:rPr>
                      <w:szCs w:val="21"/>
                    </w:rPr>
                  </w:pPr>
                  <w:r>
                    <w:rPr>
                      <w:szCs w:val="21"/>
                    </w:rPr>
                    <w:t>70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SO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eastAsia" w:eastAsia="宋体"/>
                      <w:szCs w:val="21"/>
                      <w:lang w:eastAsia="zh-CN"/>
                    </w:rPr>
                  </w:pPr>
                  <w:r>
                    <w:rPr>
                      <w:rFonts w:hint="eastAsia"/>
                      <w:szCs w:val="21"/>
                      <w:lang w:val="en-US" w:eastAsia="zh-CN"/>
                    </w:rPr>
                    <w:t>6</w:t>
                  </w:r>
                </w:p>
              </w:tc>
              <w:tc>
                <w:tcPr>
                  <w:tcW w:w="1144" w:type="dxa"/>
                  <w:tcBorders>
                    <w:tl2br w:val="nil"/>
                    <w:tr2bl w:val="nil"/>
                  </w:tcBorders>
                  <w:vAlign w:val="center"/>
                </w:tcPr>
                <w:p>
                  <w:pPr>
                    <w:spacing w:line="320" w:lineRule="exact"/>
                    <w:jc w:val="center"/>
                    <w:rPr>
                      <w:szCs w:val="21"/>
                    </w:rPr>
                  </w:pPr>
                  <w:r>
                    <w:rPr>
                      <w:szCs w:val="21"/>
                    </w:rPr>
                    <w:t>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10.0</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NO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29</w:t>
                  </w:r>
                </w:p>
              </w:tc>
              <w:tc>
                <w:tcPr>
                  <w:tcW w:w="1144" w:type="dxa"/>
                  <w:tcBorders>
                    <w:tl2br w:val="nil"/>
                    <w:tr2bl w:val="nil"/>
                  </w:tcBorders>
                  <w:vAlign w:val="center"/>
                </w:tcPr>
                <w:p>
                  <w:pPr>
                    <w:spacing w:line="320" w:lineRule="exact"/>
                    <w:jc w:val="center"/>
                    <w:rPr>
                      <w:szCs w:val="21"/>
                    </w:rPr>
                  </w:pPr>
                  <w:r>
                    <w:rPr>
                      <w:szCs w:val="21"/>
                    </w:rPr>
                    <w:t>40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72.5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CO</w:t>
                  </w:r>
                </w:p>
              </w:tc>
              <w:tc>
                <w:tcPr>
                  <w:tcW w:w="3129" w:type="dxa"/>
                  <w:tcBorders>
                    <w:tl2br w:val="nil"/>
                    <w:tr2bl w:val="nil"/>
                  </w:tcBorders>
                  <w:vAlign w:val="center"/>
                </w:tcPr>
                <w:p>
                  <w:pPr>
                    <w:spacing w:line="320" w:lineRule="exact"/>
                    <w:jc w:val="center"/>
                    <w:rPr>
                      <w:szCs w:val="21"/>
                    </w:rPr>
                  </w:pPr>
                  <w:r>
                    <w:rPr>
                      <w:szCs w:val="21"/>
                    </w:rPr>
                    <w:t>24小时平均浓度第95百分位数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44" w:type="dxa"/>
                  <w:tcBorders>
                    <w:tl2br w:val="nil"/>
                    <w:tr2bl w:val="nil"/>
                  </w:tcBorders>
                  <w:vAlign w:val="center"/>
                </w:tcPr>
                <w:p>
                  <w:pPr>
                    <w:spacing w:line="320" w:lineRule="exact"/>
                    <w:jc w:val="center"/>
                    <w:rPr>
                      <w:szCs w:val="21"/>
                    </w:rPr>
                  </w:pPr>
                  <w:r>
                    <w:rPr>
                      <w:szCs w:val="21"/>
                    </w:rPr>
                    <w:t>4000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27.5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O</w:t>
                  </w:r>
                  <w:r>
                    <w:rPr>
                      <w:szCs w:val="21"/>
                      <w:vertAlign w:val="subscript"/>
                    </w:rPr>
                    <w:t>3</w:t>
                  </w:r>
                </w:p>
              </w:tc>
              <w:tc>
                <w:tcPr>
                  <w:tcW w:w="3129" w:type="dxa"/>
                  <w:tcBorders>
                    <w:tl2br w:val="nil"/>
                    <w:tr2bl w:val="nil"/>
                  </w:tcBorders>
                  <w:vAlign w:val="center"/>
                </w:tcPr>
                <w:p>
                  <w:pPr>
                    <w:spacing w:line="320" w:lineRule="exact"/>
                    <w:jc w:val="center"/>
                    <w:rPr>
                      <w:szCs w:val="21"/>
                    </w:rPr>
                  </w:pPr>
                  <w:r>
                    <w:rPr>
                      <w:szCs w:val="21"/>
                    </w:rPr>
                    <w:t>日最大8小时滑动平均浓度值的第90百分位数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172</w:t>
                  </w:r>
                </w:p>
              </w:tc>
              <w:tc>
                <w:tcPr>
                  <w:tcW w:w="1144" w:type="dxa"/>
                  <w:tcBorders>
                    <w:tl2br w:val="nil"/>
                    <w:tr2bl w:val="nil"/>
                  </w:tcBorders>
                  <w:vAlign w:val="center"/>
                </w:tcPr>
                <w:p>
                  <w:pPr>
                    <w:spacing w:line="320" w:lineRule="exact"/>
                    <w:jc w:val="center"/>
                    <w:rPr>
                      <w:szCs w:val="21"/>
                    </w:rPr>
                  </w:pPr>
                  <w:r>
                    <w:rPr>
                      <w:szCs w:val="21"/>
                    </w:rPr>
                    <w:t>160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107.5</w:t>
                  </w:r>
                </w:p>
              </w:tc>
              <w:tc>
                <w:tcPr>
                  <w:tcW w:w="1102" w:type="dxa"/>
                  <w:tcBorders>
                    <w:tl2br w:val="nil"/>
                    <w:tr2bl w:val="nil"/>
                  </w:tcBorders>
                  <w:vAlign w:val="center"/>
                </w:tcPr>
                <w:p>
                  <w:pPr>
                    <w:spacing w:line="320" w:lineRule="exact"/>
                    <w:jc w:val="center"/>
                    <w:rPr>
                      <w:szCs w:val="21"/>
                    </w:rPr>
                  </w:pPr>
                  <w:r>
                    <w:rPr>
                      <w:szCs w:val="21"/>
                    </w:rPr>
                    <w:t>不达标</w:t>
                  </w:r>
                </w:p>
              </w:tc>
            </w:tr>
          </w:tbl>
          <w:p>
            <w:pPr>
              <w:snapToGrid w:val="0"/>
              <w:spacing w:line="460" w:lineRule="exact"/>
              <w:ind w:firstLine="480" w:firstLineChars="200"/>
              <w:rPr>
                <w:sz w:val="24"/>
              </w:rPr>
            </w:pPr>
            <w:r>
              <w:rPr>
                <w:sz w:val="24"/>
              </w:rPr>
              <w:t>由上表可知，洛阳市</w:t>
            </w:r>
            <w:r>
              <w:rPr>
                <w:rFonts w:hint="eastAsia"/>
                <w:sz w:val="24"/>
                <w:lang w:val="en-US" w:eastAsia="zh-CN"/>
              </w:rPr>
              <w:t>2021</w:t>
            </w:r>
            <w:r>
              <w:rPr>
                <w:sz w:val="24"/>
              </w:rPr>
              <w:t>年度大气污染物PM</w:t>
            </w:r>
            <w:r>
              <w:rPr>
                <w:sz w:val="24"/>
                <w:vertAlign w:val="subscript"/>
              </w:rPr>
              <w:t>10</w:t>
            </w:r>
            <w:r>
              <w:rPr>
                <w:sz w:val="24"/>
              </w:rPr>
              <w:t>、PM</w:t>
            </w:r>
            <w:r>
              <w:rPr>
                <w:sz w:val="24"/>
                <w:vertAlign w:val="subscript"/>
              </w:rPr>
              <w:t>2.5</w:t>
            </w:r>
            <w:r>
              <w:rPr>
                <w:sz w:val="24"/>
              </w:rPr>
              <w:t>、O</w:t>
            </w:r>
            <w:r>
              <w:rPr>
                <w:sz w:val="24"/>
                <w:vertAlign w:val="subscript"/>
              </w:rPr>
              <w:t>3</w:t>
            </w:r>
            <w:r>
              <w:rPr>
                <w:sz w:val="24"/>
              </w:rPr>
              <w:t>的年均浓度超过《环境空气质量标准》（GB3095-2012）二级标准</w:t>
            </w:r>
            <w:r>
              <w:rPr>
                <w:rFonts w:hint="eastAsia"/>
                <w:sz w:val="24"/>
              </w:rPr>
              <w:t>，根据《环境影响评价技术导则 大气环境》（HJ2.2-2018）区域达标判定要求，洛阳市未满足六项因子全部达标</w:t>
            </w:r>
            <w:r>
              <w:rPr>
                <w:sz w:val="24"/>
              </w:rPr>
              <w:t>。因此本项目所在区域为环境空气质量不达标区。</w:t>
            </w:r>
          </w:p>
          <w:p>
            <w:pPr>
              <w:spacing w:line="460" w:lineRule="exact"/>
              <w:ind w:firstLine="480" w:firstLineChars="200"/>
              <w:rPr>
                <w:bCs/>
                <w:sz w:val="24"/>
              </w:rPr>
            </w:pPr>
            <w:r>
              <w:rPr>
                <w:rFonts w:hint="eastAsia"/>
                <w:bCs/>
                <w:sz w:val="24"/>
              </w:rPr>
              <w:t>洛阳市先后出台《</w:t>
            </w:r>
            <w:r>
              <w:rPr>
                <w:rFonts w:hint="eastAsia"/>
                <w:bCs/>
                <w:sz w:val="24"/>
                <w:lang w:val="en-US" w:eastAsia="zh-CN"/>
              </w:rPr>
              <w:t>洛阳市</w:t>
            </w:r>
            <w:r>
              <w:rPr>
                <w:rFonts w:hint="eastAsia"/>
                <w:bCs/>
                <w:sz w:val="24"/>
              </w:rPr>
              <w:t>生态环境保护委员会办公室关于印发</w:t>
            </w:r>
            <w:r>
              <w:rPr>
                <w:rFonts w:hint="eastAsia"/>
                <w:bCs/>
                <w:sz w:val="24"/>
                <w:lang w:val="en-US" w:eastAsia="zh-CN"/>
              </w:rPr>
              <w:t>洛阳市</w:t>
            </w:r>
            <w:r>
              <w:rPr>
                <w:rFonts w:hint="eastAsia"/>
                <w:bCs/>
                <w:sz w:val="24"/>
              </w:rPr>
              <w:t>2022年大气、水、土壤污染防治攻坚战及农业农村污染治理攻坚战实施方案的通知》（</w:t>
            </w:r>
            <w:r>
              <w:rPr>
                <w:rFonts w:hint="eastAsia"/>
                <w:bCs/>
                <w:sz w:val="24"/>
                <w:lang w:val="en-US" w:eastAsia="zh-CN"/>
              </w:rPr>
              <w:t>洛</w:t>
            </w:r>
            <w:r>
              <w:rPr>
                <w:rFonts w:hint="eastAsia"/>
                <w:bCs/>
                <w:sz w:val="24"/>
              </w:rPr>
              <w:t>环委办〔2022〕</w:t>
            </w:r>
            <w:r>
              <w:rPr>
                <w:rFonts w:hint="eastAsia"/>
                <w:bCs/>
                <w:sz w:val="24"/>
                <w:lang w:val="en-US" w:eastAsia="zh-CN"/>
              </w:rPr>
              <w:t>12</w:t>
            </w:r>
            <w:r>
              <w:rPr>
                <w:rFonts w:hint="eastAsia"/>
                <w:bCs/>
                <w:sz w:val="24"/>
              </w:rPr>
              <w:t>号）等一系列措施，将不断改善区域大气环境质量。本项目产生的废气污染物采取严格集气净化措施后，对周围大气环境影响较小。</w:t>
            </w:r>
          </w:p>
          <w:p>
            <w:pPr>
              <w:snapToGrid w:val="0"/>
              <w:spacing w:line="460" w:lineRule="exact"/>
              <w:ind w:firstLine="482" w:firstLineChars="200"/>
              <w:contextualSpacing/>
              <w:rPr>
                <w:b/>
                <w:bCs/>
                <w:color w:val="000000"/>
                <w:sz w:val="24"/>
              </w:rPr>
            </w:pPr>
            <w:r>
              <w:rPr>
                <w:rFonts w:hint="eastAsia"/>
                <w:b/>
                <w:bCs/>
                <w:color w:val="000000"/>
                <w:sz w:val="24"/>
              </w:rPr>
              <w:t>2、基本污染物环境质量现状</w:t>
            </w:r>
          </w:p>
          <w:p>
            <w:pPr>
              <w:adjustRightInd w:val="0"/>
              <w:snapToGrid w:val="0"/>
              <w:spacing w:line="460" w:lineRule="exact"/>
              <w:ind w:firstLine="480" w:firstLineChars="200"/>
              <w:rPr>
                <w:b/>
                <w:bCs/>
                <w:color w:val="000000"/>
                <w:sz w:val="24"/>
              </w:rPr>
            </w:pPr>
            <w:r>
              <w:rPr>
                <w:rFonts w:hint="eastAsia"/>
                <w:color w:val="000000"/>
                <w:sz w:val="24"/>
              </w:rPr>
              <w:t>为了解该项目区域环境空气质量，根据偃师市环境监测站2020年连续一年的常规监测数据，偃师市2020年优良天数248天。监测因子为：细颗粒物（PM</w:t>
            </w:r>
            <w:r>
              <w:rPr>
                <w:rFonts w:hint="eastAsia"/>
                <w:color w:val="000000"/>
                <w:sz w:val="24"/>
                <w:vertAlign w:val="subscript"/>
              </w:rPr>
              <w:t>2.5</w:t>
            </w:r>
            <w:r>
              <w:rPr>
                <w:rFonts w:hint="eastAsia"/>
                <w:color w:val="000000"/>
                <w:sz w:val="24"/>
              </w:rPr>
              <w:t>）、可吸入颗粒物（PM</w:t>
            </w:r>
            <w:r>
              <w:rPr>
                <w:rFonts w:hint="eastAsia"/>
                <w:color w:val="000000"/>
                <w:sz w:val="24"/>
                <w:vertAlign w:val="subscript"/>
              </w:rPr>
              <w:t>10</w:t>
            </w:r>
            <w:r>
              <w:rPr>
                <w:rFonts w:hint="eastAsia"/>
                <w:color w:val="000000"/>
                <w:sz w:val="24"/>
              </w:rPr>
              <w:t>）、臭氧（O</w:t>
            </w:r>
            <w:r>
              <w:rPr>
                <w:rFonts w:hint="eastAsia"/>
                <w:color w:val="000000"/>
                <w:sz w:val="24"/>
                <w:vertAlign w:val="subscript"/>
              </w:rPr>
              <w:t>3</w:t>
            </w:r>
            <w:r>
              <w:rPr>
                <w:rFonts w:hint="eastAsia"/>
                <w:color w:val="000000"/>
                <w:sz w:val="24"/>
              </w:rPr>
              <w:t>）、二氧化氮（NO</w:t>
            </w:r>
            <w:r>
              <w:rPr>
                <w:rFonts w:hint="eastAsia"/>
                <w:color w:val="000000"/>
                <w:sz w:val="24"/>
                <w:vertAlign w:val="subscript"/>
              </w:rPr>
              <w:t>2</w:t>
            </w:r>
            <w:r>
              <w:rPr>
                <w:rFonts w:hint="eastAsia"/>
                <w:color w:val="000000"/>
                <w:sz w:val="24"/>
              </w:rPr>
              <w:t>）、一氧化碳（CO）和二氧化硫（SO</w:t>
            </w:r>
            <w:r>
              <w:rPr>
                <w:rFonts w:hint="eastAsia"/>
                <w:color w:val="000000"/>
                <w:sz w:val="24"/>
                <w:vertAlign w:val="subscript"/>
              </w:rPr>
              <w:t>2</w:t>
            </w:r>
            <w:r>
              <w:rPr>
                <w:rFonts w:hint="eastAsia"/>
                <w:color w:val="000000"/>
                <w:sz w:val="24"/>
              </w:rPr>
              <w:t>）。基本污染物环境质量现状见下表。</w:t>
            </w:r>
          </w:p>
          <w:p>
            <w:pPr>
              <w:pStyle w:val="5"/>
              <w:numPr>
                <w:ilvl w:val="0"/>
                <w:numId w:val="0"/>
              </w:numPr>
              <w:ind w:left="420" w:leftChars="200"/>
              <w:rPr>
                <w:bCs/>
                <w:color w:val="000000"/>
              </w:rPr>
            </w:pPr>
            <w:r>
              <w:rPr>
                <w:rFonts w:hint="eastAsia"/>
                <w:bCs/>
                <w:color w:val="000000"/>
              </w:rPr>
              <w:t>表</w:t>
            </w:r>
            <w:r>
              <w:rPr>
                <w:rFonts w:hint="eastAsia"/>
                <w:bCs/>
                <w:color w:val="000000"/>
                <w:lang w:val="en-US" w:eastAsia="zh-CN"/>
              </w:rPr>
              <w:t>14</w:t>
            </w:r>
            <w:r>
              <w:rPr>
                <w:rFonts w:hint="eastAsia"/>
                <w:bCs/>
                <w:color w:val="000000"/>
              </w:rPr>
              <w:t xml:space="preserve">           偃师市空气质量现状评价表       单位：</w:t>
            </w:r>
            <w:r>
              <w:rPr>
                <w:color w:val="000000"/>
                <w:sz w:val="21"/>
                <w:szCs w:val="21"/>
              </w:rPr>
              <w:t>μg/m</w:t>
            </w:r>
            <w:r>
              <w:rPr>
                <w:color w:val="000000"/>
                <w:sz w:val="21"/>
                <w:szCs w:val="21"/>
                <w:vertAlign w:val="superscript"/>
              </w:rPr>
              <w:t>3</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248"/>
              <w:gridCol w:w="1369"/>
              <w:gridCol w:w="1678"/>
              <w:gridCol w:w="116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污染物</w:t>
                  </w:r>
                </w:p>
              </w:tc>
              <w:tc>
                <w:tcPr>
                  <w:tcW w:w="2248" w:type="dxa"/>
                  <w:vAlign w:val="center"/>
                </w:tcPr>
                <w:p>
                  <w:pPr>
                    <w:pStyle w:val="10"/>
                    <w:snapToGrid w:val="0"/>
                    <w:spacing w:line="320" w:lineRule="exact"/>
                    <w:ind w:left="0" w:leftChars="0" w:right="0" w:rightChars="0"/>
                    <w:jc w:val="center"/>
                  </w:pPr>
                  <w:r>
                    <w:rPr>
                      <w:rFonts w:hint="eastAsia"/>
                    </w:rPr>
                    <w:t>评价指标</w:t>
                  </w:r>
                </w:p>
              </w:tc>
              <w:tc>
                <w:tcPr>
                  <w:tcW w:w="1369" w:type="dxa"/>
                  <w:vAlign w:val="center"/>
                </w:tcPr>
                <w:p>
                  <w:pPr>
                    <w:pStyle w:val="10"/>
                    <w:snapToGrid w:val="0"/>
                    <w:spacing w:line="320" w:lineRule="exact"/>
                    <w:ind w:left="0" w:leftChars="0" w:right="0" w:rightChars="0"/>
                    <w:jc w:val="center"/>
                  </w:pPr>
                  <w:r>
                    <w:rPr>
                      <w:rFonts w:hint="eastAsia"/>
                    </w:rPr>
                    <w:t>现状浓度/(μg/m</w:t>
                  </w:r>
                  <w:r>
                    <w:rPr>
                      <w:rFonts w:hint="eastAsia"/>
                      <w:vertAlign w:val="superscript"/>
                    </w:rPr>
                    <w:t>3</w:t>
                  </w:r>
                  <w:r>
                    <w:rPr>
                      <w:rFonts w:hint="eastAsia"/>
                    </w:rPr>
                    <w:t>)</w:t>
                  </w:r>
                </w:p>
              </w:tc>
              <w:tc>
                <w:tcPr>
                  <w:tcW w:w="1678" w:type="dxa"/>
                  <w:vAlign w:val="center"/>
                </w:tcPr>
                <w:p>
                  <w:pPr>
                    <w:pStyle w:val="10"/>
                    <w:snapToGrid w:val="0"/>
                    <w:spacing w:line="320" w:lineRule="exact"/>
                    <w:ind w:left="0" w:leftChars="0" w:right="0" w:rightChars="0"/>
                    <w:jc w:val="center"/>
                  </w:pPr>
                  <w:r>
                    <w:rPr>
                      <w:rFonts w:hint="eastAsia"/>
                    </w:rPr>
                    <w:t>标准值/(μg/m</w:t>
                  </w:r>
                  <w:r>
                    <w:rPr>
                      <w:rFonts w:hint="eastAsia"/>
                      <w:vertAlign w:val="superscript"/>
                    </w:rPr>
                    <w:t>3</w:t>
                  </w:r>
                  <w:r>
                    <w:rPr>
                      <w:rFonts w:hint="eastAsia"/>
                    </w:rPr>
                    <w:t>)</w:t>
                  </w:r>
                </w:p>
              </w:tc>
              <w:tc>
                <w:tcPr>
                  <w:tcW w:w="1161" w:type="dxa"/>
                  <w:vAlign w:val="center"/>
                </w:tcPr>
                <w:p>
                  <w:pPr>
                    <w:pStyle w:val="10"/>
                    <w:snapToGrid w:val="0"/>
                    <w:spacing w:line="320" w:lineRule="exact"/>
                    <w:ind w:left="0" w:leftChars="0" w:right="0" w:rightChars="0"/>
                    <w:jc w:val="center"/>
                  </w:pPr>
                  <w:r>
                    <w:rPr>
                      <w:rFonts w:hint="eastAsia"/>
                    </w:rPr>
                    <w:t>占标率/(%)</w:t>
                  </w:r>
                </w:p>
              </w:tc>
              <w:tc>
                <w:tcPr>
                  <w:tcW w:w="1167" w:type="dxa"/>
                  <w:vAlign w:val="center"/>
                </w:tcPr>
                <w:p>
                  <w:pPr>
                    <w:pStyle w:val="10"/>
                    <w:snapToGrid w:val="0"/>
                    <w:spacing w:line="320" w:lineRule="exact"/>
                    <w:ind w:left="0" w:leftChars="0" w:right="0" w:rightChars="0"/>
                    <w:jc w:val="center"/>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9" w:type="dxa"/>
                  <w:vAlign w:val="center"/>
                </w:tcPr>
                <w:p>
                  <w:pPr>
                    <w:pStyle w:val="10"/>
                    <w:snapToGrid w:val="0"/>
                    <w:spacing w:line="320" w:lineRule="exact"/>
                    <w:ind w:left="0" w:leftChars="0" w:right="0" w:rightChars="0"/>
                    <w:jc w:val="center"/>
                  </w:pPr>
                  <w:r>
                    <w:rPr>
                      <w:rFonts w:hint="eastAsia"/>
                    </w:rPr>
                    <w:t>SO</w:t>
                  </w:r>
                  <w:r>
                    <w:rPr>
                      <w:rFonts w:hint="eastAsia"/>
                      <w:vertAlign w:val="subscript"/>
                    </w:rPr>
                    <w:t>2</w:t>
                  </w:r>
                </w:p>
              </w:tc>
              <w:tc>
                <w:tcPr>
                  <w:tcW w:w="2248" w:type="dxa"/>
                  <w:vAlign w:val="center"/>
                </w:tcPr>
                <w:p>
                  <w:pPr>
                    <w:pStyle w:val="10"/>
                    <w:snapToGrid w:val="0"/>
                    <w:spacing w:line="320" w:lineRule="exact"/>
                    <w:ind w:left="0" w:leftChars="0" w:right="0" w:rightChars="0"/>
                    <w:jc w:val="center"/>
                  </w:pPr>
                  <w:r>
                    <w:rPr>
                      <w:rFonts w:hint="eastAsia"/>
                    </w:rPr>
                    <w:t>年平均质量浓度</w:t>
                  </w:r>
                </w:p>
              </w:tc>
              <w:tc>
                <w:tcPr>
                  <w:tcW w:w="1369" w:type="dxa"/>
                  <w:vAlign w:val="center"/>
                </w:tcPr>
                <w:p>
                  <w:pPr>
                    <w:spacing w:line="360" w:lineRule="exact"/>
                    <w:jc w:val="center"/>
                  </w:pPr>
                  <w:r>
                    <w:rPr>
                      <w:rStyle w:val="57"/>
                    </w:rPr>
                    <w:t>8</w:t>
                  </w:r>
                </w:p>
              </w:tc>
              <w:tc>
                <w:tcPr>
                  <w:tcW w:w="1678" w:type="dxa"/>
                  <w:vAlign w:val="center"/>
                </w:tcPr>
                <w:p>
                  <w:pPr>
                    <w:spacing w:line="360" w:lineRule="exact"/>
                    <w:jc w:val="center"/>
                  </w:pPr>
                  <w:r>
                    <w:rPr>
                      <w:rStyle w:val="57"/>
                    </w:rPr>
                    <w:t>60</w:t>
                  </w:r>
                </w:p>
              </w:tc>
              <w:tc>
                <w:tcPr>
                  <w:tcW w:w="1161" w:type="dxa"/>
                  <w:vAlign w:val="center"/>
                </w:tcPr>
                <w:p>
                  <w:pPr>
                    <w:spacing w:line="360" w:lineRule="exact"/>
                    <w:jc w:val="center"/>
                  </w:pPr>
                  <w:r>
                    <w:rPr>
                      <w:rStyle w:val="57"/>
                    </w:rPr>
                    <w:t>13.3</w:t>
                  </w:r>
                </w:p>
              </w:tc>
              <w:tc>
                <w:tcPr>
                  <w:tcW w:w="1167" w:type="dxa"/>
                  <w:vAlign w:val="center"/>
                </w:tcPr>
                <w:p>
                  <w:pPr>
                    <w:spacing w:line="360" w:lineRule="exact"/>
                    <w:jc w:val="center"/>
                  </w:pPr>
                  <w:r>
                    <w:rPr>
                      <w:rStyle w:val="57"/>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NO</w:t>
                  </w:r>
                  <w:r>
                    <w:rPr>
                      <w:rFonts w:hint="eastAsia"/>
                      <w:vertAlign w:val="subscript"/>
                    </w:rPr>
                    <w:t>2</w:t>
                  </w:r>
                </w:p>
              </w:tc>
              <w:tc>
                <w:tcPr>
                  <w:tcW w:w="2248" w:type="dxa"/>
                  <w:vAlign w:val="center"/>
                </w:tcPr>
                <w:p>
                  <w:pPr>
                    <w:pStyle w:val="10"/>
                    <w:snapToGrid w:val="0"/>
                    <w:spacing w:line="320" w:lineRule="exact"/>
                    <w:ind w:left="0" w:leftChars="0" w:right="0" w:rightChars="0"/>
                    <w:jc w:val="center"/>
                  </w:pPr>
                  <w:r>
                    <w:rPr>
                      <w:rFonts w:hint="eastAsia"/>
                    </w:rPr>
                    <w:t>年平均质量浓度</w:t>
                  </w:r>
                </w:p>
              </w:tc>
              <w:tc>
                <w:tcPr>
                  <w:tcW w:w="1369" w:type="dxa"/>
                  <w:vAlign w:val="center"/>
                </w:tcPr>
                <w:p>
                  <w:pPr>
                    <w:spacing w:line="360" w:lineRule="exact"/>
                    <w:jc w:val="center"/>
                  </w:pPr>
                  <w:r>
                    <w:rPr>
                      <w:rStyle w:val="57"/>
                    </w:rPr>
                    <w:t>24</w:t>
                  </w:r>
                </w:p>
              </w:tc>
              <w:tc>
                <w:tcPr>
                  <w:tcW w:w="1678" w:type="dxa"/>
                  <w:vAlign w:val="center"/>
                </w:tcPr>
                <w:p>
                  <w:pPr>
                    <w:spacing w:line="360" w:lineRule="exact"/>
                    <w:jc w:val="center"/>
                  </w:pPr>
                  <w:r>
                    <w:rPr>
                      <w:rStyle w:val="57"/>
                    </w:rPr>
                    <w:t>40</w:t>
                  </w:r>
                </w:p>
              </w:tc>
              <w:tc>
                <w:tcPr>
                  <w:tcW w:w="1161" w:type="dxa"/>
                  <w:vAlign w:val="center"/>
                </w:tcPr>
                <w:p>
                  <w:pPr>
                    <w:spacing w:line="360" w:lineRule="exact"/>
                    <w:jc w:val="center"/>
                  </w:pPr>
                  <w:r>
                    <w:rPr>
                      <w:rStyle w:val="57"/>
                    </w:rPr>
                    <w:t>60</w:t>
                  </w:r>
                </w:p>
              </w:tc>
              <w:tc>
                <w:tcPr>
                  <w:tcW w:w="1167" w:type="dxa"/>
                  <w:vAlign w:val="center"/>
                </w:tcPr>
                <w:p>
                  <w:pPr>
                    <w:spacing w:line="360" w:lineRule="exact"/>
                    <w:jc w:val="center"/>
                  </w:pPr>
                  <w:r>
                    <w:rPr>
                      <w:rStyle w:val="57"/>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PM</w:t>
                  </w:r>
                  <w:r>
                    <w:rPr>
                      <w:rFonts w:hint="eastAsia"/>
                      <w:vertAlign w:val="subscript"/>
                    </w:rPr>
                    <w:t>2.5</w:t>
                  </w:r>
                </w:p>
              </w:tc>
              <w:tc>
                <w:tcPr>
                  <w:tcW w:w="2248" w:type="dxa"/>
                  <w:vAlign w:val="center"/>
                </w:tcPr>
                <w:p>
                  <w:pPr>
                    <w:pStyle w:val="10"/>
                    <w:snapToGrid w:val="0"/>
                    <w:spacing w:line="320" w:lineRule="exact"/>
                    <w:ind w:left="0" w:leftChars="0" w:right="0" w:rightChars="0"/>
                    <w:jc w:val="center"/>
                  </w:pPr>
                  <w:r>
                    <w:rPr>
                      <w:rFonts w:hint="eastAsia"/>
                    </w:rPr>
                    <w:t>年平均质量浓度</w:t>
                  </w:r>
                </w:p>
              </w:tc>
              <w:tc>
                <w:tcPr>
                  <w:tcW w:w="1369" w:type="dxa"/>
                  <w:vAlign w:val="center"/>
                </w:tcPr>
                <w:p>
                  <w:pPr>
                    <w:spacing w:line="360" w:lineRule="exact"/>
                    <w:jc w:val="center"/>
                  </w:pPr>
                  <w:r>
                    <w:rPr>
                      <w:rStyle w:val="57"/>
                    </w:rPr>
                    <w:t>45</w:t>
                  </w:r>
                </w:p>
              </w:tc>
              <w:tc>
                <w:tcPr>
                  <w:tcW w:w="1678" w:type="dxa"/>
                  <w:vAlign w:val="center"/>
                </w:tcPr>
                <w:p>
                  <w:pPr>
                    <w:spacing w:line="360" w:lineRule="exact"/>
                    <w:jc w:val="center"/>
                  </w:pPr>
                  <w:r>
                    <w:rPr>
                      <w:rStyle w:val="57"/>
                    </w:rPr>
                    <w:t>35</w:t>
                  </w:r>
                </w:p>
              </w:tc>
              <w:tc>
                <w:tcPr>
                  <w:tcW w:w="1161" w:type="dxa"/>
                  <w:vAlign w:val="center"/>
                </w:tcPr>
                <w:p>
                  <w:pPr>
                    <w:spacing w:line="360" w:lineRule="exact"/>
                    <w:jc w:val="center"/>
                  </w:pPr>
                  <w:r>
                    <w:rPr>
                      <w:rStyle w:val="57"/>
                    </w:rPr>
                    <w:t>128.6</w:t>
                  </w:r>
                </w:p>
              </w:tc>
              <w:tc>
                <w:tcPr>
                  <w:tcW w:w="1167" w:type="dxa"/>
                  <w:vAlign w:val="center"/>
                </w:tcPr>
                <w:p>
                  <w:pPr>
                    <w:spacing w:line="360" w:lineRule="exact"/>
                    <w:jc w:val="center"/>
                  </w:pPr>
                  <w:r>
                    <w:rPr>
                      <w:rStyle w:val="57"/>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PM</w:t>
                  </w:r>
                  <w:r>
                    <w:rPr>
                      <w:rFonts w:hint="eastAsia"/>
                      <w:vertAlign w:val="subscript"/>
                    </w:rPr>
                    <w:t>10</w:t>
                  </w:r>
                </w:p>
              </w:tc>
              <w:tc>
                <w:tcPr>
                  <w:tcW w:w="2248" w:type="dxa"/>
                  <w:vAlign w:val="center"/>
                </w:tcPr>
                <w:p>
                  <w:pPr>
                    <w:pStyle w:val="10"/>
                    <w:snapToGrid w:val="0"/>
                    <w:spacing w:line="320" w:lineRule="exact"/>
                    <w:ind w:left="0" w:leftChars="0" w:right="0" w:rightChars="0"/>
                    <w:jc w:val="center"/>
                  </w:pPr>
                  <w:r>
                    <w:rPr>
                      <w:rFonts w:hint="eastAsia"/>
                    </w:rPr>
                    <w:t>年平均质量浓度</w:t>
                  </w:r>
                </w:p>
              </w:tc>
              <w:tc>
                <w:tcPr>
                  <w:tcW w:w="1369" w:type="dxa"/>
                  <w:vAlign w:val="center"/>
                </w:tcPr>
                <w:p>
                  <w:pPr>
                    <w:spacing w:line="360" w:lineRule="exact"/>
                    <w:jc w:val="center"/>
                  </w:pPr>
                  <w:r>
                    <w:rPr>
                      <w:rStyle w:val="57"/>
                    </w:rPr>
                    <w:t>83</w:t>
                  </w:r>
                </w:p>
              </w:tc>
              <w:tc>
                <w:tcPr>
                  <w:tcW w:w="1678" w:type="dxa"/>
                  <w:vAlign w:val="center"/>
                </w:tcPr>
                <w:p>
                  <w:pPr>
                    <w:spacing w:line="360" w:lineRule="exact"/>
                    <w:jc w:val="center"/>
                  </w:pPr>
                  <w:r>
                    <w:rPr>
                      <w:rStyle w:val="57"/>
                    </w:rPr>
                    <w:t>70</w:t>
                  </w:r>
                </w:p>
              </w:tc>
              <w:tc>
                <w:tcPr>
                  <w:tcW w:w="1161" w:type="dxa"/>
                  <w:vAlign w:val="center"/>
                </w:tcPr>
                <w:p>
                  <w:pPr>
                    <w:spacing w:line="360" w:lineRule="exact"/>
                    <w:jc w:val="center"/>
                  </w:pPr>
                  <w:r>
                    <w:rPr>
                      <w:rStyle w:val="57"/>
                    </w:rPr>
                    <w:t>118.6</w:t>
                  </w:r>
                </w:p>
              </w:tc>
              <w:tc>
                <w:tcPr>
                  <w:tcW w:w="1167" w:type="dxa"/>
                  <w:vAlign w:val="center"/>
                </w:tcPr>
                <w:p>
                  <w:pPr>
                    <w:spacing w:line="360" w:lineRule="exact"/>
                    <w:jc w:val="center"/>
                  </w:pPr>
                  <w:r>
                    <w:rPr>
                      <w:rStyle w:val="57"/>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CO</w:t>
                  </w:r>
                </w:p>
              </w:tc>
              <w:tc>
                <w:tcPr>
                  <w:tcW w:w="2248" w:type="dxa"/>
                  <w:vAlign w:val="center"/>
                </w:tcPr>
                <w:p>
                  <w:pPr>
                    <w:pStyle w:val="10"/>
                    <w:snapToGrid w:val="0"/>
                    <w:spacing w:line="320" w:lineRule="exact"/>
                    <w:ind w:left="0" w:leftChars="0" w:right="0" w:rightChars="0"/>
                    <w:jc w:val="center"/>
                  </w:pPr>
                  <w:r>
                    <w:rPr>
                      <w:rFonts w:hint="eastAsia"/>
                    </w:rPr>
                    <w:t>第95百分位数浓度</w:t>
                  </w:r>
                </w:p>
              </w:tc>
              <w:tc>
                <w:tcPr>
                  <w:tcW w:w="1369" w:type="dxa"/>
                  <w:vAlign w:val="center"/>
                </w:tcPr>
                <w:p>
                  <w:pPr>
                    <w:spacing w:line="360" w:lineRule="exact"/>
                    <w:jc w:val="center"/>
                  </w:pPr>
                  <w:r>
                    <w:rPr>
                      <w:rStyle w:val="57"/>
                    </w:rPr>
                    <w:t>1.3</w:t>
                  </w:r>
                  <w:r>
                    <w:rPr>
                      <w:szCs w:val="21"/>
                    </w:rPr>
                    <w:t>mg/m</w:t>
                  </w:r>
                  <w:r>
                    <w:rPr>
                      <w:szCs w:val="21"/>
                      <w:vertAlign w:val="superscript"/>
                    </w:rPr>
                    <w:t>3</w:t>
                  </w:r>
                </w:p>
              </w:tc>
              <w:tc>
                <w:tcPr>
                  <w:tcW w:w="1678" w:type="dxa"/>
                  <w:vAlign w:val="center"/>
                </w:tcPr>
                <w:p>
                  <w:pPr>
                    <w:spacing w:line="360" w:lineRule="exact"/>
                    <w:jc w:val="center"/>
                  </w:pPr>
                  <w:r>
                    <w:rPr>
                      <w:rStyle w:val="57"/>
                    </w:rPr>
                    <w:t>4</w:t>
                  </w:r>
                  <w:r>
                    <w:rPr>
                      <w:szCs w:val="21"/>
                    </w:rPr>
                    <w:t>mg/m</w:t>
                  </w:r>
                  <w:r>
                    <w:rPr>
                      <w:szCs w:val="21"/>
                      <w:vertAlign w:val="superscript"/>
                    </w:rPr>
                    <w:t>3</w:t>
                  </w:r>
                </w:p>
              </w:tc>
              <w:tc>
                <w:tcPr>
                  <w:tcW w:w="1161" w:type="dxa"/>
                  <w:vAlign w:val="center"/>
                </w:tcPr>
                <w:p>
                  <w:pPr>
                    <w:spacing w:line="360" w:lineRule="exact"/>
                    <w:jc w:val="center"/>
                  </w:pPr>
                  <w:r>
                    <w:rPr>
                      <w:rStyle w:val="57"/>
                    </w:rPr>
                    <w:t>32.5</w:t>
                  </w:r>
                </w:p>
              </w:tc>
              <w:tc>
                <w:tcPr>
                  <w:tcW w:w="1167" w:type="dxa"/>
                  <w:vAlign w:val="center"/>
                </w:tcPr>
                <w:p>
                  <w:pPr>
                    <w:spacing w:line="360" w:lineRule="exact"/>
                    <w:jc w:val="center"/>
                  </w:pPr>
                  <w:r>
                    <w:rPr>
                      <w:rStyle w:val="57"/>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9" w:type="dxa"/>
                  <w:vAlign w:val="center"/>
                </w:tcPr>
                <w:p>
                  <w:pPr>
                    <w:pStyle w:val="10"/>
                    <w:snapToGrid w:val="0"/>
                    <w:spacing w:line="320" w:lineRule="exact"/>
                    <w:ind w:left="0" w:leftChars="0" w:right="0" w:rightChars="0"/>
                    <w:jc w:val="center"/>
                  </w:pPr>
                  <w:r>
                    <w:rPr>
                      <w:rFonts w:hint="eastAsia"/>
                    </w:rPr>
                    <w:t>O</w:t>
                  </w:r>
                  <w:r>
                    <w:rPr>
                      <w:rFonts w:hint="eastAsia"/>
                      <w:vertAlign w:val="subscript"/>
                    </w:rPr>
                    <w:t>3</w:t>
                  </w:r>
                </w:p>
              </w:tc>
              <w:tc>
                <w:tcPr>
                  <w:tcW w:w="2248" w:type="dxa"/>
                  <w:vAlign w:val="center"/>
                </w:tcPr>
                <w:p>
                  <w:pPr>
                    <w:pStyle w:val="10"/>
                    <w:snapToGrid w:val="0"/>
                    <w:spacing w:line="320" w:lineRule="exact"/>
                    <w:ind w:left="0" w:leftChars="0" w:right="0" w:rightChars="0"/>
                    <w:jc w:val="center"/>
                  </w:pPr>
                  <w:r>
                    <w:rPr>
                      <w:rFonts w:hint="eastAsia"/>
                    </w:rPr>
                    <w:t>8h平均质量浓度</w:t>
                  </w:r>
                </w:p>
              </w:tc>
              <w:tc>
                <w:tcPr>
                  <w:tcW w:w="1369" w:type="dxa"/>
                  <w:vAlign w:val="center"/>
                </w:tcPr>
                <w:p>
                  <w:pPr>
                    <w:spacing w:line="360" w:lineRule="exact"/>
                    <w:jc w:val="center"/>
                  </w:pPr>
                  <w:r>
                    <w:rPr>
                      <w:rStyle w:val="57"/>
                    </w:rPr>
                    <w:t>182</w:t>
                  </w:r>
                </w:p>
              </w:tc>
              <w:tc>
                <w:tcPr>
                  <w:tcW w:w="1678" w:type="dxa"/>
                  <w:vAlign w:val="center"/>
                </w:tcPr>
                <w:p>
                  <w:pPr>
                    <w:spacing w:line="360" w:lineRule="exact"/>
                    <w:jc w:val="center"/>
                  </w:pPr>
                  <w:r>
                    <w:rPr>
                      <w:rStyle w:val="57"/>
                    </w:rPr>
                    <w:t>160</w:t>
                  </w:r>
                </w:p>
              </w:tc>
              <w:tc>
                <w:tcPr>
                  <w:tcW w:w="1161" w:type="dxa"/>
                  <w:vAlign w:val="center"/>
                </w:tcPr>
                <w:p>
                  <w:pPr>
                    <w:spacing w:line="360" w:lineRule="exact"/>
                    <w:jc w:val="center"/>
                  </w:pPr>
                  <w:r>
                    <w:rPr>
                      <w:rStyle w:val="57"/>
                    </w:rPr>
                    <w:t>113.8</w:t>
                  </w:r>
                </w:p>
              </w:tc>
              <w:tc>
                <w:tcPr>
                  <w:tcW w:w="1167" w:type="dxa"/>
                  <w:vAlign w:val="center"/>
                </w:tcPr>
                <w:p>
                  <w:pPr>
                    <w:spacing w:line="360" w:lineRule="exact"/>
                    <w:jc w:val="center"/>
                  </w:pPr>
                  <w:r>
                    <w:rPr>
                      <w:rStyle w:val="57"/>
                    </w:rPr>
                    <w:t>不达标</w:t>
                  </w:r>
                </w:p>
              </w:tc>
            </w:tr>
          </w:tbl>
          <w:p>
            <w:pPr>
              <w:adjustRightInd w:val="0"/>
              <w:snapToGrid w:val="0"/>
              <w:spacing w:line="460" w:lineRule="exact"/>
              <w:ind w:firstLine="480" w:firstLineChars="200"/>
              <w:rPr>
                <w:color w:val="000000"/>
                <w:sz w:val="24"/>
              </w:rPr>
            </w:pPr>
            <w:r>
              <w:rPr>
                <w:rFonts w:hint="eastAsia"/>
                <w:color w:val="000000"/>
                <w:sz w:val="24"/>
              </w:rPr>
              <w:t>由上表可知SO</w:t>
            </w:r>
            <w:r>
              <w:rPr>
                <w:rFonts w:hint="eastAsia"/>
                <w:color w:val="000000"/>
                <w:sz w:val="24"/>
                <w:vertAlign w:val="subscript"/>
              </w:rPr>
              <w:t>2</w:t>
            </w:r>
            <w:r>
              <w:rPr>
                <w:rFonts w:hint="eastAsia"/>
                <w:color w:val="000000"/>
                <w:sz w:val="24"/>
              </w:rPr>
              <w:t>、NO</w:t>
            </w:r>
            <w:r>
              <w:rPr>
                <w:rFonts w:hint="eastAsia"/>
                <w:color w:val="000000"/>
                <w:sz w:val="24"/>
                <w:vertAlign w:val="subscript"/>
              </w:rPr>
              <w:t>2</w:t>
            </w:r>
            <w:r>
              <w:rPr>
                <w:rFonts w:hint="eastAsia"/>
                <w:color w:val="000000"/>
                <w:sz w:val="24"/>
              </w:rPr>
              <w:t>、CO相应浓度满足《环境空气质量标准》（GB3095-2012）二级标准，PM</w:t>
            </w:r>
            <w:r>
              <w:rPr>
                <w:rFonts w:hint="eastAsia"/>
                <w:color w:val="000000"/>
                <w:sz w:val="24"/>
                <w:vertAlign w:val="subscript"/>
              </w:rPr>
              <w:t>10</w:t>
            </w:r>
            <w:r>
              <w:rPr>
                <w:rFonts w:hint="eastAsia"/>
                <w:color w:val="000000"/>
                <w:sz w:val="24"/>
              </w:rPr>
              <w:t>、PM</w:t>
            </w:r>
            <w:r>
              <w:rPr>
                <w:rFonts w:hint="eastAsia"/>
                <w:color w:val="000000"/>
                <w:sz w:val="24"/>
                <w:vertAlign w:val="subscript"/>
              </w:rPr>
              <w:t>2.5</w:t>
            </w:r>
            <w:r>
              <w:rPr>
                <w:rFonts w:hint="eastAsia"/>
                <w:color w:val="000000"/>
                <w:sz w:val="24"/>
              </w:rPr>
              <w:t>、O</w:t>
            </w:r>
            <w:r>
              <w:rPr>
                <w:rFonts w:hint="eastAsia"/>
                <w:color w:val="000000"/>
                <w:sz w:val="24"/>
                <w:vertAlign w:val="subscript"/>
              </w:rPr>
              <w:t>3</w:t>
            </w:r>
            <w:r>
              <w:rPr>
                <w:rFonts w:hint="eastAsia"/>
                <w:color w:val="000000"/>
                <w:sz w:val="24"/>
              </w:rPr>
              <w:t>相应浓度不满足《环境空气质量标准》（GB3095-2012）二级标准。</w:t>
            </w:r>
          </w:p>
          <w:p>
            <w:pPr>
              <w:adjustRightInd w:val="0"/>
              <w:snapToGrid w:val="0"/>
              <w:spacing w:line="460" w:lineRule="exact"/>
              <w:ind w:firstLine="480" w:firstLineChars="200"/>
              <w:rPr>
                <w:color w:val="000000"/>
                <w:sz w:val="24"/>
              </w:rPr>
            </w:pPr>
            <w:r>
              <w:rPr>
                <w:rFonts w:hint="eastAsia"/>
                <w:color w:val="000000"/>
                <w:sz w:val="24"/>
              </w:rPr>
              <w:t>偃师市先后出台《偃师区污染防治攻坚战领导小组关于印发2021年大气、水、土壤污染防治攻坚战及农业农村污染治理攻坚战实施方案的通知》（偃环攻坚〔2021〕4号）等一系列措施，预计将不断改善区域大气环境质量。</w:t>
            </w:r>
          </w:p>
          <w:p>
            <w:pPr>
              <w:spacing w:line="460" w:lineRule="exact"/>
              <w:ind w:firstLine="482" w:firstLineChars="200"/>
              <w:rPr>
                <w:b/>
                <w:color w:val="000000"/>
                <w:sz w:val="24"/>
              </w:rPr>
            </w:pPr>
            <w:r>
              <w:rPr>
                <w:b/>
                <w:color w:val="000000"/>
                <w:sz w:val="24"/>
              </w:rPr>
              <w:t>3、特征污染物环境质量现状</w:t>
            </w:r>
          </w:p>
          <w:p>
            <w:pPr>
              <w:pStyle w:val="49"/>
            </w:pPr>
            <w:r>
              <w:rPr>
                <w:bCs/>
              </w:rPr>
              <w:t>该项目生产过程产生非甲烷总烃。</w:t>
            </w:r>
            <w:r>
              <w:t>为了解项目所在区域其他污染因子的环境质量现状，</w:t>
            </w:r>
            <w:r>
              <w:rPr>
                <w:rFonts w:hint="eastAsia"/>
              </w:rPr>
              <w:t>本次评价借用区域内</w:t>
            </w:r>
            <w:r>
              <w:rPr>
                <w:rFonts w:hint="eastAsia"/>
                <w:bCs/>
                <w:color w:val="000000"/>
                <w:sz w:val="24"/>
              </w:rPr>
              <w:t>《偃师区山化镇东屯攀峰制鞋厂环境影响报告表》</w:t>
            </w:r>
            <w:r>
              <w:rPr>
                <w:rFonts w:hint="eastAsia"/>
                <w:bCs/>
              </w:rPr>
              <w:t>中的</w:t>
            </w:r>
            <w:r>
              <w:rPr>
                <w:rFonts w:hint="eastAsia"/>
              </w:rPr>
              <w:t>监测数据，监测时间为</w:t>
            </w:r>
            <w:r>
              <w:rPr>
                <w:rFonts w:hint="eastAsia"/>
                <w:bCs/>
                <w:color w:val="000000"/>
                <w:sz w:val="24"/>
              </w:rPr>
              <w:t>2020年9月14</w:t>
            </w:r>
            <w:r>
              <w:rPr>
                <w:rFonts w:hint="eastAsia"/>
                <w:bCs/>
                <w:color w:val="000000"/>
                <w:sz w:val="24"/>
                <w:lang w:val="en-US" w:eastAsia="zh-CN"/>
              </w:rPr>
              <w:t>日~</w:t>
            </w:r>
            <w:r>
              <w:rPr>
                <w:rFonts w:hint="eastAsia"/>
                <w:bCs/>
                <w:color w:val="000000"/>
                <w:sz w:val="24"/>
              </w:rPr>
              <w:t>20日</w:t>
            </w:r>
            <w:r>
              <w:rPr>
                <w:rFonts w:hint="eastAsia"/>
              </w:rPr>
              <w:t>，监测点为</w:t>
            </w:r>
            <w:r>
              <w:rPr>
                <w:rFonts w:hint="eastAsia"/>
                <w:lang w:val="en-US" w:eastAsia="zh-CN"/>
              </w:rPr>
              <w:t>许庄村</w:t>
            </w:r>
            <w:r>
              <w:rPr>
                <w:rFonts w:hint="eastAsia"/>
              </w:rPr>
              <w:t>（位于本项目西南侧</w:t>
            </w:r>
            <w:r>
              <w:rPr>
                <w:rFonts w:hint="eastAsia"/>
                <w:lang w:val="en-US" w:eastAsia="zh-CN"/>
              </w:rPr>
              <w:t>2540</w:t>
            </w:r>
            <w:r>
              <w:rPr>
                <w:rFonts w:hint="eastAsia"/>
              </w:rPr>
              <w:t>m处），检测因子为非甲烷总烃，</w:t>
            </w:r>
            <w:r>
              <w:t>具体监测结果见</w:t>
            </w:r>
            <w:r>
              <w:rPr>
                <w:rFonts w:hint="eastAsia"/>
              </w:rPr>
              <w:t>下</w:t>
            </w:r>
            <w:r>
              <w:t>表。</w:t>
            </w:r>
          </w:p>
          <w:p>
            <w:pPr>
              <w:pStyle w:val="5"/>
              <w:numPr>
                <w:ilvl w:val="0"/>
                <w:numId w:val="0"/>
              </w:numPr>
              <w:ind w:firstLine="482" w:firstLineChars="200"/>
              <w:rPr>
                <w:bCs/>
                <w:color w:val="000000"/>
              </w:rPr>
            </w:pPr>
            <w:r>
              <w:rPr>
                <w:rFonts w:hint="eastAsia"/>
                <w:bCs/>
                <w:color w:val="000000"/>
              </w:rPr>
              <w:t>表</w:t>
            </w:r>
            <w:r>
              <w:rPr>
                <w:rFonts w:hint="eastAsia"/>
                <w:bCs/>
                <w:color w:val="000000"/>
                <w:lang w:val="en-US" w:eastAsia="zh-CN"/>
              </w:rPr>
              <w:t>15</w:t>
            </w:r>
            <w:r>
              <w:rPr>
                <w:bCs/>
                <w:color w:val="000000"/>
              </w:rPr>
              <w:t xml:space="preserve">            特征污染物现状监测结果表          </w:t>
            </w:r>
            <w:r>
              <w:rPr>
                <w:bCs/>
                <w:color w:val="000000"/>
                <w:sz w:val="21"/>
                <w:szCs w:val="21"/>
              </w:rPr>
              <w:t xml:space="preserve"> </w:t>
            </w:r>
            <w:r>
              <w:rPr>
                <w:color w:val="000000"/>
                <w:sz w:val="21"/>
                <w:szCs w:val="21"/>
              </w:rPr>
              <w:t>单位：mg/m</w:t>
            </w:r>
            <w:r>
              <w:rPr>
                <w:color w:val="000000"/>
                <w:sz w:val="21"/>
                <w:szCs w:val="21"/>
                <w:vertAlign w:val="superscript"/>
              </w:rPr>
              <w:t>3</w:t>
            </w:r>
          </w:p>
          <w:tbl>
            <w:tblPr>
              <w:tblStyle w:val="21"/>
              <w:tblW w:w="4992" w:type="pct"/>
              <w:tblInd w:w="0" w:type="dxa"/>
              <w:tblLayout w:type="fixed"/>
              <w:tblCellMar>
                <w:top w:w="0" w:type="dxa"/>
                <w:left w:w="108" w:type="dxa"/>
                <w:bottom w:w="0" w:type="dxa"/>
                <w:right w:w="108" w:type="dxa"/>
              </w:tblCellMar>
            </w:tblPr>
            <w:tblGrid>
              <w:gridCol w:w="1228"/>
              <w:gridCol w:w="1315"/>
              <w:gridCol w:w="1715"/>
              <w:gridCol w:w="1168"/>
              <w:gridCol w:w="1173"/>
              <w:gridCol w:w="1923"/>
            </w:tblGrid>
            <w:tr>
              <w:tblPrEx>
                <w:tblCellMar>
                  <w:top w:w="0" w:type="dxa"/>
                  <w:left w:w="108" w:type="dxa"/>
                  <w:bottom w:w="0" w:type="dxa"/>
                  <w:right w:w="108" w:type="dxa"/>
                </w:tblCellMar>
              </w:tblPrEx>
              <w:trPr>
                <w:trHeight w:val="23" w:hRule="atLeast"/>
              </w:trPr>
              <w:tc>
                <w:tcPr>
                  <w:tcW w:w="7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szCs w:val="21"/>
                    </w:rPr>
                  </w:pPr>
                  <w:r>
                    <w:rPr>
                      <w:rFonts w:eastAsia="宋体"/>
                      <w:szCs w:val="21"/>
                    </w:rPr>
                    <w:t>监测点</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监测因子</w:t>
                  </w:r>
                </w:p>
              </w:tc>
              <w:tc>
                <w:tcPr>
                  <w:tcW w:w="1006" w:type="pct"/>
                  <w:tcBorders>
                    <w:top w:val="single" w:color="auto" w:sz="4" w:space="0"/>
                    <w:left w:val="nil"/>
                    <w:bottom w:val="single" w:color="auto" w:sz="4" w:space="0"/>
                    <w:right w:val="single" w:color="auto" w:sz="4" w:space="0"/>
                  </w:tcBorders>
                  <w:noWrap w:val="0"/>
                  <w:vAlign w:val="center"/>
                </w:tcPr>
                <w:p>
                  <w:pPr>
                    <w:jc w:val="center"/>
                    <w:rPr>
                      <w:rFonts w:eastAsia="宋体"/>
                      <w:szCs w:val="21"/>
                    </w:rPr>
                  </w:pPr>
                  <w:r>
                    <w:rPr>
                      <w:rFonts w:eastAsia="宋体"/>
                      <w:szCs w:val="21"/>
                    </w:rPr>
                    <w:t>监测浓度</w:t>
                  </w:r>
                </w:p>
              </w:tc>
              <w:tc>
                <w:tcPr>
                  <w:tcW w:w="685" w:type="pct"/>
                  <w:tcBorders>
                    <w:top w:val="single" w:color="auto" w:sz="4" w:space="0"/>
                    <w:left w:val="nil"/>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标准值</w:t>
                  </w:r>
                </w:p>
              </w:tc>
              <w:tc>
                <w:tcPr>
                  <w:tcW w:w="688"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szCs w:val="21"/>
                    </w:rPr>
                    <w:t>超标率(%)</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最大超标倍数</w:t>
                  </w:r>
                </w:p>
              </w:tc>
            </w:tr>
            <w:tr>
              <w:tblPrEx>
                <w:tblCellMar>
                  <w:top w:w="0" w:type="dxa"/>
                  <w:left w:w="108" w:type="dxa"/>
                  <w:bottom w:w="0" w:type="dxa"/>
                  <w:right w:w="108" w:type="dxa"/>
                </w:tblCellMar>
              </w:tblPrEx>
              <w:trPr>
                <w:trHeight w:val="23" w:hRule="atLeast"/>
              </w:trPr>
              <w:tc>
                <w:tcPr>
                  <w:tcW w:w="720" w:type="pct"/>
                  <w:tcBorders>
                    <w:top w:val="single" w:color="auto" w:sz="4" w:space="0"/>
                    <w:left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许庄村</w:t>
                  </w:r>
                </w:p>
              </w:tc>
              <w:tc>
                <w:tcPr>
                  <w:tcW w:w="771" w:type="pct"/>
                  <w:tcBorders>
                    <w:left w:val="nil"/>
                    <w:bottom w:val="single" w:color="auto" w:sz="4" w:space="0"/>
                    <w:right w:val="single" w:color="auto" w:sz="4" w:space="0"/>
                  </w:tcBorders>
                  <w:noWrap w:val="0"/>
                  <w:vAlign w:val="center"/>
                </w:tcPr>
                <w:p>
                  <w:pPr>
                    <w:snapToGrid w:val="0"/>
                    <w:jc w:val="center"/>
                    <w:rPr>
                      <w:rFonts w:hint="eastAsia" w:eastAsia="宋体"/>
                      <w:szCs w:val="21"/>
                    </w:rPr>
                  </w:pPr>
                  <w:r>
                    <w:rPr>
                      <w:rFonts w:hint="eastAsia" w:eastAsia="宋体"/>
                      <w:szCs w:val="21"/>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eastAsia" w:eastAsia="宋体"/>
                      <w:szCs w:val="21"/>
                    </w:rPr>
                  </w:pPr>
                  <w:r>
                    <w:rPr>
                      <w:rFonts w:hint="eastAsia" w:eastAsia="宋体"/>
                      <w:szCs w:val="21"/>
                    </w:rPr>
                    <w:t>0.20~0.24</w:t>
                  </w:r>
                </w:p>
              </w:tc>
              <w:tc>
                <w:tcPr>
                  <w:tcW w:w="685" w:type="pct"/>
                  <w:tcBorders>
                    <w:left w:val="nil"/>
                    <w:bottom w:val="single" w:color="auto" w:sz="4" w:space="0"/>
                    <w:right w:val="single" w:color="auto" w:sz="4" w:space="0"/>
                  </w:tcBorders>
                  <w:noWrap w:val="0"/>
                  <w:vAlign w:val="center"/>
                </w:tcPr>
                <w:p>
                  <w:pPr>
                    <w:jc w:val="center"/>
                    <w:rPr>
                      <w:rFonts w:eastAsia="宋体"/>
                      <w:szCs w:val="21"/>
                    </w:rPr>
                  </w:pPr>
                  <w:r>
                    <w:rPr>
                      <w:rFonts w:hint="eastAsia" w:eastAsia="宋体"/>
                      <w:szCs w:val="21"/>
                    </w:rPr>
                    <w:t>2.0</w:t>
                  </w:r>
                </w:p>
              </w:tc>
              <w:tc>
                <w:tcPr>
                  <w:tcW w:w="6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0</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0</w:t>
                  </w:r>
                </w:p>
              </w:tc>
            </w:tr>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color w:val="000000"/>
                      <w:sz w:val="16"/>
                      <w:szCs w:val="16"/>
                      <w:shd w:val="clear" w:color="auto" w:fill="FFFFFF"/>
                    </w:rPr>
                    <w:t>非甲烷总烃环境质量标准参考国家环境保护局科技标准司《大气污染物综合排放标准详解》（中国环境科学出版社出版）。</w:t>
                  </w:r>
                </w:p>
              </w:tc>
            </w:tr>
          </w:tbl>
          <w:p>
            <w:pPr>
              <w:pStyle w:val="15"/>
              <w:spacing w:line="460" w:lineRule="exact"/>
              <w:ind w:firstLine="480" w:firstLineChars="200"/>
            </w:pPr>
            <w:r>
              <w:rPr>
                <w:bCs/>
                <w:color w:val="000000"/>
                <w:sz w:val="24"/>
              </w:rPr>
              <w:t>由上表可知，</w:t>
            </w:r>
            <w:r>
              <w:rPr>
                <w:color w:val="000000"/>
                <w:sz w:val="24"/>
              </w:rPr>
              <w:t>拟建</w:t>
            </w:r>
            <w:r>
              <w:rPr>
                <w:bCs/>
                <w:color w:val="000000"/>
                <w:sz w:val="24"/>
              </w:rPr>
              <w:t>项目评价范围</w:t>
            </w:r>
            <w:r>
              <w:rPr>
                <w:rFonts w:hint="eastAsia"/>
                <w:bCs/>
                <w:color w:val="000000"/>
                <w:sz w:val="24"/>
              </w:rPr>
              <w:t>的</w:t>
            </w:r>
            <w:r>
              <w:rPr>
                <w:color w:val="000000"/>
                <w:sz w:val="24"/>
              </w:rPr>
              <w:t>特征污染因子非甲烷总烃</w:t>
            </w:r>
            <w:r>
              <w:rPr>
                <w:rFonts w:hint="eastAsia"/>
                <w:bCs/>
                <w:color w:val="000000"/>
                <w:sz w:val="24"/>
              </w:rPr>
              <w:t>1小时平均浓度满足《大气污染物综合排放标准详解》中非甲烷总烃≤2mg/m</w:t>
            </w:r>
            <w:r>
              <w:rPr>
                <w:rFonts w:hint="eastAsia"/>
                <w:bCs/>
                <w:color w:val="000000"/>
                <w:sz w:val="24"/>
                <w:vertAlign w:val="superscript"/>
              </w:rPr>
              <w:t>3</w:t>
            </w:r>
            <w:r>
              <w:rPr>
                <w:rFonts w:hint="eastAsia"/>
                <w:bCs/>
                <w:color w:val="000000"/>
                <w:sz w:val="24"/>
              </w:rPr>
              <w:t>的要求</w:t>
            </w:r>
            <w:r>
              <w:rPr>
                <w:rFonts w:eastAsia="宋体"/>
                <w:bCs/>
                <w:color w:val="000000"/>
                <w:sz w:val="24"/>
                <w:szCs w:val="24"/>
              </w:rPr>
              <w:t>。</w:t>
            </w:r>
          </w:p>
          <w:p>
            <w:pPr>
              <w:spacing w:line="460" w:lineRule="exact"/>
              <w:ind w:firstLine="482" w:firstLineChars="200"/>
              <w:rPr>
                <w:b/>
                <w:bCs/>
                <w:color w:val="000000"/>
                <w:sz w:val="24"/>
                <w:szCs w:val="20"/>
              </w:rPr>
            </w:pPr>
            <w:r>
              <w:rPr>
                <w:rFonts w:hint="eastAsia"/>
                <w:b/>
                <w:bCs/>
                <w:color w:val="000000"/>
                <w:sz w:val="24"/>
              </w:rPr>
              <w:t>二</w:t>
            </w:r>
            <w:r>
              <w:rPr>
                <w:b/>
                <w:bCs/>
                <w:color w:val="000000"/>
                <w:sz w:val="24"/>
              </w:rPr>
              <w:t>、</w:t>
            </w:r>
            <w:r>
              <w:rPr>
                <w:b/>
                <w:bCs/>
                <w:color w:val="000000"/>
                <w:sz w:val="24"/>
                <w:szCs w:val="20"/>
              </w:rPr>
              <w:t>地表水质量现状</w:t>
            </w:r>
          </w:p>
          <w:p>
            <w:pPr>
              <w:spacing w:line="460" w:lineRule="exact"/>
              <w:ind w:firstLine="482" w:firstLineChars="200"/>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为了解该项目所在区域的地表水环境质量现状，本次评价借用洛阳市</w:t>
            </w:r>
            <w:r>
              <w:rPr>
                <w:rFonts w:hint="eastAsia"/>
                <w:b/>
                <w:bCs/>
                <w:color w:val="000000" w:themeColor="text1"/>
                <w:sz w:val="24"/>
                <w:u w:val="single"/>
                <w:lang w:val="en-US" w:eastAsia="zh-CN"/>
                <w14:textFill>
                  <w14:solidFill>
                    <w14:schemeClr w14:val="tx1"/>
                  </w14:solidFill>
                </w14:textFill>
              </w:rPr>
              <w:t>生态</w:t>
            </w:r>
            <w:r>
              <w:rPr>
                <w:b/>
                <w:bCs/>
                <w:color w:val="000000" w:themeColor="text1"/>
                <w:sz w:val="24"/>
                <w:u w:val="single"/>
                <w14:textFill>
                  <w14:solidFill>
                    <w14:schemeClr w14:val="tx1"/>
                  </w14:solidFill>
                </w14:textFill>
              </w:rPr>
              <w:t>环境监</w:t>
            </w:r>
            <w:r>
              <w:rPr>
                <w:rFonts w:hint="eastAsia"/>
                <w:b/>
                <w:bCs/>
                <w:color w:val="000000" w:themeColor="text1"/>
                <w:sz w:val="24"/>
                <w:u w:val="single"/>
                <w:lang w:val="en-US" w:eastAsia="zh-CN"/>
                <w14:textFill>
                  <w14:solidFill>
                    <w14:schemeClr w14:val="tx1"/>
                  </w14:solidFill>
                </w14:textFill>
              </w:rPr>
              <w:t>局</w:t>
            </w:r>
            <w:r>
              <w:rPr>
                <w:b/>
                <w:bCs/>
                <w:color w:val="000000" w:themeColor="text1"/>
                <w:sz w:val="24"/>
                <w:u w:val="single"/>
                <w14:textFill>
                  <w14:solidFill>
                    <w14:schemeClr w14:val="tx1"/>
                  </w14:solidFill>
                </w14:textFill>
              </w:rPr>
              <w:t>公开发布的</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2021年洛阳市生态环境状况公报</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的结论，2021年伊洛河水质为Ⅲ类，水质状况为“良好”</w:t>
            </w:r>
            <w:r>
              <w:rPr>
                <w:b/>
                <w:bCs w:val="0"/>
                <w:color w:val="000000" w:themeColor="text1"/>
                <w:sz w:val="24"/>
                <w:u w:val="single"/>
                <w14:textFill>
                  <w14:solidFill>
                    <w14:schemeClr w14:val="tx1"/>
                  </w14:solidFill>
                </w14:textFill>
              </w:rPr>
              <w:t>。</w:t>
            </w:r>
          </w:p>
          <w:p>
            <w:pPr>
              <w:adjustRightInd w:val="0"/>
              <w:snapToGrid w:val="0"/>
              <w:spacing w:line="460" w:lineRule="exact"/>
              <w:ind w:firstLine="482" w:firstLineChars="200"/>
              <w:rPr>
                <w:b/>
                <w:bCs/>
                <w:color w:val="000000"/>
                <w:sz w:val="24"/>
                <w:szCs w:val="20"/>
              </w:rPr>
            </w:pPr>
            <w:r>
              <w:rPr>
                <w:rFonts w:hint="eastAsia"/>
                <w:b/>
                <w:bCs/>
                <w:color w:val="000000"/>
                <w:sz w:val="24"/>
                <w:szCs w:val="20"/>
              </w:rPr>
              <w:t>三</w:t>
            </w:r>
            <w:r>
              <w:rPr>
                <w:b/>
                <w:bCs/>
                <w:color w:val="000000"/>
                <w:sz w:val="24"/>
                <w:szCs w:val="20"/>
              </w:rPr>
              <w:t>、生态环境</w:t>
            </w:r>
          </w:p>
          <w:p>
            <w:pPr>
              <w:adjustRightInd w:val="0"/>
              <w:snapToGrid w:val="0"/>
              <w:spacing w:line="460" w:lineRule="exact"/>
              <w:ind w:firstLine="480" w:firstLineChars="200"/>
              <w:jc w:val="left"/>
              <w:rPr>
                <w:color w:val="000000"/>
                <w:sz w:val="24"/>
              </w:rPr>
            </w:pPr>
            <w:r>
              <w:rPr>
                <w:color w:val="000000"/>
                <w:sz w:val="24"/>
              </w:rPr>
              <w:t>经现场调查，本项目周边由于长期人为活动和自然条件的影响，生态环境以人工生态环境为主，区域内主要植物以人工栽培</w:t>
            </w:r>
            <w:r>
              <w:rPr>
                <w:rFonts w:hint="eastAsia"/>
                <w:color w:val="000000"/>
                <w:sz w:val="24"/>
              </w:rPr>
              <w:t>植物</w:t>
            </w:r>
            <w:r>
              <w:rPr>
                <w:color w:val="000000"/>
                <w:sz w:val="24"/>
              </w:rPr>
              <w:t>为主，无野生植被、大型野生动物以及受国家保护的动植物种类</w:t>
            </w:r>
            <w:r>
              <w:rPr>
                <w:rFonts w:hint="eastAsia"/>
                <w:color w:val="000000"/>
                <w:sz w:val="24"/>
              </w:rPr>
              <w:t>，附近无自然生态保护区。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520" w:lineRule="exact"/>
              <w:ind w:firstLine="480" w:firstLineChars="200"/>
              <w:contextualSpacing/>
              <w:jc w:val="left"/>
              <w:textAlignment w:val="baseline"/>
            </w:pPr>
            <w:r>
              <w:rPr>
                <w:color w:val="000000"/>
                <w:sz w:val="24"/>
              </w:rPr>
              <w:t>本项目厂界外500米范围内无地下水集中式饮用水水源和热水、矿泉水、温泉等特殊地下水资源。主要环境保护目标见</w:t>
            </w:r>
            <w:r>
              <w:rPr>
                <w:rFonts w:hint="eastAsia"/>
                <w:color w:val="000000"/>
                <w:sz w:val="24"/>
              </w:rPr>
              <w:t>下</w:t>
            </w:r>
            <w:r>
              <w:rPr>
                <w:color w:val="000000"/>
                <w:sz w:val="24"/>
              </w:rPr>
              <w:t>表。</w:t>
            </w:r>
          </w:p>
          <w:p>
            <w:pPr>
              <w:pStyle w:val="5"/>
              <w:numPr>
                <w:ilvl w:val="0"/>
                <w:numId w:val="0"/>
              </w:numPr>
              <w:ind w:firstLine="482" w:firstLineChars="200"/>
            </w:pPr>
            <w:r>
              <w:rPr>
                <w:rFonts w:hint="eastAsia"/>
              </w:rPr>
              <w:t>表</w:t>
            </w:r>
            <w:r>
              <w:rPr>
                <w:rFonts w:hint="eastAsia"/>
                <w:lang w:val="en-US" w:eastAsia="zh-CN"/>
              </w:rPr>
              <w:t>17</w:t>
            </w:r>
            <w:r>
              <w:rPr>
                <w:rFonts w:hint="eastAsia"/>
              </w:rPr>
              <w:t xml:space="preserve">            本项目主要环境保护目标一览表</w:t>
            </w:r>
          </w:p>
          <w:tbl>
            <w:tblPr>
              <w:tblStyle w:val="21"/>
              <w:tblpPr w:leftFromText="180" w:rightFromText="180" w:vertAnchor="text" w:horzAnchor="page" w:tblpX="88" w:tblpY="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57"/>
              <w:gridCol w:w="854"/>
              <w:gridCol w:w="1559"/>
              <w:gridCol w:w="147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5" w:type="dxa"/>
                  <w:vAlign w:val="center"/>
                </w:tcPr>
                <w:p>
                  <w:pPr>
                    <w:widowControl/>
                    <w:spacing w:line="320" w:lineRule="exact"/>
                    <w:contextualSpacing/>
                    <w:jc w:val="center"/>
                  </w:pPr>
                  <w:r>
                    <w:t>环境</w:t>
                  </w:r>
                </w:p>
              </w:tc>
              <w:tc>
                <w:tcPr>
                  <w:tcW w:w="1257" w:type="dxa"/>
                  <w:vAlign w:val="center"/>
                </w:tcPr>
                <w:p>
                  <w:pPr>
                    <w:widowControl/>
                    <w:spacing w:line="320" w:lineRule="exact"/>
                    <w:contextualSpacing/>
                    <w:jc w:val="center"/>
                  </w:pPr>
                  <w:r>
                    <w:t>保护对象</w:t>
                  </w:r>
                </w:p>
              </w:tc>
              <w:tc>
                <w:tcPr>
                  <w:tcW w:w="854" w:type="dxa"/>
                  <w:vAlign w:val="center"/>
                </w:tcPr>
                <w:p>
                  <w:pPr>
                    <w:widowControl/>
                    <w:spacing w:line="320" w:lineRule="exact"/>
                    <w:contextualSpacing/>
                    <w:jc w:val="center"/>
                  </w:pPr>
                  <w:r>
                    <w:t>方位</w:t>
                  </w:r>
                </w:p>
              </w:tc>
              <w:tc>
                <w:tcPr>
                  <w:tcW w:w="1559" w:type="dxa"/>
                  <w:vAlign w:val="center"/>
                </w:tcPr>
                <w:p>
                  <w:pPr>
                    <w:widowControl/>
                    <w:spacing w:line="320" w:lineRule="exact"/>
                    <w:contextualSpacing/>
                    <w:jc w:val="center"/>
                  </w:pPr>
                  <w:r>
                    <w:t>相对</w:t>
                  </w:r>
                  <w:r>
                    <w:rPr>
                      <w:rFonts w:hint="eastAsia"/>
                    </w:rPr>
                    <w:t>厂界</w:t>
                  </w:r>
                  <w:r>
                    <w:t>距离(m)</w:t>
                  </w:r>
                </w:p>
              </w:tc>
              <w:tc>
                <w:tcPr>
                  <w:tcW w:w="1472" w:type="dxa"/>
                  <w:vAlign w:val="center"/>
                </w:tcPr>
                <w:p>
                  <w:pPr>
                    <w:widowControl/>
                    <w:spacing w:line="320" w:lineRule="exact"/>
                    <w:contextualSpacing/>
                    <w:jc w:val="center"/>
                  </w:pPr>
                  <w:r>
                    <w:t>保护对象</w:t>
                  </w:r>
                </w:p>
              </w:tc>
              <w:tc>
                <w:tcPr>
                  <w:tcW w:w="2565" w:type="dxa"/>
                  <w:vAlign w:val="center"/>
                </w:tcPr>
                <w:p>
                  <w:pPr>
                    <w:widowControl/>
                    <w:spacing w:line="320" w:lineRule="exact"/>
                    <w:contextualSpacing/>
                    <w:jc w:val="center"/>
                  </w:pPr>
                  <w: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5" w:type="dxa"/>
                  <w:vMerge w:val="restart"/>
                  <w:vAlign w:val="center"/>
                </w:tcPr>
                <w:p>
                  <w:pPr>
                    <w:widowControl/>
                    <w:spacing w:line="320" w:lineRule="exact"/>
                    <w:contextualSpacing/>
                    <w:jc w:val="center"/>
                  </w:pPr>
                  <w:r>
                    <w:t>环境</w:t>
                  </w:r>
                </w:p>
                <w:p>
                  <w:pPr>
                    <w:widowControl/>
                    <w:spacing w:line="320" w:lineRule="exact"/>
                    <w:contextualSpacing/>
                    <w:jc w:val="center"/>
                  </w:pPr>
                  <w:r>
                    <w:t>空气</w:t>
                  </w:r>
                </w:p>
              </w:tc>
              <w:tc>
                <w:tcPr>
                  <w:tcW w:w="1257" w:type="dxa"/>
                  <w:vAlign w:val="center"/>
                </w:tcPr>
                <w:p>
                  <w:pPr>
                    <w:pStyle w:val="8"/>
                    <w:spacing w:before="0" w:after="0" w:line="360" w:lineRule="exact"/>
                    <w:jc w:val="center"/>
                    <w:rPr>
                      <w:rFonts w:hint="eastAsia" w:eastAsia="宋体"/>
                      <w:lang w:eastAsia="zh-CN"/>
                    </w:rPr>
                  </w:pPr>
                  <w:r>
                    <w:rPr>
                      <w:rFonts w:hint="eastAsia"/>
                      <w:sz w:val="21"/>
                      <w:szCs w:val="21"/>
                      <w:lang w:val="en-US" w:eastAsia="zh-CN"/>
                    </w:rPr>
                    <w:t>东屯村</w:t>
                  </w:r>
                </w:p>
              </w:tc>
              <w:tc>
                <w:tcPr>
                  <w:tcW w:w="854" w:type="dxa"/>
                  <w:vAlign w:val="center"/>
                </w:tcPr>
                <w:p>
                  <w:pPr>
                    <w:widowControl/>
                    <w:spacing w:line="320" w:lineRule="exact"/>
                    <w:contextualSpacing/>
                    <w:jc w:val="center"/>
                    <w:rPr>
                      <w:rFonts w:hint="default" w:eastAsia="宋体"/>
                      <w:lang w:val="en-US" w:eastAsia="zh-CN"/>
                    </w:rPr>
                  </w:pPr>
                  <w:r>
                    <w:rPr>
                      <w:rFonts w:hint="eastAsia"/>
                      <w:lang w:val="en-US" w:eastAsia="zh-CN"/>
                    </w:rPr>
                    <w:t>南</w:t>
                  </w:r>
                </w:p>
              </w:tc>
              <w:tc>
                <w:tcPr>
                  <w:tcW w:w="1559" w:type="dxa"/>
                  <w:vAlign w:val="center"/>
                </w:tcPr>
                <w:p>
                  <w:pPr>
                    <w:spacing w:line="320" w:lineRule="exact"/>
                    <w:contextualSpacing/>
                    <w:jc w:val="center"/>
                    <w:rPr>
                      <w:rFonts w:hint="default" w:eastAsia="宋体"/>
                      <w:lang w:val="en-US" w:eastAsia="zh-CN"/>
                    </w:rPr>
                  </w:pPr>
                  <w:r>
                    <w:rPr>
                      <w:rFonts w:hint="eastAsia"/>
                      <w:lang w:val="en-US" w:eastAsia="zh-CN"/>
                    </w:rPr>
                    <w:t>150</w:t>
                  </w:r>
                </w:p>
              </w:tc>
              <w:tc>
                <w:tcPr>
                  <w:tcW w:w="1472" w:type="dxa"/>
                  <w:vAlign w:val="center"/>
                </w:tcPr>
                <w:p>
                  <w:pPr>
                    <w:spacing w:line="320" w:lineRule="exact"/>
                    <w:contextualSpacing/>
                    <w:jc w:val="center"/>
                  </w:pPr>
                  <w:r>
                    <w:rPr>
                      <w:rFonts w:hint="eastAsia"/>
                      <w:lang w:val="en-US" w:eastAsia="zh-CN"/>
                    </w:rPr>
                    <w:t>3200</w:t>
                  </w:r>
                  <w:r>
                    <w:rPr>
                      <w:rFonts w:hint="eastAsia"/>
                    </w:rPr>
                    <w:t>人</w:t>
                  </w:r>
                </w:p>
              </w:tc>
              <w:tc>
                <w:tcPr>
                  <w:tcW w:w="2565" w:type="dxa"/>
                  <w:vMerge w:val="restart"/>
                  <w:vAlign w:val="center"/>
                </w:tcPr>
                <w:p>
                  <w:pPr>
                    <w:widowControl/>
                    <w:spacing w:line="320" w:lineRule="exact"/>
                    <w:contextualSpacing/>
                    <w:jc w:val="center"/>
                  </w:pPr>
                  <w:r>
                    <w:t>《环境空气质量标准》</w:t>
                  </w:r>
                </w:p>
                <w:p>
                  <w:pPr>
                    <w:spacing w:line="320" w:lineRule="exact"/>
                    <w:contextualSpacing/>
                    <w:jc w:val="center"/>
                  </w:pPr>
                  <w: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815" w:type="dxa"/>
                  <w:vMerge w:val="continue"/>
                  <w:vAlign w:val="center"/>
                </w:tcPr>
                <w:p>
                  <w:pPr>
                    <w:widowControl/>
                    <w:spacing w:line="320" w:lineRule="exact"/>
                    <w:contextualSpacing/>
                    <w:jc w:val="center"/>
                  </w:pPr>
                </w:p>
              </w:tc>
              <w:tc>
                <w:tcPr>
                  <w:tcW w:w="1257" w:type="dxa"/>
                  <w:vAlign w:val="center"/>
                </w:tcPr>
                <w:p>
                  <w:pPr>
                    <w:pStyle w:val="8"/>
                    <w:spacing w:before="0" w:after="0" w:line="360" w:lineRule="exact"/>
                    <w:jc w:val="center"/>
                    <w:rPr>
                      <w:rFonts w:hint="default"/>
                      <w:sz w:val="21"/>
                      <w:szCs w:val="21"/>
                      <w:lang w:val="en-US" w:eastAsia="zh-CN"/>
                    </w:rPr>
                  </w:pPr>
                  <w:r>
                    <w:rPr>
                      <w:rFonts w:hint="eastAsia"/>
                      <w:sz w:val="21"/>
                      <w:szCs w:val="21"/>
                      <w:lang w:val="en-US" w:eastAsia="zh-CN"/>
                    </w:rPr>
                    <w:t>西沟</w:t>
                  </w:r>
                </w:p>
              </w:tc>
              <w:tc>
                <w:tcPr>
                  <w:tcW w:w="854" w:type="dxa"/>
                  <w:vAlign w:val="center"/>
                </w:tcPr>
                <w:p>
                  <w:pPr>
                    <w:widowControl/>
                    <w:spacing w:line="320" w:lineRule="exact"/>
                    <w:contextualSpacing/>
                    <w:jc w:val="center"/>
                    <w:rPr>
                      <w:rFonts w:hint="default"/>
                      <w:lang w:val="en-US" w:eastAsia="zh-CN"/>
                    </w:rPr>
                  </w:pPr>
                  <w:r>
                    <w:rPr>
                      <w:rFonts w:hint="eastAsia"/>
                      <w:lang w:val="en-US" w:eastAsia="zh-CN"/>
                    </w:rPr>
                    <w:t>西南</w:t>
                  </w:r>
                </w:p>
              </w:tc>
              <w:tc>
                <w:tcPr>
                  <w:tcW w:w="1559" w:type="dxa"/>
                  <w:vAlign w:val="center"/>
                </w:tcPr>
                <w:p>
                  <w:pPr>
                    <w:spacing w:line="320" w:lineRule="exact"/>
                    <w:contextualSpacing/>
                    <w:jc w:val="center"/>
                    <w:rPr>
                      <w:rFonts w:hint="default"/>
                      <w:lang w:val="en-US" w:eastAsia="zh-CN"/>
                    </w:rPr>
                  </w:pPr>
                  <w:r>
                    <w:rPr>
                      <w:rFonts w:hint="eastAsia"/>
                      <w:lang w:val="en-US" w:eastAsia="zh-CN"/>
                    </w:rPr>
                    <w:t>185</w:t>
                  </w:r>
                </w:p>
              </w:tc>
              <w:tc>
                <w:tcPr>
                  <w:tcW w:w="1472" w:type="dxa"/>
                  <w:vAlign w:val="center"/>
                </w:tcPr>
                <w:p>
                  <w:pPr>
                    <w:spacing w:line="320" w:lineRule="exact"/>
                    <w:contextualSpacing/>
                    <w:jc w:val="center"/>
                    <w:rPr>
                      <w:rFonts w:hint="default"/>
                      <w:lang w:val="en-US" w:eastAsia="zh-CN"/>
                    </w:rPr>
                  </w:pPr>
                  <w:r>
                    <w:rPr>
                      <w:rFonts w:hint="eastAsia"/>
                      <w:lang w:val="en-US" w:eastAsia="zh-CN"/>
                    </w:rPr>
                    <w:t>1500人</w:t>
                  </w:r>
                </w:p>
              </w:tc>
              <w:tc>
                <w:tcPr>
                  <w:tcW w:w="2565" w:type="dxa"/>
                  <w:vMerge w:val="continue"/>
                  <w:vAlign w:val="center"/>
                </w:tcPr>
                <w:p>
                  <w:pPr>
                    <w:spacing w:line="320" w:lineRule="exact"/>
                    <w:contextualSpacing/>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5" w:type="dxa"/>
                  <w:vMerge w:val="continue"/>
                  <w:vAlign w:val="center"/>
                </w:tcPr>
                <w:p>
                  <w:pPr>
                    <w:widowControl/>
                    <w:spacing w:line="320" w:lineRule="exact"/>
                    <w:contextualSpacing/>
                    <w:jc w:val="center"/>
                  </w:pPr>
                </w:p>
              </w:tc>
              <w:tc>
                <w:tcPr>
                  <w:tcW w:w="1257" w:type="dxa"/>
                  <w:vAlign w:val="center"/>
                </w:tcPr>
                <w:p>
                  <w:pPr>
                    <w:pStyle w:val="8"/>
                    <w:spacing w:before="0" w:after="0" w:line="360" w:lineRule="exact"/>
                    <w:jc w:val="center"/>
                    <w:rPr>
                      <w:rFonts w:hint="default"/>
                      <w:sz w:val="21"/>
                      <w:szCs w:val="21"/>
                      <w:lang w:val="en-US" w:eastAsia="zh-CN"/>
                    </w:rPr>
                  </w:pPr>
                  <w:r>
                    <w:rPr>
                      <w:rFonts w:hint="eastAsia"/>
                      <w:sz w:val="21"/>
                      <w:szCs w:val="21"/>
                      <w:lang w:val="en-US" w:eastAsia="zh-CN"/>
                    </w:rPr>
                    <w:t>许庄寨</w:t>
                  </w:r>
                </w:p>
              </w:tc>
              <w:tc>
                <w:tcPr>
                  <w:tcW w:w="854" w:type="dxa"/>
                  <w:vAlign w:val="center"/>
                </w:tcPr>
                <w:p>
                  <w:pPr>
                    <w:widowControl/>
                    <w:spacing w:line="320" w:lineRule="exact"/>
                    <w:contextualSpacing/>
                    <w:jc w:val="center"/>
                    <w:rPr>
                      <w:rFonts w:hint="default"/>
                      <w:lang w:val="en-US" w:eastAsia="zh-CN"/>
                    </w:rPr>
                  </w:pPr>
                  <w:r>
                    <w:rPr>
                      <w:rFonts w:hint="eastAsia"/>
                      <w:lang w:val="en-US" w:eastAsia="zh-CN"/>
                    </w:rPr>
                    <w:t>西</w:t>
                  </w:r>
                </w:p>
              </w:tc>
              <w:tc>
                <w:tcPr>
                  <w:tcW w:w="1559" w:type="dxa"/>
                  <w:vAlign w:val="center"/>
                </w:tcPr>
                <w:p>
                  <w:pPr>
                    <w:spacing w:line="320" w:lineRule="exact"/>
                    <w:contextualSpacing/>
                    <w:jc w:val="center"/>
                    <w:rPr>
                      <w:rFonts w:hint="default"/>
                      <w:lang w:val="en-US" w:eastAsia="zh-CN"/>
                    </w:rPr>
                  </w:pPr>
                  <w:r>
                    <w:rPr>
                      <w:rFonts w:hint="eastAsia"/>
                      <w:lang w:val="en-US" w:eastAsia="zh-CN"/>
                    </w:rPr>
                    <w:t>432</w:t>
                  </w:r>
                </w:p>
              </w:tc>
              <w:tc>
                <w:tcPr>
                  <w:tcW w:w="1472" w:type="dxa"/>
                  <w:vAlign w:val="center"/>
                </w:tcPr>
                <w:p>
                  <w:pPr>
                    <w:spacing w:line="320" w:lineRule="exact"/>
                    <w:contextualSpacing/>
                    <w:jc w:val="center"/>
                    <w:rPr>
                      <w:rFonts w:hint="default"/>
                      <w:lang w:val="en-US" w:eastAsia="zh-CN"/>
                    </w:rPr>
                  </w:pPr>
                  <w:r>
                    <w:rPr>
                      <w:rFonts w:hint="eastAsia"/>
                      <w:lang w:val="en-US" w:eastAsia="zh-CN"/>
                    </w:rPr>
                    <w:t>1450人</w:t>
                  </w:r>
                </w:p>
              </w:tc>
              <w:tc>
                <w:tcPr>
                  <w:tcW w:w="2565" w:type="dxa"/>
                  <w:vMerge w:val="continue"/>
                  <w:vAlign w:val="center"/>
                </w:tcPr>
                <w:p>
                  <w:pPr>
                    <w:spacing w:line="320" w:lineRule="exact"/>
                    <w:contextualSpacing/>
                    <w:jc w:val="center"/>
                  </w:pPr>
                </w:p>
              </w:tc>
            </w:tr>
          </w:tbl>
          <w:p>
            <w:pPr>
              <w:pStyle w:val="19"/>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712"/>
              <w:gridCol w:w="2160"/>
              <w:gridCol w:w="1245"/>
              <w:gridCol w:w="130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环境</w:t>
                  </w:r>
                </w:p>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要素</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标准编号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标准名称</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执行级别（类别）</w:t>
                  </w:r>
                </w:p>
              </w:tc>
              <w:tc>
                <w:tcPr>
                  <w:tcW w:w="2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r>
                    <w:rPr>
                      <w:rFonts w:hint="eastAsia" w:ascii="Times New Roman" w:hAnsi="Times New Roman" w:eastAsia="宋体" w:cs="Times New Roman"/>
                      <w:color w:val="000000"/>
                      <w:szCs w:val="24"/>
                      <w:u w:val="none"/>
                    </w:rPr>
                    <w:t>大气</w:t>
                  </w: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b w:val="0"/>
                      <w:bCs w:val="0"/>
                      <w:color w:val="000000"/>
                      <w:u w:val="none"/>
                    </w:rPr>
                    <w:t>GB31572-2015</w:t>
                  </w:r>
                </w:p>
              </w:tc>
              <w:tc>
                <w:tcPr>
                  <w:tcW w:w="2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b w:val="0"/>
                      <w:bCs w:val="0"/>
                      <w:color w:val="000000"/>
                      <w:u w:val="none"/>
                    </w:rPr>
                    <w:t>《</w:t>
                  </w:r>
                  <w:r>
                    <w:rPr>
                      <w:rFonts w:hint="eastAsia"/>
                      <w:b w:val="0"/>
                      <w:bCs w:val="0"/>
                      <w:color w:val="000000"/>
                      <w:u w:val="none"/>
                    </w:rPr>
                    <w:t>合成树脂工业污染物排放标准</w:t>
                  </w:r>
                  <w:r>
                    <w:rPr>
                      <w:b w:val="0"/>
                      <w:bCs w:val="0"/>
                      <w:color w:val="000000"/>
                      <w:u w:val="none"/>
                    </w:rPr>
                    <w:t>》</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color w:val="000000"/>
                      <w:szCs w:val="24"/>
                      <w:u w:val="none"/>
                      <w:lang w:val="en-US" w:eastAsia="zh-CN"/>
                    </w:rPr>
                  </w:pPr>
                  <w:r>
                    <w:rPr>
                      <w:rFonts w:hint="eastAsia"/>
                      <w:b w:val="0"/>
                      <w:bCs w:val="0"/>
                      <w:color w:val="000000"/>
                      <w:szCs w:val="21"/>
                      <w:u w:val="none"/>
                    </w:rPr>
                    <w:t>表5限值</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b w:val="0"/>
                      <w:bCs w:val="0"/>
                      <w:color w:val="000000"/>
                      <w:u w:val="none"/>
                    </w:rPr>
                    <w:t>非甲烷总烃</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b w:val="0"/>
                      <w:bCs w:val="0"/>
                      <w:color w:val="000000"/>
                      <w:szCs w:val="21"/>
                      <w:u w:val="none"/>
                    </w:rPr>
                    <w:t>60</w:t>
                  </w:r>
                  <w:r>
                    <w:rPr>
                      <w:b w:val="0"/>
                      <w:bCs w:val="0"/>
                      <w:color w:val="000000"/>
                      <w:szCs w:val="21"/>
                      <w:u w:val="none"/>
                    </w:rPr>
                    <w:t>mg/m</w:t>
                  </w:r>
                  <w:r>
                    <w:rPr>
                      <w:b w:val="0"/>
                      <w:bCs w:val="0"/>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21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r>
                    <w:rPr>
                      <w:rFonts w:hint="eastAsia"/>
                      <w:b w:val="0"/>
                      <w:bCs w:val="0"/>
                      <w:color w:val="000000"/>
                      <w:szCs w:val="21"/>
                      <w:u w:val="none"/>
                    </w:rPr>
                    <w:t>厂界</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r>
                    <w:rPr>
                      <w:rFonts w:hint="eastAsia"/>
                      <w:b w:val="0"/>
                      <w:bCs w:val="0"/>
                      <w:color w:val="000000"/>
                      <w:u w:val="none"/>
                    </w:rPr>
                    <w:t>非甲烷总烃</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b w:val="0"/>
                      <w:bCs w:val="0"/>
                      <w:color w:val="000000"/>
                      <w:szCs w:val="21"/>
                      <w:u w:val="none"/>
                    </w:rPr>
                    <w:t>4.0</w:t>
                  </w:r>
                  <w:r>
                    <w:rPr>
                      <w:b w:val="0"/>
                      <w:bCs w:val="0"/>
                      <w:color w:val="000000"/>
                      <w:szCs w:val="21"/>
                      <w:u w:val="none"/>
                    </w:rPr>
                    <w:t>mg/m</w:t>
                  </w:r>
                  <w:r>
                    <w:rPr>
                      <w:b w:val="0"/>
                      <w:bCs w:val="0"/>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kern w:val="0"/>
                      <w:szCs w:val="21"/>
                    </w:rPr>
                    <w:t>豫环攻坚办〔2017〕162号</w:t>
                  </w:r>
                </w:p>
              </w:tc>
              <w:tc>
                <w:tcPr>
                  <w:tcW w:w="2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r>
                    <w:rPr>
                      <w:kern w:val="0"/>
                      <w:szCs w:val="21"/>
                    </w:rPr>
                    <w:t>《关于全省开展工业企业挥发性有机物专项治理工作中排放建议值的通知》</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color w:val="000000"/>
                      <w:szCs w:val="21"/>
                    </w:rPr>
                    <w:t>排放口</w:t>
                  </w:r>
                </w:p>
              </w:tc>
              <w:tc>
                <w:tcPr>
                  <w:tcW w:w="13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r>
                    <w:rPr>
                      <w:rFonts w:hint="eastAsia"/>
                      <w:color w:val="000000"/>
                      <w:szCs w:val="21"/>
                    </w:rPr>
                    <w:t>非甲烷总烃</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szCs w:val="21"/>
                    </w:rPr>
                    <w:t>80</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21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color w:val="000000"/>
                      <w:szCs w:val="21"/>
                    </w:rPr>
                    <w:t>厂界</w:t>
                  </w:r>
                </w:p>
              </w:tc>
              <w:tc>
                <w:tcPr>
                  <w:tcW w:w="13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szCs w:val="21"/>
                    </w:rPr>
                    <w:t>2</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eastAsia="宋体"/>
                      <w:b/>
                      <w:bCs/>
                      <w:color w:val="000000"/>
                      <w:szCs w:val="21"/>
                      <w:u w:val="single"/>
                      <w:lang w:val="en-US" w:eastAsia="zh-CN"/>
                    </w:rPr>
                  </w:pPr>
                  <w:r>
                    <w:rPr>
                      <w:rFonts w:hint="eastAsia"/>
                      <w:b w:val="0"/>
                      <w:bCs w:val="0"/>
                      <w:color w:val="000000"/>
                      <w:szCs w:val="21"/>
                      <w:u w:val="none"/>
                      <w:lang w:val="en-US" w:eastAsia="zh-CN"/>
                    </w:rPr>
                    <w:t>/</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b w:val="0"/>
                      <w:bCs w:val="0"/>
                      <w:color w:val="000000"/>
                      <w:szCs w:val="21"/>
                      <w:u w:val="none"/>
                    </w:rPr>
                  </w:pPr>
                  <w:r>
                    <w:rPr>
                      <w:rFonts w:hint="eastAsia" w:ascii="Times New Roman" w:hAnsi="Times New Roman" w:eastAsia="宋体" w:cs="Times New Roman"/>
                      <w:b w:val="0"/>
                      <w:bCs w:val="0"/>
                      <w:color w:val="000000"/>
                      <w:szCs w:val="21"/>
                      <w:u w:val="none"/>
                      <w:lang w:eastAsia="zh-CN"/>
                    </w:rPr>
                    <w:t>《重污染天气重点行业应急减排措施制定技术指南（2020年修订版）》</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b w:val="0"/>
                      <w:bCs w:val="0"/>
                      <w:color w:val="000000"/>
                      <w:szCs w:val="21"/>
                      <w:u w:val="none"/>
                    </w:rPr>
                  </w:pPr>
                  <w:r>
                    <w:rPr>
                      <w:rFonts w:hint="eastAsia"/>
                      <w:b w:val="0"/>
                      <w:bCs w:val="0"/>
                      <w:color w:val="000000"/>
                      <w:szCs w:val="21"/>
                      <w:u w:val="none"/>
                    </w:rPr>
                    <w:t>排放口</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en-US" w:eastAsia="zh-CN"/>
                    </w:rPr>
                    <w:t>非甲烷总烃</w:t>
                  </w:r>
                </w:p>
              </w:tc>
              <w:tc>
                <w:tcPr>
                  <w:tcW w:w="1437"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40</w:t>
                  </w:r>
                  <w:r>
                    <w:rPr>
                      <w:b w:val="0"/>
                      <w:bCs w:val="0"/>
                      <w:color w:val="000000"/>
                      <w:szCs w:val="21"/>
                      <w:u w:val="none"/>
                    </w:rPr>
                    <w:t>mg/m</w:t>
                  </w:r>
                  <w:r>
                    <w:rPr>
                      <w:b w:val="0"/>
                      <w:bCs w:val="0"/>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GB37822—2019</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color w:val="000000"/>
                      <w:szCs w:val="21"/>
                    </w:rPr>
                    <w:t>《挥发性有机物无组织排放控制标准》</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表A.1特别排放限值</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非甲烷总烃</w:t>
                  </w:r>
                </w:p>
              </w:tc>
              <w:tc>
                <w:tcPr>
                  <w:tcW w:w="1437"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color w:val="000000"/>
                      <w:szCs w:val="21"/>
                      <w:u w:val="none"/>
                    </w:rPr>
                  </w:pPr>
                  <w:r>
                    <w:rPr>
                      <w:b w:val="0"/>
                      <w:sz w:val="21"/>
                      <w:szCs w:val="21"/>
                    </w:rPr>
                    <w:t>一次值浓度≤20mg/m</w:t>
                  </w:r>
                  <w:r>
                    <w:rPr>
                      <w:b w:val="0"/>
                      <w:sz w:val="21"/>
                      <w:szCs w:val="21"/>
                      <w:vertAlign w:val="superscript"/>
                    </w:rPr>
                    <w:t>3</w:t>
                  </w:r>
                  <w:r>
                    <w:rPr>
                      <w:b w:val="0"/>
                      <w:sz w:val="21"/>
                      <w:szCs w:val="21"/>
                    </w:rPr>
                    <w:t>；1h平均浓度≤6mg/m</w:t>
                  </w:r>
                  <w:r>
                    <w:rPr>
                      <w:b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rPr>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bCs/>
                      <w:color w:val="000000"/>
                      <w:szCs w:val="21"/>
                      <w:u w:val="none"/>
                    </w:rPr>
                  </w:pPr>
                  <w:r>
                    <w:rPr>
                      <w:rFonts w:ascii="Times New Roman" w:hAnsi="Times New Roman" w:eastAsia="宋体" w:cs="Times New Roman"/>
                      <w:bCs/>
                      <w:color w:val="000000"/>
                      <w:szCs w:val="21"/>
                      <w:u w:val="none"/>
                    </w:rPr>
                    <w:t>噪声</w:t>
                  </w: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GB12348-2008</w:t>
                  </w:r>
                </w:p>
              </w:tc>
              <w:tc>
                <w:tcPr>
                  <w:tcW w:w="2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《工业企业厂界环境噪声排放标准》</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cs="Times New Roman"/>
                      <w:color w:val="000000"/>
                      <w:szCs w:val="21"/>
                      <w:u w:val="none"/>
                      <w:lang w:val="en-US" w:eastAsia="zh-CN"/>
                    </w:rPr>
                    <w:t>2</w:t>
                  </w:r>
                  <w:r>
                    <w:rPr>
                      <w:rFonts w:ascii="Times New Roman" w:hAnsi="Times New Roman" w:eastAsia="宋体" w:cs="Times New Roman"/>
                      <w:color w:val="000000"/>
                      <w:szCs w:val="21"/>
                      <w:u w:val="none"/>
                    </w:rPr>
                    <w:t>类</w:t>
                  </w:r>
                </w:p>
              </w:tc>
              <w:tc>
                <w:tcPr>
                  <w:tcW w:w="1305" w:type="dxa"/>
                  <w:noWrap w:val="0"/>
                  <w:vAlign w:val="center"/>
                </w:tcPr>
                <w:p>
                  <w:pPr>
                    <w:spacing w:line="320" w:lineRule="exact"/>
                    <w:contextualSpacing/>
                    <w:jc w:val="center"/>
                    <w:rPr>
                      <w:rFonts w:ascii="Times New Roman" w:hAnsi="Times New Roman" w:eastAsia="宋体" w:cs="Times New Roman"/>
                      <w:color w:val="000000"/>
                      <w:szCs w:val="24"/>
                      <w:u w:val="none"/>
                    </w:rPr>
                  </w:pPr>
                  <w:r>
                    <w:rPr>
                      <w:color w:val="000000"/>
                      <w:szCs w:val="21"/>
                    </w:rPr>
                    <w:t>昼间</w:t>
                  </w:r>
                </w:p>
              </w:tc>
              <w:tc>
                <w:tcPr>
                  <w:tcW w:w="1437" w:type="dxa"/>
                  <w:noWrap w:val="0"/>
                  <w:vAlign w:val="center"/>
                </w:tcPr>
                <w:p>
                  <w:pPr>
                    <w:spacing w:line="320" w:lineRule="exact"/>
                    <w:contextualSpacing/>
                    <w:jc w:val="center"/>
                    <w:rPr>
                      <w:rFonts w:ascii="Times New Roman" w:hAnsi="Times New Roman" w:eastAsia="宋体" w:cs="Times New Roman"/>
                      <w:color w:val="000000"/>
                      <w:szCs w:val="24"/>
                      <w:u w:val="none"/>
                    </w:rPr>
                  </w:pPr>
                  <w:r>
                    <w:rPr>
                      <w:color w:val="000000"/>
                      <w:szCs w:val="21"/>
                    </w:rPr>
                    <w:t>≤</w:t>
                  </w:r>
                  <w:r>
                    <w:rPr>
                      <w:rFonts w:hint="eastAsia"/>
                      <w:color w:val="000000"/>
                      <w:lang w:val="en-US" w:eastAsia="zh-CN"/>
                    </w:rPr>
                    <w:t>60</w:t>
                  </w:r>
                  <w:r>
                    <w:rPr>
                      <w:color w:val="000000"/>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21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305" w:type="dxa"/>
                  <w:noWrap w:val="0"/>
                  <w:vAlign w:val="center"/>
                </w:tcPr>
                <w:p>
                  <w:pPr>
                    <w:spacing w:line="320" w:lineRule="exact"/>
                    <w:contextualSpacing/>
                    <w:jc w:val="center"/>
                    <w:rPr>
                      <w:rFonts w:ascii="Times New Roman" w:hAnsi="Times New Roman" w:eastAsia="宋体" w:cs="Times New Roman"/>
                      <w:color w:val="000000"/>
                      <w:szCs w:val="24"/>
                      <w:u w:val="none"/>
                    </w:rPr>
                  </w:pPr>
                  <w:r>
                    <w:rPr>
                      <w:color w:val="000000"/>
                      <w:szCs w:val="21"/>
                    </w:rPr>
                    <w:t>夜间</w:t>
                  </w:r>
                </w:p>
              </w:tc>
              <w:tc>
                <w:tcPr>
                  <w:tcW w:w="1437" w:type="dxa"/>
                  <w:noWrap w:val="0"/>
                  <w:vAlign w:val="center"/>
                </w:tcPr>
                <w:p>
                  <w:pPr>
                    <w:spacing w:line="320" w:lineRule="exact"/>
                    <w:contextualSpacing/>
                    <w:jc w:val="center"/>
                    <w:rPr>
                      <w:rFonts w:ascii="Times New Roman" w:hAnsi="Times New Roman" w:eastAsia="宋体" w:cs="Times New Roman"/>
                      <w:color w:val="000000"/>
                      <w:szCs w:val="24"/>
                      <w:u w:val="none"/>
                    </w:rPr>
                  </w:pPr>
                  <w:r>
                    <w:rPr>
                      <w:color w:val="000000"/>
                      <w:szCs w:val="21"/>
                    </w:rPr>
                    <w:t>≤</w:t>
                  </w:r>
                  <w:r>
                    <w:rPr>
                      <w:rFonts w:hint="eastAsia"/>
                      <w:color w:val="000000"/>
                      <w:lang w:val="en-US" w:eastAsia="zh-CN"/>
                    </w:rPr>
                    <w:t>50</w:t>
                  </w:r>
                  <w:r>
                    <w:rPr>
                      <w:color w:val="000000"/>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rPr>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废水</w:t>
                  </w:r>
                </w:p>
              </w:tc>
              <w:tc>
                <w:tcPr>
                  <w:tcW w:w="17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szCs w:val="21"/>
                      <w:u w:val="none"/>
                    </w:rPr>
                    <w:t>GB8978-1996</w:t>
                  </w:r>
                </w:p>
              </w:tc>
              <w:tc>
                <w:tcPr>
                  <w:tcW w:w="2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《污水综合排放标准》</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表4三级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COD</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p>
              </w:tc>
              <w:tc>
                <w:tcPr>
                  <w:tcW w:w="17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szCs w:val="21"/>
                      <w:u w:val="none"/>
                    </w:rPr>
                  </w:pPr>
                </w:p>
              </w:tc>
              <w:tc>
                <w:tcPr>
                  <w:tcW w:w="21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contextualSpacing/>
                    <w:textAlignment w:val="auto"/>
                    <w:rPr>
                      <w:rFonts w:cs="Times New Roman"/>
                      <w:szCs w:val="21"/>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氨氮</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固废</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ascii="Times New Roman" w:hAnsi="Times New Roman" w:eastAsia="宋体" w:cs="Times New Roman"/>
                      <w:color w:val="000000"/>
                      <w:szCs w:val="21"/>
                      <w:u w:val="none"/>
                    </w:rPr>
                    <w:t>GB18597-2001</w:t>
                  </w:r>
                </w:p>
              </w:tc>
              <w:tc>
                <w:tcPr>
                  <w:tcW w:w="61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ascii="Times New Roman" w:hAnsi="Times New Roman" w:eastAsia="宋体" w:cs="Times New Roman"/>
                      <w:szCs w:val="21"/>
                      <w:u w:val="none"/>
                    </w:rPr>
                    <w:t>《危险废物贮存污染控制标准》及修改单</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spacing w:line="360" w:lineRule="auto"/>
              <w:ind w:firstLine="480" w:firstLineChars="200"/>
              <w:contextualSpacing/>
              <w:rPr>
                <w:rFonts w:ascii="Times New Roman" w:hAnsi="Times New Roman" w:eastAsia="宋体" w:cs="Times New Roman"/>
                <w:color w:val="000000"/>
                <w:sz w:val="24"/>
              </w:rPr>
            </w:pPr>
            <w:r>
              <w:rPr>
                <w:rFonts w:ascii="Times New Roman" w:hAnsi="Times New Roman" w:eastAsia="宋体" w:cs="Times New Roman"/>
                <w:color w:val="000000"/>
                <w:sz w:val="24"/>
              </w:rPr>
              <w:t>废水污染物总量控制指标：</w:t>
            </w:r>
          </w:p>
          <w:p>
            <w:pPr>
              <w:spacing w:line="360" w:lineRule="auto"/>
              <w:ind w:firstLine="480" w:firstLineChars="200"/>
              <w:contextualSpacing/>
              <w:rPr>
                <w:rFonts w:ascii="Times New Roman" w:hAnsi="Times New Roman" w:eastAsia="宋体" w:cs="Times New Roman"/>
                <w:b w:val="0"/>
                <w:bCs w:val="0"/>
                <w:color w:val="000000"/>
                <w:sz w:val="24"/>
                <w:u w:val="none"/>
              </w:rPr>
            </w:pPr>
            <w:r>
              <w:rPr>
                <w:rFonts w:hint="eastAsia"/>
                <w:b w:val="0"/>
                <w:bCs w:val="0"/>
                <w:sz w:val="24"/>
                <w:u w:val="none"/>
              </w:rPr>
              <w:t>本项目生活污水经化粪池处理后通过污水管网进入</w:t>
            </w:r>
            <w:r>
              <w:rPr>
                <w:rFonts w:hint="eastAsia"/>
                <w:b w:val="0"/>
                <w:bCs w:val="0"/>
                <w:kern w:val="0"/>
                <w:sz w:val="24"/>
                <w:u w:val="none"/>
              </w:rPr>
              <w:t>洛阳市中州渠人工湿地进一步处理。</w:t>
            </w:r>
            <w:r>
              <w:rPr>
                <w:rFonts w:hint="eastAsia"/>
                <w:b w:val="0"/>
                <w:bCs w:val="0"/>
                <w:sz w:val="24"/>
                <w:u w:val="none"/>
              </w:rPr>
              <w:t>本项目生活污水COD、氨氮排放量为</w:t>
            </w:r>
            <w:r>
              <w:rPr>
                <w:rFonts w:hint="eastAsia"/>
                <w:b w:val="0"/>
                <w:bCs w:val="0"/>
                <w:sz w:val="24"/>
                <w:u w:val="none"/>
                <w:lang w:val="en-US" w:eastAsia="zh-CN"/>
              </w:rPr>
              <w:t>0.0618</w:t>
            </w:r>
            <w:r>
              <w:rPr>
                <w:rFonts w:hint="eastAsia"/>
                <w:b w:val="0"/>
                <w:bCs w:val="0"/>
                <w:sz w:val="24"/>
                <w:u w:val="none"/>
              </w:rPr>
              <w:t>t/a、</w:t>
            </w:r>
            <w:r>
              <w:rPr>
                <w:rFonts w:hint="eastAsia"/>
                <w:b w:val="0"/>
                <w:bCs w:val="0"/>
                <w:sz w:val="24"/>
                <w:u w:val="none"/>
                <w:lang w:val="en-US" w:eastAsia="zh-CN"/>
              </w:rPr>
              <w:t>0.0221</w:t>
            </w:r>
            <w:r>
              <w:rPr>
                <w:rFonts w:hint="eastAsia"/>
                <w:b w:val="0"/>
                <w:bCs w:val="0"/>
                <w:sz w:val="24"/>
                <w:u w:val="none"/>
              </w:rPr>
              <w:t>t/a</w:t>
            </w:r>
            <w:r>
              <w:rPr>
                <w:rFonts w:hint="eastAsia"/>
                <w:b w:val="0"/>
                <w:bCs w:val="0"/>
                <w:sz w:val="24"/>
                <w:u w:val="none"/>
                <w:lang w:eastAsia="zh-CN"/>
              </w:rPr>
              <w:t>，</w:t>
            </w:r>
            <w:r>
              <w:rPr>
                <w:rFonts w:hint="eastAsia"/>
                <w:b w:val="0"/>
                <w:bCs w:val="0"/>
                <w:sz w:val="24"/>
                <w:u w:val="none"/>
              </w:rPr>
              <w:t>纳入洛阳市中州渠人工湿地已申报的总量，本项目不再申报水污染物总量指标。</w:t>
            </w:r>
          </w:p>
          <w:p>
            <w:pPr>
              <w:spacing w:line="360" w:lineRule="auto"/>
              <w:ind w:firstLine="480" w:firstLineChars="200"/>
              <w:contextualSpacing/>
              <w:rPr>
                <w:b w:val="0"/>
                <w:bCs w:val="0"/>
                <w:color w:val="000000"/>
                <w:sz w:val="24"/>
                <w:highlight w:val="none"/>
                <w:u w:val="none"/>
              </w:rPr>
            </w:pPr>
            <w:r>
              <w:rPr>
                <w:rFonts w:ascii="Times New Roman" w:hAnsi="Times New Roman" w:eastAsia="宋体" w:cs="Times New Roman"/>
                <w:b w:val="0"/>
                <w:bCs w:val="0"/>
                <w:color w:val="000000"/>
                <w:sz w:val="24"/>
                <w:highlight w:val="none"/>
                <w:u w:val="none"/>
              </w:rPr>
              <w:t>废气污染物总量控制指标：</w:t>
            </w:r>
          </w:p>
          <w:p>
            <w:pPr>
              <w:spacing w:line="360" w:lineRule="auto"/>
              <w:ind w:firstLine="480" w:firstLineChars="200"/>
              <w:contextualSpacing/>
              <w:rPr>
                <w:kern w:val="0"/>
                <w:szCs w:val="21"/>
              </w:rPr>
            </w:pPr>
            <w:r>
              <w:rPr>
                <w:rFonts w:hint="eastAsia"/>
                <w:sz w:val="24"/>
                <w:highlight w:val="none"/>
              </w:rPr>
              <w:t>偃师市山化镇盛达鞋垫厂年产500万双鞋垫项目</w:t>
            </w:r>
            <w:r>
              <w:rPr>
                <w:rFonts w:hint="eastAsia"/>
                <w:b w:val="0"/>
                <w:bCs w:val="0"/>
                <w:color w:val="000000"/>
                <w:sz w:val="24"/>
                <w:highlight w:val="none"/>
                <w:u w:val="none"/>
              </w:rPr>
              <w:t>VOCs排放量为</w:t>
            </w:r>
            <w:r>
              <w:rPr>
                <w:rFonts w:hint="eastAsia"/>
                <w:b/>
                <w:bCs/>
                <w:color w:val="000000"/>
                <w:sz w:val="24"/>
                <w:highlight w:val="none"/>
                <w:u w:val="single"/>
                <w:lang w:val="en-US" w:eastAsia="zh-CN"/>
              </w:rPr>
              <w:t>0.1092</w:t>
            </w:r>
            <w:r>
              <w:rPr>
                <w:rFonts w:hint="eastAsia"/>
                <w:b/>
                <w:bCs/>
                <w:color w:val="000000"/>
                <w:sz w:val="24"/>
                <w:highlight w:val="none"/>
                <w:u w:val="single"/>
              </w:rPr>
              <w:t>t/a</w:t>
            </w:r>
            <w:r>
              <w:rPr>
                <w:rFonts w:hint="eastAsia"/>
                <w:b w:val="0"/>
                <w:bCs w:val="0"/>
                <w:color w:val="000000"/>
                <w:sz w:val="24"/>
                <w:highlight w:val="none"/>
                <w:u w:val="none"/>
              </w:rPr>
              <w:t>，其</w:t>
            </w:r>
            <w:r>
              <w:rPr>
                <w:rFonts w:hint="eastAsia"/>
                <w:color w:val="000000"/>
                <w:sz w:val="24"/>
                <w:highlight w:val="none"/>
              </w:rPr>
              <w:t>替代来源为洛阳大志三轮摩托车有限公司的VOC</w:t>
            </w:r>
            <w:r>
              <w:rPr>
                <w:rFonts w:hint="eastAsia"/>
                <w:color w:val="000000"/>
                <w:sz w:val="24"/>
                <w:highlight w:val="none"/>
                <w:vertAlign w:val="subscript"/>
              </w:rPr>
              <w:t>S</w:t>
            </w:r>
            <w:r>
              <w:rPr>
                <w:rFonts w:hint="eastAsia"/>
                <w:color w:val="000000"/>
                <w:sz w:val="24"/>
                <w:highlight w:val="none"/>
              </w:rPr>
              <w:t>减排量。</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81" w:type="dxa"/>
            <w:tcMar>
              <w:left w:w="28" w:type="dxa"/>
              <w:right w:w="28" w:type="dxa"/>
            </w:tcMar>
            <w:vAlign w:val="center"/>
          </w:tcPr>
          <w:p>
            <w:pPr>
              <w:spacing w:line="400" w:lineRule="exact"/>
              <w:jc w:val="center"/>
              <w:rPr>
                <w:b/>
                <w:bCs/>
                <w:sz w:val="24"/>
              </w:rPr>
            </w:pPr>
            <w:r>
              <w:rPr>
                <w:b/>
                <w:bCs/>
                <w:sz w:val="24"/>
              </w:rPr>
              <w:t>施工</w:t>
            </w:r>
          </w:p>
          <w:p>
            <w:pPr>
              <w:spacing w:line="400" w:lineRule="exact"/>
              <w:jc w:val="center"/>
              <w:rPr>
                <w:b/>
                <w:bCs/>
                <w:sz w:val="24"/>
              </w:rPr>
            </w:pPr>
            <w:r>
              <w:rPr>
                <w:b/>
                <w:bCs/>
                <w:sz w:val="24"/>
              </w:rPr>
              <w:t>期环</w:t>
            </w:r>
          </w:p>
          <w:p>
            <w:pPr>
              <w:spacing w:line="400" w:lineRule="exact"/>
              <w:jc w:val="center"/>
              <w:rPr>
                <w:b/>
                <w:bCs/>
                <w:sz w:val="24"/>
              </w:rPr>
            </w:pPr>
            <w:r>
              <w:rPr>
                <w:b/>
                <w:bCs/>
                <w:sz w:val="24"/>
              </w:rPr>
              <w:t>境保</w:t>
            </w:r>
          </w:p>
          <w:p>
            <w:pPr>
              <w:spacing w:line="400" w:lineRule="exact"/>
              <w:jc w:val="center"/>
              <w:rPr>
                <w:b/>
                <w:bCs/>
                <w:sz w:val="24"/>
              </w:rPr>
            </w:pPr>
            <w:r>
              <w:rPr>
                <w:b/>
                <w:bCs/>
                <w:sz w:val="24"/>
              </w:rPr>
              <w:t>护措</w:t>
            </w:r>
          </w:p>
          <w:p>
            <w:pPr>
              <w:spacing w:line="400" w:lineRule="exact"/>
              <w:jc w:val="center"/>
              <w:rPr>
                <w:b/>
                <w:bCs/>
                <w:sz w:val="24"/>
              </w:rPr>
            </w:pPr>
            <w:r>
              <w:rPr>
                <w:b/>
                <w:bCs/>
                <w:sz w:val="24"/>
              </w:rPr>
              <w:t>施</w:t>
            </w:r>
          </w:p>
        </w:tc>
        <w:tc>
          <w:tcPr>
            <w:tcW w:w="8605" w:type="dxa"/>
            <w:vAlign w:val="center"/>
          </w:tcPr>
          <w:p>
            <w:pPr>
              <w:adjustRightInd w:val="0"/>
              <w:snapToGrid w:val="0"/>
              <w:spacing w:line="460" w:lineRule="exact"/>
              <w:ind w:firstLine="480" w:firstLineChars="200"/>
              <w:rPr>
                <w:bCs/>
                <w:spacing w:val="-10"/>
                <w:szCs w:val="21"/>
              </w:rPr>
            </w:pPr>
            <w:r>
              <w:rPr>
                <w:rFonts w:hint="eastAsia"/>
                <w:color w:val="000000"/>
                <w:sz w:val="24"/>
              </w:rPr>
              <w:t>本项目租赁现有厂房，</w:t>
            </w:r>
            <w:r>
              <w:rPr>
                <w:rFonts w:hint="eastAsia"/>
                <w:color w:val="000000"/>
                <w:sz w:val="24"/>
                <w:lang w:val="en-US" w:eastAsia="zh-CN"/>
              </w:rPr>
              <w:t>生产设备已安装</w:t>
            </w:r>
            <w:r>
              <w:rPr>
                <w:rFonts w:hint="eastAsia"/>
                <w:color w:val="000000"/>
                <w:sz w:val="24"/>
              </w:rPr>
              <w:t>，所以不再分析施工期污染情况。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3" w:hRule="atLeast"/>
          <w:jc w:val="center"/>
        </w:trPr>
        <w:tc>
          <w:tcPr>
            <w:tcW w:w="681" w:type="dxa"/>
            <w:tcMar>
              <w:left w:w="28" w:type="dxa"/>
              <w:right w:w="28" w:type="dxa"/>
            </w:tcMar>
            <w:vAlign w:val="center"/>
          </w:tcPr>
          <w:p>
            <w:pPr>
              <w:spacing w:line="400" w:lineRule="exact"/>
              <w:jc w:val="center"/>
              <w:rPr>
                <w:b/>
                <w:bCs/>
                <w:sz w:val="24"/>
              </w:rPr>
            </w:pPr>
            <w:r>
              <w:rPr>
                <w:b/>
                <w:bCs/>
                <w:sz w:val="24"/>
              </w:rPr>
              <w:t>运营</w:t>
            </w:r>
          </w:p>
          <w:p>
            <w:pPr>
              <w:spacing w:line="400" w:lineRule="exact"/>
              <w:jc w:val="center"/>
              <w:rPr>
                <w:b/>
                <w:bCs/>
                <w:sz w:val="24"/>
              </w:rPr>
            </w:pPr>
            <w:r>
              <w:rPr>
                <w:b/>
                <w:bCs/>
                <w:sz w:val="24"/>
              </w:rPr>
              <w:t>期环</w:t>
            </w:r>
          </w:p>
          <w:p>
            <w:pPr>
              <w:spacing w:line="400" w:lineRule="exact"/>
              <w:jc w:val="center"/>
              <w:rPr>
                <w:b/>
                <w:bCs/>
                <w:sz w:val="24"/>
              </w:rPr>
            </w:pPr>
            <w:r>
              <w:rPr>
                <w:b/>
                <w:bCs/>
                <w:sz w:val="24"/>
              </w:rPr>
              <w:t>境影</w:t>
            </w:r>
          </w:p>
          <w:p>
            <w:pPr>
              <w:spacing w:line="400" w:lineRule="exact"/>
              <w:jc w:val="center"/>
              <w:rPr>
                <w:b/>
                <w:bCs/>
                <w:sz w:val="24"/>
              </w:rPr>
            </w:pPr>
            <w:r>
              <w:rPr>
                <w:b/>
                <w:bCs/>
                <w:sz w:val="24"/>
              </w:rPr>
              <w:t>响和</w:t>
            </w:r>
          </w:p>
          <w:p>
            <w:pPr>
              <w:spacing w:line="400" w:lineRule="exact"/>
              <w:jc w:val="center"/>
              <w:rPr>
                <w:b/>
                <w:bCs/>
                <w:sz w:val="24"/>
              </w:rPr>
            </w:pPr>
            <w:r>
              <w:rPr>
                <w:b/>
                <w:bCs/>
                <w:sz w:val="24"/>
              </w:rPr>
              <w:t>保护</w:t>
            </w:r>
          </w:p>
          <w:p>
            <w:pPr>
              <w:spacing w:line="400" w:lineRule="exact"/>
              <w:jc w:val="center"/>
              <w:rPr>
                <w:b/>
                <w:bCs/>
                <w:sz w:val="24"/>
              </w:rPr>
            </w:pPr>
            <w:r>
              <w:rPr>
                <w:b/>
                <w:bCs/>
                <w:sz w:val="24"/>
              </w:rPr>
              <w:t>措施</w:t>
            </w:r>
          </w:p>
        </w:tc>
        <w:tc>
          <w:tcPr>
            <w:tcW w:w="8605" w:type="dxa"/>
            <w:vAlign w:val="center"/>
          </w:tcPr>
          <w:p>
            <w:pPr>
              <w:adjustRightInd w:val="0"/>
              <w:snapToGrid w:val="0"/>
              <w:spacing w:line="460" w:lineRule="exact"/>
              <w:ind w:firstLine="482" w:firstLineChars="200"/>
              <w:jc w:val="left"/>
              <w:rPr>
                <w:b/>
                <w:bCs/>
                <w:sz w:val="24"/>
              </w:rPr>
            </w:pPr>
            <w:r>
              <w:rPr>
                <w:b/>
                <w:bCs/>
                <w:sz w:val="24"/>
              </w:rPr>
              <w:t>1、废气</w:t>
            </w:r>
          </w:p>
          <w:p>
            <w:pPr>
              <w:adjustRightInd w:val="0"/>
              <w:snapToGrid w:val="0"/>
              <w:spacing w:line="460" w:lineRule="exact"/>
              <w:ind w:firstLine="482" w:firstLineChars="200"/>
              <w:jc w:val="left"/>
              <w:rPr>
                <w:b/>
                <w:bCs/>
                <w:color w:val="000000"/>
                <w:sz w:val="24"/>
              </w:rPr>
            </w:pPr>
            <w:r>
              <w:rPr>
                <w:b/>
                <w:bCs/>
                <w:color w:val="000000"/>
                <w:sz w:val="24"/>
              </w:rPr>
              <w:t>1.1 废气产排分析</w:t>
            </w:r>
          </w:p>
          <w:p>
            <w:pPr>
              <w:tabs>
                <w:tab w:val="left" w:pos="595"/>
              </w:tabs>
              <w:adjustRightInd w:val="0"/>
              <w:snapToGrid w:val="0"/>
              <w:spacing w:line="460" w:lineRule="exact"/>
              <w:ind w:firstLine="480" w:firstLineChars="200"/>
              <w:rPr>
                <w:color w:val="000000"/>
                <w:sz w:val="24"/>
              </w:rPr>
            </w:pPr>
            <w:r>
              <w:rPr>
                <w:rFonts w:hint="eastAsia"/>
                <w:color w:val="000000"/>
                <w:sz w:val="24"/>
              </w:rPr>
              <w:t>本项目营运过程中废气污染源主要为</w:t>
            </w:r>
            <w:r>
              <w:rPr>
                <w:rFonts w:hint="eastAsia"/>
                <w:sz w:val="24"/>
                <w:szCs w:val="24"/>
              </w:rPr>
              <w:t>EVA鞋垫生产过程发泡工序、过胶工序</w:t>
            </w:r>
            <w:r>
              <w:rPr>
                <w:rFonts w:hint="eastAsia"/>
                <w:sz w:val="24"/>
                <w:szCs w:val="24"/>
                <w:lang w:eastAsia="zh-CN"/>
              </w:rPr>
              <w:t>、大力棉鞋垫生产过程热压工序</w:t>
            </w:r>
            <w:r>
              <w:rPr>
                <w:rFonts w:hint="eastAsia"/>
                <w:sz w:val="24"/>
                <w:szCs w:val="24"/>
                <w:lang w:val="en-US" w:eastAsia="zh-CN"/>
              </w:rPr>
              <w:t>及</w:t>
            </w:r>
            <w:r>
              <w:rPr>
                <w:rFonts w:hint="eastAsia"/>
                <w:b/>
                <w:bCs/>
                <w:sz w:val="24"/>
                <w:szCs w:val="24"/>
                <w:u w:val="single"/>
                <w:lang w:val="en-US" w:eastAsia="zh-CN"/>
              </w:rPr>
              <w:t>印标、转印工序产生的有机废气</w:t>
            </w:r>
            <w:r>
              <w:rPr>
                <w:rFonts w:hint="eastAsia" w:ascii="Times New Roman" w:hAnsi="Times New Roman" w:eastAsia="宋体" w:cs="Times New Roman"/>
                <w:color w:val="auto"/>
                <w:kern w:val="2"/>
                <w:sz w:val="24"/>
                <w:szCs w:val="24"/>
                <w:u w:val="none"/>
                <w:lang w:val="en-US" w:eastAsia="zh-CN" w:bidi="ar-SA"/>
              </w:rPr>
              <w:t>。</w:t>
            </w:r>
          </w:p>
          <w:p>
            <w:pPr>
              <w:tabs>
                <w:tab w:val="left" w:pos="595"/>
              </w:tabs>
              <w:adjustRightInd w:val="0"/>
              <w:snapToGrid w:val="0"/>
              <w:spacing w:line="460" w:lineRule="exact"/>
              <w:ind w:firstLine="480" w:firstLineChars="200"/>
              <w:rPr>
                <w:rFonts w:hint="default" w:eastAsia="宋体"/>
                <w:b w:val="0"/>
                <w:bCs w:val="0"/>
                <w:sz w:val="24"/>
                <w:lang w:val="en-US" w:eastAsia="zh-CN"/>
              </w:rPr>
            </w:pPr>
            <w:r>
              <w:rPr>
                <w:rFonts w:hint="eastAsia"/>
                <w:b w:val="0"/>
                <w:bCs w:val="0"/>
                <w:sz w:val="24"/>
                <w:lang w:eastAsia="zh-CN"/>
              </w:rPr>
              <w:t>（</w:t>
            </w:r>
            <w:r>
              <w:rPr>
                <w:rFonts w:hint="eastAsia"/>
                <w:b w:val="0"/>
                <w:bCs w:val="0"/>
                <w:sz w:val="24"/>
                <w:lang w:val="en-US" w:eastAsia="zh-CN"/>
              </w:rPr>
              <w:t>1</w:t>
            </w:r>
            <w:r>
              <w:rPr>
                <w:rFonts w:hint="eastAsia"/>
                <w:b w:val="0"/>
                <w:bCs w:val="0"/>
                <w:sz w:val="24"/>
                <w:lang w:eastAsia="zh-CN"/>
              </w:rPr>
              <w:t>）</w:t>
            </w:r>
            <w:r>
              <w:rPr>
                <w:rFonts w:hint="eastAsia"/>
                <w:b w:val="0"/>
                <w:bCs w:val="0"/>
                <w:sz w:val="24"/>
                <w:lang w:val="en-US" w:eastAsia="zh-CN"/>
              </w:rPr>
              <w:t>发泡工序</w:t>
            </w:r>
          </w:p>
          <w:p>
            <w:pPr>
              <w:tabs>
                <w:tab w:val="left" w:pos="595"/>
              </w:tabs>
              <w:adjustRightInd w:val="0"/>
              <w:snapToGrid w:val="0"/>
              <w:spacing w:line="460" w:lineRule="exact"/>
              <w:ind w:firstLine="480" w:firstLineChars="200"/>
              <w:rPr>
                <w:bCs/>
                <w:sz w:val="24"/>
              </w:rPr>
            </w:pPr>
            <w:r>
              <w:rPr>
                <w:rFonts w:hint="eastAsia"/>
                <w:bCs/>
                <w:sz w:val="24"/>
              </w:rPr>
              <w:t>本项目生产</w:t>
            </w:r>
            <w:r>
              <w:rPr>
                <w:rFonts w:hint="eastAsia"/>
                <w:bCs/>
                <w:sz w:val="24"/>
                <w:lang w:val="en-US" w:eastAsia="zh-CN"/>
              </w:rPr>
              <w:t>EVA颗粒</w:t>
            </w:r>
            <w:r>
              <w:rPr>
                <w:rFonts w:hint="eastAsia"/>
                <w:bCs/>
                <w:sz w:val="24"/>
              </w:rPr>
              <w:t>加热温度为</w:t>
            </w:r>
            <w:r>
              <w:rPr>
                <w:rFonts w:hint="eastAsia"/>
                <w:bCs/>
                <w:sz w:val="24"/>
                <w:lang w:val="en-US" w:eastAsia="zh-CN"/>
              </w:rPr>
              <w:t>180</w:t>
            </w:r>
            <w:r>
              <w:rPr>
                <w:rFonts w:hint="eastAsia"/>
                <w:bCs/>
                <w:sz w:val="24"/>
              </w:rPr>
              <w:t>℃，未达到</w:t>
            </w:r>
            <w:r>
              <w:rPr>
                <w:rFonts w:hint="eastAsia"/>
                <w:bCs/>
                <w:sz w:val="24"/>
                <w:lang w:val="en-US" w:eastAsia="zh-CN"/>
              </w:rPr>
              <w:t>EVA树脂颗粒</w:t>
            </w:r>
            <w:r>
              <w:rPr>
                <w:rFonts w:hint="eastAsia"/>
                <w:bCs/>
                <w:sz w:val="24"/>
              </w:rPr>
              <w:t>分解温度，仅原材料中残存的未聚合的反应单体会在挤出过程中逃逸，以非甲烷总烃计。</w:t>
            </w:r>
          </w:p>
          <w:p>
            <w:pPr>
              <w:tabs>
                <w:tab w:val="left" w:pos="595"/>
              </w:tabs>
              <w:adjustRightInd w:val="0"/>
              <w:snapToGrid w:val="0"/>
              <w:spacing w:line="460" w:lineRule="atLeast"/>
              <w:ind w:firstLine="480" w:firstLineChars="200"/>
              <w:rPr>
                <w:b w:val="0"/>
                <w:bCs w:val="0"/>
                <w:sz w:val="24"/>
                <w:u w:val="none"/>
                <w:lang w:val="zh-TW"/>
              </w:rPr>
            </w:pPr>
            <w:r>
              <w:rPr>
                <w:rFonts w:hint="eastAsia"/>
                <w:bCs/>
                <w:sz w:val="24"/>
              </w:rPr>
              <w:t>本项目</w:t>
            </w:r>
            <w:r>
              <w:rPr>
                <w:rFonts w:hint="eastAsia"/>
                <w:bCs/>
                <w:sz w:val="24"/>
                <w:lang w:val="en-US" w:eastAsia="zh-CN"/>
              </w:rPr>
              <w:t>发泡</w:t>
            </w:r>
            <w:r>
              <w:rPr>
                <w:rFonts w:hint="eastAsia"/>
                <w:bCs/>
                <w:sz w:val="24"/>
              </w:rPr>
              <w:t>机年工作时间为</w:t>
            </w:r>
            <w:r>
              <w:rPr>
                <w:rFonts w:hint="eastAsia"/>
                <w:bCs/>
                <w:sz w:val="24"/>
                <w:highlight w:val="none"/>
                <w:lang w:val="en-US" w:eastAsia="zh-CN"/>
              </w:rPr>
              <w:t>1500</w:t>
            </w:r>
            <w:r>
              <w:rPr>
                <w:rFonts w:hint="eastAsia"/>
                <w:bCs/>
                <w:sz w:val="24"/>
              </w:rPr>
              <w:t>h</w:t>
            </w:r>
            <w:r>
              <w:rPr>
                <w:rFonts w:hint="eastAsia"/>
                <w:bCs/>
                <w:sz w:val="24"/>
                <w:lang w:eastAsia="zh-CN"/>
              </w:rPr>
              <w:t>，</w:t>
            </w:r>
            <w:r>
              <w:rPr>
                <w:rFonts w:hint="eastAsia"/>
                <w:bCs/>
                <w:sz w:val="24"/>
              </w:rPr>
              <w:t>参考《排放源统计调查产排污核算方法和系数手册》（公告2021年第24号）塑料制品行业系数手册——泡沫塑料制造行业系</w:t>
            </w:r>
            <w:r>
              <w:rPr>
                <w:rFonts w:hint="eastAsia"/>
                <w:bCs/>
                <w:sz w:val="24"/>
                <w:highlight w:val="none"/>
              </w:rPr>
              <w:t>数表“树脂、助剂--挤出、发泡--挥发性有机污染物产污系数1.5千克/吨-产品”。</w:t>
            </w:r>
            <w:r>
              <w:rPr>
                <w:rFonts w:hint="eastAsia"/>
                <w:bCs/>
                <w:sz w:val="24"/>
                <w:highlight w:val="none"/>
                <w:lang w:val="en-US" w:eastAsia="zh-CN"/>
              </w:rPr>
              <w:t>本项目发泡工序EVA颗粒原料用量为100t/a</w:t>
            </w:r>
            <w:r>
              <w:rPr>
                <w:rFonts w:hint="eastAsia"/>
                <w:bCs/>
                <w:sz w:val="24"/>
                <w:highlight w:val="none"/>
              </w:rPr>
              <w:t>，则此过程废气产生量为</w:t>
            </w:r>
            <w:r>
              <w:rPr>
                <w:rFonts w:hint="eastAsia"/>
                <w:bCs/>
                <w:sz w:val="24"/>
                <w:highlight w:val="none"/>
                <w:lang w:val="en-US" w:eastAsia="zh-CN"/>
              </w:rPr>
              <w:t>0.15</w:t>
            </w:r>
            <w:r>
              <w:rPr>
                <w:rFonts w:hint="eastAsia"/>
                <w:bCs/>
                <w:sz w:val="24"/>
                <w:highlight w:val="none"/>
              </w:rPr>
              <w:t>t/a</w:t>
            </w:r>
            <w:r>
              <w:rPr>
                <w:rFonts w:hint="eastAsia"/>
                <w:bCs/>
                <w:sz w:val="24"/>
                <w:highlight w:val="none"/>
                <w:lang w:eastAsia="zh-CN"/>
              </w:rPr>
              <w:t>（</w:t>
            </w:r>
            <w:r>
              <w:rPr>
                <w:rFonts w:hint="eastAsia"/>
                <w:bCs/>
                <w:sz w:val="24"/>
                <w:highlight w:val="none"/>
                <w:lang w:val="en-US" w:eastAsia="zh-CN"/>
              </w:rPr>
              <w:t>0.0833kg/h</w:t>
            </w:r>
            <w:r>
              <w:rPr>
                <w:rFonts w:hint="eastAsia"/>
                <w:bCs/>
                <w:sz w:val="24"/>
                <w:highlight w:val="none"/>
                <w:lang w:eastAsia="zh-CN"/>
              </w:rPr>
              <w:t>）</w:t>
            </w:r>
            <w:r>
              <w:rPr>
                <w:rFonts w:hint="eastAsia"/>
                <w:bCs/>
                <w:sz w:val="24"/>
                <w:highlight w:val="none"/>
              </w:rPr>
              <w:t>。</w:t>
            </w:r>
          </w:p>
          <w:p>
            <w:pPr>
              <w:numPr>
                <w:ilvl w:val="0"/>
                <w:numId w:val="0"/>
              </w:numPr>
              <w:tabs>
                <w:tab w:val="left" w:pos="595"/>
              </w:tabs>
              <w:adjustRightInd w:val="0"/>
              <w:snapToGrid w:val="0"/>
              <w:spacing w:line="460" w:lineRule="exact"/>
              <w:ind w:firstLine="480" w:firstLineChars="200"/>
              <w:rPr>
                <w:rFonts w:hint="eastAsia"/>
                <w:bCs/>
                <w:sz w:val="24"/>
              </w:rPr>
            </w:pPr>
            <w:r>
              <w:rPr>
                <w:rFonts w:hint="eastAsia"/>
                <w:b w:val="0"/>
                <w:bCs w:val="0"/>
                <w:sz w:val="24"/>
                <w:u w:val="none"/>
                <w:lang w:val="en-US" w:eastAsia="zh-CN"/>
              </w:rPr>
              <w:t>（2）过胶工序</w:t>
            </w:r>
          </w:p>
          <w:p>
            <w:pPr>
              <w:pStyle w:val="36"/>
              <w:ind w:left="113" w:firstLine="523"/>
              <w:rPr>
                <w:rFonts w:hint="eastAsia"/>
                <w:lang w:val="en-US" w:eastAsia="zh-CN"/>
              </w:rPr>
            </w:pPr>
            <w:r>
              <w:rPr>
                <w:rFonts w:hint="eastAsia" w:ascii="Times New Roman" w:hAnsi="Times New Roman"/>
                <w:sz w:val="24"/>
                <w:lang w:val="en-US" w:eastAsia="zh-CN"/>
              </w:rPr>
              <w:t>本项目过胶工序年工作时间1500h，</w:t>
            </w:r>
            <w:r>
              <w:rPr>
                <w:rFonts w:ascii="Times New Roman" w:hAnsi="Times New Roman"/>
                <w:sz w:val="24"/>
              </w:rPr>
              <w:t>采用PUR 热熔胶作为</w:t>
            </w:r>
            <w:r>
              <w:rPr>
                <w:rFonts w:hint="eastAsia" w:ascii="Times New Roman" w:hAnsi="Times New Roman"/>
                <w:sz w:val="24"/>
                <w:lang w:val="en-US" w:eastAsia="zh-CN"/>
              </w:rPr>
              <w:t>胶粘</w:t>
            </w:r>
            <w:r>
              <w:rPr>
                <w:rFonts w:ascii="Times New Roman" w:hAnsi="Times New Roman"/>
                <w:sz w:val="24"/>
              </w:rPr>
              <w:t>剂，PUR 热熔胶受热熔化后涂覆在鞋垫粗品需贴合衬面侧，一般情况下，PUR 具有很高的安全性和稳定性，在温度达230-250℃时开始分解，PUR 中有极少量的分子没有结合成链，处于游离状态。本项目过胶加热温度相对较低，加热温度约为100℃，挥发出的有机废气较少</w:t>
            </w:r>
            <w:r>
              <w:rPr>
                <w:rFonts w:hint="eastAsia" w:ascii="Times New Roman" w:hAnsi="Times New Roman"/>
                <w:sz w:val="24"/>
                <w:lang w:eastAsia="zh-CN"/>
              </w:rPr>
              <w:t>，</w:t>
            </w:r>
            <w:r>
              <w:rPr>
                <w:rFonts w:ascii="Times New Roman" w:hAnsi="Times New Roman"/>
                <w:sz w:val="24"/>
              </w:rPr>
              <w:t>以非甲烷总烃表征。</w:t>
            </w:r>
            <w:r>
              <w:rPr>
                <w:rFonts w:ascii="Times New Roman" w:hAnsi="Times New Roman"/>
                <w:b w:val="0"/>
                <w:bCs w:val="0"/>
                <w:sz w:val="24"/>
                <w:u w:val="none"/>
              </w:rPr>
              <w:t>项目PUR热熔胶年用量</w:t>
            </w:r>
            <w:r>
              <w:rPr>
                <w:rFonts w:ascii="Times New Roman" w:hAnsi="Times New Roman"/>
                <w:b w:val="0"/>
                <w:bCs w:val="0"/>
                <w:sz w:val="24"/>
                <w:highlight w:val="none"/>
                <w:u w:val="none"/>
              </w:rPr>
              <w:t>为</w:t>
            </w:r>
            <w:r>
              <w:rPr>
                <w:rFonts w:hint="eastAsia" w:ascii="Times New Roman" w:hAnsi="Times New Roman"/>
                <w:b w:val="0"/>
                <w:bCs w:val="0"/>
                <w:sz w:val="24"/>
                <w:highlight w:val="none"/>
                <w:u w:val="none"/>
                <w:lang w:val="en-US" w:eastAsia="zh-CN"/>
              </w:rPr>
              <w:t>5</w:t>
            </w:r>
            <w:r>
              <w:rPr>
                <w:rFonts w:ascii="Times New Roman" w:hAnsi="Times New Roman"/>
                <w:b w:val="0"/>
                <w:bCs w:val="0"/>
                <w:sz w:val="24"/>
                <w:highlight w:val="none"/>
                <w:u w:val="none"/>
              </w:rPr>
              <w:t>t，则产生挥发性有机废气量约</w:t>
            </w:r>
            <w:r>
              <w:rPr>
                <w:rFonts w:hint="eastAsia" w:ascii="Times New Roman" w:hAnsi="Times New Roman"/>
                <w:b w:val="0"/>
                <w:bCs w:val="0"/>
                <w:sz w:val="24"/>
                <w:highlight w:val="none"/>
                <w:u w:val="none"/>
                <w:lang w:val="en-US" w:eastAsia="zh-CN"/>
              </w:rPr>
              <w:t>0.05</w:t>
            </w:r>
            <w:r>
              <w:rPr>
                <w:rFonts w:ascii="Times New Roman" w:hAnsi="Times New Roman"/>
                <w:b w:val="0"/>
                <w:bCs w:val="0"/>
                <w:sz w:val="24"/>
                <w:highlight w:val="none"/>
                <w:u w:val="none"/>
              </w:rPr>
              <w:t>t/a</w:t>
            </w:r>
            <w:r>
              <w:rPr>
                <w:rFonts w:hint="eastAsia" w:ascii="Times New Roman" w:hAnsi="Times New Roman"/>
                <w:b w:val="0"/>
                <w:bCs w:val="0"/>
                <w:sz w:val="24"/>
                <w:highlight w:val="none"/>
                <w:u w:val="none"/>
                <w:lang w:eastAsia="zh-CN"/>
              </w:rPr>
              <w:t>（</w:t>
            </w:r>
            <w:r>
              <w:rPr>
                <w:rFonts w:hint="eastAsia" w:ascii="Times New Roman" w:hAnsi="Times New Roman"/>
                <w:b w:val="0"/>
                <w:bCs w:val="0"/>
                <w:sz w:val="24"/>
                <w:highlight w:val="none"/>
                <w:u w:val="none"/>
                <w:lang w:val="en-US" w:eastAsia="zh-CN"/>
              </w:rPr>
              <w:t>0.0278kg/h</w:t>
            </w:r>
            <w:r>
              <w:rPr>
                <w:rFonts w:hint="eastAsia" w:ascii="Times New Roman" w:hAnsi="Times New Roman"/>
                <w:b w:val="0"/>
                <w:bCs w:val="0"/>
                <w:sz w:val="24"/>
                <w:highlight w:val="none"/>
                <w:u w:val="none"/>
                <w:lang w:eastAsia="zh-CN"/>
              </w:rPr>
              <w:t>）</w:t>
            </w:r>
            <w:r>
              <w:rPr>
                <w:rFonts w:hint="eastAsia" w:ascii="Times New Roman" w:hAnsi="Times New Roman"/>
                <w:b w:val="0"/>
                <w:bCs w:val="0"/>
                <w:sz w:val="24"/>
                <w:u w:val="none"/>
              </w:rPr>
              <w:t>。</w:t>
            </w:r>
          </w:p>
          <w:p>
            <w:pPr>
              <w:numPr>
                <w:ilvl w:val="0"/>
                <w:numId w:val="0"/>
              </w:numPr>
              <w:tabs>
                <w:tab w:val="left" w:pos="595"/>
              </w:tabs>
              <w:adjustRightInd w:val="0"/>
              <w:snapToGrid w:val="0"/>
              <w:spacing w:line="460" w:lineRule="exact"/>
              <w:ind w:firstLine="480" w:firstLineChars="200"/>
              <w:rPr>
                <w:bCs/>
                <w:sz w:val="24"/>
              </w:rPr>
            </w:pPr>
            <w:r>
              <w:rPr>
                <w:rFonts w:hint="eastAsia"/>
                <w:b w:val="0"/>
                <w:bCs w:val="0"/>
                <w:sz w:val="24"/>
                <w:u w:val="none"/>
                <w:lang w:val="en-US" w:eastAsia="zh-CN"/>
              </w:rPr>
              <w:t>（3）热压工序</w:t>
            </w:r>
          </w:p>
          <w:p>
            <w:pPr>
              <w:widowControl/>
              <w:spacing w:line="520" w:lineRule="exact"/>
              <w:ind w:left="-6" w:leftChars="-3" w:firstLine="480" w:firstLineChars="200"/>
              <w:rPr>
                <w:rFonts w:hint="eastAsia"/>
                <w:b w:val="0"/>
                <w:bCs w:val="0"/>
                <w:sz w:val="24"/>
                <w:u w:val="none"/>
              </w:rPr>
            </w:pPr>
            <w:r>
              <w:rPr>
                <w:rFonts w:hint="eastAsia"/>
                <w:sz w:val="24"/>
                <w:szCs w:val="24"/>
                <w:lang w:val="en-US" w:eastAsia="zh-CN"/>
              </w:rPr>
              <w:t>本项目大力棉鞋垫生产使用热压机对大力棉方块进行</w:t>
            </w:r>
            <w:r>
              <w:rPr>
                <w:rFonts w:hint="eastAsia"/>
                <w:sz w:val="24"/>
                <w:szCs w:val="24"/>
              </w:rPr>
              <w:t>热压定型形成鞋垫形状，</w:t>
            </w:r>
            <w:r>
              <w:rPr>
                <w:rFonts w:hint="eastAsia"/>
                <w:sz w:val="24"/>
                <w:szCs w:val="24"/>
                <w:lang w:val="en-US" w:eastAsia="zh-CN"/>
              </w:rPr>
              <w:t>热压机</w:t>
            </w:r>
            <w:r>
              <w:rPr>
                <w:rFonts w:hint="eastAsia"/>
                <w:bCs/>
                <w:sz w:val="24"/>
                <w:szCs w:val="24"/>
                <w:lang w:val="en-US" w:eastAsia="zh-CN"/>
              </w:rPr>
              <w:t>年工作时间1800h</w:t>
            </w:r>
            <w:r>
              <w:rPr>
                <w:rFonts w:hint="eastAsia"/>
                <w:bCs/>
                <w:sz w:val="24"/>
                <w:szCs w:val="24"/>
              </w:rPr>
              <w:t>，</w:t>
            </w:r>
            <w:r>
              <w:rPr>
                <w:rFonts w:hint="eastAsia"/>
                <w:sz w:val="24"/>
                <w:szCs w:val="24"/>
              </w:rPr>
              <w:t>热压温度为</w:t>
            </w:r>
            <w:r>
              <w:rPr>
                <w:sz w:val="24"/>
                <w:szCs w:val="24"/>
              </w:rPr>
              <w:t>1</w:t>
            </w:r>
            <w:r>
              <w:rPr>
                <w:rFonts w:hint="eastAsia"/>
                <w:sz w:val="24"/>
                <w:szCs w:val="24"/>
              </w:rPr>
              <w:t>6</w:t>
            </w:r>
            <w:r>
              <w:rPr>
                <w:sz w:val="24"/>
                <w:szCs w:val="24"/>
              </w:rPr>
              <w:t>0</w:t>
            </w:r>
            <w:r>
              <w:rPr>
                <w:rFonts w:hint="eastAsia"/>
                <w:sz w:val="24"/>
                <w:szCs w:val="24"/>
              </w:rPr>
              <w:t>℃，</w:t>
            </w:r>
            <w:r>
              <w:rPr>
                <w:rFonts w:ascii="Times New Roman" w:hAnsi="Times New Roman"/>
                <w:sz w:val="24"/>
              </w:rPr>
              <w:t>大力绵主要成份是</w:t>
            </w:r>
            <w:r>
              <w:rPr>
                <w:rFonts w:hint="eastAsia" w:ascii="Times New Roman" w:hAnsi="Times New Roman"/>
                <w:sz w:val="24"/>
              </w:rPr>
              <w:t>涤纶、腈纶、锦纶、丙纶等有机纤维</w:t>
            </w:r>
            <w:r>
              <w:rPr>
                <w:rFonts w:ascii="Times New Roman" w:hAnsi="Times New Roman"/>
                <w:sz w:val="24"/>
              </w:rPr>
              <w:t>，因加热温度小于原料的起始裂解温度，因此生产过程中产生的有机废气主要为有机纤维内少量游离单体的挥发，以非甲烷总烃计。</w:t>
            </w:r>
            <w:r>
              <w:rPr>
                <w:rFonts w:hint="eastAsia" w:ascii="Times New Roman" w:hAnsi="Times New Roman"/>
                <w:sz w:val="24"/>
              </w:rPr>
              <w:t>参照</w:t>
            </w:r>
            <w:r>
              <w:rPr>
                <w:rFonts w:hint="eastAsia" w:ascii="Times New Roman" w:hAnsi="Times New Roman"/>
                <w:sz w:val="24"/>
                <w:lang w:val="en-US" w:eastAsia="zh-CN"/>
              </w:rPr>
              <w:t>生产工艺</w:t>
            </w:r>
            <w:r>
              <w:rPr>
                <w:rFonts w:hint="eastAsia" w:ascii="Times New Roman" w:hAnsi="Times New Roman"/>
                <w:sz w:val="24"/>
              </w:rPr>
              <w:t>、原辅材料</w:t>
            </w:r>
            <w:r>
              <w:rPr>
                <w:rFonts w:hint="eastAsia" w:ascii="Times New Roman" w:hAnsi="Times New Roman"/>
                <w:sz w:val="24"/>
                <w:lang w:val="en-US" w:eastAsia="zh-CN"/>
              </w:rPr>
              <w:t>性质</w:t>
            </w:r>
            <w:r>
              <w:rPr>
                <w:rFonts w:hint="eastAsia" w:ascii="Times New Roman" w:hAnsi="Times New Roman"/>
                <w:sz w:val="24"/>
              </w:rPr>
              <w:t>、污染控制措施、管理水平</w:t>
            </w:r>
            <w:r>
              <w:rPr>
                <w:rFonts w:hint="eastAsia" w:ascii="Times New Roman" w:hAnsi="Times New Roman"/>
                <w:sz w:val="24"/>
                <w:lang w:val="en-US" w:eastAsia="zh-CN"/>
              </w:rPr>
              <w:t>与</w:t>
            </w:r>
            <w:r>
              <w:rPr>
                <w:rFonts w:hint="eastAsia" w:ascii="Times New Roman" w:hAnsi="Times New Roman"/>
                <w:sz w:val="24"/>
              </w:rPr>
              <w:t>项目</w:t>
            </w:r>
            <w:r>
              <w:rPr>
                <w:rFonts w:hint="eastAsia" w:ascii="Times New Roman" w:hAnsi="Times New Roman"/>
                <w:sz w:val="24"/>
                <w:lang w:val="en-US" w:eastAsia="zh-CN"/>
              </w:rPr>
              <w:t>类似的</w:t>
            </w:r>
            <w:r>
              <w:rPr>
                <w:rFonts w:hint="eastAsia" w:ascii="Times New Roman" w:hAnsi="Times New Roman"/>
                <w:sz w:val="24"/>
              </w:rPr>
              <w:t>偃师市玉祥鞋业有限公司</w:t>
            </w:r>
            <w:r>
              <w:rPr>
                <w:rFonts w:hint="eastAsia" w:ascii="Times New Roman" w:hAnsi="Times New Roman"/>
                <w:sz w:val="24"/>
                <w:lang w:val="en-US" w:eastAsia="zh-CN"/>
              </w:rPr>
              <w:t>竣工验收报告数据</w:t>
            </w:r>
            <w:r>
              <w:rPr>
                <w:rFonts w:hint="eastAsia"/>
                <w:sz w:val="24"/>
                <w:szCs w:val="24"/>
                <w:u w:val="none"/>
              </w:rPr>
              <w:t>，</w:t>
            </w:r>
            <w:r>
              <w:rPr>
                <w:rFonts w:ascii="Times New Roman" w:hAnsi="Times New Roman"/>
                <w:sz w:val="24"/>
              </w:rPr>
              <w:t>大力绵热压定型过程有机废气产生量为</w:t>
            </w:r>
            <w:r>
              <w:rPr>
                <w:rFonts w:hint="eastAsia" w:ascii="Times New Roman" w:hAnsi="Times New Roman"/>
                <w:sz w:val="24"/>
              </w:rPr>
              <w:t>0.3g/双</w:t>
            </w:r>
            <w:r>
              <w:rPr>
                <w:rFonts w:ascii="Times New Roman" w:hAnsi="Times New Roman"/>
                <w:sz w:val="24"/>
              </w:rPr>
              <w:t>，项目年生产大力棉运动鞋垫</w:t>
            </w:r>
            <w:r>
              <w:rPr>
                <w:rFonts w:hint="eastAsia"/>
                <w:sz w:val="24"/>
                <w:lang w:val="en-US" w:eastAsia="zh-CN"/>
              </w:rPr>
              <w:t>100</w:t>
            </w:r>
            <w:r>
              <w:rPr>
                <w:rFonts w:ascii="Times New Roman" w:hAnsi="Times New Roman"/>
                <w:sz w:val="24"/>
              </w:rPr>
              <w:t>万双，则热压定型过程产生的有机废气非甲烷总烃产生量为</w:t>
            </w:r>
            <w:r>
              <w:rPr>
                <w:rFonts w:hint="eastAsia"/>
                <w:sz w:val="24"/>
                <w:highlight w:val="none"/>
                <w:lang w:val="en-US" w:eastAsia="zh-CN"/>
              </w:rPr>
              <w:t>0.3</w:t>
            </w:r>
            <w:r>
              <w:rPr>
                <w:rFonts w:ascii="Times New Roman" w:hAnsi="Times New Roman"/>
                <w:sz w:val="24"/>
              </w:rPr>
              <w:t>t/a</w:t>
            </w:r>
            <w:r>
              <w:rPr>
                <w:rFonts w:hint="eastAsia"/>
                <w:sz w:val="24"/>
                <w:lang w:eastAsia="zh-CN"/>
              </w:rPr>
              <w:t>（</w:t>
            </w:r>
            <w:r>
              <w:rPr>
                <w:rFonts w:hint="eastAsia"/>
                <w:sz w:val="24"/>
                <w:lang w:val="en-US" w:eastAsia="zh-CN"/>
              </w:rPr>
              <w:t>0.1255kg/h</w:t>
            </w:r>
            <w:r>
              <w:rPr>
                <w:rFonts w:hint="eastAsia"/>
                <w:sz w:val="24"/>
                <w:lang w:eastAsia="zh-CN"/>
              </w:rPr>
              <w:t>）</w:t>
            </w:r>
            <w:r>
              <w:rPr>
                <w:rFonts w:hint="eastAsia" w:ascii="Times New Roman" w:hAnsi="Times New Roman"/>
                <w:sz w:val="24"/>
              </w:rPr>
              <w:t>。</w:t>
            </w:r>
          </w:p>
          <w:p>
            <w:pPr>
              <w:spacing w:before="24" w:beforeLines="10" w:line="460" w:lineRule="exact"/>
              <w:ind w:firstLine="482" w:firstLineChars="200"/>
              <w:jc w:val="left"/>
              <w:rPr>
                <w:b w:val="0"/>
                <w:bCs/>
                <w:color w:val="000000"/>
                <w:sz w:val="24"/>
                <w:u w:val="none"/>
              </w:rPr>
            </w:pPr>
            <w:r>
              <w:rPr>
                <w:rFonts w:hint="eastAsia"/>
                <w:b/>
                <w:bCs/>
                <w:sz w:val="24"/>
                <w:u w:val="single"/>
                <w:lang w:val="en-US" w:eastAsia="zh-CN"/>
              </w:rPr>
              <w:t>本项目发泡、过胶、热压设备均集中于车间东侧，拟对该部分设备进行二次密闭，在车间内东侧设置</w:t>
            </w:r>
            <w:r>
              <w:rPr>
                <w:rFonts w:hint="eastAsia"/>
                <w:b/>
                <w:bCs/>
                <w:color w:val="000000"/>
                <w:sz w:val="24"/>
                <w:u w:val="single"/>
              </w:rPr>
              <w:t>单独设置操作间</w:t>
            </w:r>
            <w:r>
              <w:rPr>
                <w:rFonts w:hint="eastAsia"/>
                <w:b/>
                <w:bCs/>
                <w:color w:val="000000"/>
                <w:sz w:val="24"/>
                <w:u w:val="single"/>
                <w:lang w:eastAsia="zh-CN"/>
              </w:rPr>
              <w:t>，</w:t>
            </w:r>
            <w:r>
              <w:rPr>
                <w:rFonts w:hint="eastAsia"/>
                <w:b/>
                <w:bCs/>
                <w:color w:val="000000"/>
                <w:sz w:val="24"/>
                <w:u w:val="single"/>
                <w:lang w:val="en-US" w:eastAsia="zh-CN"/>
              </w:rPr>
              <w:t>操作间</w:t>
            </w:r>
            <w:r>
              <w:rPr>
                <w:rFonts w:hint="eastAsia"/>
                <w:b/>
                <w:bCs/>
                <w:sz w:val="24"/>
                <w:u w:val="single"/>
                <w:lang w:val="en-US" w:eastAsia="zh-CN"/>
              </w:rPr>
              <w:t>进出口处加装长软帘，以便原料、产品进出。</w:t>
            </w:r>
            <w:r>
              <w:rPr>
                <w:rFonts w:hint="eastAsia"/>
                <w:b w:val="0"/>
                <w:bCs w:val="0"/>
                <w:sz w:val="24"/>
                <w:u w:val="none"/>
              </w:rPr>
              <w:t>根据生产设备情况及产污环节，在不影响正常生产的情况下，</w:t>
            </w:r>
            <w:r>
              <w:rPr>
                <w:rFonts w:hint="eastAsia"/>
                <w:b w:val="0"/>
                <w:bCs w:val="0"/>
                <w:sz w:val="24"/>
                <w:u w:val="none"/>
                <w:lang w:val="en-US" w:eastAsia="zh-CN"/>
              </w:rPr>
              <w:t>在发泡机、过胶机、热压机</w:t>
            </w:r>
            <w:r>
              <w:rPr>
                <w:rFonts w:hint="eastAsia"/>
                <w:b w:val="0"/>
                <w:bCs w:val="0"/>
                <w:sz w:val="24"/>
                <w:u w:val="none"/>
              </w:rPr>
              <w:t>上方均设置集气罩</w:t>
            </w:r>
            <w:r>
              <w:rPr>
                <w:rFonts w:hint="eastAsia"/>
                <w:b w:val="0"/>
                <w:bCs w:val="0"/>
                <w:sz w:val="24"/>
                <w:u w:val="none"/>
                <w:lang w:eastAsia="zh-CN"/>
              </w:rPr>
              <w:t>，</w:t>
            </w:r>
            <w:r>
              <w:rPr>
                <w:rFonts w:hint="eastAsia"/>
                <w:b w:val="0"/>
                <w:bCs w:val="0"/>
                <w:sz w:val="24"/>
                <w:u w:val="none"/>
                <w:lang w:val="en-US" w:eastAsia="zh-CN"/>
              </w:rPr>
              <w:t>并在集气罩三面设置硬质围挡，一面加装</w:t>
            </w:r>
            <w:r>
              <w:rPr>
                <w:rFonts w:hint="eastAsia"/>
                <w:b w:val="0"/>
                <w:bCs w:val="0"/>
                <w:sz w:val="24"/>
                <w:u w:val="none"/>
                <w:lang w:eastAsia="zh-CN"/>
              </w:rPr>
              <w:t>软帘覆盖，</w:t>
            </w:r>
            <w:r>
              <w:rPr>
                <w:rFonts w:hint="eastAsia"/>
                <w:b w:val="0"/>
                <w:bCs w:val="0"/>
                <w:sz w:val="24"/>
                <w:u w:val="none"/>
              </w:rPr>
              <w:t>将</w:t>
            </w:r>
            <w:r>
              <w:rPr>
                <w:rFonts w:hint="eastAsia"/>
                <w:b w:val="0"/>
                <w:bCs w:val="0"/>
                <w:color w:val="000000"/>
                <w:sz w:val="24"/>
                <w:u w:val="none"/>
                <w:lang w:val="en-US" w:eastAsia="zh-CN"/>
              </w:rPr>
              <w:t>有机废气</w:t>
            </w:r>
            <w:r>
              <w:rPr>
                <w:rFonts w:hint="eastAsia"/>
                <w:b w:val="0"/>
                <w:bCs w:val="0"/>
                <w:color w:val="000000"/>
                <w:sz w:val="24"/>
                <w:u w:val="none"/>
              </w:rPr>
              <w:t>引入</w:t>
            </w:r>
            <w:r>
              <w:rPr>
                <w:bCs/>
                <w:sz w:val="24"/>
              </w:rPr>
              <w:t>1</w:t>
            </w:r>
            <w:r>
              <w:rPr>
                <w:rFonts w:hint="eastAsia"/>
                <w:bCs/>
                <w:sz w:val="24"/>
              </w:rPr>
              <w:t>套</w:t>
            </w:r>
            <w:r>
              <w:rPr>
                <w:bCs/>
                <w:sz w:val="24"/>
              </w:rPr>
              <w:t>UV</w:t>
            </w:r>
            <w:r>
              <w:rPr>
                <w:rFonts w:hint="eastAsia"/>
                <w:bCs/>
                <w:sz w:val="24"/>
              </w:rPr>
              <w:t>光氧催化</w:t>
            </w:r>
            <w:r>
              <w:rPr>
                <w:bCs/>
                <w:sz w:val="24"/>
              </w:rPr>
              <w:t>+</w:t>
            </w:r>
            <w:r>
              <w:rPr>
                <w:rFonts w:hint="eastAsia"/>
                <w:bCs/>
                <w:sz w:val="24"/>
              </w:rPr>
              <w:t>活性炭吸附装置进行处理</w:t>
            </w:r>
            <w:r>
              <w:rPr>
                <w:rFonts w:hint="eastAsia"/>
                <w:b w:val="0"/>
                <w:bCs w:val="0"/>
                <w:color w:val="000000"/>
                <w:sz w:val="24"/>
                <w:u w:val="none"/>
                <w:lang w:val="zh-TW"/>
              </w:rPr>
              <w:t>。</w:t>
            </w:r>
            <w:r>
              <w:rPr>
                <w:rFonts w:hint="eastAsia"/>
                <w:bCs/>
                <w:sz w:val="24"/>
              </w:rPr>
              <w:t>集气罩收集效率按</w:t>
            </w:r>
            <w:r>
              <w:rPr>
                <w:rFonts w:hint="eastAsia"/>
                <w:bCs/>
                <w:sz w:val="24"/>
                <w:lang w:val="en-US" w:eastAsia="zh-CN"/>
              </w:rPr>
              <w:t>95</w:t>
            </w:r>
            <w:r>
              <w:rPr>
                <w:rFonts w:hint="eastAsia"/>
                <w:bCs/>
                <w:sz w:val="24"/>
              </w:rPr>
              <w:t>%</w:t>
            </w:r>
            <w:r>
              <w:rPr>
                <w:rFonts w:hint="eastAsia"/>
                <w:b w:val="0"/>
                <w:bCs/>
                <w:sz w:val="24"/>
                <w:u w:val="none"/>
              </w:rPr>
              <w:t>，</w:t>
            </w:r>
            <w:r>
              <w:rPr>
                <w:rFonts w:hint="eastAsia"/>
                <w:b w:val="0"/>
                <w:bCs/>
                <w:sz w:val="24"/>
                <w:u w:val="none"/>
                <w:lang w:val="en-US" w:eastAsia="zh-CN"/>
              </w:rPr>
              <w:t>有机废气</w:t>
            </w:r>
            <w:r>
              <w:rPr>
                <w:rFonts w:hint="eastAsia"/>
                <w:b w:val="0"/>
                <w:bCs/>
                <w:sz w:val="24"/>
                <w:u w:val="none"/>
              </w:rPr>
              <w:t>净化效率为</w:t>
            </w:r>
            <w:r>
              <w:rPr>
                <w:rFonts w:hint="eastAsia"/>
                <w:b w:val="0"/>
                <w:bCs/>
                <w:sz w:val="24"/>
                <w:u w:val="none"/>
                <w:lang w:val="en-US" w:eastAsia="zh-CN"/>
              </w:rPr>
              <w:t>86%</w:t>
            </w:r>
            <w:r>
              <w:rPr>
                <w:rFonts w:hint="eastAsia"/>
                <w:b w:val="0"/>
                <w:bCs/>
                <w:sz w:val="24"/>
                <w:u w:val="none"/>
              </w:rPr>
              <w:t>，</w:t>
            </w:r>
            <w:r>
              <w:rPr>
                <w:b w:val="0"/>
                <w:bCs/>
                <w:sz w:val="24"/>
                <w:u w:val="none"/>
              </w:rPr>
              <w:t>风机风量为</w:t>
            </w:r>
            <w:r>
              <w:rPr>
                <w:rFonts w:hint="eastAsia"/>
                <w:b w:val="0"/>
                <w:bCs/>
                <w:sz w:val="24"/>
                <w:u w:val="none"/>
                <w:lang w:val="en-US" w:eastAsia="zh-CN"/>
              </w:rPr>
              <w:t>15000</w:t>
            </w:r>
            <w:r>
              <w:rPr>
                <w:rFonts w:hint="eastAsia"/>
                <w:b w:val="0"/>
                <w:bCs/>
                <w:sz w:val="24"/>
                <w:u w:val="none"/>
              </w:rPr>
              <w:t>m</w:t>
            </w:r>
            <w:r>
              <w:rPr>
                <w:rFonts w:hint="eastAsia"/>
                <w:b w:val="0"/>
                <w:bCs/>
                <w:sz w:val="24"/>
                <w:u w:val="none"/>
                <w:vertAlign w:val="superscript"/>
              </w:rPr>
              <w:t>3</w:t>
            </w:r>
            <w:r>
              <w:rPr>
                <w:b w:val="0"/>
                <w:bCs/>
                <w:sz w:val="24"/>
                <w:u w:val="none"/>
              </w:rPr>
              <w:t>/h</w:t>
            </w:r>
            <w:r>
              <w:rPr>
                <w:rFonts w:hint="eastAsia"/>
                <w:b w:val="0"/>
                <w:bCs/>
                <w:sz w:val="24"/>
                <w:u w:val="none"/>
              </w:rPr>
              <w:t>。风量风速</w:t>
            </w:r>
            <w:r>
              <w:rPr>
                <w:b w:val="0"/>
                <w:bCs/>
                <w:color w:val="000000"/>
                <w:sz w:val="24"/>
                <w:u w:val="none"/>
              </w:rPr>
              <w:t>根据《大气污染控制工程》中集气罩顶吸风风量计算公式，计算工序所需风量：</w:t>
            </w:r>
          </w:p>
          <w:p>
            <w:pPr>
              <w:spacing w:before="24" w:beforeLines="10" w:line="460" w:lineRule="exact"/>
              <w:ind w:firstLine="480" w:firstLineChars="200"/>
              <w:jc w:val="center"/>
              <w:rPr>
                <w:b w:val="0"/>
                <w:bCs/>
                <w:color w:val="000000"/>
                <w:sz w:val="24"/>
                <w:u w:val="none"/>
              </w:rPr>
            </w:pPr>
            <w:r>
              <w:rPr>
                <w:b w:val="0"/>
                <w:bCs/>
                <w:color w:val="000000"/>
                <w:sz w:val="24"/>
                <w:u w:val="none"/>
              </w:rPr>
              <w:t>Q=1.4×（a+b）×h×V</w:t>
            </w:r>
            <w:r>
              <w:rPr>
                <w:b w:val="0"/>
                <w:bCs/>
                <w:color w:val="000000"/>
                <w:sz w:val="24"/>
                <w:u w:val="none"/>
                <w:vertAlign w:val="subscript"/>
              </w:rPr>
              <w:t>0</w:t>
            </w:r>
            <w:r>
              <w:rPr>
                <w:b w:val="0"/>
                <w:bCs/>
                <w:color w:val="000000"/>
                <w:sz w:val="24"/>
                <w:u w:val="none"/>
              </w:rPr>
              <w:t>×3600</w:t>
            </w:r>
          </w:p>
          <w:p>
            <w:pPr>
              <w:spacing w:before="24" w:beforeLines="10" w:line="460" w:lineRule="exact"/>
              <w:ind w:firstLine="480" w:firstLineChars="200"/>
              <w:jc w:val="left"/>
              <w:rPr>
                <w:rFonts w:hint="eastAsia" w:eastAsia="宋体"/>
                <w:b w:val="0"/>
                <w:bCs/>
                <w:color w:val="000000"/>
                <w:sz w:val="24"/>
                <w:u w:val="none"/>
                <w:lang w:eastAsia="zh-CN"/>
              </w:rPr>
            </w:pPr>
            <w:r>
              <w:rPr>
                <w:b w:val="0"/>
                <w:bCs/>
                <w:color w:val="000000"/>
                <w:sz w:val="24"/>
                <w:u w:val="none"/>
              </w:rPr>
              <w:t>式中：Q---集气罩排风量，单位：m</w:t>
            </w:r>
            <w:r>
              <w:rPr>
                <w:b w:val="0"/>
                <w:bCs/>
                <w:color w:val="000000"/>
                <w:sz w:val="24"/>
                <w:u w:val="none"/>
                <w:vertAlign w:val="superscript"/>
              </w:rPr>
              <w:t>3</w:t>
            </w:r>
            <w:r>
              <w:rPr>
                <w:b w:val="0"/>
                <w:bCs/>
                <w:color w:val="000000"/>
                <w:sz w:val="24"/>
                <w:u w:val="none"/>
              </w:rPr>
              <w:t>/h</w:t>
            </w:r>
            <w:r>
              <w:rPr>
                <w:rFonts w:hint="eastAsia"/>
                <w:b w:val="0"/>
                <w:bCs/>
                <w:color w:val="000000"/>
                <w:sz w:val="24"/>
                <w:u w:val="none"/>
                <w:lang w:eastAsia="zh-CN"/>
              </w:rPr>
              <w:t>；</w:t>
            </w:r>
          </w:p>
          <w:p>
            <w:pPr>
              <w:spacing w:before="24" w:beforeLines="10" w:line="460" w:lineRule="exact"/>
              <w:ind w:firstLine="480" w:firstLineChars="200"/>
              <w:jc w:val="left"/>
              <w:rPr>
                <w:rFonts w:hint="eastAsia" w:eastAsia="宋体"/>
                <w:b w:val="0"/>
                <w:bCs/>
                <w:color w:val="000000"/>
                <w:sz w:val="24"/>
                <w:u w:val="none"/>
                <w:lang w:eastAsia="zh-CN"/>
              </w:rPr>
            </w:pPr>
            <w:r>
              <w:rPr>
                <w:b w:val="0"/>
                <w:bCs/>
                <w:color w:val="000000"/>
                <w:sz w:val="24"/>
                <w:u w:val="none"/>
              </w:rPr>
              <w:t>（a+b）---集气罩周长，单位：m</w:t>
            </w:r>
            <w:r>
              <w:rPr>
                <w:rFonts w:hint="eastAsia"/>
                <w:b w:val="0"/>
                <w:bCs/>
                <w:color w:val="000000"/>
                <w:sz w:val="24"/>
                <w:u w:val="none"/>
                <w:lang w:eastAsia="zh-CN"/>
              </w:rPr>
              <w:t>；</w:t>
            </w:r>
          </w:p>
          <w:p>
            <w:pPr>
              <w:spacing w:before="24" w:beforeLines="10" w:line="460" w:lineRule="exact"/>
              <w:ind w:firstLine="480" w:firstLineChars="200"/>
              <w:jc w:val="left"/>
              <w:rPr>
                <w:b w:val="0"/>
                <w:bCs/>
                <w:color w:val="000000"/>
                <w:sz w:val="24"/>
                <w:u w:val="none"/>
              </w:rPr>
            </w:pPr>
            <w:r>
              <w:rPr>
                <w:b w:val="0"/>
                <w:bCs/>
                <w:color w:val="000000"/>
                <w:sz w:val="24"/>
                <w:u w:val="none"/>
              </w:rPr>
              <w:t>h---罩口至污染源的距离，单位：m；本项目取0.3m。</w:t>
            </w:r>
          </w:p>
          <w:p>
            <w:pPr>
              <w:spacing w:before="24" w:beforeLines="10" w:line="460" w:lineRule="exact"/>
              <w:ind w:firstLine="480" w:firstLineChars="200"/>
              <w:jc w:val="left"/>
              <w:rPr>
                <w:b w:val="0"/>
                <w:bCs/>
                <w:sz w:val="24"/>
                <w:u w:val="none"/>
              </w:rPr>
            </w:pPr>
            <w:r>
              <w:rPr>
                <w:b w:val="0"/>
                <w:bCs/>
                <w:color w:val="000000"/>
                <w:sz w:val="24"/>
                <w:u w:val="none"/>
              </w:rPr>
              <w:t>V</w:t>
            </w:r>
            <w:r>
              <w:rPr>
                <w:b w:val="0"/>
                <w:bCs/>
                <w:color w:val="000000"/>
                <w:sz w:val="24"/>
                <w:u w:val="none"/>
                <w:vertAlign w:val="subscript"/>
              </w:rPr>
              <w:t>0</w:t>
            </w:r>
            <w:r>
              <w:rPr>
                <w:b w:val="0"/>
                <w:bCs/>
                <w:color w:val="000000"/>
                <w:sz w:val="24"/>
                <w:u w:val="none"/>
              </w:rPr>
              <w:t>---污染源气体流速，单位：m/s，一般取0.25-0.5m/s，本项目取</w:t>
            </w:r>
            <w:r>
              <w:rPr>
                <w:rFonts w:hint="eastAsia"/>
                <w:b w:val="0"/>
                <w:bCs/>
                <w:color w:val="000000"/>
                <w:sz w:val="24"/>
                <w:u w:val="none"/>
                <w:lang w:val="en-US" w:eastAsia="zh-CN"/>
              </w:rPr>
              <w:t>0.35</w:t>
            </w:r>
            <w:r>
              <w:rPr>
                <w:b w:val="0"/>
                <w:bCs/>
                <w:color w:val="000000"/>
                <w:sz w:val="24"/>
                <w:u w:val="none"/>
              </w:rPr>
              <w:t>m/s。</w:t>
            </w:r>
          </w:p>
          <w:p>
            <w:pPr>
              <w:pStyle w:val="9"/>
              <w:spacing w:after="0" w:line="460" w:lineRule="exact"/>
              <w:ind w:left="0" w:leftChars="0" w:firstLine="480" w:firstLineChars="200"/>
              <w:rPr>
                <w:rFonts w:hint="eastAsia"/>
                <w:b w:val="0"/>
                <w:bCs/>
                <w:szCs w:val="24"/>
                <w:u w:val="none"/>
              </w:rPr>
            </w:pPr>
            <w:r>
              <w:rPr>
                <w:rFonts w:hint="eastAsia"/>
                <w:b w:val="0"/>
                <w:bCs/>
                <w:szCs w:val="24"/>
                <w:u w:val="none"/>
              </w:rPr>
              <w:t>各设备集气罩风量如下：</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10"/>
              <w:gridCol w:w="1320"/>
              <w:gridCol w:w="1440"/>
              <w:gridCol w:w="1320"/>
              <w:gridCol w:w="1135"/>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pct"/>
                  <w:vAlign w:val="center"/>
                </w:tcPr>
                <w:p>
                  <w:pPr>
                    <w:adjustRightInd w:val="0"/>
                    <w:snapToGrid w:val="0"/>
                    <w:spacing w:line="320" w:lineRule="exact"/>
                    <w:jc w:val="center"/>
                    <w:rPr>
                      <w:b w:val="0"/>
                      <w:bCs/>
                      <w:szCs w:val="21"/>
                      <w:u w:val="none"/>
                    </w:rPr>
                  </w:pPr>
                  <w:r>
                    <w:rPr>
                      <w:b w:val="0"/>
                      <w:bCs/>
                      <w:szCs w:val="21"/>
                      <w:u w:val="none"/>
                    </w:rPr>
                    <w:t>设备名称</w:t>
                  </w:r>
                </w:p>
              </w:tc>
              <w:tc>
                <w:tcPr>
                  <w:tcW w:w="483" w:type="pct"/>
                  <w:vAlign w:val="center"/>
                </w:tcPr>
                <w:p>
                  <w:pPr>
                    <w:adjustRightInd w:val="0"/>
                    <w:snapToGrid w:val="0"/>
                    <w:spacing w:line="320" w:lineRule="exact"/>
                    <w:jc w:val="center"/>
                    <w:rPr>
                      <w:b w:val="0"/>
                      <w:bCs/>
                      <w:szCs w:val="21"/>
                      <w:u w:val="none"/>
                    </w:rPr>
                  </w:pPr>
                  <w:r>
                    <w:rPr>
                      <w:b w:val="0"/>
                      <w:bCs/>
                      <w:szCs w:val="21"/>
                      <w:u w:val="none"/>
                    </w:rPr>
                    <w:t>数量</w:t>
                  </w:r>
                  <w:r>
                    <w:rPr>
                      <w:rFonts w:hint="eastAsia"/>
                      <w:b w:val="0"/>
                      <w:bCs/>
                      <w:szCs w:val="21"/>
                      <w:u w:val="none"/>
                    </w:rPr>
                    <w:t>（台）</w:t>
                  </w:r>
                </w:p>
              </w:tc>
              <w:tc>
                <w:tcPr>
                  <w:tcW w:w="788" w:type="pct"/>
                  <w:vAlign w:val="center"/>
                </w:tcPr>
                <w:p>
                  <w:pPr>
                    <w:adjustRightInd w:val="0"/>
                    <w:snapToGrid w:val="0"/>
                    <w:spacing w:line="320" w:lineRule="exact"/>
                    <w:jc w:val="center"/>
                    <w:rPr>
                      <w:b w:val="0"/>
                      <w:bCs/>
                      <w:szCs w:val="21"/>
                      <w:u w:val="none"/>
                    </w:rPr>
                  </w:pPr>
                  <w:r>
                    <w:rPr>
                      <w:rFonts w:hint="eastAsia"/>
                      <w:b w:val="0"/>
                      <w:bCs/>
                      <w:szCs w:val="21"/>
                      <w:u w:val="none"/>
                    </w:rPr>
                    <w:t>集气罩</w:t>
                  </w:r>
                  <w:r>
                    <w:rPr>
                      <w:rFonts w:hint="eastAsia"/>
                      <w:b w:val="0"/>
                      <w:bCs/>
                      <w:szCs w:val="21"/>
                      <w:u w:val="none"/>
                      <w:lang w:val="en-US" w:eastAsia="zh-CN"/>
                    </w:rPr>
                    <w:t>周长</w:t>
                  </w:r>
                  <w:r>
                    <w:rPr>
                      <w:rFonts w:hint="eastAsia"/>
                      <w:b w:val="0"/>
                      <w:bCs/>
                      <w:szCs w:val="21"/>
                      <w:u w:val="none"/>
                    </w:rPr>
                    <w:t>（m）</w:t>
                  </w:r>
                </w:p>
              </w:tc>
              <w:tc>
                <w:tcPr>
                  <w:tcW w:w="859" w:type="pct"/>
                  <w:vAlign w:val="center"/>
                </w:tcPr>
                <w:p>
                  <w:pPr>
                    <w:adjustRightInd w:val="0"/>
                    <w:snapToGrid w:val="0"/>
                    <w:spacing w:line="320" w:lineRule="exact"/>
                    <w:jc w:val="center"/>
                    <w:rPr>
                      <w:rFonts w:hint="eastAsia" w:eastAsia="宋体"/>
                      <w:b w:val="0"/>
                      <w:bCs/>
                      <w:szCs w:val="21"/>
                      <w:u w:val="none"/>
                      <w:lang w:eastAsia="zh-CN"/>
                    </w:rPr>
                  </w:pPr>
                  <w:r>
                    <w:rPr>
                      <w:rFonts w:hint="eastAsia"/>
                      <w:b w:val="0"/>
                      <w:bCs/>
                      <w:szCs w:val="21"/>
                      <w:u w:val="none"/>
                    </w:rPr>
                    <w:t>罩口至污染源的距离</w:t>
                  </w:r>
                  <w:r>
                    <w:rPr>
                      <w:rFonts w:hint="eastAsia"/>
                      <w:b w:val="0"/>
                      <w:bCs/>
                      <w:szCs w:val="21"/>
                      <w:u w:val="none"/>
                      <w:lang w:eastAsia="zh-CN"/>
                    </w:rPr>
                    <w:t>（</w:t>
                  </w:r>
                  <w:r>
                    <w:rPr>
                      <w:rFonts w:hint="eastAsia"/>
                      <w:b w:val="0"/>
                      <w:bCs/>
                      <w:szCs w:val="21"/>
                      <w:u w:val="none"/>
                      <w:lang w:val="en-US" w:eastAsia="zh-CN"/>
                    </w:rPr>
                    <w:t>m</w:t>
                  </w:r>
                  <w:r>
                    <w:rPr>
                      <w:rFonts w:hint="eastAsia"/>
                      <w:b w:val="0"/>
                      <w:bCs/>
                      <w:szCs w:val="21"/>
                      <w:u w:val="none"/>
                      <w:lang w:eastAsia="zh-CN"/>
                    </w:rPr>
                    <w:t>）</w:t>
                  </w:r>
                </w:p>
              </w:tc>
              <w:tc>
                <w:tcPr>
                  <w:tcW w:w="788" w:type="pct"/>
                  <w:vAlign w:val="center"/>
                </w:tcPr>
                <w:p>
                  <w:pPr>
                    <w:adjustRightInd w:val="0"/>
                    <w:snapToGrid w:val="0"/>
                    <w:spacing w:line="320" w:lineRule="exact"/>
                    <w:jc w:val="center"/>
                    <w:rPr>
                      <w:b w:val="0"/>
                      <w:bCs/>
                      <w:szCs w:val="21"/>
                      <w:u w:val="none"/>
                    </w:rPr>
                  </w:pPr>
                  <w:r>
                    <w:rPr>
                      <w:rFonts w:hint="eastAsia"/>
                      <w:b w:val="0"/>
                      <w:bCs/>
                      <w:szCs w:val="21"/>
                      <w:u w:val="none"/>
                    </w:rPr>
                    <w:t>单集气罩风量（m</w:t>
                  </w:r>
                  <w:r>
                    <w:rPr>
                      <w:rFonts w:hint="eastAsia"/>
                      <w:b w:val="0"/>
                      <w:bCs/>
                      <w:szCs w:val="21"/>
                      <w:u w:val="none"/>
                      <w:vertAlign w:val="superscript"/>
                    </w:rPr>
                    <w:t>3</w:t>
                  </w:r>
                  <w:r>
                    <w:rPr>
                      <w:rFonts w:hint="eastAsia"/>
                      <w:b w:val="0"/>
                      <w:bCs/>
                      <w:szCs w:val="21"/>
                      <w:u w:val="none"/>
                    </w:rPr>
                    <w:t>/h）</w:t>
                  </w:r>
                </w:p>
              </w:tc>
              <w:tc>
                <w:tcPr>
                  <w:tcW w:w="677" w:type="pct"/>
                  <w:vAlign w:val="center"/>
                </w:tcPr>
                <w:p>
                  <w:pPr>
                    <w:adjustRightInd w:val="0"/>
                    <w:snapToGrid w:val="0"/>
                    <w:spacing w:line="320" w:lineRule="exact"/>
                    <w:jc w:val="center"/>
                    <w:rPr>
                      <w:rFonts w:hint="eastAsia" w:eastAsia="宋体"/>
                      <w:b w:val="0"/>
                      <w:bCs/>
                      <w:szCs w:val="21"/>
                      <w:u w:val="none"/>
                      <w:lang w:val="en-US" w:eastAsia="zh-CN"/>
                    </w:rPr>
                  </w:pPr>
                  <w:r>
                    <w:rPr>
                      <w:rFonts w:hint="eastAsia"/>
                      <w:b w:val="0"/>
                      <w:bCs/>
                      <w:szCs w:val="21"/>
                      <w:u w:val="none"/>
                      <w:lang w:val="en-US" w:eastAsia="zh-CN"/>
                    </w:rPr>
                    <w:t>集气罩数量（个）</w:t>
                  </w:r>
                </w:p>
              </w:tc>
              <w:tc>
                <w:tcPr>
                  <w:tcW w:w="616" w:type="pct"/>
                  <w:vAlign w:val="center"/>
                </w:tcPr>
                <w:p>
                  <w:pPr>
                    <w:adjustRightInd w:val="0"/>
                    <w:snapToGrid w:val="0"/>
                    <w:spacing w:line="320" w:lineRule="exact"/>
                    <w:jc w:val="center"/>
                    <w:rPr>
                      <w:b w:val="0"/>
                      <w:bCs/>
                      <w:szCs w:val="21"/>
                      <w:u w:val="none"/>
                    </w:rPr>
                  </w:pPr>
                  <w:r>
                    <w:rPr>
                      <w:rFonts w:hint="eastAsia"/>
                      <w:b w:val="0"/>
                      <w:bCs/>
                      <w:szCs w:val="21"/>
                      <w:u w:val="none"/>
                    </w:rPr>
                    <w:t>总风量（m</w:t>
                  </w:r>
                  <w:r>
                    <w:rPr>
                      <w:rFonts w:hint="eastAsia"/>
                      <w:b w:val="0"/>
                      <w:bCs/>
                      <w:szCs w:val="21"/>
                      <w:u w:val="none"/>
                      <w:vertAlign w:val="superscript"/>
                    </w:rPr>
                    <w:t>3</w:t>
                  </w:r>
                  <w:r>
                    <w:rPr>
                      <w:rFonts w:hint="eastAsia"/>
                      <w:b w:val="0"/>
                      <w:bCs/>
                      <w:szCs w:val="21"/>
                      <w:u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5" w:type="pct"/>
                  <w:vAlign w:val="center"/>
                </w:tcPr>
                <w:p>
                  <w:pPr>
                    <w:widowControl/>
                    <w:spacing w:line="320" w:lineRule="exact"/>
                    <w:jc w:val="center"/>
                    <w:textAlignment w:val="center"/>
                    <w:rPr>
                      <w:rFonts w:hint="eastAsia" w:eastAsia="宋体"/>
                      <w:b/>
                      <w:bCs w:val="0"/>
                      <w:szCs w:val="21"/>
                      <w:u w:val="single"/>
                      <w:lang w:eastAsia="zh-CN"/>
                    </w:rPr>
                  </w:pPr>
                  <w:r>
                    <w:rPr>
                      <w:rFonts w:hint="eastAsia"/>
                      <w:b/>
                      <w:bCs w:val="0"/>
                      <w:szCs w:val="21"/>
                      <w:u w:val="single"/>
                      <w:lang w:val="en-US" w:eastAsia="zh-CN"/>
                    </w:rPr>
                    <w:t>发泡机</w:t>
                  </w:r>
                </w:p>
              </w:tc>
              <w:tc>
                <w:tcPr>
                  <w:tcW w:w="483" w:type="pct"/>
                  <w:vAlign w:val="center"/>
                </w:tcPr>
                <w:p>
                  <w:pPr>
                    <w:widowControl/>
                    <w:spacing w:line="320" w:lineRule="exact"/>
                    <w:jc w:val="center"/>
                    <w:textAlignment w:val="center"/>
                    <w:rPr>
                      <w:rFonts w:hint="eastAsia" w:eastAsia="宋体"/>
                      <w:b/>
                      <w:bCs w:val="0"/>
                      <w:szCs w:val="21"/>
                      <w:u w:val="single"/>
                      <w:lang w:eastAsia="zh-CN"/>
                    </w:rPr>
                  </w:pPr>
                  <w:r>
                    <w:rPr>
                      <w:rFonts w:hint="eastAsia"/>
                      <w:b/>
                      <w:bCs w:val="0"/>
                      <w:szCs w:val="21"/>
                      <w:u w:val="single"/>
                      <w:lang w:val="en-US" w:eastAsia="zh-CN"/>
                    </w:rPr>
                    <w:t>2</w:t>
                  </w:r>
                </w:p>
              </w:tc>
              <w:tc>
                <w:tcPr>
                  <w:tcW w:w="788" w:type="pct"/>
                  <w:vAlign w:val="center"/>
                </w:tcPr>
                <w:p>
                  <w:pPr>
                    <w:widowControl/>
                    <w:spacing w:line="320" w:lineRule="exact"/>
                    <w:jc w:val="center"/>
                    <w:textAlignment w:val="center"/>
                    <w:rPr>
                      <w:rFonts w:hint="default" w:eastAsia="宋体"/>
                      <w:b/>
                      <w:bCs w:val="0"/>
                      <w:szCs w:val="21"/>
                      <w:u w:val="single"/>
                      <w:lang w:val="en-US" w:eastAsia="zh-CN"/>
                    </w:rPr>
                  </w:pPr>
                  <w:r>
                    <w:rPr>
                      <w:rFonts w:hint="eastAsia"/>
                      <w:b/>
                      <w:bCs w:val="0"/>
                      <w:color w:val="000000"/>
                      <w:sz w:val="24"/>
                      <w:szCs w:val="24"/>
                      <w:u w:val="single"/>
                      <w:lang w:val="en-US" w:eastAsia="zh-CN"/>
                    </w:rPr>
                    <w:t>6.0</w:t>
                  </w:r>
                </w:p>
              </w:tc>
              <w:tc>
                <w:tcPr>
                  <w:tcW w:w="859" w:type="pct"/>
                  <w:vAlign w:val="center"/>
                </w:tcPr>
                <w:p>
                  <w:pPr>
                    <w:widowControl/>
                    <w:spacing w:line="320" w:lineRule="exact"/>
                    <w:jc w:val="center"/>
                    <w:textAlignment w:val="center"/>
                    <w:rPr>
                      <w:rFonts w:hint="default"/>
                      <w:b/>
                      <w:bCs w:val="0"/>
                      <w:szCs w:val="21"/>
                      <w:u w:val="single"/>
                      <w:lang w:val="en-US" w:eastAsia="zh-CN"/>
                    </w:rPr>
                  </w:pPr>
                  <w:r>
                    <w:rPr>
                      <w:rFonts w:hint="eastAsia"/>
                      <w:b/>
                      <w:bCs w:val="0"/>
                      <w:szCs w:val="21"/>
                      <w:u w:val="single"/>
                      <w:lang w:val="en-US" w:eastAsia="zh-CN"/>
                    </w:rPr>
                    <w:t>0.3</w:t>
                  </w:r>
                </w:p>
              </w:tc>
              <w:tc>
                <w:tcPr>
                  <w:tcW w:w="788" w:type="pct"/>
                  <w:vAlign w:val="center"/>
                </w:tcPr>
                <w:p>
                  <w:pPr>
                    <w:widowControl/>
                    <w:spacing w:line="320" w:lineRule="exact"/>
                    <w:jc w:val="center"/>
                    <w:textAlignment w:val="center"/>
                    <w:rPr>
                      <w:rFonts w:hint="default" w:eastAsia="宋体"/>
                      <w:b/>
                      <w:bCs w:val="0"/>
                      <w:szCs w:val="21"/>
                      <w:u w:val="single"/>
                      <w:lang w:val="en-US" w:eastAsia="zh-CN"/>
                    </w:rPr>
                  </w:pPr>
                  <w:r>
                    <w:rPr>
                      <w:rFonts w:hint="eastAsia"/>
                      <w:b/>
                      <w:bCs w:val="0"/>
                      <w:szCs w:val="21"/>
                      <w:u w:val="single"/>
                      <w:lang w:val="en-US" w:eastAsia="zh-CN"/>
                    </w:rPr>
                    <w:t>3175</w:t>
                  </w:r>
                </w:p>
              </w:tc>
              <w:tc>
                <w:tcPr>
                  <w:tcW w:w="677" w:type="pct"/>
                  <w:vAlign w:val="center"/>
                </w:tcPr>
                <w:p>
                  <w:pPr>
                    <w:widowControl/>
                    <w:spacing w:line="320" w:lineRule="exact"/>
                    <w:jc w:val="center"/>
                    <w:textAlignment w:val="center"/>
                    <w:rPr>
                      <w:rFonts w:hint="default"/>
                      <w:b/>
                      <w:bCs w:val="0"/>
                      <w:szCs w:val="21"/>
                      <w:u w:val="single"/>
                      <w:lang w:val="en-US" w:eastAsia="zh-CN"/>
                    </w:rPr>
                  </w:pPr>
                  <w:r>
                    <w:rPr>
                      <w:rFonts w:hint="eastAsia"/>
                      <w:b/>
                      <w:bCs w:val="0"/>
                      <w:szCs w:val="21"/>
                      <w:u w:val="single"/>
                      <w:lang w:val="en-US" w:eastAsia="zh-CN"/>
                    </w:rPr>
                    <w:t>2</w:t>
                  </w:r>
                </w:p>
              </w:tc>
              <w:tc>
                <w:tcPr>
                  <w:tcW w:w="616" w:type="pct"/>
                  <w:vMerge w:val="restart"/>
                  <w:vAlign w:val="center"/>
                </w:tcPr>
                <w:p>
                  <w:pPr>
                    <w:pStyle w:val="20"/>
                    <w:ind w:left="0" w:leftChars="0" w:firstLine="0" w:firstLineChars="0"/>
                    <w:jc w:val="center"/>
                    <w:rPr>
                      <w:rFonts w:hint="default"/>
                      <w:b w:val="0"/>
                      <w:bCs/>
                      <w:u w:val="none"/>
                      <w:lang w:val="en-US" w:eastAsia="zh-CN"/>
                    </w:rPr>
                  </w:pPr>
                  <w:r>
                    <w:rPr>
                      <w:rFonts w:hint="eastAsia"/>
                      <w:b/>
                      <w:bCs w:val="0"/>
                      <w:u w:val="single"/>
                      <w:lang w:val="en-US" w:eastAsia="zh-CN"/>
                    </w:rPr>
                    <w:t>14817.6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5" w:type="pct"/>
                  <w:vAlign w:val="center"/>
                </w:tcPr>
                <w:p>
                  <w:pPr>
                    <w:widowControl/>
                    <w:spacing w:line="320" w:lineRule="exact"/>
                    <w:jc w:val="center"/>
                    <w:textAlignment w:val="center"/>
                    <w:rPr>
                      <w:rFonts w:hint="eastAsia" w:eastAsia="宋体"/>
                      <w:b w:val="0"/>
                      <w:bCs/>
                      <w:szCs w:val="21"/>
                      <w:u w:val="none"/>
                      <w:lang w:eastAsia="zh-CN"/>
                    </w:rPr>
                  </w:pPr>
                  <w:r>
                    <w:rPr>
                      <w:rFonts w:hint="eastAsia"/>
                      <w:b w:val="0"/>
                      <w:bCs/>
                      <w:szCs w:val="21"/>
                      <w:u w:val="none"/>
                      <w:lang w:val="en-US" w:eastAsia="zh-CN"/>
                    </w:rPr>
                    <w:t>涂胶机</w:t>
                  </w:r>
                </w:p>
              </w:tc>
              <w:tc>
                <w:tcPr>
                  <w:tcW w:w="483" w:type="pct"/>
                  <w:vAlign w:val="center"/>
                </w:tcPr>
                <w:p>
                  <w:pPr>
                    <w:widowControl/>
                    <w:spacing w:line="320" w:lineRule="exact"/>
                    <w:jc w:val="center"/>
                    <w:textAlignment w:val="center"/>
                    <w:rPr>
                      <w:rFonts w:hint="eastAsia" w:eastAsia="宋体"/>
                      <w:b w:val="0"/>
                      <w:bCs/>
                      <w:szCs w:val="21"/>
                      <w:u w:val="none"/>
                      <w:lang w:eastAsia="zh-CN"/>
                    </w:rPr>
                  </w:pPr>
                  <w:r>
                    <w:rPr>
                      <w:rFonts w:hint="eastAsia"/>
                      <w:b w:val="0"/>
                      <w:bCs/>
                      <w:szCs w:val="21"/>
                      <w:u w:val="none"/>
                      <w:lang w:val="en-US" w:eastAsia="zh-CN"/>
                    </w:rPr>
                    <w:t>4</w:t>
                  </w:r>
                </w:p>
              </w:tc>
              <w:tc>
                <w:tcPr>
                  <w:tcW w:w="788" w:type="pct"/>
                  <w:vAlign w:val="center"/>
                </w:tcPr>
                <w:p>
                  <w:pPr>
                    <w:widowControl/>
                    <w:spacing w:line="320" w:lineRule="exact"/>
                    <w:jc w:val="center"/>
                    <w:textAlignment w:val="center"/>
                    <w:rPr>
                      <w:rFonts w:hint="default" w:eastAsia="宋体"/>
                      <w:b w:val="0"/>
                      <w:bCs/>
                      <w:szCs w:val="21"/>
                      <w:u w:val="none"/>
                      <w:lang w:val="en-US" w:eastAsia="zh-CN"/>
                    </w:rPr>
                  </w:pPr>
                  <w:r>
                    <w:rPr>
                      <w:rFonts w:hint="eastAsia"/>
                      <w:b w:val="0"/>
                      <w:bCs/>
                      <w:color w:val="000000"/>
                      <w:sz w:val="24"/>
                      <w:szCs w:val="24"/>
                      <w:u w:val="none"/>
                      <w:lang w:val="en-US" w:eastAsia="zh-CN"/>
                    </w:rPr>
                    <w:t>1.5</w:t>
                  </w:r>
                </w:p>
              </w:tc>
              <w:tc>
                <w:tcPr>
                  <w:tcW w:w="859" w:type="pct"/>
                  <w:vAlign w:val="center"/>
                </w:tcPr>
                <w:p>
                  <w:pPr>
                    <w:widowControl/>
                    <w:spacing w:line="320" w:lineRule="exact"/>
                    <w:jc w:val="center"/>
                    <w:textAlignment w:val="center"/>
                    <w:rPr>
                      <w:rFonts w:hint="default"/>
                      <w:b w:val="0"/>
                      <w:bCs/>
                      <w:szCs w:val="21"/>
                      <w:u w:val="none"/>
                      <w:lang w:val="en-US" w:eastAsia="zh-CN"/>
                    </w:rPr>
                  </w:pPr>
                  <w:r>
                    <w:rPr>
                      <w:rFonts w:hint="eastAsia"/>
                      <w:b w:val="0"/>
                      <w:bCs/>
                      <w:szCs w:val="21"/>
                      <w:u w:val="none"/>
                      <w:lang w:val="en-US" w:eastAsia="zh-CN"/>
                    </w:rPr>
                    <w:t>0.2</w:t>
                  </w:r>
                </w:p>
              </w:tc>
              <w:tc>
                <w:tcPr>
                  <w:tcW w:w="788" w:type="pct"/>
                  <w:vAlign w:val="center"/>
                </w:tcPr>
                <w:p>
                  <w:pPr>
                    <w:widowControl/>
                    <w:spacing w:line="320" w:lineRule="exact"/>
                    <w:jc w:val="center"/>
                    <w:textAlignment w:val="center"/>
                    <w:rPr>
                      <w:rFonts w:hint="default" w:eastAsia="宋体"/>
                      <w:b w:val="0"/>
                      <w:bCs/>
                      <w:szCs w:val="21"/>
                      <w:u w:val="none"/>
                      <w:lang w:val="en-US" w:eastAsia="zh-CN"/>
                    </w:rPr>
                  </w:pPr>
                  <w:r>
                    <w:rPr>
                      <w:rFonts w:hint="eastAsia"/>
                      <w:b w:val="0"/>
                      <w:bCs/>
                      <w:szCs w:val="21"/>
                      <w:u w:val="none"/>
                      <w:lang w:val="en-US" w:eastAsia="zh-CN"/>
                    </w:rPr>
                    <w:t>529.2</w:t>
                  </w:r>
                </w:p>
              </w:tc>
              <w:tc>
                <w:tcPr>
                  <w:tcW w:w="677" w:type="pct"/>
                  <w:vAlign w:val="center"/>
                </w:tcPr>
                <w:p>
                  <w:pPr>
                    <w:widowControl/>
                    <w:spacing w:line="320" w:lineRule="exact"/>
                    <w:jc w:val="center"/>
                    <w:textAlignment w:val="center"/>
                    <w:rPr>
                      <w:rFonts w:hint="default"/>
                      <w:b w:val="0"/>
                      <w:bCs/>
                      <w:szCs w:val="21"/>
                      <w:u w:val="none"/>
                      <w:lang w:val="en-US" w:eastAsia="zh-CN"/>
                    </w:rPr>
                  </w:pPr>
                  <w:r>
                    <w:rPr>
                      <w:rFonts w:hint="eastAsia"/>
                      <w:b w:val="0"/>
                      <w:bCs/>
                      <w:szCs w:val="21"/>
                      <w:u w:val="none"/>
                      <w:lang w:val="en-US" w:eastAsia="zh-CN"/>
                    </w:rPr>
                    <w:t>4</w:t>
                  </w:r>
                </w:p>
              </w:tc>
              <w:tc>
                <w:tcPr>
                  <w:tcW w:w="616" w:type="pct"/>
                  <w:vMerge w:val="continue"/>
                  <w:vAlign w:val="center"/>
                </w:tcPr>
                <w:p>
                  <w:pPr>
                    <w:widowControl/>
                    <w:spacing w:line="320" w:lineRule="exact"/>
                    <w:jc w:val="center"/>
                    <w:textAlignment w:val="center"/>
                    <w:rPr>
                      <w:b w:val="0"/>
                      <w:bCs/>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5" w:type="pct"/>
                  <w:vAlign w:val="center"/>
                </w:tcPr>
                <w:p>
                  <w:pPr>
                    <w:widowControl/>
                    <w:spacing w:line="320" w:lineRule="exact"/>
                    <w:jc w:val="center"/>
                    <w:textAlignment w:val="center"/>
                    <w:rPr>
                      <w:rFonts w:hint="eastAsia" w:eastAsia="宋体"/>
                      <w:b/>
                      <w:bCs w:val="0"/>
                      <w:szCs w:val="21"/>
                      <w:u w:val="single"/>
                      <w:lang w:val="en-US" w:eastAsia="zh-CN"/>
                    </w:rPr>
                  </w:pPr>
                  <w:r>
                    <w:rPr>
                      <w:rFonts w:hint="eastAsia"/>
                      <w:b/>
                      <w:bCs w:val="0"/>
                      <w:szCs w:val="21"/>
                      <w:u w:val="single"/>
                      <w:lang w:val="en-US" w:eastAsia="zh-CN"/>
                    </w:rPr>
                    <w:t>热压机</w:t>
                  </w:r>
                </w:p>
              </w:tc>
              <w:tc>
                <w:tcPr>
                  <w:tcW w:w="483" w:type="pct"/>
                  <w:vAlign w:val="center"/>
                </w:tcPr>
                <w:p>
                  <w:pPr>
                    <w:widowControl/>
                    <w:spacing w:line="320" w:lineRule="exact"/>
                    <w:jc w:val="center"/>
                    <w:textAlignment w:val="center"/>
                    <w:rPr>
                      <w:rFonts w:hint="eastAsia" w:eastAsia="宋体"/>
                      <w:b/>
                      <w:bCs w:val="0"/>
                      <w:szCs w:val="21"/>
                      <w:u w:val="single"/>
                      <w:lang w:eastAsia="zh-CN"/>
                    </w:rPr>
                  </w:pPr>
                  <w:r>
                    <w:rPr>
                      <w:rFonts w:hint="eastAsia"/>
                      <w:b/>
                      <w:bCs w:val="0"/>
                      <w:szCs w:val="21"/>
                      <w:u w:val="single"/>
                      <w:lang w:val="en-US" w:eastAsia="zh-CN"/>
                    </w:rPr>
                    <w:t>2</w:t>
                  </w:r>
                </w:p>
              </w:tc>
              <w:tc>
                <w:tcPr>
                  <w:tcW w:w="788" w:type="pct"/>
                  <w:vAlign w:val="center"/>
                </w:tcPr>
                <w:p>
                  <w:pPr>
                    <w:widowControl/>
                    <w:spacing w:line="320" w:lineRule="exact"/>
                    <w:jc w:val="center"/>
                    <w:textAlignment w:val="center"/>
                    <w:rPr>
                      <w:rFonts w:hint="default" w:eastAsia="宋体"/>
                      <w:b/>
                      <w:bCs w:val="0"/>
                      <w:szCs w:val="21"/>
                      <w:u w:val="single"/>
                      <w:lang w:val="en-US" w:eastAsia="zh-CN"/>
                    </w:rPr>
                  </w:pPr>
                  <w:r>
                    <w:rPr>
                      <w:rFonts w:hint="eastAsia"/>
                      <w:b/>
                      <w:bCs w:val="0"/>
                      <w:color w:val="000000"/>
                      <w:sz w:val="24"/>
                      <w:szCs w:val="24"/>
                      <w:u w:val="single"/>
                      <w:lang w:val="en-US" w:eastAsia="zh-CN"/>
                    </w:rPr>
                    <w:t>6.0</w:t>
                  </w:r>
                </w:p>
              </w:tc>
              <w:tc>
                <w:tcPr>
                  <w:tcW w:w="859" w:type="pct"/>
                  <w:vAlign w:val="center"/>
                </w:tcPr>
                <w:p>
                  <w:pPr>
                    <w:widowControl/>
                    <w:spacing w:line="320" w:lineRule="exact"/>
                    <w:jc w:val="center"/>
                    <w:textAlignment w:val="center"/>
                    <w:rPr>
                      <w:rFonts w:hint="default"/>
                      <w:b/>
                      <w:bCs w:val="0"/>
                      <w:szCs w:val="21"/>
                      <w:u w:val="single"/>
                      <w:lang w:val="en-US" w:eastAsia="zh-CN"/>
                    </w:rPr>
                  </w:pPr>
                  <w:r>
                    <w:rPr>
                      <w:rFonts w:hint="eastAsia"/>
                      <w:b/>
                      <w:bCs w:val="0"/>
                      <w:szCs w:val="21"/>
                      <w:u w:val="single"/>
                      <w:lang w:val="en-US" w:eastAsia="zh-CN"/>
                    </w:rPr>
                    <w:t>0.3</w:t>
                  </w:r>
                </w:p>
              </w:tc>
              <w:tc>
                <w:tcPr>
                  <w:tcW w:w="788" w:type="pct"/>
                  <w:vAlign w:val="center"/>
                </w:tcPr>
                <w:p>
                  <w:pPr>
                    <w:widowControl/>
                    <w:spacing w:line="320" w:lineRule="exact"/>
                    <w:jc w:val="center"/>
                    <w:textAlignment w:val="center"/>
                    <w:rPr>
                      <w:rFonts w:hint="default" w:eastAsia="宋体"/>
                      <w:b/>
                      <w:bCs w:val="0"/>
                      <w:szCs w:val="21"/>
                      <w:u w:val="single"/>
                      <w:lang w:val="en-US" w:eastAsia="zh-CN"/>
                    </w:rPr>
                  </w:pPr>
                  <w:r>
                    <w:rPr>
                      <w:rFonts w:hint="eastAsia"/>
                      <w:b/>
                      <w:bCs w:val="0"/>
                      <w:szCs w:val="21"/>
                      <w:u w:val="single"/>
                      <w:lang w:val="en-US" w:eastAsia="zh-CN"/>
                    </w:rPr>
                    <w:t>3175</w:t>
                  </w:r>
                </w:p>
              </w:tc>
              <w:tc>
                <w:tcPr>
                  <w:tcW w:w="677" w:type="pct"/>
                  <w:vAlign w:val="center"/>
                </w:tcPr>
                <w:p>
                  <w:pPr>
                    <w:widowControl/>
                    <w:spacing w:line="320" w:lineRule="exact"/>
                    <w:jc w:val="center"/>
                    <w:textAlignment w:val="center"/>
                    <w:rPr>
                      <w:rFonts w:hint="default"/>
                      <w:b/>
                      <w:bCs w:val="0"/>
                      <w:szCs w:val="21"/>
                      <w:u w:val="single"/>
                      <w:lang w:val="en-US" w:eastAsia="zh-CN"/>
                    </w:rPr>
                  </w:pPr>
                  <w:r>
                    <w:rPr>
                      <w:rFonts w:hint="eastAsia"/>
                      <w:b/>
                      <w:bCs w:val="0"/>
                      <w:szCs w:val="21"/>
                      <w:u w:val="single"/>
                      <w:lang w:val="en-US" w:eastAsia="zh-CN"/>
                    </w:rPr>
                    <w:t>2</w:t>
                  </w:r>
                </w:p>
              </w:tc>
              <w:tc>
                <w:tcPr>
                  <w:tcW w:w="616" w:type="pct"/>
                  <w:vMerge w:val="continue"/>
                  <w:vAlign w:val="center"/>
                </w:tcPr>
                <w:p>
                  <w:pPr>
                    <w:widowControl/>
                    <w:spacing w:line="320" w:lineRule="exact"/>
                    <w:jc w:val="center"/>
                    <w:textAlignment w:val="center"/>
                    <w:rPr>
                      <w:b w:val="0"/>
                      <w:bCs/>
                      <w:szCs w:val="21"/>
                      <w:u w:val="none"/>
                    </w:rPr>
                  </w:pPr>
                </w:p>
              </w:tc>
            </w:tr>
          </w:tbl>
          <w:p>
            <w:pPr>
              <w:pStyle w:val="9"/>
              <w:keepNext w:val="0"/>
              <w:keepLines w:val="0"/>
              <w:pageBreakBefore w:val="0"/>
              <w:widowControl w:val="0"/>
              <w:kinsoku/>
              <w:wordWrap/>
              <w:overflowPunct/>
              <w:topLinePunct w:val="0"/>
              <w:autoSpaceDE/>
              <w:autoSpaceDN/>
              <w:bidi w:val="0"/>
              <w:spacing w:after="0" w:line="360" w:lineRule="auto"/>
              <w:ind w:left="0" w:leftChars="0" w:firstLine="482" w:firstLineChars="200"/>
              <w:textAlignment w:val="auto"/>
              <w:rPr>
                <w:b/>
                <w:bCs w:val="0"/>
                <w:szCs w:val="24"/>
                <w:u w:val="single"/>
              </w:rPr>
            </w:pPr>
            <w:r>
              <w:rPr>
                <w:rFonts w:hint="eastAsia"/>
                <w:b/>
                <w:bCs w:val="0"/>
                <w:szCs w:val="24"/>
                <w:u w:val="single"/>
              </w:rPr>
              <w:t>由上述公式计算出风机总风量为</w:t>
            </w:r>
            <w:r>
              <w:rPr>
                <w:rFonts w:hint="eastAsia"/>
                <w:b/>
                <w:bCs w:val="0"/>
                <w:szCs w:val="24"/>
                <w:u w:val="single"/>
                <w:lang w:val="en-US" w:eastAsia="zh-CN"/>
              </w:rPr>
              <w:t>14817.6</w:t>
            </w:r>
            <w:r>
              <w:rPr>
                <w:rFonts w:hint="eastAsia"/>
                <w:b/>
                <w:bCs w:val="0"/>
                <w:szCs w:val="24"/>
                <w:u w:val="single"/>
              </w:rPr>
              <w:t>m</w:t>
            </w:r>
            <w:r>
              <w:rPr>
                <w:rFonts w:hint="eastAsia"/>
                <w:b/>
                <w:bCs w:val="0"/>
                <w:szCs w:val="24"/>
                <w:u w:val="single"/>
                <w:vertAlign w:val="superscript"/>
              </w:rPr>
              <w:t>3</w:t>
            </w:r>
            <w:r>
              <w:rPr>
                <w:rFonts w:hint="eastAsia"/>
                <w:b/>
                <w:bCs w:val="0"/>
                <w:szCs w:val="24"/>
                <w:u w:val="single"/>
              </w:rPr>
              <w:t>/h，以</w:t>
            </w:r>
            <w:r>
              <w:rPr>
                <w:rFonts w:hint="eastAsia"/>
                <w:b/>
                <w:bCs w:val="0"/>
                <w:szCs w:val="24"/>
                <w:u w:val="single"/>
                <w:lang w:val="en-US" w:eastAsia="zh-CN"/>
              </w:rPr>
              <w:t>15000</w:t>
            </w:r>
            <w:r>
              <w:rPr>
                <w:rFonts w:hint="eastAsia"/>
                <w:b/>
                <w:bCs w:val="0"/>
                <w:szCs w:val="24"/>
                <w:u w:val="single"/>
              </w:rPr>
              <w:t>m</w:t>
            </w:r>
            <w:r>
              <w:rPr>
                <w:rFonts w:hint="eastAsia"/>
                <w:b/>
                <w:bCs w:val="0"/>
                <w:szCs w:val="24"/>
                <w:u w:val="single"/>
                <w:vertAlign w:val="superscript"/>
              </w:rPr>
              <w:t>3</w:t>
            </w:r>
            <w:r>
              <w:rPr>
                <w:rFonts w:hint="eastAsia"/>
                <w:b/>
                <w:bCs w:val="0"/>
                <w:szCs w:val="24"/>
                <w:u w:val="single"/>
              </w:rPr>
              <w:t>/h计。</w:t>
            </w:r>
          </w:p>
          <w:p>
            <w:pPr>
              <w:keepNext w:val="0"/>
              <w:keepLines w:val="0"/>
              <w:pageBreakBefore w:val="0"/>
              <w:widowControl w:val="0"/>
              <w:tabs>
                <w:tab w:val="left" w:pos="595"/>
              </w:tabs>
              <w:kinsoku/>
              <w:wordWrap/>
              <w:overflowPunct/>
              <w:topLinePunct w:val="0"/>
              <w:autoSpaceDE/>
              <w:autoSpaceDN/>
              <w:bidi w:val="0"/>
              <w:adjustRightInd w:val="0"/>
              <w:snapToGrid w:val="0"/>
              <w:spacing w:line="360" w:lineRule="auto"/>
              <w:ind w:firstLine="480" w:firstLineChars="200"/>
              <w:textAlignment w:val="auto"/>
              <w:rPr>
                <w:rFonts w:hint="default" w:eastAsia="宋体"/>
                <w:b/>
                <w:bCs/>
                <w:sz w:val="24"/>
                <w:u w:val="none"/>
                <w:lang w:val="en-US" w:eastAsia="zh-CN"/>
              </w:rPr>
            </w:pPr>
            <w:r>
              <w:rPr>
                <w:rFonts w:hint="eastAsia"/>
                <w:b w:val="0"/>
                <w:bCs/>
                <w:sz w:val="24"/>
                <w:u w:val="none"/>
              </w:rPr>
              <w:t>经计算，集气罩</w:t>
            </w:r>
            <w:r>
              <w:rPr>
                <w:b w:val="0"/>
                <w:bCs/>
                <w:sz w:val="24"/>
                <w:u w:val="none"/>
              </w:rPr>
              <w:t>收集的非甲烷总烃量为</w:t>
            </w:r>
            <w:r>
              <w:rPr>
                <w:rFonts w:hint="eastAsia"/>
                <w:b w:val="0"/>
                <w:bCs/>
                <w:sz w:val="24"/>
                <w:u w:val="none"/>
                <w:lang w:val="en-US" w:eastAsia="zh-CN"/>
              </w:rPr>
              <w:t>0.475</w:t>
            </w:r>
            <w:r>
              <w:rPr>
                <w:b w:val="0"/>
                <w:bCs/>
                <w:sz w:val="24"/>
                <w:u w:val="none"/>
              </w:rPr>
              <w:t>t/a</w:t>
            </w:r>
            <w:r>
              <w:rPr>
                <w:rFonts w:hint="eastAsia"/>
                <w:b w:val="0"/>
                <w:bCs/>
                <w:sz w:val="24"/>
                <w:u w:val="none"/>
              </w:rPr>
              <w:t>，无组织排放量为</w:t>
            </w:r>
            <w:r>
              <w:rPr>
                <w:rFonts w:hint="eastAsia"/>
                <w:b w:val="0"/>
                <w:bCs/>
                <w:sz w:val="24"/>
                <w:u w:val="none"/>
                <w:lang w:val="en-US" w:eastAsia="zh-CN"/>
              </w:rPr>
              <w:t>0.025</w:t>
            </w:r>
            <w:r>
              <w:rPr>
                <w:rFonts w:hint="eastAsia"/>
                <w:b w:val="0"/>
                <w:bCs/>
                <w:sz w:val="24"/>
                <w:u w:val="none"/>
              </w:rPr>
              <w:t>t/a；</w:t>
            </w:r>
            <w:r>
              <w:rPr>
                <w:rFonts w:hint="eastAsia"/>
                <w:b/>
                <w:bCs w:val="0"/>
                <w:sz w:val="24"/>
                <w:u w:val="single"/>
              </w:rPr>
              <w:t>当各工位同时工作时，收集非甲烷总烃最大量为</w:t>
            </w:r>
            <w:r>
              <w:rPr>
                <w:rFonts w:hint="eastAsia"/>
                <w:b/>
                <w:bCs w:val="0"/>
                <w:sz w:val="24"/>
                <w:u w:val="single"/>
                <w:lang w:val="en-US" w:eastAsia="zh-CN"/>
              </w:rPr>
              <w:t>0.285</w:t>
            </w:r>
            <w:r>
              <w:rPr>
                <w:rFonts w:hint="eastAsia"/>
                <w:b/>
                <w:bCs w:val="0"/>
                <w:sz w:val="24"/>
                <w:u w:val="single"/>
              </w:rPr>
              <w:t>kg/h，无组织排放量为</w:t>
            </w:r>
            <w:r>
              <w:rPr>
                <w:rFonts w:hint="eastAsia"/>
                <w:b/>
                <w:bCs w:val="0"/>
                <w:sz w:val="24"/>
                <w:u w:val="single"/>
                <w:lang w:val="en-US" w:eastAsia="zh-CN"/>
              </w:rPr>
              <w:t>0.015</w:t>
            </w:r>
            <w:r>
              <w:rPr>
                <w:rFonts w:hint="eastAsia"/>
                <w:b/>
                <w:bCs w:val="0"/>
                <w:sz w:val="24"/>
                <w:u w:val="single"/>
              </w:rPr>
              <w:t>kg/h，经治理设施处理后，有组织排放量为</w:t>
            </w:r>
            <w:r>
              <w:rPr>
                <w:rFonts w:hint="eastAsia"/>
                <w:b/>
                <w:bCs w:val="0"/>
                <w:sz w:val="24"/>
                <w:u w:val="single"/>
                <w:lang w:val="en-US" w:eastAsia="zh-CN"/>
              </w:rPr>
              <w:t>0.0399</w:t>
            </w:r>
            <w:r>
              <w:rPr>
                <w:rFonts w:hint="eastAsia"/>
                <w:b/>
                <w:bCs w:val="0"/>
                <w:sz w:val="24"/>
                <w:u w:val="single"/>
              </w:rPr>
              <w:t>kg/h，排放浓度为</w:t>
            </w:r>
            <w:r>
              <w:rPr>
                <w:rFonts w:hint="eastAsia"/>
                <w:b/>
                <w:bCs w:val="0"/>
                <w:sz w:val="24"/>
                <w:u w:val="single"/>
                <w:lang w:val="en-US" w:eastAsia="zh-CN"/>
              </w:rPr>
              <w:t>2.66</w:t>
            </w:r>
            <w:r>
              <w:rPr>
                <w:b/>
                <w:bCs w:val="0"/>
                <w:sz w:val="24"/>
                <w:u w:val="single"/>
                <w:lang w:val="zh-TW"/>
              </w:rPr>
              <w:t>mg/m</w:t>
            </w:r>
            <w:r>
              <w:rPr>
                <w:b/>
                <w:bCs w:val="0"/>
                <w:sz w:val="24"/>
                <w:u w:val="single"/>
                <w:vertAlign w:val="superscript"/>
                <w:lang w:val="zh-TW"/>
              </w:rPr>
              <w:t>3</w:t>
            </w:r>
            <w:r>
              <w:rPr>
                <w:rFonts w:hint="eastAsia"/>
                <w:b w:val="0"/>
                <w:bCs/>
                <w:sz w:val="24"/>
                <w:u w:val="none"/>
                <w:lang w:val="zh-TW"/>
              </w:rPr>
              <w:t>，通过15m高排气筒</w:t>
            </w:r>
            <w:r>
              <w:rPr>
                <w:rFonts w:hint="eastAsia"/>
                <w:b w:val="0"/>
                <w:bCs/>
                <w:sz w:val="24"/>
                <w:u w:val="none"/>
                <w:lang w:val="zh-TW" w:eastAsia="zh-CN"/>
              </w:rPr>
              <w:t>（</w:t>
            </w:r>
            <w:r>
              <w:rPr>
                <w:rFonts w:hint="eastAsia"/>
                <w:b w:val="0"/>
                <w:bCs/>
                <w:sz w:val="24"/>
                <w:u w:val="none"/>
                <w:lang w:val="en-US" w:eastAsia="zh-CN"/>
              </w:rPr>
              <w:t>DA001</w:t>
            </w:r>
            <w:r>
              <w:rPr>
                <w:rFonts w:hint="eastAsia"/>
                <w:b w:val="0"/>
                <w:bCs/>
                <w:sz w:val="24"/>
                <w:u w:val="none"/>
                <w:lang w:val="zh-TW" w:eastAsia="zh-CN"/>
              </w:rPr>
              <w:t>）</w:t>
            </w:r>
            <w:r>
              <w:rPr>
                <w:rFonts w:hint="eastAsia"/>
                <w:b w:val="0"/>
                <w:bCs/>
                <w:sz w:val="24"/>
                <w:u w:val="none"/>
                <w:lang w:val="zh-TW"/>
              </w:rPr>
              <w:t>排放。</w:t>
            </w:r>
            <w:r>
              <w:rPr>
                <w:rFonts w:hint="eastAsia"/>
                <w:b w:val="0"/>
                <w:bCs w:val="0"/>
                <w:color w:val="000000"/>
                <w:sz w:val="24"/>
                <w:u w:val="none"/>
              </w:rPr>
              <w:t>排放满足</w:t>
            </w:r>
            <w:r>
              <w:rPr>
                <w:rFonts w:hint="eastAsia"/>
                <w:b w:val="0"/>
                <w:bCs w:val="0"/>
                <w:sz w:val="24"/>
                <w:u w:val="none"/>
              </w:rPr>
              <w:t>《合成树脂工业污染物排放标准》（GB31572-2015）</w:t>
            </w:r>
            <w:r>
              <w:rPr>
                <w:rFonts w:hint="eastAsia"/>
                <w:b w:val="0"/>
                <w:bCs w:val="0"/>
                <w:sz w:val="24"/>
                <w:u w:val="none"/>
                <w:lang w:val="en-US" w:eastAsia="zh-CN"/>
              </w:rPr>
              <w:t>的</w:t>
            </w:r>
            <w:r>
              <w:rPr>
                <w:rFonts w:hint="eastAsia"/>
                <w:b w:val="0"/>
                <w:bCs w:val="0"/>
                <w:sz w:val="24"/>
                <w:u w:val="none"/>
              </w:rPr>
              <w:t>要求</w:t>
            </w:r>
            <w:r>
              <w:rPr>
                <w:rFonts w:hint="eastAsia"/>
                <w:b w:val="0"/>
                <w:bCs w:val="0"/>
                <w:sz w:val="24"/>
                <w:u w:val="none"/>
                <w:lang w:eastAsia="zh-CN"/>
              </w:rPr>
              <w:t>，</w:t>
            </w:r>
            <w:r>
              <w:rPr>
                <w:b w:val="0"/>
                <w:bCs/>
                <w:sz w:val="24"/>
                <w:u w:val="none"/>
              </w:rPr>
              <w:t>同时满足</w:t>
            </w:r>
            <w:r>
              <w:rPr>
                <w:rFonts w:hint="eastAsia"/>
                <w:sz w:val="24"/>
              </w:rPr>
              <w:t>《关于全省开展工业企业挥发性有机物专项治理工作中排放建议值的通知》(豫环工坚办【2017】162号)其他行业挥发性有机物排放建议值(非甲烷总烃排放浓度80mg/m</w:t>
            </w:r>
            <w:r>
              <w:rPr>
                <w:rFonts w:hint="eastAsia"/>
                <w:sz w:val="24"/>
                <w:vertAlign w:val="superscript"/>
              </w:rPr>
              <w:t>3</w:t>
            </w:r>
            <w:r>
              <w:rPr>
                <w:rFonts w:hint="eastAsia"/>
                <w:sz w:val="24"/>
              </w:rPr>
              <w:t>，去除效率70%)要求</w:t>
            </w:r>
            <w:r>
              <w:rPr>
                <w:rFonts w:hint="eastAsia"/>
                <w:sz w:val="24"/>
                <w:lang w:val="en-US" w:eastAsia="zh-CN"/>
              </w:rPr>
              <w:t>及</w:t>
            </w:r>
            <w:r>
              <w:rPr>
                <w:rFonts w:hint="eastAsia"/>
                <w:b/>
                <w:bCs/>
                <w:sz w:val="24"/>
                <w:u w:val="none"/>
              </w:rPr>
              <w:t>《</w:t>
            </w:r>
            <w:r>
              <w:rPr>
                <w:rFonts w:hint="eastAsia"/>
                <w:b/>
                <w:bCs/>
                <w:sz w:val="24"/>
                <w:u w:val="single"/>
              </w:rPr>
              <w:t>重污染天气重点行业应急减排措施制定技术指南（2020年修订版）》塑料制品</w:t>
            </w:r>
            <w:r>
              <w:rPr>
                <w:rFonts w:hint="eastAsia"/>
                <w:b/>
                <w:bCs/>
                <w:sz w:val="24"/>
                <w:u w:val="single"/>
                <w:lang w:val="en-US" w:eastAsia="zh-CN"/>
              </w:rPr>
              <w:t>行业</w:t>
            </w:r>
            <w:r>
              <w:rPr>
                <w:b/>
                <w:bCs/>
                <w:sz w:val="24"/>
                <w:u w:val="single"/>
              </w:rPr>
              <w:t>绩效分级指标</w:t>
            </w:r>
            <w:r>
              <w:rPr>
                <w:rFonts w:hint="eastAsia"/>
                <w:b/>
                <w:bCs/>
                <w:sz w:val="24"/>
                <w:u w:val="single"/>
                <w:lang w:eastAsia="zh-CN"/>
              </w:rPr>
              <w:t>（</w:t>
            </w:r>
            <w:r>
              <w:rPr>
                <w:rFonts w:hint="eastAsia"/>
                <w:b/>
                <w:bCs/>
                <w:sz w:val="24"/>
                <w:u w:val="single"/>
                <w:lang w:val="en-US" w:eastAsia="zh-CN"/>
              </w:rPr>
              <w:t>A级企业</w:t>
            </w:r>
            <w:r>
              <w:rPr>
                <w:rFonts w:hint="eastAsia"/>
                <w:b/>
                <w:bCs/>
                <w:sz w:val="24"/>
                <w:u w:val="single"/>
                <w:lang w:eastAsia="zh-CN"/>
              </w:rPr>
              <w:t>）</w:t>
            </w:r>
            <w:r>
              <w:rPr>
                <w:rFonts w:hint="eastAsia"/>
                <w:b/>
                <w:bCs/>
                <w:sz w:val="24"/>
                <w:u w:val="single"/>
                <w:lang w:val="en-US" w:eastAsia="zh-CN"/>
              </w:rPr>
              <w:t>要求。</w:t>
            </w:r>
          </w:p>
          <w:p>
            <w:pPr>
              <w:tabs>
                <w:tab w:val="left" w:pos="595"/>
              </w:tabs>
              <w:adjustRightInd w:val="0"/>
              <w:snapToGrid w:val="0"/>
              <w:spacing w:line="460" w:lineRule="exact"/>
              <w:ind w:firstLine="482" w:firstLineChars="200"/>
              <w:rPr>
                <w:rFonts w:hint="default" w:eastAsia="宋体"/>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4</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印标工序</w:t>
            </w:r>
          </w:p>
          <w:p>
            <w:pPr>
              <w:tabs>
                <w:tab w:val="left" w:pos="595"/>
              </w:tabs>
              <w:adjustRightInd w:val="0"/>
              <w:snapToGrid w:val="0"/>
              <w:spacing w:line="460" w:lineRule="exact"/>
              <w:ind w:firstLine="482" w:firstLineChars="200"/>
              <w:rPr>
                <w:rFonts w:hint="eastAsia"/>
                <w:b/>
                <w:bCs/>
                <w:color w:val="000000" w:themeColor="text1"/>
                <w:sz w:val="24"/>
                <w:u w:val="single"/>
                <w:lang w:eastAsia="zh-CN"/>
                <w14:textFill>
                  <w14:solidFill>
                    <w14:schemeClr w14:val="tx1"/>
                  </w14:solidFill>
                </w14:textFill>
              </w:rPr>
            </w:pPr>
            <w:r>
              <w:rPr>
                <w:rFonts w:hint="eastAsia"/>
                <w:b/>
                <w:bCs/>
                <w:sz w:val="24"/>
                <w:u w:val="single"/>
                <w:lang w:val="en-US" w:eastAsia="zh-CN"/>
              </w:rPr>
              <w:t>本项目在鞋垫裁切后会使用油墨印标机印制鞋码，该过程会产生少量废气。根据建设单位资料，企业所使用油墨为环保型水性油墨，</w:t>
            </w:r>
            <w:r>
              <w:rPr>
                <w:rFonts w:hint="eastAsia"/>
                <w:b/>
                <w:bCs/>
                <w:sz w:val="24"/>
                <w:u w:val="single"/>
              </w:rPr>
              <w:t>根据《油墨中可挥发性有机化合物（</w:t>
            </w:r>
            <w:r>
              <w:rPr>
                <w:b/>
                <w:bCs/>
                <w:sz w:val="24"/>
                <w:u w:val="single"/>
              </w:rPr>
              <w:t>VOCs</w:t>
            </w:r>
            <w:r>
              <w:rPr>
                <w:rFonts w:hint="eastAsia"/>
                <w:b/>
                <w:bCs/>
                <w:sz w:val="24"/>
                <w:u w:val="single"/>
              </w:rPr>
              <w:t>）含量的限值》（</w:t>
            </w:r>
            <w:r>
              <w:rPr>
                <w:b/>
                <w:bCs/>
                <w:sz w:val="24"/>
                <w:u w:val="single"/>
              </w:rPr>
              <w:t>GB38507-2020</w:t>
            </w:r>
            <w:r>
              <w:rPr>
                <w:rFonts w:hint="eastAsia"/>
                <w:b/>
                <w:bCs/>
                <w:sz w:val="24"/>
                <w:u w:val="single"/>
              </w:rPr>
              <w:t>）表</w:t>
            </w:r>
            <w:r>
              <w:rPr>
                <w:b/>
                <w:bCs/>
                <w:sz w:val="24"/>
                <w:u w:val="single"/>
              </w:rPr>
              <w:t>1</w:t>
            </w:r>
            <w:r>
              <w:rPr>
                <w:rFonts w:hint="eastAsia"/>
                <w:b/>
                <w:bCs/>
                <w:sz w:val="24"/>
                <w:u w:val="single"/>
              </w:rPr>
              <w:t>可知，水性油墨</w:t>
            </w:r>
            <w:r>
              <w:rPr>
                <w:b/>
                <w:bCs/>
                <w:sz w:val="24"/>
                <w:u w:val="single"/>
              </w:rPr>
              <w:t>-</w:t>
            </w:r>
            <w:r>
              <w:rPr>
                <w:rFonts w:hint="eastAsia"/>
                <w:b/>
                <w:bCs/>
                <w:sz w:val="24"/>
                <w:u w:val="single"/>
                <w:lang w:val="en-US" w:eastAsia="zh-CN"/>
              </w:rPr>
              <w:t>凹印</w:t>
            </w:r>
            <w:r>
              <w:rPr>
                <w:rFonts w:hint="eastAsia"/>
                <w:b/>
                <w:bCs/>
                <w:sz w:val="24"/>
                <w:u w:val="single"/>
              </w:rPr>
              <w:t>油墨</w:t>
            </w:r>
            <w:r>
              <w:rPr>
                <w:b/>
                <w:bCs/>
                <w:sz w:val="24"/>
                <w:u w:val="single"/>
              </w:rPr>
              <w:t>-</w:t>
            </w:r>
            <w:r>
              <w:rPr>
                <w:rFonts w:hint="eastAsia"/>
                <w:b/>
                <w:bCs/>
                <w:sz w:val="24"/>
                <w:u w:val="single"/>
              </w:rPr>
              <w:t>吸收性承印物的挥发物性有机化合物（</w:t>
            </w:r>
            <w:r>
              <w:rPr>
                <w:b/>
                <w:bCs/>
                <w:sz w:val="24"/>
                <w:u w:val="single"/>
              </w:rPr>
              <w:t>VOCs</w:t>
            </w:r>
            <w:r>
              <w:rPr>
                <w:rFonts w:hint="eastAsia"/>
                <w:b/>
                <w:bCs/>
                <w:sz w:val="24"/>
                <w:u w:val="single"/>
              </w:rPr>
              <w:t>限制）≤</w:t>
            </w:r>
            <w:r>
              <w:rPr>
                <w:rFonts w:hint="eastAsia"/>
                <w:b/>
                <w:bCs/>
                <w:sz w:val="24"/>
                <w:u w:val="single"/>
                <w:lang w:val="en-US" w:eastAsia="zh-CN"/>
              </w:rPr>
              <w:t>1</w:t>
            </w:r>
            <w:r>
              <w:rPr>
                <w:b/>
                <w:bCs/>
                <w:sz w:val="24"/>
                <w:u w:val="single"/>
              </w:rPr>
              <w:t>5%</w:t>
            </w:r>
            <w:r>
              <w:rPr>
                <w:rFonts w:hint="eastAsia"/>
                <w:b/>
                <w:bCs/>
                <w:sz w:val="24"/>
                <w:u w:val="single"/>
              </w:rPr>
              <w:t>。</w:t>
            </w:r>
            <w:r>
              <w:rPr>
                <w:b/>
                <w:bCs/>
                <w:sz w:val="24"/>
                <w:u w:val="single"/>
              </w:rPr>
              <w:t>按最不利情况，易挥发成分全部挥发，</w:t>
            </w:r>
            <w:r>
              <w:rPr>
                <w:rFonts w:hint="eastAsia"/>
                <w:b/>
                <w:bCs/>
                <w:sz w:val="24"/>
                <w:u w:val="single"/>
              </w:rPr>
              <w:t>本次评价</w:t>
            </w:r>
            <w:r>
              <w:rPr>
                <w:b/>
                <w:bCs/>
                <w:sz w:val="24"/>
                <w:u w:val="single"/>
              </w:rPr>
              <w:t>VOCs含量取</w:t>
            </w:r>
            <w:r>
              <w:rPr>
                <w:rFonts w:hint="eastAsia"/>
                <w:b/>
                <w:bCs/>
                <w:sz w:val="24"/>
                <w:u w:val="single"/>
              </w:rPr>
              <w:t>限</w:t>
            </w:r>
            <w:r>
              <w:rPr>
                <w:b/>
                <w:bCs/>
                <w:sz w:val="24"/>
                <w:u w:val="single"/>
              </w:rPr>
              <w:t>值</w:t>
            </w:r>
            <w:r>
              <w:rPr>
                <w:rFonts w:hint="eastAsia"/>
                <w:b/>
                <w:bCs/>
                <w:sz w:val="24"/>
                <w:u w:val="single"/>
                <w:lang w:val="en-US" w:eastAsia="zh-CN"/>
              </w:rPr>
              <w:t>1</w:t>
            </w:r>
            <w:r>
              <w:rPr>
                <w:rFonts w:hint="eastAsia"/>
                <w:b/>
                <w:bCs/>
                <w:sz w:val="24"/>
                <w:u w:val="single"/>
              </w:rPr>
              <w:t>5</w:t>
            </w:r>
            <w:r>
              <w:rPr>
                <w:b/>
                <w:bCs/>
                <w:sz w:val="24"/>
                <w:u w:val="single"/>
              </w:rPr>
              <w:t>%。本项目仅印制商标或</w:t>
            </w:r>
            <w:r>
              <w:rPr>
                <w:rFonts w:hint="eastAsia"/>
                <w:b/>
                <w:bCs/>
                <w:sz w:val="24"/>
                <w:u w:val="single"/>
                <w:lang w:val="en-US" w:eastAsia="zh-CN"/>
              </w:rPr>
              <w:t>鞋码</w:t>
            </w:r>
            <w:r>
              <w:rPr>
                <w:b/>
                <w:bCs/>
                <w:sz w:val="24"/>
                <w:u w:val="single"/>
              </w:rPr>
              <w:t>，因此</w:t>
            </w:r>
            <w:r>
              <w:rPr>
                <w:rFonts w:hint="eastAsia"/>
                <w:b/>
                <w:bCs/>
                <w:sz w:val="24"/>
                <w:u w:val="single"/>
              </w:rPr>
              <w:t>油墨</w:t>
            </w:r>
            <w:r>
              <w:rPr>
                <w:b/>
                <w:bCs/>
                <w:sz w:val="24"/>
                <w:u w:val="single"/>
              </w:rPr>
              <w:t>使用量较少</w:t>
            </w:r>
            <w:r>
              <w:rPr>
                <w:rFonts w:hint="eastAsia"/>
                <w:b/>
                <w:bCs/>
                <w:sz w:val="24"/>
                <w:u w:val="single"/>
              </w:rPr>
              <w:t>，</w:t>
            </w:r>
            <w:r>
              <w:rPr>
                <w:b/>
                <w:bCs/>
                <w:sz w:val="24"/>
                <w:u w:val="single"/>
              </w:rPr>
              <w:t>年使用水性油墨量为</w:t>
            </w:r>
            <w:r>
              <w:rPr>
                <w:rFonts w:hint="eastAsia"/>
                <w:b/>
                <w:bCs/>
                <w:sz w:val="24"/>
                <w:u w:val="single"/>
                <w:lang w:val="en-US" w:eastAsia="zh-CN"/>
              </w:rPr>
              <w:t>0.02</w:t>
            </w:r>
            <w:r>
              <w:rPr>
                <w:b/>
                <w:bCs/>
                <w:sz w:val="24"/>
                <w:u w:val="single"/>
              </w:rPr>
              <w:t>t，则</w:t>
            </w:r>
            <w:r>
              <w:rPr>
                <w:rFonts w:hint="eastAsia"/>
                <w:b/>
                <w:bCs/>
                <w:sz w:val="24"/>
                <w:u w:val="single"/>
                <w:lang w:val="en-US" w:eastAsia="zh-CN"/>
              </w:rPr>
              <w:t>印标</w:t>
            </w:r>
            <w:r>
              <w:rPr>
                <w:b/>
                <w:bCs/>
                <w:sz w:val="24"/>
                <w:u w:val="single"/>
              </w:rPr>
              <w:t>工序中有机废气（非甲烷总烃）产生量为</w:t>
            </w:r>
            <w:r>
              <w:rPr>
                <w:rFonts w:hint="eastAsia"/>
                <w:b/>
                <w:bCs/>
                <w:sz w:val="24"/>
                <w:u w:val="single"/>
                <w:lang w:val="en-US" w:eastAsia="zh-CN"/>
              </w:rPr>
              <w:t>0.003</w:t>
            </w:r>
            <w:r>
              <w:rPr>
                <w:b/>
                <w:bCs/>
                <w:sz w:val="24"/>
                <w:u w:val="single"/>
              </w:rPr>
              <w:t>t/a。</w:t>
            </w:r>
          </w:p>
          <w:p>
            <w:pPr>
              <w:tabs>
                <w:tab w:val="left" w:pos="595"/>
              </w:tabs>
              <w:adjustRightInd w:val="0"/>
              <w:snapToGrid w:val="0"/>
              <w:spacing w:line="460" w:lineRule="exact"/>
              <w:ind w:firstLine="482" w:firstLineChars="200"/>
              <w:rPr>
                <w:rFonts w:hint="eastAsia"/>
                <w:b/>
                <w:bCs/>
                <w:color w:val="000000" w:themeColor="text1"/>
                <w:sz w:val="24"/>
                <w:u w:val="single"/>
                <w:lang w:eastAsia="zh-CN"/>
                <w14:textFill>
                  <w14:solidFill>
                    <w14:schemeClr w14:val="tx1"/>
                  </w14:solidFill>
                </w14:textFill>
              </w:rPr>
            </w:pP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5</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转印工序</w:t>
            </w:r>
          </w:p>
          <w:p>
            <w:pPr>
              <w:tabs>
                <w:tab w:val="left" w:pos="595"/>
              </w:tabs>
              <w:adjustRightInd w:val="0"/>
              <w:snapToGrid w:val="0"/>
              <w:spacing w:line="460" w:lineRule="exact"/>
              <w:ind w:firstLine="482" w:firstLineChars="200"/>
              <w:rPr>
                <w:rFonts w:hint="eastAsia"/>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本项目部分鞋垫需使用热转印贴纸进行转印，所使用移印机采用电加热，加热温度约100</w:t>
            </w:r>
            <w:r>
              <w:rPr>
                <w:rFonts w:hint="eastAsia"/>
                <w:b/>
                <w:bCs/>
                <w:sz w:val="24"/>
                <w:szCs w:val="24"/>
                <w:u w:val="single"/>
              </w:rPr>
              <w:t>℃</w:t>
            </w:r>
            <w:r>
              <w:rPr>
                <w:rFonts w:hint="eastAsia"/>
                <w:b/>
                <w:bCs/>
                <w:sz w:val="24"/>
                <w:szCs w:val="24"/>
                <w:u w:val="single"/>
                <w:lang w:eastAsia="zh-CN"/>
              </w:rPr>
              <w:t>，</w:t>
            </w:r>
            <w:r>
              <w:rPr>
                <w:rFonts w:hint="eastAsia"/>
                <w:b/>
                <w:bCs/>
                <w:sz w:val="24"/>
                <w:szCs w:val="24"/>
                <w:u w:val="single"/>
                <w:lang w:val="en-US" w:eastAsia="zh-CN"/>
              </w:rPr>
              <w:t>未达到热转印贴纸热变形温度，</w:t>
            </w:r>
            <w:r>
              <w:rPr>
                <w:rFonts w:hint="eastAsia"/>
                <w:b/>
                <w:bCs/>
                <w:color w:val="000000" w:themeColor="text1"/>
                <w:sz w:val="24"/>
                <w:u w:val="single"/>
                <w:lang w:val="en-US" w:eastAsia="zh-CN"/>
                <w14:textFill>
                  <w14:solidFill>
                    <w14:schemeClr w14:val="tx1"/>
                  </w14:solidFill>
                </w14:textFill>
              </w:rPr>
              <w:t>故该过程中仅水性油墨挥发，根据厂家提供资料，热转印纸每1kg约含300g水性油墨，本项目年使用热转印纸量为200万张（1g/张），约2t/a，则其中水性油墨含量为0.6t，水性油墨中易挥发的有机化合物含量</w:t>
            </w:r>
            <w:r>
              <w:rPr>
                <w:b/>
                <w:bCs/>
                <w:sz w:val="24"/>
                <w:u w:val="single"/>
              </w:rPr>
              <w:t>取</w:t>
            </w:r>
            <w:r>
              <w:rPr>
                <w:rFonts w:hint="eastAsia"/>
                <w:b/>
                <w:bCs/>
                <w:sz w:val="24"/>
                <w:u w:val="single"/>
              </w:rPr>
              <w:t>限</w:t>
            </w:r>
            <w:r>
              <w:rPr>
                <w:b/>
                <w:bCs/>
                <w:sz w:val="24"/>
                <w:u w:val="single"/>
              </w:rPr>
              <w:t>值</w:t>
            </w:r>
            <w:r>
              <w:rPr>
                <w:rFonts w:hint="eastAsia"/>
                <w:b/>
                <w:bCs/>
                <w:sz w:val="24"/>
                <w:u w:val="single"/>
                <w:lang w:val="en-US" w:eastAsia="zh-CN"/>
              </w:rPr>
              <w:t>1</w:t>
            </w:r>
            <w:r>
              <w:rPr>
                <w:rFonts w:hint="eastAsia"/>
                <w:b/>
                <w:bCs/>
                <w:sz w:val="24"/>
                <w:u w:val="single"/>
              </w:rPr>
              <w:t>5</w:t>
            </w:r>
            <w:r>
              <w:rPr>
                <w:b/>
                <w:bCs/>
                <w:sz w:val="24"/>
                <w:u w:val="single"/>
              </w:rPr>
              <w:t>%</w:t>
            </w:r>
            <w:r>
              <w:rPr>
                <w:rFonts w:hint="eastAsia"/>
                <w:b/>
                <w:bCs/>
                <w:color w:val="000000" w:themeColor="text1"/>
                <w:sz w:val="24"/>
                <w:u w:val="single"/>
                <w:lang w:val="en-US" w:eastAsia="zh-CN"/>
                <w14:textFill>
                  <w14:solidFill>
                    <w14:schemeClr w14:val="tx1"/>
                  </w14:solidFill>
                </w14:textFill>
              </w:rPr>
              <w:t>，本项目按易挥发成分全部挥发考虑，则转印过程中有机废气（非甲烷总烃）产生量为0.09t/a。</w:t>
            </w:r>
          </w:p>
          <w:p>
            <w:pPr>
              <w:spacing w:before="24" w:beforeLines="10" w:line="460" w:lineRule="exact"/>
              <w:ind w:firstLine="482" w:firstLineChars="200"/>
              <w:jc w:val="left"/>
              <w:rPr>
                <w:b/>
                <w:bCs/>
                <w:color w:val="000000"/>
                <w:sz w:val="24"/>
                <w:u w:val="single"/>
              </w:rPr>
            </w:pPr>
            <w:r>
              <w:rPr>
                <w:rFonts w:hint="eastAsia"/>
                <w:b/>
                <w:bCs/>
                <w:color w:val="000000" w:themeColor="text1"/>
                <w:sz w:val="24"/>
                <w:u w:val="single"/>
                <w:lang w:val="en-US" w:eastAsia="zh-CN"/>
                <w14:textFill>
                  <w14:solidFill>
                    <w14:schemeClr w14:val="tx1"/>
                  </w14:solidFill>
                </w14:textFill>
              </w:rPr>
              <w:t>本项目，印标及转印工序年工作1200h，因此该过程非甲烷总烃的产生速率为0775kg/h。印标机、移印机设备较小且集中放置，</w:t>
            </w:r>
            <w:r>
              <w:rPr>
                <w:rFonts w:hint="eastAsia"/>
                <w:b/>
                <w:bCs/>
                <w:sz w:val="24"/>
                <w:u w:val="single"/>
              </w:rPr>
              <w:t>根据生产设备情况及产污环节，在不影响正常生产的情况下，</w:t>
            </w:r>
            <w:r>
              <w:rPr>
                <w:rFonts w:hint="eastAsia"/>
                <w:b/>
                <w:bCs/>
                <w:sz w:val="24"/>
                <w:u w:val="single"/>
                <w:lang w:val="en-US" w:eastAsia="zh-CN"/>
              </w:rPr>
              <w:t>在2台印标机、3台移印机</w:t>
            </w:r>
            <w:r>
              <w:rPr>
                <w:rFonts w:hint="eastAsia"/>
                <w:b/>
                <w:bCs/>
                <w:sz w:val="24"/>
                <w:u w:val="single"/>
              </w:rPr>
              <w:t>上方设置</w:t>
            </w:r>
            <w:r>
              <w:rPr>
                <w:rFonts w:hint="eastAsia"/>
                <w:b/>
                <w:bCs/>
                <w:sz w:val="24"/>
                <w:u w:val="single"/>
                <w:lang w:val="en-US" w:eastAsia="zh-CN"/>
              </w:rPr>
              <w:t>一个</w:t>
            </w:r>
            <w:r>
              <w:rPr>
                <w:rFonts w:hint="eastAsia"/>
                <w:b/>
                <w:bCs/>
                <w:sz w:val="24"/>
                <w:u w:val="single"/>
              </w:rPr>
              <w:t>集气罩</w:t>
            </w:r>
            <w:r>
              <w:rPr>
                <w:rFonts w:hint="eastAsia"/>
                <w:b/>
                <w:bCs/>
                <w:sz w:val="24"/>
                <w:u w:val="single"/>
                <w:lang w:eastAsia="zh-CN"/>
              </w:rPr>
              <w:t>，</w:t>
            </w:r>
            <w:r>
              <w:rPr>
                <w:rFonts w:hint="eastAsia"/>
                <w:b/>
                <w:bCs/>
                <w:sz w:val="24"/>
                <w:u w:val="single"/>
                <w:lang w:val="en-US" w:eastAsia="zh-CN"/>
              </w:rPr>
              <w:t>并在集气罩三面设置硬质围挡，一面加装</w:t>
            </w:r>
            <w:r>
              <w:rPr>
                <w:rFonts w:hint="eastAsia"/>
                <w:b/>
                <w:bCs/>
                <w:sz w:val="24"/>
                <w:u w:val="single"/>
              </w:rPr>
              <w:t>软帘覆盖，将</w:t>
            </w:r>
            <w:r>
              <w:rPr>
                <w:rFonts w:hint="eastAsia"/>
                <w:b/>
                <w:bCs/>
                <w:color w:val="000000"/>
                <w:sz w:val="24"/>
                <w:u w:val="single"/>
                <w:lang w:val="en-US" w:eastAsia="zh-CN"/>
              </w:rPr>
              <w:t>有机废气</w:t>
            </w:r>
            <w:r>
              <w:rPr>
                <w:rFonts w:hint="eastAsia"/>
                <w:b/>
                <w:bCs/>
                <w:color w:val="000000"/>
                <w:sz w:val="24"/>
                <w:u w:val="single"/>
              </w:rPr>
              <w:t>引入</w:t>
            </w:r>
            <w:r>
              <w:rPr>
                <w:b/>
                <w:bCs/>
                <w:sz w:val="24"/>
                <w:u w:val="single"/>
              </w:rPr>
              <w:t>1</w:t>
            </w:r>
            <w:r>
              <w:rPr>
                <w:rFonts w:hint="eastAsia"/>
                <w:b/>
                <w:bCs/>
                <w:sz w:val="24"/>
                <w:u w:val="single"/>
              </w:rPr>
              <w:t>套</w:t>
            </w:r>
            <w:r>
              <w:rPr>
                <w:b/>
                <w:bCs/>
                <w:sz w:val="24"/>
                <w:u w:val="single"/>
              </w:rPr>
              <w:t>UV</w:t>
            </w:r>
            <w:r>
              <w:rPr>
                <w:rFonts w:hint="eastAsia"/>
                <w:b/>
                <w:bCs/>
                <w:sz w:val="24"/>
                <w:u w:val="single"/>
              </w:rPr>
              <w:t>光氧催化</w:t>
            </w:r>
            <w:r>
              <w:rPr>
                <w:b/>
                <w:bCs/>
                <w:sz w:val="24"/>
                <w:u w:val="single"/>
              </w:rPr>
              <w:t>+</w:t>
            </w:r>
            <w:r>
              <w:rPr>
                <w:rFonts w:hint="eastAsia"/>
                <w:b/>
                <w:bCs/>
                <w:sz w:val="24"/>
                <w:u w:val="single"/>
              </w:rPr>
              <w:t>活性炭吸附装置进行处理</w:t>
            </w:r>
            <w:r>
              <w:rPr>
                <w:rFonts w:hint="eastAsia"/>
                <w:b/>
                <w:bCs/>
                <w:color w:val="000000"/>
                <w:sz w:val="24"/>
                <w:u w:val="single"/>
                <w:lang w:val="zh-TW"/>
              </w:rPr>
              <w:t>。</w:t>
            </w:r>
            <w:r>
              <w:rPr>
                <w:rFonts w:hint="eastAsia"/>
                <w:b/>
                <w:bCs/>
                <w:sz w:val="24"/>
                <w:u w:val="single"/>
              </w:rPr>
              <w:t>集气罩收集效率按</w:t>
            </w:r>
            <w:r>
              <w:rPr>
                <w:rFonts w:hint="eastAsia"/>
                <w:b/>
                <w:bCs/>
                <w:sz w:val="24"/>
                <w:u w:val="single"/>
                <w:lang w:val="en-US" w:eastAsia="zh-CN"/>
              </w:rPr>
              <w:t>90</w:t>
            </w:r>
            <w:r>
              <w:rPr>
                <w:rFonts w:hint="eastAsia"/>
                <w:b/>
                <w:bCs/>
                <w:sz w:val="24"/>
                <w:u w:val="single"/>
              </w:rPr>
              <w:t>%，</w:t>
            </w:r>
            <w:r>
              <w:rPr>
                <w:rFonts w:hint="eastAsia"/>
                <w:b/>
                <w:bCs/>
                <w:sz w:val="24"/>
                <w:u w:val="single"/>
                <w:lang w:val="en-US" w:eastAsia="zh-CN"/>
              </w:rPr>
              <w:t>有机废气</w:t>
            </w:r>
            <w:r>
              <w:rPr>
                <w:rFonts w:hint="eastAsia"/>
                <w:b/>
                <w:bCs/>
                <w:sz w:val="24"/>
                <w:u w:val="single"/>
              </w:rPr>
              <w:t>净化效率为</w:t>
            </w:r>
            <w:r>
              <w:rPr>
                <w:rFonts w:hint="eastAsia"/>
                <w:b/>
                <w:bCs/>
                <w:sz w:val="24"/>
                <w:u w:val="single"/>
                <w:lang w:val="en-US" w:eastAsia="zh-CN"/>
              </w:rPr>
              <w:t>90%</w:t>
            </w:r>
            <w:r>
              <w:rPr>
                <w:rFonts w:hint="eastAsia"/>
                <w:b/>
                <w:bCs/>
                <w:sz w:val="24"/>
                <w:u w:val="single"/>
              </w:rPr>
              <w:t>。风量风速</w:t>
            </w:r>
            <w:r>
              <w:rPr>
                <w:b/>
                <w:bCs/>
                <w:color w:val="000000"/>
                <w:sz w:val="24"/>
                <w:u w:val="single"/>
              </w:rPr>
              <w:t>根据《大气污染控制工程》中集气罩顶吸风风量计算公式，计算工序所需风量：</w:t>
            </w:r>
          </w:p>
          <w:p>
            <w:pPr>
              <w:spacing w:before="24" w:beforeLines="10" w:line="460" w:lineRule="exact"/>
              <w:ind w:firstLine="482" w:firstLineChars="200"/>
              <w:jc w:val="center"/>
              <w:rPr>
                <w:b/>
                <w:bCs/>
                <w:color w:val="000000"/>
                <w:sz w:val="24"/>
                <w:u w:val="single"/>
              </w:rPr>
            </w:pPr>
            <w:r>
              <w:rPr>
                <w:b/>
                <w:bCs/>
                <w:color w:val="000000"/>
                <w:sz w:val="24"/>
                <w:u w:val="single"/>
              </w:rPr>
              <w:t>Q=1.4×（a+b）×h×V</w:t>
            </w:r>
            <w:r>
              <w:rPr>
                <w:b/>
                <w:bCs/>
                <w:color w:val="000000"/>
                <w:sz w:val="24"/>
                <w:u w:val="single"/>
                <w:vertAlign w:val="subscript"/>
              </w:rPr>
              <w:t>0</w:t>
            </w:r>
            <w:r>
              <w:rPr>
                <w:b/>
                <w:bCs/>
                <w:color w:val="000000"/>
                <w:sz w:val="24"/>
                <w:u w:val="single"/>
              </w:rPr>
              <w:t>×3600</w:t>
            </w:r>
          </w:p>
          <w:p>
            <w:pPr>
              <w:spacing w:before="24" w:beforeLines="10" w:line="460" w:lineRule="exact"/>
              <w:ind w:firstLine="482" w:firstLineChars="200"/>
              <w:jc w:val="left"/>
              <w:rPr>
                <w:rFonts w:hint="eastAsia" w:eastAsia="宋体"/>
                <w:b/>
                <w:bCs/>
                <w:color w:val="000000"/>
                <w:sz w:val="24"/>
                <w:u w:val="single"/>
                <w:lang w:eastAsia="zh-CN"/>
              </w:rPr>
            </w:pPr>
            <w:r>
              <w:rPr>
                <w:b/>
                <w:bCs/>
                <w:color w:val="000000"/>
                <w:sz w:val="24"/>
                <w:u w:val="single"/>
              </w:rPr>
              <w:t>式中：Q---集气罩排风量，单位：m</w:t>
            </w:r>
            <w:r>
              <w:rPr>
                <w:b/>
                <w:bCs/>
                <w:color w:val="000000"/>
                <w:sz w:val="24"/>
                <w:u w:val="single"/>
                <w:vertAlign w:val="superscript"/>
              </w:rPr>
              <w:t>3</w:t>
            </w:r>
            <w:r>
              <w:rPr>
                <w:b/>
                <w:bCs/>
                <w:color w:val="000000"/>
                <w:sz w:val="24"/>
                <w:u w:val="single"/>
              </w:rPr>
              <w:t>/h</w:t>
            </w:r>
            <w:r>
              <w:rPr>
                <w:rFonts w:hint="eastAsia"/>
                <w:b/>
                <w:bCs/>
                <w:color w:val="000000"/>
                <w:sz w:val="24"/>
                <w:u w:val="single"/>
                <w:lang w:eastAsia="zh-CN"/>
              </w:rPr>
              <w:t>；</w:t>
            </w:r>
          </w:p>
          <w:p>
            <w:pPr>
              <w:spacing w:before="24" w:beforeLines="10" w:line="460" w:lineRule="exact"/>
              <w:ind w:firstLine="482" w:firstLineChars="200"/>
              <w:jc w:val="left"/>
              <w:rPr>
                <w:rFonts w:hint="eastAsia" w:eastAsia="宋体"/>
                <w:b/>
                <w:bCs/>
                <w:color w:val="000000"/>
                <w:sz w:val="24"/>
                <w:u w:val="single"/>
                <w:lang w:eastAsia="zh-CN"/>
              </w:rPr>
            </w:pPr>
            <w:r>
              <w:rPr>
                <w:b/>
                <w:bCs/>
                <w:color w:val="000000"/>
                <w:sz w:val="24"/>
                <w:u w:val="single"/>
              </w:rPr>
              <w:t>（a+b）---集气罩周长，单位：m</w:t>
            </w:r>
            <w:r>
              <w:rPr>
                <w:rFonts w:hint="eastAsia"/>
                <w:b/>
                <w:bCs/>
                <w:color w:val="000000"/>
                <w:sz w:val="24"/>
                <w:u w:val="single"/>
                <w:lang w:eastAsia="zh-CN"/>
              </w:rPr>
              <w:t>；</w:t>
            </w:r>
          </w:p>
          <w:p>
            <w:pPr>
              <w:spacing w:before="24" w:beforeLines="10" w:line="460" w:lineRule="exact"/>
              <w:ind w:firstLine="482" w:firstLineChars="200"/>
              <w:jc w:val="left"/>
              <w:rPr>
                <w:b/>
                <w:bCs/>
                <w:color w:val="000000"/>
                <w:sz w:val="24"/>
                <w:u w:val="single"/>
              </w:rPr>
            </w:pPr>
            <w:r>
              <w:rPr>
                <w:b/>
                <w:bCs/>
                <w:color w:val="000000"/>
                <w:sz w:val="24"/>
                <w:u w:val="single"/>
              </w:rPr>
              <w:t>h---罩口至污染源的距离，单位：m；</w:t>
            </w:r>
          </w:p>
          <w:p>
            <w:pPr>
              <w:spacing w:before="24" w:beforeLines="10" w:line="460" w:lineRule="exact"/>
              <w:ind w:firstLine="482" w:firstLineChars="200"/>
              <w:jc w:val="left"/>
              <w:rPr>
                <w:b/>
                <w:bCs/>
                <w:sz w:val="24"/>
                <w:u w:val="single"/>
              </w:rPr>
            </w:pPr>
            <w:r>
              <w:rPr>
                <w:b/>
                <w:bCs/>
                <w:color w:val="000000"/>
                <w:sz w:val="24"/>
                <w:u w:val="single"/>
              </w:rPr>
              <w:t>V</w:t>
            </w:r>
            <w:r>
              <w:rPr>
                <w:b/>
                <w:bCs/>
                <w:color w:val="000000"/>
                <w:sz w:val="24"/>
                <w:u w:val="single"/>
                <w:vertAlign w:val="subscript"/>
              </w:rPr>
              <w:t>0</w:t>
            </w:r>
            <w:r>
              <w:rPr>
                <w:b/>
                <w:bCs/>
                <w:color w:val="000000"/>
                <w:sz w:val="24"/>
                <w:u w:val="single"/>
              </w:rPr>
              <w:t>---污染源气体流速，单位：m/s，一般取0.25-0.5m/s，本项目取</w:t>
            </w:r>
            <w:r>
              <w:rPr>
                <w:rFonts w:hint="eastAsia"/>
                <w:b/>
                <w:bCs/>
                <w:color w:val="000000"/>
                <w:sz w:val="24"/>
                <w:u w:val="single"/>
                <w:lang w:val="en-US" w:eastAsia="zh-CN"/>
              </w:rPr>
              <w:t>0.35</w:t>
            </w:r>
            <w:r>
              <w:rPr>
                <w:b/>
                <w:bCs/>
                <w:color w:val="000000"/>
                <w:sz w:val="24"/>
                <w:u w:val="single"/>
              </w:rPr>
              <w:t>m/s。</w:t>
            </w:r>
          </w:p>
          <w:p>
            <w:pPr>
              <w:pStyle w:val="9"/>
              <w:spacing w:after="0" w:line="460" w:lineRule="exact"/>
              <w:ind w:left="0" w:leftChars="0" w:firstLine="482" w:firstLineChars="200"/>
              <w:rPr>
                <w:rFonts w:hint="eastAsia"/>
                <w:b/>
                <w:bCs/>
                <w:szCs w:val="24"/>
                <w:u w:val="single"/>
              </w:rPr>
            </w:pPr>
            <w:r>
              <w:rPr>
                <w:rFonts w:hint="eastAsia"/>
                <w:b/>
                <w:bCs/>
                <w:szCs w:val="24"/>
                <w:u w:val="single"/>
              </w:rPr>
              <w:t>各设备集气罩风量如下：</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10"/>
              <w:gridCol w:w="1320"/>
              <w:gridCol w:w="1440"/>
              <w:gridCol w:w="1320"/>
              <w:gridCol w:w="1135"/>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85" w:type="pct"/>
                  <w:vAlign w:val="center"/>
                </w:tcPr>
                <w:p>
                  <w:pPr>
                    <w:adjustRightInd w:val="0"/>
                    <w:snapToGrid w:val="0"/>
                    <w:spacing w:line="320" w:lineRule="exact"/>
                    <w:jc w:val="center"/>
                    <w:rPr>
                      <w:b/>
                      <w:bCs/>
                      <w:szCs w:val="21"/>
                      <w:u w:val="single"/>
                    </w:rPr>
                  </w:pPr>
                  <w:r>
                    <w:rPr>
                      <w:b/>
                      <w:bCs/>
                      <w:szCs w:val="21"/>
                      <w:u w:val="single"/>
                    </w:rPr>
                    <w:t>设备名称</w:t>
                  </w:r>
                </w:p>
              </w:tc>
              <w:tc>
                <w:tcPr>
                  <w:tcW w:w="483" w:type="pct"/>
                  <w:vAlign w:val="center"/>
                </w:tcPr>
                <w:p>
                  <w:pPr>
                    <w:adjustRightInd w:val="0"/>
                    <w:snapToGrid w:val="0"/>
                    <w:spacing w:line="320" w:lineRule="exact"/>
                    <w:jc w:val="center"/>
                    <w:rPr>
                      <w:b/>
                      <w:bCs/>
                      <w:szCs w:val="21"/>
                      <w:u w:val="single"/>
                    </w:rPr>
                  </w:pPr>
                  <w:r>
                    <w:rPr>
                      <w:b/>
                      <w:bCs/>
                      <w:szCs w:val="21"/>
                      <w:u w:val="single"/>
                    </w:rPr>
                    <w:t>数量</w:t>
                  </w:r>
                  <w:r>
                    <w:rPr>
                      <w:rFonts w:hint="eastAsia"/>
                      <w:b/>
                      <w:bCs/>
                      <w:szCs w:val="21"/>
                      <w:u w:val="single"/>
                    </w:rPr>
                    <w:t>（台）</w:t>
                  </w:r>
                </w:p>
              </w:tc>
              <w:tc>
                <w:tcPr>
                  <w:tcW w:w="788" w:type="pct"/>
                  <w:vAlign w:val="center"/>
                </w:tcPr>
                <w:p>
                  <w:pPr>
                    <w:adjustRightInd w:val="0"/>
                    <w:snapToGrid w:val="0"/>
                    <w:spacing w:line="320" w:lineRule="exact"/>
                    <w:jc w:val="center"/>
                    <w:rPr>
                      <w:b/>
                      <w:bCs/>
                      <w:szCs w:val="21"/>
                      <w:u w:val="single"/>
                    </w:rPr>
                  </w:pPr>
                  <w:r>
                    <w:rPr>
                      <w:rFonts w:hint="eastAsia"/>
                      <w:b/>
                      <w:bCs/>
                      <w:szCs w:val="21"/>
                      <w:u w:val="single"/>
                    </w:rPr>
                    <w:t>集气罩</w:t>
                  </w:r>
                  <w:r>
                    <w:rPr>
                      <w:rFonts w:hint="eastAsia"/>
                      <w:b/>
                      <w:bCs/>
                      <w:szCs w:val="21"/>
                      <w:u w:val="single"/>
                      <w:lang w:val="en-US" w:eastAsia="zh-CN"/>
                    </w:rPr>
                    <w:t>周长</w:t>
                  </w:r>
                  <w:r>
                    <w:rPr>
                      <w:rFonts w:hint="eastAsia"/>
                      <w:b/>
                      <w:bCs/>
                      <w:szCs w:val="21"/>
                      <w:u w:val="single"/>
                    </w:rPr>
                    <w:t>（m）</w:t>
                  </w:r>
                </w:p>
              </w:tc>
              <w:tc>
                <w:tcPr>
                  <w:tcW w:w="859" w:type="pct"/>
                  <w:vAlign w:val="center"/>
                </w:tcPr>
                <w:p>
                  <w:pPr>
                    <w:adjustRightInd w:val="0"/>
                    <w:snapToGrid w:val="0"/>
                    <w:spacing w:line="320" w:lineRule="exact"/>
                    <w:jc w:val="center"/>
                    <w:rPr>
                      <w:rFonts w:hint="eastAsia" w:eastAsia="宋体"/>
                      <w:b/>
                      <w:bCs/>
                      <w:szCs w:val="21"/>
                      <w:u w:val="single"/>
                      <w:lang w:eastAsia="zh-CN"/>
                    </w:rPr>
                  </w:pPr>
                  <w:r>
                    <w:rPr>
                      <w:rFonts w:hint="eastAsia"/>
                      <w:b/>
                      <w:bCs/>
                      <w:szCs w:val="21"/>
                      <w:u w:val="single"/>
                    </w:rPr>
                    <w:t>罩口至污染源的距离</w:t>
                  </w:r>
                  <w:r>
                    <w:rPr>
                      <w:rFonts w:hint="eastAsia"/>
                      <w:b/>
                      <w:bCs/>
                      <w:szCs w:val="21"/>
                      <w:u w:val="single"/>
                      <w:lang w:eastAsia="zh-CN"/>
                    </w:rPr>
                    <w:t>（</w:t>
                  </w:r>
                  <w:r>
                    <w:rPr>
                      <w:rFonts w:hint="eastAsia"/>
                      <w:b/>
                      <w:bCs/>
                      <w:szCs w:val="21"/>
                      <w:u w:val="single"/>
                      <w:lang w:val="en-US" w:eastAsia="zh-CN"/>
                    </w:rPr>
                    <w:t>m</w:t>
                  </w:r>
                  <w:r>
                    <w:rPr>
                      <w:rFonts w:hint="eastAsia"/>
                      <w:b/>
                      <w:bCs/>
                      <w:szCs w:val="21"/>
                      <w:u w:val="single"/>
                      <w:lang w:eastAsia="zh-CN"/>
                    </w:rPr>
                    <w:t>）</w:t>
                  </w:r>
                </w:p>
              </w:tc>
              <w:tc>
                <w:tcPr>
                  <w:tcW w:w="788" w:type="pct"/>
                  <w:vAlign w:val="center"/>
                </w:tcPr>
                <w:p>
                  <w:pPr>
                    <w:adjustRightInd w:val="0"/>
                    <w:snapToGrid w:val="0"/>
                    <w:spacing w:line="320" w:lineRule="exact"/>
                    <w:jc w:val="center"/>
                    <w:rPr>
                      <w:b/>
                      <w:bCs/>
                      <w:szCs w:val="21"/>
                      <w:u w:val="single"/>
                    </w:rPr>
                  </w:pPr>
                  <w:r>
                    <w:rPr>
                      <w:rFonts w:hint="eastAsia"/>
                      <w:b/>
                      <w:bCs/>
                      <w:szCs w:val="21"/>
                      <w:u w:val="single"/>
                    </w:rPr>
                    <w:t>单集气罩风量（m</w:t>
                  </w:r>
                  <w:r>
                    <w:rPr>
                      <w:rFonts w:hint="eastAsia"/>
                      <w:b/>
                      <w:bCs/>
                      <w:szCs w:val="21"/>
                      <w:u w:val="single"/>
                      <w:vertAlign w:val="superscript"/>
                    </w:rPr>
                    <w:t>3</w:t>
                  </w:r>
                  <w:r>
                    <w:rPr>
                      <w:rFonts w:hint="eastAsia"/>
                      <w:b/>
                      <w:bCs/>
                      <w:szCs w:val="21"/>
                      <w:u w:val="single"/>
                    </w:rPr>
                    <w:t>/h）</w:t>
                  </w:r>
                </w:p>
              </w:tc>
              <w:tc>
                <w:tcPr>
                  <w:tcW w:w="677" w:type="pct"/>
                  <w:vAlign w:val="center"/>
                </w:tcPr>
                <w:p>
                  <w:pPr>
                    <w:adjustRightInd w:val="0"/>
                    <w:snapToGrid w:val="0"/>
                    <w:spacing w:line="320" w:lineRule="exact"/>
                    <w:jc w:val="center"/>
                    <w:rPr>
                      <w:rFonts w:hint="eastAsia" w:eastAsia="宋体"/>
                      <w:b/>
                      <w:bCs/>
                      <w:szCs w:val="21"/>
                      <w:u w:val="single"/>
                      <w:lang w:val="en-US" w:eastAsia="zh-CN"/>
                    </w:rPr>
                  </w:pPr>
                  <w:r>
                    <w:rPr>
                      <w:rFonts w:hint="eastAsia"/>
                      <w:b/>
                      <w:bCs/>
                      <w:szCs w:val="21"/>
                      <w:u w:val="single"/>
                      <w:lang w:val="en-US" w:eastAsia="zh-CN"/>
                    </w:rPr>
                    <w:t>集气罩数量（个）</w:t>
                  </w:r>
                </w:p>
              </w:tc>
              <w:tc>
                <w:tcPr>
                  <w:tcW w:w="616" w:type="pct"/>
                  <w:vAlign w:val="center"/>
                </w:tcPr>
                <w:p>
                  <w:pPr>
                    <w:adjustRightInd w:val="0"/>
                    <w:snapToGrid w:val="0"/>
                    <w:spacing w:line="320" w:lineRule="exact"/>
                    <w:jc w:val="center"/>
                    <w:rPr>
                      <w:b/>
                      <w:bCs/>
                      <w:szCs w:val="21"/>
                      <w:u w:val="single"/>
                    </w:rPr>
                  </w:pPr>
                  <w:r>
                    <w:rPr>
                      <w:rFonts w:hint="eastAsia"/>
                      <w:b/>
                      <w:bCs/>
                      <w:szCs w:val="21"/>
                      <w:u w:val="single"/>
                    </w:rPr>
                    <w:t>总风量（m</w:t>
                  </w:r>
                  <w:r>
                    <w:rPr>
                      <w:rFonts w:hint="eastAsia"/>
                      <w:b/>
                      <w:bCs/>
                      <w:szCs w:val="21"/>
                      <w:u w:val="single"/>
                      <w:vertAlign w:val="superscript"/>
                    </w:rPr>
                    <w:t>3</w:t>
                  </w:r>
                  <w:r>
                    <w:rPr>
                      <w:rFonts w:hint="eastAsia"/>
                      <w:b/>
                      <w:bCs/>
                      <w:szCs w:val="21"/>
                      <w:u w:val="singl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5" w:type="pct"/>
                  <w:vAlign w:val="center"/>
                </w:tcPr>
                <w:p>
                  <w:pPr>
                    <w:widowControl/>
                    <w:spacing w:line="320" w:lineRule="exact"/>
                    <w:jc w:val="center"/>
                    <w:textAlignment w:val="center"/>
                    <w:rPr>
                      <w:rFonts w:hint="eastAsia" w:eastAsia="宋体"/>
                      <w:b/>
                      <w:bCs/>
                      <w:szCs w:val="21"/>
                      <w:u w:val="single"/>
                      <w:lang w:eastAsia="zh-CN"/>
                    </w:rPr>
                  </w:pPr>
                  <w:r>
                    <w:rPr>
                      <w:rFonts w:hint="eastAsia" w:eastAsia="宋体"/>
                      <w:b/>
                      <w:bCs/>
                      <w:szCs w:val="21"/>
                      <w:u w:val="single"/>
                      <w:lang w:val="en-US" w:eastAsia="zh-CN"/>
                    </w:rPr>
                    <w:t>印标机、移印机</w:t>
                  </w:r>
                </w:p>
              </w:tc>
              <w:tc>
                <w:tcPr>
                  <w:tcW w:w="483" w:type="pct"/>
                  <w:vAlign w:val="center"/>
                </w:tcPr>
                <w:p>
                  <w:pPr>
                    <w:widowControl/>
                    <w:spacing w:line="320" w:lineRule="exact"/>
                    <w:jc w:val="center"/>
                    <w:textAlignment w:val="center"/>
                    <w:rPr>
                      <w:rFonts w:hint="eastAsia" w:eastAsia="宋体"/>
                      <w:b/>
                      <w:bCs/>
                      <w:szCs w:val="21"/>
                      <w:u w:val="single"/>
                      <w:lang w:eastAsia="zh-CN"/>
                    </w:rPr>
                  </w:pPr>
                  <w:r>
                    <w:rPr>
                      <w:rFonts w:hint="eastAsia"/>
                      <w:b/>
                      <w:bCs/>
                      <w:szCs w:val="21"/>
                      <w:u w:val="single"/>
                      <w:lang w:val="en-US" w:eastAsia="zh-CN"/>
                    </w:rPr>
                    <w:t>5</w:t>
                  </w:r>
                </w:p>
              </w:tc>
              <w:tc>
                <w:tcPr>
                  <w:tcW w:w="788" w:type="pct"/>
                  <w:vAlign w:val="center"/>
                </w:tcPr>
                <w:p>
                  <w:pPr>
                    <w:widowControl/>
                    <w:spacing w:line="320" w:lineRule="exact"/>
                    <w:jc w:val="center"/>
                    <w:textAlignment w:val="center"/>
                    <w:rPr>
                      <w:rFonts w:hint="default" w:eastAsia="宋体"/>
                      <w:b/>
                      <w:bCs/>
                      <w:szCs w:val="21"/>
                      <w:u w:val="single"/>
                      <w:lang w:val="en-US" w:eastAsia="zh-CN"/>
                    </w:rPr>
                  </w:pPr>
                  <w:r>
                    <w:rPr>
                      <w:rFonts w:hint="eastAsia"/>
                      <w:b/>
                      <w:bCs/>
                      <w:color w:val="000000"/>
                      <w:sz w:val="24"/>
                      <w:szCs w:val="24"/>
                      <w:u w:val="single"/>
                      <w:lang w:val="en-US" w:eastAsia="zh-CN"/>
                    </w:rPr>
                    <w:t>8</w:t>
                  </w:r>
                </w:p>
              </w:tc>
              <w:tc>
                <w:tcPr>
                  <w:tcW w:w="859" w:type="pct"/>
                  <w:vAlign w:val="center"/>
                </w:tcPr>
                <w:p>
                  <w:pPr>
                    <w:widowControl/>
                    <w:spacing w:line="320" w:lineRule="exact"/>
                    <w:jc w:val="center"/>
                    <w:textAlignment w:val="center"/>
                    <w:rPr>
                      <w:rFonts w:hint="default"/>
                      <w:b/>
                      <w:bCs/>
                      <w:szCs w:val="21"/>
                      <w:u w:val="single"/>
                      <w:lang w:val="en-US" w:eastAsia="zh-CN"/>
                    </w:rPr>
                  </w:pPr>
                  <w:r>
                    <w:rPr>
                      <w:rFonts w:hint="eastAsia"/>
                      <w:b/>
                      <w:bCs/>
                      <w:szCs w:val="21"/>
                      <w:u w:val="single"/>
                      <w:lang w:val="en-US" w:eastAsia="zh-CN"/>
                    </w:rPr>
                    <w:t>0.2</w:t>
                  </w:r>
                </w:p>
              </w:tc>
              <w:tc>
                <w:tcPr>
                  <w:tcW w:w="788" w:type="pct"/>
                  <w:vAlign w:val="center"/>
                </w:tcPr>
                <w:p>
                  <w:pPr>
                    <w:widowControl/>
                    <w:spacing w:line="320" w:lineRule="exact"/>
                    <w:jc w:val="center"/>
                    <w:textAlignment w:val="center"/>
                    <w:rPr>
                      <w:rFonts w:hint="default" w:eastAsia="宋体"/>
                      <w:b/>
                      <w:bCs/>
                      <w:szCs w:val="21"/>
                      <w:u w:val="single"/>
                      <w:lang w:val="en-US" w:eastAsia="zh-CN"/>
                    </w:rPr>
                  </w:pPr>
                  <w:r>
                    <w:rPr>
                      <w:rFonts w:hint="eastAsia"/>
                      <w:b/>
                      <w:bCs/>
                      <w:szCs w:val="21"/>
                      <w:u w:val="single"/>
                      <w:lang w:val="en-US" w:eastAsia="zh-CN"/>
                    </w:rPr>
                    <w:t>2822.4</w:t>
                  </w:r>
                </w:p>
              </w:tc>
              <w:tc>
                <w:tcPr>
                  <w:tcW w:w="677" w:type="pct"/>
                  <w:vAlign w:val="center"/>
                </w:tcPr>
                <w:p>
                  <w:pPr>
                    <w:widowControl/>
                    <w:spacing w:line="320" w:lineRule="exact"/>
                    <w:jc w:val="center"/>
                    <w:textAlignment w:val="center"/>
                    <w:rPr>
                      <w:rFonts w:hint="default"/>
                      <w:b/>
                      <w:bCs/>
                      <w:szCs w:val="21"/>
                      <w:u w:val="single"/>
                      <w:lang w:val="en-US" w:eastAsia="zh-CN"/>
                    </w:rPr>
                  </w:pPr>
                  <w:r>
                    <w:rPr>
                      <w:rFonts w:hint="eastAsia"/>
                      <w:b/>
                      <w:bCs/>
                      <w:szCs w:val="21"/>
                      <w:u w:val="single"/>
                      <w:lang w:val="en-US" w:eastAsia="zh-CN"/>
                    </w:rPr>
                    <w:t>1</w:t>
                  </w:r>
                </w:p>
              </w:tc>
              <w:tc>
                <w:tcPr>
                  <w:tcW w:w="616" w:type="pct"/>
                  <w:vAlign w:val="center"/>
                </w:tcPr>
                <w:p>
                  <w:pPr>
                    <w:pStyle w:val="20"/>
                    <w:ind w:left="0" w:leftChars="0" w:firstLine="0" w:firstLineChars="0"/>
                    <w:jc w:val="center"/>
                    <w:rPr>
                      <w:rFonts w:hint="default"/>
                      <w:b/>
                      <w:bCs/>
                      <w:u w:val="single"/>
                      <w:lang w:val="en-US" w:eastAsia="zh-CN"/>
                    </w:rPr>
                  </w:pPr>
                  <w:r>
                    <w:rPr>
                      <w:rFonts w:hint="eastAsia"/>
                      <w:b/>
                      <w:bCs/>
                      <w:u w:val="single"/>
                      <w:lang w:val="en-US" w:eastAsia="zh-CN"/>
                    </w:rPr>
                    <w:t>2822.5</w:t>
                  </w:r>
                </w:p>
              </w:tc>
            </w:tr>
          </w:tbl>
          <w:p>
            <w:pPr>
              <w:pStyle w:val="9"/>
              <w:keepNext w:val="0"/>
              <w:keepLines w:val="0"/>
              <w:pageBreakBefore w:val="0"/>
              <w:widowControl w:val="0"/>
              <w:kinsoku/>
              <w:wordWrap/>
              <w:overflowPunct/>
              <w:topLinePunct w:val="0"/>
              <w:autoSpaceDE/>
              <w:autoSpaceDN/>
              <w:bidi w:val="0"/>
              <w:spacing w:after="0" w:line="360" w:lineRule="auto"/>
              <w:ind w:left="0" w:leftChars="0" w:firstLine="482" w:firstLineChars="200"/>
              <w:textAlignment w:val="auto"/>
              <w:rPr>
                <w:b/>
                <w:bCs/>
                <w:szCs w:val="24"/>
                <w:u w:val="single"/>
              </w:rPr>
            </w:pPr>
            <w:r>
              <w:rPr>
                <w:rFonts w:hint="eastAsia"/>
                <w:b/>
                <w:bCs/>
                <w:szCs w:val="24"/>
                <w:u w:val="single"/>
              </w:rPr>
              <w:t>由上述公式计算出风机总风量为</w:t>
            </w:r>
            <w:r>
              <w:rPr>
                <w:rFonts w:hint="eastAsia"/>
                <w:b/>
                <w:bCs/>
                <w:szCs w:val="24"/>
                <w:u w:val="single"/>
                <w:lang w:val="en-US" w:eastAsia="zh-CN"/>
              </w:rPr>
              <w:t>2822.5</w:t>
            </w:r>
            <w:r>
              <w:rPr>
                <w:rFonts w:hint="eastAsia"/>
                <w:b/>
                <w:bCs/>
                <w:szCs w:val="24"/>
                <w:u w:val="single"/>
              </w:rPr>
              <w:t>m</w:t>
            </w:r>
            <w:r>
              <w:rPr>
                <w:rFonts w:hint="eastAsia"/>
                <w:b/>
                <w:bCs/>
                <w:szCs w:val="24"/>
                <w:u w:val="single"/>
                <w:vertAlign w:val="superscript"/>
              </w:rPr>
              <w:t>3</w:t>
            </w:r>
            <w:r>
              <w:rPr>
                <w:rFonts w:hint="eastAsia"/>
                <w:b/>
                <w:bCs/>
                <w:szCs w:val="24"/>
                <w:u w:val="single"/>
              </w:rPr>
              <w:t>/h，以</w:t>
            </w:r>
            <w:r>
              <w:rPr>
                <w:rFonts w:hint="eastAsia"/>
                <w:b/>
                <w:bCs/>
                <w:szCs w:val="24"/>
                <w:u w:val="single"/>
                <w:lang w:val="en-US" w:eastAsia="zh-CN"/>
              </w:rPr>
              <w:t>3000</w:t>
            </w:r>
            <w:r>
              <w:rPr>
                <w:rFonts w:hint="eastAsia"/>
                <w:b/>
                <w:bCs/>
                <w:szCs w:val="24"/>
                <w:u w:val="single"/>
              </w:rPr>
              <w:t>m</w:t>
            </w:r>
            <w:r>
              <w:rPr>
                <w:rFonts w:hint="eastAsia"/>
                <w:b/>
                <w:bCs/>
                <w:szCs w:val="24"/>
                <w:u w:val="single"/>
                <w:vertAlign w:val="superscript"/>
              </w:rPr>
              <w:t>3</w:t>
            </w:r>
            <w:r>
              <w:rPr>
                <w:rFonts w:hint="eastAsia"/>
                <w:b/>
                <w:bCs/>
                <w:szCs w:val="24"/>
                <w:u w:val="single"/>
              </w:rPr>
              <w:t>/h计。</w:t>
            </w:r>
          </w:p>
          <w:p>
            <w:pPr>
              <w:keepNext w:val="0"/>
              <w:keepLines w:val="0"/>
              <w:pageBreakBefore w:val="0"/>
              <w:widowControl w:val="0"/>
              <w:tabs>
                <w:tab w:val="left" w:pos="595"/>
              </w:tabs>
              <w:kinsoku/>
              <w:wordWrap/>
              <w:overflowPunct/>
              <w:topLinePunct w:val="0"/>
              <w:autoSpaceDE/>
              <w:autoSpaceDN/>
              <w:bidi w:val="0"/>
              <w:adjustRightInd w:val="0"/>
              <w:snapToGrid w:val="0"/>
              <w:spacing w:line="360" w:lineRule="auto"/>
              <w:ind w:firstLine="482" w:firstLineChars="200"/>
              <w:textAlignment w:val="auto"/>
              <w:rPr>
                <w:rFonts w:hint="default"/>
                <w:lang w:val="en-US" w:eastAsia="zh-CN"/>
              </w:rPr>
            </w:pPr>
            <w:r>
              <w:rPr>
                <w:rFonts w:hint="eastAsia"/>
                <w:b/>
                <w:bCs/>
                <w:sz w:val="24"/>
                <w:u w:val="single"/>
              </w:rPr>
              <w:t>经计算，集气罩</w:t>
            </w:r>
            <w:r>
              <w:rPr>
                <w:b/>
                <w:bCs/>
                <w:sz w:val="24"/>
                <w:u w:val="single"/>
              </w:rPr>
              <w:t>收集的非甲烷总烃量为</w:t>
            </w:r>
            <w:r>
              <w:rPr>
                <w:rFonts w:hint="eastAsia"/>
                <w:b/>
                <w:bCs/>
                <w:sz w:val="24"/>
                <w:u w:val="single"/>
                <w:lang w:val="en-US" w:eastAsia="zh-CN"/>
              </w:rPr>
              <w:t>0.0837</w:t>
            </w:r>
            <w:r>
              <w:rPr>
                <w:b/>
                <w:bCs/>
                <w:sz w:val="24"/>
                <w:u w:val="single"/>
              </w:rPr>
              <w:t>t/a</w:t>
            </w:r>
            <w:r>
              <w:rPr>
                <w:rFonts w:hint="eastAsia"/>
                <w:b/>
                <w:bCs/>
                <w:sz w:val="24"/>
                <w:u w:val="single"/>
              </w:rPr>
              <w:t>，无组织排放量为</w:t>
            </w:r>
            <w:r>
              <w:rPr>
                <w:rFonts w:hint="eastAsia"/>
                <w:b/>
                <w:bCs/>
                <w:sz w:val="24"/>
                <w:u w:val="single"/>
                <w:lang w:val="en-US" w:eastAsia="zh-CN"/>
              </w:rPr>
              <w:t>0.0093</w:t>
            </w:r>
            <w:r>
              <w:rPr>
                <w:rFonts w:hint="eastAsia"/>
                <w:b/>
                <w:bCs/>
                <w:sz w:val="24"/>
                <w:u w:val="single"/>
              </w:rPr>
              <w:t>t/a；经治理设施处理后，有组织排放量为</w:t>
            </w:r>
            <w:r>
              <w:rPr>
                <w:rFonts w:hint="eastAsia"/>
                <w:b/>
                <w:bCs/>
                <w:sz w:val="24"/>
                <w:u w:val="single"/>
                <w:lang w:val="en-US" w:eastAsia="zh-CN"/>
              </w:rPr>
              <w:t>0.0084</w:t>
            </w:r>
            <w:r>
              <w:rPr>
                <w:b/>
                <w:bCs/>
                <w:sz w:val="24"/>
                <w:u w:val="single"/>
              </w:rPr>
              <w:t>t/a</w:t>
            </w:r>
            <w:r>
              <w:rPr>
                <w:rFonts w:hint="eastAsia"/>
                <w:b/>
                <w:bCs/>
                <w:sz w:val="24"/>
                <w:u w:val="single"/>
                <w:lang w:eastAsia="zh-CN"/>
              </w:rPr>
              <w:t>（</w:t>
            </w:r>
            <w:r>
              <w:rPr>
                <w:rFonts w:hint="eastAsia"/>
                <w:b/>
                <w:bCs/>
                <w:sz w:val="24"/>
                <w:u w:val="single"/>
                <w:lang w:val="en-US" w:eastAsia="zh-CN"/>
              </w:rPr>
              <w:t>0.007</w:t>
            </w:r>
            <w:r>
              <w:rPr>
                <w:rFonts w:hint="eastAsia"/>
                <w:b/>
                <w:bCs/>
                <w:sz w:val="24"/>
                <w:u w:val="single"/>
              </w:rPr>
              <w:t>kg/h</w:t>
            </w:r>
            <w:r>
              <w:rPr>
                <w:rFonts w:hint="eastAsia"/>
                <w:b/>
                <w:bCs/>
                <w:sz w:val="24"/>
                <w:u w:val="single"/>
                <w:lang w:eastAsia="zh-CN"/>
              </w:rPr>
              <w:t>）</w:t>
            </w:r>
            <w:r>
              <w:rPr>
                <w:rFonts w:hint="eastAsia"/>
                <w:b/>
                <w:bCs/>
                <w:sz w:val="24"/>
                <w:u w:val="single"/>
              </w:rPr>
              <w:t>，排放浓度为</w:t>
            </w:r>
            <w:r>
              <w:rPr>
                <w:rFonts w:hint="eastAsia"/>
                <w:b/>
                <w:bCs/>
                <w:sz w:val="24"/>
                <w:u w:val="single"/>
                <w:lang w:val="en-US" w:eastAsia="zh-CN"/>
              </w:rPr>
              <w:t>2.33</w:t>
            </w:r>
            <w:r>
              <w:rPr>
                <w:b/>
                <w:bCs/>
                <w:sz w:val="24"/>
                <w:u w:val="single"/>
                <w:lang w:val="zh-TW"/>
              </w:rPr>
              <w:t>mg/m</w:t>
            </w:r>
            <w:r>
              <w:rPr>
                <w:b/>
                <w:bCs/>
                <w:sz w:val="24"/>
                <w:u w:val="single"/>
                <w:vertAlign w:val="superscript"/>
                <w:lang w:val="zh-TW"/>
              </w:rPr>
              <w:t>3</w:t>
            </w:r>
            <w:r>
              <w:rPr>
                <w:rFonts w:hint="eastAsia"/>
                <w:b/>
                <w:bCs/>
                <w:sz w:val="24"/>
                <w:u w:val="single"/>
                <w:lang w:val="zh-TW"/>
              </w:rPr>
              <w:t>，通过15m高排气筒</w:t>
            </w:r>
            <w:r>
              <w:rPr>
                <w:rFonts w:hint="eastAsia"/>
                <w:b/>
                <w:bCs/>
                <w:sz w:val="24"/>
                <w:u w:val="single"/>
                <w:lang w:val="zh-TW" w:eastAsia="zh-CN"/>
              </w:rPr>
              <w:t>（</w:t>
            </w:r>
            <w:r>
              <w:rPr>
                <w:rFonts w:hint="eastAsia"/>
                <w:b/>
                <w:bCs/>
                <w:sz w:val="24"/>
                <w:u w:val="single"/>
                <w:lang w:val="en-US" w:eastAsia="zh-CN"/>
              </w:rPr>
              <w:t>DA002</w:t>
            </w:r>
            <w:r>
              <w:rPr>
                <w:rFonts w:hint="eastAsia"/>
                <w:b/>
                <w:bCs/>
                <w:sz w:val="24"/>
                <w:u w:val="single"/>
                <w:lang w:val="zh-TW" w:eastAsia="zh-CN"/>
              </w:rPr>
              <w:t>）</w:t>
            </w:r>
            <w:r>
              <w:rPr>
                <w:rFonts w:hint="eastAsia"/>
                <w:b/>
                <w:bCs/>
                <w:sz w:val="24"/>
                <w:u w:val="single"/>
                <w:lang w:val="zh-TW"/>
              </w:rPr>
              <w:t>排放。</w:t>
            </w:r>
            <w:r>
              <w:rPr>
                <w:rFonts w:hint="eastAsia"/>
                <w:b/>
                <w:bCs/>
                <w:color w:val="000000"/>
                <w:sz w:val="24"/>
                <w:u w:val="single"/>
              </w:rPr>
              <w:t>排放满足</w:t>
            </w:r>
            <w:r>
              <w:rPr>
                <w:rFonts w:hint="eastAsia"/>
                <w:b/>
                <w:bCs/>
                <w:sz w:val="24"/>
                <w:u w:val="single"/>
              </w:rPr>
              <w:t>《河南省印刷工业挥发性有机物排放标准》（DB41/1956-2020）表1“非甲烷总烃最高允许排放浓度为40mg/m</w:t>
            </w:r>
            <w:r>
              <w:rPr>
                <w:rFonts w:hint="eastAsia"/>
                <w:b/>
                <w:bCs/>
                <w:sz w:val="24"/>
                <w:u w:val="single"/>
                <w:vertAlign w:val="superscript"/>
              </w:rPr>
              <w:t>3</w:t>
            </w:r>
            <w:r>
              <w:rPr>
                <w:rFonts w:hint="eastAsia"/>
                <w:b/>
                <w:bCs/>
                <w:sz w:val="24"/>
                <w:u w:val="single"/>
              </w:rPr>
              <w:t>；最高允许排放速率1.0kg/h（15m）”限值要求</w:t>
            </w:r>
            <w:r>
              <w:rPr>
                <w:rFonts w:hint="eastAsia"/>
                <w:b/>
                <w:bCs/>
                <w:sz w:val="24"/>
                <w:u w:val="single"/>
                <w:lang w:eastAsia="zh-CN"/>
              </w:rPr>
              <w:t>，</w:t>
            </w:r>
            <w:r>
              <w:rPr>
                <w:b/>
                <w:bCs/>
                <w:sz w:val="24"/>
                <w:u w:val="single"/>
              </w:rPr>
              <w:t>同时满足</w:t>
            </w:r>
            <w:r>
              <w:rPr>
                <w:rFonts w:hint="eastAsia"/>
                <w:b/>
                <w:bCs/>
                <w:sz w:val="24"/>
                <w:u w:val="single"/>
              </w:rPr>
              <w:t>《关于全省开展工业企业挥发性有机物专项治理工作中排放建议值的通知》(豫环工坚办【2017】162号)其他行业挥发性有机物排放建议值(非甲烷总烃排放浓度80mg/m</w:t>
            </w:r>
            <w:r>
              <w:rPr>
                <w:rFonts w:hint="eastAsia"/>
                <w:b/>
                <w:bCs/>
                <w:sz w:val="24"/>
                <w:u w:val="single"/>
                <w:vertAlign w:val="superscript"/>
              </w:rPr>
              <w:t>3</w:t>
            </w:r>
            <w:r>
              <w:rPr>
                <w:rFonts w:hint="eastAsia"/>
                <w:b/>
                <w:bCs/>
                <w:sz w:val="24"/>
                <w:u w:val="single"/>
              </w:rPr>
              <w:t>，去除效率70%)要求</w:t>
            </w:r>
            <w:r>
              <w:rPr>
                <w:rFonts w:hint="eastAsia"/>
                <w:b/>
                <w:bCs/>
                <w:sz w:val="24"/>
                <w:u w:val="single"/>
                <w:lang w:val="en-US" w:eastAsia="zh-CN"/>
              </w:rPr>
              <w:t>及</w:t>
            </w:r>
            <w:r>
              <w:rPr>
                <w:rFonts w:hint="eastAsia"/>
                <w:b/>
                <w:bCs/>
                <w:sz w:val="24"/>
                <w:u w:val="single"/>
              </w:rPr>
              <w:t>《重污染天气重点行业应急减排措施制定技术指南（2020年修订版）》包装印刷行业绩效分级指标</w:t>
            </w:r>
            <w:r>
              <w:rPr>
                <w:rFonts w:hint="eastAsia"/>
                <w:b/>
                <w:bCs/>
                <w:sz w:val="24"/>
                <w:u w:val="single"/>
                <w:lang w:eastAsia="zh-CN"/>
              </w:rPr>
              <w:t>（</w:t>
            </w:r>
            <w:r>
              <w:rPr>
                <w:rFonts w:hint="eastAsia"/>
                <w:b/>
                <w:bCs/>
                <w:sz w:val="24"/>
                <w:u w:val="single"/>
                <w:lang w:val="en-US" w:eastAsia="zh-CN"/>
              </w:rPr>
              <w:t>A级企业</w:t>
            </w:r>
            <w:r>
              <w:rPr>
                <w:rFonts w:hint="eastAsia"/>
                <w:b/>
                <w:bCs/>
                <w:sz w:val="24"/>
                <w:u w:val="single"/>
                <w:lang w:eastAsia="zh-CN"/>
              </w:rPr>
              <w:t>）</w:t>
            </w:r>
            <w:r>
              <w:rPr>
                <w:rFonts w:hint="eastAsia"/>
                <w:b/>
                <w:bCs/>
                <w:sz w:val="24"/>
                <w:u w:val="single"/>
                <w:lang w:val="en-US" w:eastAsia="zh-CN"/>
              </w:rPr>
              <w:t>要求。</w:t>
            </w:r>
          </w:p>
          <w:p>
            <w:pPr>
              <w:tabs>
                <w:tab w:val="left" w:pos="595"/>
              </w:tabs>
              <w:adjustRightInd w:val="0"/>
              <w:snapToGrid w:val="0"/>
              <w:spacing w:line="460" w:lineRule="exact"/>
              <w:ind w:firstLine="480" w:firstLineChars="200"/>
              <w:rPr>
                <w:b w:val="0"/>
                <w:bCs/>
                <w:sz w:val="24"/>
                <w:u w:val="none"/>
              </w:rPr>
            </w:pPr>
            <w:r>
              <w:rPr>
                <w:rFonts w:hint="eastAsia"/>
                <w:b w:val="0"/>
                <w:bCs/>
                <w:color w:val="000000" w:themeColor="text1"/>
                <w:sz w:val="24"/>
                <w:u w:val="none"/>
                <w14:textFill>
                  <w14:solidFill>
                    <w14:schemeClr w14:val="tx1"/>
                  </w14:solidFill>
                </w14:textFill>
              </w:rPr>
              <w:t>本项目废气产排情况见下表。</w:t>
            </w:r>
          </w:p>
          <w:p>
            <w:pPr>
              <w:adjustRightInd w:val="0"/>
              <w:snapToGrid w:val="0"/>
              <w:spacing w:line="460" w:lineRule="exact"/>
              <w:ind w:firstLine="482" w:firstLineChars="200"/>
              <w:rPr>
                <w:b/>
                <w:bCs/>
                <w:sz w:val="24"/>
                <w:szCs w:val="32"/>
                <w:u w:val="none"/>
              </w:rPr>
            </w:pPr>
            <w:r>
              <w:rPr>
                <w:rFonts w:hint="eastAsia"/>
                <w:b/>
                <w:bCs/>
                <w:sz w:val="24"/>
                <w:szCs w:val="32"/>
                <w:u w:val="none"/>
              </w:rPr>
              <w:t>表</w:t>
            </w:r>
            <w:r>
              <w:rPr>
                <w:rFonts w:hint="eastAsia"/>
                <w:b/>
                <w:bCs/>
                <w:sz w:val="24"/>
                <w:szCs w:val="32"/>
                <w:u w:val="none"/>
                <w:lang w:val="en-US" w:eastAsia="zh-CN"/>
              </w:rPr>
              <w:t>18</w:t>
            </w:r>
            <w:r>
              <w:rPr>
                <w:b/>
                <w:bCs/>
                <w:sz w:val="24"/>
                <w:szCs w:val="32"/>
                <w:u w:val="none"/>
              </w:rPr>
              <w:t xml:space="preserve"> </w:t>
            </w:r>
            <w:r>
              <w:rPr>
                <w:rFonts w:hint="eastAsia"/>
                <w:b/>
                <w:bCs/>
                <w:sz w:val="24"/>
                <w:szCs w:val="32"/>
                <w:u w:val="none"/>
              </w:rPr>
              <w:t xml:space="preserve">    </w:t>
            </w:r>
            <w:r>
              <w:rPr>
                <w:b/>
                <w:bCs/>
                <w:sz w:val="24"/>
                <w:szCs w:val="32"/>
                <w:u w:val="none"/>
              </w:rPr>
              <w:t xml:space="preserve">  </w:t>
            </w:r>
            <w:r>
              <w:rPr>
                <w:rFonts w:hint="eastAsia"/>
                <w:b/>
                <w:bCs/>
                <w:sz w:val="24"/>
                <w:szCs w:val="32"/>
                <w:u w:val="none"/>
              </w:rPr>
              <w:t xml:space="preserve"> 项目主要大气污染物治理设施及产排情况汇总表</w:t>
            </w:r>
          </w:p>
          <w:tbl>
            <w:tblPr>
              <w:tblStyle w:val="21"/>
              <w:tblW w:w="498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081"/>
              <w:gridCol w:w="680"/>
              <w:gridCol w:w="573"/>
              <w:gridCol w:w="953"/>
              <w:gridCol w:w="716"/>
              <w:gridCol w:w="778"/>
              <w:gridCol w:w="592"/>
              <w:gridCol w:w="898"/>
              <w:gridCol w:w="900"/>
              <w:gridCol w:w="621"/>
              <w:gridCol w:w="5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64" w:hRule="atLeast"/>
                <w:jc w:val="center"/>
              </w:trPr>
              <w:tc>
                <w:tcPr>
                  <w:tcW w:w="1081" w:type="dxa"/>
                  <w:vMerge w:val="restart"/>
                  <w:tcBorders>
                    <w:tl2br w:val="nil"/>
                    <w:tr2bl w:val="nil"/>
                  </w:tcBorders>
                  <w:vAlign w:val="center"/>
                </w:tcPr>
                <w:p>
                  <w:pPr>
                    <w:pStyle w:val="30"/>
                    <w:spacing w:line="320" w:lineRule="exact"/>
                    <w:rPr>
                      <w:rFonts w:hint="eastAsia" w:eastAsia="宋体"/>
                      <w:b w:val="0"/>
                      <w:bCs w:val="0"/>
                      <w:sz w:val="18"/>
                      <w:szCs w:val="18"/>
                      <w:u w:val="none"/>
                      <w:lang w:eastAsia="zh-CN"/>
                    </w:rPr>
                  </w:pPr>
                  <w:r>
                    <w:rPr>
                      <w:rFonts w:hint="eastAsia"/>
                      <w:b w:val="0"/>
                      <w:bCs w:val="0"/>
                      <w:sz w:val="18"/>
                      <w:szCs w:val="18"/>
                      <w:u w:val="none"/>
                      <w:lang w:val="en-US" w:eastAsia="zh-CN"/>
                    </w:rPr>
                    <w:t>污染源</w:t>
                  </w:r>
                </w:p>
              </w:tc>
              <w:tc>
                <w:tcPr>
                  <w:tcW w:w="680" w:type="dxa"/>
                  <w:vMerge w:val="restart"/>
                  <w:tcBorders>
                    <w:tl2br w:val="nil"/>
                    <w:tr2bl w:val="nil"/>
                  </w:tcBorders>
                  <w:vAlign w:val="center"/>
                </w:tcPr>
                <w:p>
                  <w:pPr>
                    <w:pStyle w:val="30"/>
                    <w:spacing w:line="320" w:lineRule="exact"/>
                    <w:rPr>
                      <w:rFonts w:hint="eastAsia" w:eastAsia="宋体"/>
                      <w:b w:val="0"/>
                      <w:bCs w:val="0"/>
                      <w:sz w:val="18"/>
                      <w:szCs w:val="18"/>
                      <w:u w:val="none"/>
                      <w:lang w:val="en-US" w:eastAsia="zh-CN"/>
                    </w:rPr>
                  </w:pPr>
                  <w:r>
                    <w:rPr>
                      <w:b w:val="0"/>
                      <w:bCs w:val="0"/>
                      <w:sz w:val="18"/>
                      <w:szCs w:val="18"/>
                      <w:u w:val="none"/>
                    </w:rPr>
                    <w:t>污染物</w:t>
                  </w:r>
                  <w:r>
                    <w:rPr>
                      <w:rFonts w:hint="eastAsia"/>
                      <w:b w:val="0"/>
                      <w:bCs w:val="0"/>
                      <w:sz w:val="18"/>
                      <w:szCs w:val="18"/>
                      <w:u w:val="none"/>
                      <w:lang w:val="en-US" w:eastAsia="zh-CN"/>
                    </w:rPr>
                    <w:t>种类</w:t>
                  </w:r>
                </w:p>
              </w:tc>
              <w:tc>
                <w:tcPr>
                  <w:tcW w:w="2242" w:type="dxa"/>
                  <w:gridSpan w:val="3"/>
                  <w:tcBorders>
                    <w:tl2br w:val="nil"/>
                    <w:tr2bl w:val="nil"/>
                  </w:tcBorders>
                  <w:vAlign w:val="center"/>
                </w:tcPr>
                <w:p>
                  <w:pPr>
                    <w:pStyle w:val="30"/>
                    <w:spacing w:line="320" w:lineRule="exact"/>
                    <w:rPr>
                      <w:b w:val="0"/>
                      <w:bCs w:val="0"/>
                      <w:sz w:val="18"/>
                      <w:szCs w:val="18"/>
                      <w:u w:val="none"/>
                    </w:rPr>
                  </w:pPr>
                  <w:r>
                    <w:rPr>
                      <w:rFonts w:hint="eastAsia"/>
                      <w:b w:val="0"/>
                      <w:bCs w:val="0"/>
                      <w:sz w:val="18"/>
                      <w:szCs w:val="18"/>
                      <w:u w:val="none"/>
                      <w:lang w:val="zh-CN"/>
                    </w:rPr>
                    <w:t>污染物</w:t>
                  </w:r>
                  <w:r>
                    <w:rPr>
                      <w:b w:val="0"/>
                      <w:bCs w:val="0"/>
                      <w:sz w:val="18"/>
                      <w:szCs w:val="18"/>
                      <w:u w:val="none"/>
                    </w:rPr>
                    <w:t>产生情况</w:t>
                  </w:r>
                </w:p>
              </w:tc>
              <w:tc>
                <w:tcPr>
                  <w:tcW w:w="1370" w:type="dxa"/>
                  <w:gridSpan w:val="2"/>
                  <w:tcBorders>
                    <w:tl2br w:val="nil"/>
                    <w:tr2bl w:val="nil"/>
                  </w:tcBorders>
                  <w:vAlign w:val="center"/>
                </w:tcPr>
                <w:p>
                  <w:pPr>
                    <w:pStyle w:val="30"/>
                    <w:spacing w:line="320" w:lineRule="exact"/>
                    <w:rPr>
                      <w:b w:val="0"/>
                      <w:bCs w:val="0"/>
                      <w:sz w:val="18"/>
                      <w:szCs w:val="18"/>
                      <w:u w:val="none"/>
                    </w:rPr>
                  </w:pPr>
                  <w:r>
                    <w:rPr>
                      <w:b w:val="0"/>
                      <w:bCs w:val="0"/>
                      <w:sz w:val="18"/>
                      <w:szCs w:val="18"/>
                      <w:u w:val="none"/>
                    </w:rPr>
                    <w:t>治理措施</w:t>
                  </w:r>
                </w:p>
              </w:tc>
              <w:tc>
                <w:tcPr>
                  <w:tcW w:w="2419" w:type="dxa"/>
                  <w:gridSpan w:val="3"/>
                  <w:tcBorders>
                    <w:tl2br w:val="nil"/>
                    <w:tr2bl w:val="nil"/>
                  </w:tcBorders>
                  <w:vAlign w:val="center"/>
                </w:tcPr>
                <w:p>
                  <w:pPr>
                    <w:pStyle w:val="30"/>
                    <w:spacing w:line="320" w:lineRule="exact"/>
                    <w:rPr>
                      <w:b w:val="0"/>
                      <w:bCs w:val="0"/>
                      <w:sz w:val="18"/>
                      <w:szCs w:val="18"/>
                      <w:u w:val="none"/>
                    </w:rPr>
                  </w:pPr>
                  <w:r>
                    <w:rPr>
                      <w:rFonts w:hint="eastAsia"/>
                      <w:b w:val="0"/>
                      <w:bCs w:val="0"/>
                      <w:sz w:val="18"/>
                      <w:szCs w:val="18"/>
                      <w:u w:val="none"/>
                      <w:lang w:val="zh-CN"/>
                    </w:rPr>
                    <w:t>污染物</w:t>
                  </w:r>
                  <w:r>
                    <w:rPr>
                      <w:b w:val="0"/>
                      <w:bCs w:val="0"/>
                      <w:sz w:val="18"/>
                      <w:szCs w:val="18"/>
                      <w:u w:val="none"/>
                    </w:rPr>
                    <w:t>排放情况</w:t>
                  </w:r>
                </w:p>
              </w:tc>
              <w:tc>
                <w:tcPr>
                  <w:tcW w:w="565" w:type="dxa"/>
                  <w:vMerge w:val="restart"/>
                  <w:tcBorders>
                    <w:tl2br w:val="nil"/>
                    <w:tr2bl w:val="nil"/>
                  </w:tcBorders>
                  <w:vAlign w:val="center"/>
                </w:tcPr>
                <w:p>
                  <w:pPr>
                    <w:pStyle w:val="30"/>
                    <w:spacing w:line="320" w:lineRule="exact"/>
                    <w:rPr>
                      <w:b w:val="0"/>
                      <w:bCs w:val="0"/>
                      <w:sz w:val="18"/>
                      <w:szCs w:val="18"/>
                      <w:u w:val="none"/>
                    </w:rPr>
                  </w:pPr>
                  <w:r>
                    <w:rPr>
                      <w:b w:val="0"/>
                      <w:bCs w:val="0"/>
                      <w:sz w:val="18"/>
                      <w:szCs w:val="18"/>
                      <w:u w:val="none"/>
                    </w:rPr>
                    <w:t>排放时间（h）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15" w:hRule="atLeast"/>
                <w:jc w:val="center"/>
              </w:trPr>
              <w:tc>
                <w:tcPr>
                  <w:tcW w:w="1081" w:type="dxa"/>
                  <w:vMerge w:val="continue"/>
                  <w:tcBorders>
                    <w:tl2br w:val="nil"/>
                    <w:tr2bl w:val="nil"/>
                  </w:tcBorders>
                  <w:vAlign w:val="center"/>
                </w:tcPr>
                <w:p>
                  <w:pPr>
                    <w:pStyle w:val="30"/>
                    <w:spacing w:line="320" w:lineRule="exact"/>
                    <w:rPr>
                      <w:b w:val="0"/>
                      <w:bCs w:val="0"/>
                      <w:u w:val="none"/>
                    </w:rPr>
                  </w:pPr>
                </w:p>
              </w:tc>
              <w:tc>
                <w:tcPr>
                  <w:tcW w:w="680" w:type="dxa"/>
                  <w:vMerge w:val="continue"/>
                  <w:tcBorders>
                    <w:tl2br w:val="nil"/>
                    <w:tr2bl w:val="nil"/>
                  </w:tcBorders>
                  <w:vAlign w:val="center"/>
                </w:tcPr>
                <w:p>
                  <w:pPr>
                    <w:pStyle w:val="30"/>
                    <w:spacing w:line="320" w:lineRule="exact"/>
                    <w:rPr>
                      <w:b w:val="0"/>
                      <w:bCs w:val="0"/>
                      <w:u w:val="none"/>
                    </w:rPr>
                  </w:pPr>
                </w:p>
              </w:tc>
              <w:tc>
                <w:tcPr>
                  <w:tcW w:w="573"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核算方法</w:t>
                  </w:r>
                </w:p>
              </w:tc>
              <w:tc>
                <w:tcPr>
                  <w:tcW w:w="953"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浓度</w:t>
                  </w:r>
                </w:p>
                <w:p>
                  <w:pPr>
                    <w:pStyle w:val="30"/>
                    <w:spacing w:line="320" w:lineRule="exact"/>
                    <w:rPr>
                      <w:b w:val="0"/>
                      <w:bCs w:val="0"/>
                      <w:sz w:val="18"/>
                      <w:szCs w:val="18"/>
                      <w:u w:val="none"/>
                    </w:rPr>
                  </w:pPr>
                  <w:r>
                    <w:rPr>
                      <w:b w:val="0"/>
                      <w:bCs w:val="0"/>
                      <w:sz w:val="18"/>
                      <w:szCs w:val="18"/>
                      <w:u w:val="none"/>
                    </w:rPr>
                    <w:t>（mg/m</w:t>
                  </w:r>
                  <w:r>
                    <w:rPr>
                      <w:b w:val="0"/>
                      <w:bCs w:val="0"/>
                      <w:sz w:val="18"/>
                      <w:szCs w:val="18"/>
                      <w:u w:val="none"/>
                      <w:vertAlign w:val="superscript"/>
                    </w:rPr>
                    <w:t>3</w:t>
                  </w:r>
                  <w:r>
                    <w:rPr>
                      <w:b w:val="0"/>
                      <w:bCs w:val="0"/>
                      <w:sz w:val="18"/>
                      <w:szCs w:val="18"/>
                      <w:u w:val="none"/>
                    </w:rPr>
                    <w:t>）</w:t>
                  </w:r>
                </w:p>
              </w:tc>
              <w:tc>
                <w:tcPr>
                  <w:tcW w:w="716"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产生量</w:t>
                  </w:r>
                </w:p>
                <w:p>
                  <w:pPr>
                    <w:pStyle w:val="30"/>
                    <w:spacing w:line="320" w:lineRule="exact"/>
                    <w:rPr>
                      <w:b w:val="0"/>
                      <w:bCs w:val="0"/>
                      <w:sz w:val="18"/>
                      <w:szCs w:val="18"/>
                      <w:u w:val="none"/>
                    </w:rPr>
                  </w:pPr>
                  <w:r>
                    <w:rPr>
                      <w:b w:val="0"/>
                      <w:bCs w:val="0"/>
                      <w:sz w:val="18"/>
                      <w:szCs w:val="18"/>
                      <w:u w:val="none"/>
                    </w:rPr>
                    <w:t>（t/a）</w:t>
                  </w:r>
                </w:p>
              </w:tc>
              <w:tc>
                <w:tcPr>
                  <w:tcW w:w="778"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工艺</w:t>
                  </w:r>
                </w:p>
              </w:tc>
              <w:tc>
                <w:tcPr>
                  <w:tcW w:w="592"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处理效率</w:t>
                  </w:r>
                </w:p>
              </w:tc>
              <w:tc>
                <w:tcPr>
                  <w:tcW w:w="898"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排放浓度</w:t>
                  </w:r>
                </w:p>
                <w:p>
                  <w:pPr>
                    <w:pStyle w:val="30"/>
                    <w:spacing w:line="320" w:lineRule="exact"/>
                    <w:rPr>
                      <w:b w:val="0"/>
                      <w:bCs w:val="0"/>
                      <w:sz w:val="18"/>
                      <w:szCs w:val="18"/>
                      <w:u w:val="none"/>
                    </w:rPr>
                  </w:pPr>
                  <w:r>
                    <w:rPr>
                      <w:b w:val="0"/>
                      <w:bCs w:val="0"/>
                      <w:sz w:val="18"/>
                      <w:szCs w:val="18"/>
                      <w:u w:val="none"/>
                    </w:rPr>
                    <w:t>（mg/m</w:t>
                  </w:r>
                  <w:r>
                    <w:rPr>
                      <w:b w:val="0"/>
                      <w:bCs w:val="0"/>
                      <w:sz w:val="18"/>
                      <w:szCs w:val="18"/>
                      <w:u w:val="none"/>
                      <w:vertAlign w:val="superscript"/>
                    </w:rPr>
                    <w:t>3</w:t>
                  </w:r>
                  <w:r>
                    <w:rPr>
                      <w:b w:val="0"/>
                      <w:bCs w:val="0"/>
                      <w:sz w:val="18"/>
                      <w:szCs w:val="18"/>
                      <w:u w:val="none"/>
                    </w:rPr>
                    <w:t>）</w:t>
                  </w:r>
                </w:p>
              </w:tc>
              <w:tc>
                <w:tcPr>
                  <w:tcW w:w="900"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排放速率</w:t>
                  </w:r>
                </w:p>
                <w:p>
                  <w:pPr>
                    <w:pStyle w:val="30"/>
                    <w:spacing w:line="320" w:lineRule="exact"/>
                    <w:rPr>
                      <w:b w:val="0"/>
                      <w:bCs w:val="0"/>
                      <w:sz w:val="18"/>
                      <w:szCs w:val="18"/>
                      <w:u w:val="none"/>
                    </w:rPr>
                  </w:pPr>
                  <w:r>
                    <w:rPr>
                      <w:b w:val="0"/>
                      <w:bCs w:val="0"/>
                      <w:sz w:val="18"/>
                      <w:szCs w:val="18"/>
                      <w:u w:val="none"/>
                    </w:rPr>
                    <w:t>（kg/h）</w:t>
                  </w:r>
                </w:p>
              </w:tc>
              <w:tc>
                <w:tcPr>
                  <w:tcW w:w="621" w:type="dxa"/>
                  <w:tcBorders>
                    <w:tl2br w:val="nil"/>
                    <w:tr2bl w:val="nil"/>
                  </w:tcBorders>
                  <w:vAlign w:val="center"/>
                </w:tcPr>
                <w:p>
                  <w:pPr>
                    <w:pStyle w:val="30"/>
                    <w:spacing w:line="320" w:lineRule="exact"/>
                    <w:rPr>
                      <w:b w:val="0"/>
                      <w:bCs w:val="0"/>
                      <w:sz w:val="18"/>
                      <w:szCs w:val="18"/>
                      <w:u w:val="none"/>
                    </w:rPr>
                  </w:pPr>
                  <w:r>
                    <w:rPr>
                      <w:b w:val="0"/>
                      <w:bCs w:val="0"/>
                      <w:sz w:val="18"/>
                      <w:szCs w:val="18"/>
                      <w:u w:val="none"/>
                    </w:rPr>
                    <w:t>排放量</w:t>
                  </w:r>
                </w:p>
                <w:p>
                  <w:pPr>
                    <w:pStyle w:val="30"/>
                    <w:spacing w:line="320" w:lineRule="exact"/>
                    <w:rPr>
                      <w:b w:val="0"/>
                      <w:bCs w:val="0"/>
                      <w:sz w:val="18"/>
                      <w:szCs w:val="18"/>
                      <w:u w:val="none"/>
                    </w:rPr>
                  </w:pPr>
                  <w:r>
                    <w:rPr>
                      <w:b w:val="0"/>
                      <w:bCs w:val="0"/>
                      <w:sz w:val="18"/>
                      <w:szCs w:val="18"/>
                      <w:u w:val="none"/>
                    </w:rPr>
                    <w:t>（t/a）</w:t>
                  </w:r>
                </w:p>
              </w:tc>
              <w:tc>
                <w:tcPr>
                  <w:tcW w:w="565" w:type="dxa"/>
                  <w:vMerge w:val="continue"/>
                  <w:tcBorders>
                    <w:tl2br w:val="nil"/>
                    <w:tr2bl w:val="nil"/>
                  </w:tcBorders>
                  <w:vAlign w:val="center"/>
                </w:tcPr>
                <w:p>
                  <w:pPr>
                    <w:pStyle w:val="30"/>
                    <w:spacing w:line="320" w:lineRule="exact"/>
                    <w:rPr>
                      <w:b w:val="0"/>
                      <w:bCs w:val="0"/>
                      <w:sz w:val="18"/>
                      <w:szCs w:val="1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563" w:hRule="atLeast"/>
                <w:jc w:val="center"/>
              </w:trPr>
              <w:tc>
                <w:tcPr>
                  <w:tcW w:w="1081" w:type="dxa"/>
                  <w:tcBorders>
                    <w:tl2br w:val="nil"/>
                    <w:tr2bl w:val="nil"/>
                  </w:tcBorders>
                  <w:vAlign w:val="center"/>
                </w:tcPr>
                <w:p>
                  <w:pPr>
                    <w:pStyle w:val="30"/>
                    <w:spacing w:line="320" w:lineRule="exact"/>
                    <w:rPr>
                      <w:rFonts w:hint="default" w:eastAsia="宋体"/>
                      <w:b w:val="0"/>
                      <w:bCs w:val="0"/>
                      <w:sz w:val="18"/>
                      <w:szCs w:val="18"/>
                      <w:u w:val="none"/>
                      <w:lang w:val="en-US" w:eastAsia="zh-CN"/>
                    </w:rPr>
                  </w:pPr>
                  <w:r>
                    <w:rPr>
                      <w:rFonts w:hint="eastAsia" w:eastAsia="宋体"/>
                      <w:b w:val="0"/>
                      <w:bCs w:val="0"/>
                      <w:sz w:val="18"/>
                      <w:szCs w:val="18"/>
                      <w:u w:val="none"/>
                      <w:lang w:val="en-US" w:eastAsia="zh-CN"/>
                    </w:rPr>
                    <w:t>发泡、过胶、热压工序</w:t>
                  </w:r>
                  <w:r>
                    <w:rPr>
                      <w:rFonts w:hint="eastAsia"/>
                      <w:b w:val="0"/>
                      <w:bCs w:val="0"/>
                      <w:sz w:val="18"/>
                      <w:szCs w:val="18"/>
                      <w:u w:val="none"/>
                      <w:lang w:val="en-US" w:eastAsia="zh-CN"/>
                    </w:rPr>
                    <w:t>（DA001）</w:t>
                  </w:r>
                </w:p>
              </w:tc>
              <w:tc>
                <w:tcPr>
                  <w:tcW w:w="680" w:type="dxa"/>
                  <w:vMerge w:val="restart"/>
                  <w:tcBorders>
                    <w:tl2br w:val="nil"/>
                    <w:tr2bl w:val="nil"/>
                  </w:tcBorders>
                  <w:vAlign w:val="center"/>
                </w:tcPr>
                <w:p>
                  <w:pPr>
                    <w:pStyle w:val="30"/>
                    <w:spacing w:line="320" w:lineRule="exact"/>
                    <w:rPr>
                      <w:rFonts w:hint="eastAsia" w:eastAsia="宋体"/>
                      <w:b w:val="0"/>
                      <w:bCs w:val="0"/>
                      <w:sz w:val="18"/>
                      <w:szCs w:val="18"/>
                      <w:u w:val="none"/>
                      <w:lang w:eastAsia="zh-CN"/>
                    </w:rPr>
                  </w:pPr>
                  <w:r>
                    <w:rPr>
                      <w:rFonts w:hint="eastAsia"/>
                      <w:b w:val="0"/>
                      <w:bCs w:val="0"/>
                      <w:sz w:val="18"/>
                      <w:szCs w:val="18"/>
                      <w:u w:val="none"/>
                      <w:lang w:val="en-US" w:eastAsia="zh-CN"/>
                    </w:rPr>
                    <w:t>非甲烷总烃</w:t>
                  </w:r>
                </w:p>
              </w:tc>
              <w:tc>
                <w:tcPr>
                  <w:tcW w:w="573" w:type="dxa"/>
                  <w:vMerge w:val="restart"/>
                  <w:tcBorders>
                    <w:tl2br w:val="nil"/>
                    <w:tr2bl w:val="nil"/>
                  </w:tcBorders>
                  <w:vAlign w:val="center"/>
                </w:tcPr>
                <w:p>
                  <w:pPr>
                    <w:pStyle w:val="30"/>
                    <w:spacing w:line="320" w:lineRule="exact"/>
                    <w:rPr>
                      <w:rFonts w:hint="default" w:eastAsia="宋体"/>
                      <w:b w:val="0"/>
                      <w:bCs w:val="0"/>
                      <w:sz w:val="18"/>
                      <w:szCs w:val="18"/>
                      <w:u w:val="none"/>
                      <w:lang w:val="en-US" w:eastAsia="zh-CN"/>
                    </w:rPr>
                  </w:pPr>
                  <w:r>
                    <w:rPr>
                      <w:b w:val="0"/>
                      <w:bCs w:val="0"/>
                      <w:sz w:val="18"/>
                      <w:szCs w:val="18"/>
                      <w:u w:val="none"/>
                    </w:rPr>
                    <w:t>产污系数法</w:t>
                  </w:r>
                  <w:r>
                    <w:rPr>
                      <w:rFonts w:hint="eastAsia"/>
                      <w:b w:val="0"/>
                      <w:bCs w:val="0"/>
                      <w:sz w:val="18"/>
                      <w:szCs w:val="18"/>
                      <w:u w:val="none"/>
                      <w:lang w:eastAsia="zh-CN"/>
                    </w:rPr>
                    <w:t>、</w:t>
                  </w:r>
                  <w:r>
                    <w:rPr>
                      <w:rFonts w:hint="eastAsia"/>
                      <w:b w:val="0"/>
                      <w:bCs w:val="0"/>
                      <w:sz w:val="18"/>
                      <w:szCs w:val="18"/>
                      <w:u w:val="none"/>
                      <w:lang w:val="en-US" w:eastAsia="zh-CN"/>
                    </w:rPr>
                    <w:t>类比法</w:t>
                  </w:r>
                </w:p>
              </w:tc>
              <w:tc>
                <w:tcPr>
                  <w:tcW w:w="953" w:type="dxa"/>
                  <w:tcBorders>
                    <w:tl2br w:val="nil"/>
                    <w:tr2bl w:val="nil"/>
                  </w:tcBorders>
                  <w:vAlign w:val="center"/>
                </w:tcPr>
                <w:p>
                  <w:pPr>
                    <w:pStyle w:val="30"/>
                    <w:spacing w:line="320" w:lineRule="exact"/>
                    <w:rPr>
                      <w:rFonts w:hint="default" w:eastAsia="宋体"/>
                      <w:b w:val="0"/>
                      <w:bCs w:val="0"/>
                      <w:sz w:val="18"/>
                      <w:szCs w:val="18"/>
                      <w:u w:val="none"/>
                      <w:lang w:val="en-US" w:eastAsia="zh-CN"/>
                    </w:rPr>
                  </w:pPr>
                  <w:r>
                    <w:rPr>
                      <w:rFonts w:hint="eastAsia"/>
                      <w:b/>
                      <w:bCs/>
                      <w:sz w:val="18"/>
                      <w:szCs w:val="18"/>
                      <w:u w:val="single"/>
                      <w:lang w:val="en-US" w:eastAsia="zh-CN"/>
                    </w:rPr>
                    <w:t>14.95</w:t>
                  </w:r>
                </w:p>
              </w:tc>
              <w:tc>
                <w:tcPr>
                  <w:tcW w:w="716" w:type="dxa"/>
                  <w:tcBorders>
                    <w:tl2br w:val="nil"/>
                    <w:tr2bl w:val="nil"/>
                  </w:tcBorders>
                  <w:vAlign w:val="center"/>
                </w:tcPr>
                <w:p>
                  <w:pPr>
                    <w:pStyle w:val="30"/>
                    <w:spacing w:line="320" w:lineRule="exact"/>
                    <w:rPr>
                      <w:rFonts w:hint="default" w:eastAsia="宋体"/>
                      <w:b w:val="0"/>
                      <w:bCs w:val="0"/>
                      <w:sz w:val="18"/>
                      <w:szCs w:val="18"/>
                      <w:u w:val="none"/>
                      <w:lang w:val="en-US" w:eastAsia="zh-CN"/>
                    </w:rPr>
                  </w:pPr>
                  <w:r>
                    <w:rPr>
                      <w:rFonts w:hint="eastAsia"/>
                      <w:b w:val="0"/>
                      <w:bCs w:val="0"/>
                      <w:sz w:val="18"/>
                      <w:szCs w:val="18"/>
                      <w:u w:val="none"/>
                      <w:lang w:val="en-US" w:eastAsia="zh-CN"/>
                    </w:rPr>
                    <w:t>0.4750</w:t>
                  </w:r>
                </w:p>
              </w:tc>
              <w:tc>
                <w:tcPr>
                  <w:tcW w:w="778" w:type="dxa"/>
                  <w:tcBorders>
                    <w:tl2br w:val="nil"/>
                    <w:tr2bl w:val="nil"/>
                  </w:tcBorders>
                  <w:vAlign w:val="center"/>
                </w:tcPr>
                <w:p>
                  <w:pPr>
                    <w:pStyle w:val="30"/>
                    <w:spacing w:line="320" w:lineRule="exact"/>
                    <w:rPr>
                      <w:b w:val="0"/>
                      <w:bCs w:val="0"/>
                      <w:sz w:val="18"/>
                      <w:szCs w:val="18"/>
                      <w:u w:val="none"/>
                    </w:rPr>
                  </w:pPr>
                  <w:r>
                    <w:rPr>
                      <w:rFonts w:hint="eastAsia"/>
                      <w:b w:val="0"/>
                      <w:bCs w:val="0"/>
                      <w:color w:val="000000"/>
                      <w:sz w:val="18"/>
                      <w:szCs w:val="18"/>
                      <w:u w:val="none"/>
                    </w:rPr>
                    <w:t>UV光氧+活性炭吸附装置</w:t>
                  </w:r>
                </w:p>
              </w:tc>
              <w:tc>
                <w:tcPr>
                  <w:tcW w:w="592" w:type="dxa"/>
                  <w:tcBorders>
                    <w:tl2br w:val="nil"/>
                    <w:tr2bl w:val="nil"/>
                  </w:tcBorders>
                  <w:vAlign w:val="center"/>
                </w:tcPr>
                <w:p>
                  <w:pPr>
                    <w:pStyle w:val="30"/>
                    <w:spacing w:line="320" w:lineRule="exact"/>
                    <w:rPr>
                      <w:b w:val="0"/>
                      <w:bCs w:val="0"/>
                      <w:sz w:val="18"/>
                      <w:szCs w:val="18"/>
                      <w:u w:val="none"/>
                    </w:rPr>
                  </w:pPr>
                  <w:r>
                    <w:rPr>
                      <w:rFonts w:hint="eastAsia"/>
                      <w:b w:val="0"/>
                      <w:bCs w:val="0"/>
                      <w:sz w:val="18"/>
                      <w:szCs w:val="18"/>
                      <w:u w:val="none"/>
                      <w:lang w:val="en-US" w:eastAsia="zh-CN"/>
                    </w:rPr>
                    <w:t>86</w:t>
                  </w:r>
                  <w:r>
                    <w:rPr>
                      <w:b w:val="0"/>
                      <w:bCs w:val="0"/>
                      <w:sz w:val="18"/>
                      <w:szCs w:val="18"/>
                      <w:u w:val="none"/>
                    </w:rPr>
                    <w:t>%</w:t>
                  </w:r>
                </w:p>
              </w:tc>
              <w:tc>
                <w:tcPr>
                  <w:tcW w:w="898"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2.66</w:t>
                  </w:r>
                </w:p>
              </w:tc>
              <w:tc>
                <w:tcPr>
                  <w:tcW w:w="900"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0.0399</w:t>
                  </w:r>
                </w:p>
              </w:tc>
              <w:tc>
                <w:tcPr>
                  <w:tcW w:w="621"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0.0665</w:t>
                  </w:r>
                </w:p>
              </w:tc>
              <w:tc>
                <w:tcPr>
                  <w:tcW w:w="565" w:type="dxa"/>
                  <w:tcBorders>
                    <w:tl2br w:val="nil"/>
                    <w:tr2bl w:val="nil"/>
                  </w:tcBorders>
                  <w:vAlign w:val="center"/>
                </w:tcPr>
                <w:p>
                  <w:pPr>
                    <w:pStyle w:val="30"/>
                    <w:spacing w:line="320" w:lineRule="exact"/>
                    <w:rPr>
                      <w:rFonts w:hint="default" w:eastAsia="宋体"/>
                      <w:b w:val="0"/>
                      <w:bCs w:val="0"/>
                      <w:sz w:val="18"/>
                      <w:szCs w:val="18"/>
                      <w:u w:val="none"/>
                      <w:lang w:val="en-US" w:eastAsia="zh-CN"/>
                    </w:rPr>
                  </w:pPr>
                  <w:r>
                    <w:rPr>
                      <w:rFonts w:hint="eastAsia"/>
                      <w:b w:val="0"/>
                      <w:bCs w:val="0"/>
                      <w:sz w:val="18"/>
                      <w:szCs w:val="18"/>
                      <w:u w:val="none"/>
                      <w:lang w:val="en-US" w:eastAsia="zh-CN"/>
                    </w:rPr>
                    <w:t>发泡工序1500；涂胶工序1500；热压工序1800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1081"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印标、转印工序（DA002）</w:t>
                  </w:r>
                </w:p>
              </w:tc>
              <w:tc>
                <w:tcPr>
                  <w:tcW w:w="680" w:type="dxa"/>
                  <w:vMerge w:val="continue"/>
                  <w:tcBorders>
                    <w:tl2br w:val="nil"/>
                    <w:tr2bl w:val="nil"/>
                  </w:tcBorders>
                  <w:vAlign w:val="center"/>
                </w:tcPr>
                <w:p>
                  <w:pPr>
                    <w:pStyle w:val="30"/>
                    <w:spacing w:line="320" w:lineRule="exact"/>
                    <w:rPr>
                      <w:rFonts w:hint="eastAsia" w:eastAsia="宋体"/>
                      <w:b/>
                      <w:bCs/>
                      <w:sz w:val="18"/>
                      <w:szCs w:val="18"/>
                      <w:u w:val="single"/>
                      <w:lang w:eastAsia="zh-CN"/>
                    </w:rPr>
                  </w:pPr>
                </w:p>
              </w:tc>
              <w:tc>
                <w:tcPr>
                  <w:tcW w:w="573" w:type="dxa"/>
                  <w:vMerge w:val="continue"/>
                  <w:tcBorders>
                    <w:tl2br w:val="nil"/>
                    <w:tr2bl w:val="nil"/>
                  </w:tcBorders>
                  <w:vAlign w:val="center"/>
                </w:tcPr>
                <w:p>
                  <w:pPr>
                    <w:pStyle w:val="30"/>
                    <w:spacing w:line="320" w:lineRule="exact"/>
                    <w:rPr>
                      <w:b/>
                      <w:bCs/>
                      <w:sz w:val="18"/>
                      <w:szCs w:val="18"/>
                      <w:u w:val="single"/>
                    </w:rPr>
                  </w:pPr>
                </w:p>
              </w:tc>
              <w:tc>
                <w:tcPr>
                  <w:tcW w:w="953"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23.25</w:t>
                  </w:r>
                </w:p>
              </w:tc>
              <w:tc>
                <w:tcPr>
                  <w:tcW w:w="716"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0.0837</w:t>
                  </w:r>
                </w:p>
              </w:tc>
              <w:tc>
                <w:tcPr>
                  <w:tcW w:w="778" w:type="dxa"/>
                  <w:tcBorders>
                    <w:tl2br w:val="nil"/>
                    <w:tr2bl w:val="nil"/>
                  </w:tcBorders>
                  <w:vAlign w:val="center"/>
                </w:tcPr>
                <w:p>
                  <w:pPr>
                    <w:pStyle w:val="30"/>
                    <w:spacing w:line="320" w:lineRule="exact"/>
                    <w:rPr>
                      <w:b/>
                      <w:bCs/>
                      <w:sz w:val="18"/>
                      <w:szCs w:val="18"/>
                      <w:u w:val="single"/>
                    </w:rPr>
                  </w:pPr>
                  <w:r>
                    <w:rPr>
                      <w:rFonts w:hint="eastAsia"/>
                      <w:b/>
                      <w:bCs/>
                      <w:color w:val="000000"/>
                      <w:sz w:val="18"/>
                      <w:szCs w:val="18"/>
                      <w:u w:val="single"/>
                    </w:rPr>
                    <w:t>UV光氧+活性炭吸附装置</w:t>
                  </w:r>
                </w:p>
              </w:tc>
              <w:tc>
                <w:tcPr>
                  <w:tcW w:w="592" w:type="dxa"/>
                  <w:tcBorders>
                    <w:tl2br w:val="nil"/>
                    <w:tr2bl w:val="nil"/>
                  </w:tcBorders>
                  <w:vAlign w:val="center"/>
                </w:tcPr>
                <w:p>
                  <w:pPr>
                    <w:pStyle w:val="30"/>
                    <w:spacing w:line="320" w:lineRule="exact"/>
                    <w:rPr>
                      <w:b/>
                      <w:bCs/>
                      <w:sz w:val="18"/>
                      <w:szCs w:val="18"/>
                      <w:u w:val="single"/>
                    </w:rPr>
                  </w:pPr>
                  <w:r>
                    <w:rPr>
                      <w:rFonts w:hint="eastAsia"/>
                      <w:b/>
                      <w:bCs/>
                      <w:sz w:val="18"/>
                      <w:szCs w:val="18"/>
                      <w:u w:val="single"/>
                      <w:lang w:val="en-US" w:eastAsia="zh-CN"/>
                    </w:rPr>
                    <w:t>90</w:t>
                  </w:r>
                  <w:r>
                    <w:rPr>
                      <w:b/>
                      <w:bCs/>
                      <w:sz w:val="18"/>
                      <w:szCs w:val="18"/>
                      <w:u w:val="single"/>
                    </w:rPr>
                    <w:t>%</w:t>
                  </w:r>
                </w:p>
              </w:tc>
              <w:tc>
                <w:tcPr>
                  <w:tcW w:w="898"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2.33</w:t>
                  </w:r>
                </w:p>
              </w:tc>
              <w:tc>
                <w:tcPr>
                  <w:tcW w:w="900"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0.007</w:t>
                  </w:r>
                </w:p>
              </w:tc>
              <w:tc>
                <w:tcPr>
                  <w:tcW w:w="621"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0.0084</w:t>
                  </w:r>
                </w:p>
              </w:tc>
              <w:tc>
                <w:tcPr>
                  <w:tcW w:w="565" w:type="dxa"/>
                  <w:tcBorders>
                    <w:tl2br w:val="nil"/>
                    <w:tr2bl w:val="nil"/>
                  </w:tcBorders>
                  <w:vAlign w:val="center"/>
                </w:tcPr>
                <w:p>
                  <w:pPr>
                    <w:pStyle w:val="30"/>
                    <w:spacing w:line="320" w:lineRule="exact"/>
                    <w:rPr>
                      <w:rFonts w:hint="default" w:eastAsia="宋体"/>
                      <w:b/>
                      <w:bCs/>
                      <w:sz w:val="18"/>
                      <w:szCs w:val="18"/>
                      <w:u w:val="single"/>
                      <w:lang w:val="en-US" w:eastAsia="zh-CN"/>
                    </w:rPr>
                  </w:pPr>
                  <w:r>
                    <w:rPr>
                      <w:rFonts w:hint="eastAsia"/>
                      <w:b/>
                      <w:bCs/>
                      <w:sz w:val="18"/>
                      <w:szCs w:val="18"/>
                      <w:u w:val="single"/>
                      <w:lang w:val="en-US" w:eastAsia="zh-CN"/>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1081" w:type="dxa"/>
                  <w:tcBorders>
                    <w:tl2br w:val="nil"/>
                    <w:tr2bl w:val="nil"/>
                  </w:tcBorders>
                  <w:vAlign w:val="center"/>
                </w:tcPr>
                <w:p>
                  <w:pPr>
                    <w:pStyle w:val="30"/>
                    <w:spacing w:line="320" w:lineRule="exact"/>
                    <w:rPr>
                      <w:rFonts w:ascii="Times New Roman" w:hAnsi="Times New Roman" w:eastAsia="宋体" w:cs="Times New Roman"/>
                      <w:b w:val="0"/>
                      <w:bCs w:val="0"/>
                      <w:kern w:val="2"/>
                      <w:sz w:val="18"/>
                      <w:szCs w:val="18"/>
                      <w:u w:val="none"/>
                      <w:lang w:val="en-US" w:eastAsia="zh-CN" w:bidi="ar-SA"/>
                    </w:rPr>
                  </w:pPr>
                  <w:r>
                    <w:rPr>
                      <w:b w:val="0"/>
                      <w:bCs w:val="0"/>
                      <w:sz w:val="18"/>
                      <w:szCs w:val="18"/>
                      <w:u w:val="none"/>
                    </w:rPr>
                    <w:t>生产车间无组织（集气罩未收集废气）</w:t>
                  </w:r>
                </w:p>
              </w:tc>
              <w:tc>
                <w:tcPr>
                  <w:tcW w:w="680" w:type="dxa"/>
                  <w:tcBorders>
                    <w:tl2br w:val="nil"/>
                    <w:tr2bl w:val="nil"/>
                  </w:tcBorders>
                  <w:vAlign w:val="center"/>
                </w:tcPr>
                <w:p>
                  <w:pPr>
                    <w:pStyle w:val="30"/>
                    <w:spacing w:line="320" w:lineRule="exact"/>
                    <w:rPr>
                      <w:rFonts w:hint="eastAsia" w:ascii="Times New Roman" w:hAnsi="Times New Roman" w:eastAsia="宋体" w:cs="Times New Roman"/>
                      <w:b w:val="0"/>
                      <w:bCs w:val="0"/>
                      <w:kern w:val="2"/>
                      <w:sz w:val="18"/>
                      <w:szCs w:val="18"/>
                      <w:u w:val="none"/>
                      <w:lang w:val="en-US" w:eastAsia="zh-CN" w:bidi="ar-SA"/>
                    </w:rPr>
                  </w:pPr>
                  <w:r>
                    <w:rPr>
                      <w:rFonts w:hint="eastAsia"/>
                      <w:b w:val="0"/>
                      <w:bCs w:val="0"/>
                      <w:sz w:val="18"/>
                      <w:szCs w:val="18"/>
                      <w:u w:val="none"/>
                      <w:lang w:val="en-US" w:eastAsia="zh-CN"/>
                    </w:rPr>
                    <w:t>非甲烷总烃</w:t>
                  </w:r>
                </w:p>
              </w:tc>
              <w:tc>
                <w:tcPr>
                  <w:tcW w:w="573" w:type="dxa"/>
                  <w:vMerge w:val="continue"/>
                  <w:tcBorders>
                    <w:tl2br w:val="nil"/>
                    <w:tr2bl w:val="nil"/>
                  </w:tcBorders>
                  <w:vAlign w:val="center"/>
                </w:tcPr>
                <w:p>
                  <w:pPr>
                    <w:pStyle w:val="30"/>
                    <w:spacing w:line="320" w:lineRule="exact"/>
                    <w:rPr>
                      <w:rFonts w:ascii="Times New Roman" w:hAnsi="Times New Roman" w:eastAsia="宋体" w:cs="Times New Roman"/>
                      <w:b w:val="0"/>
                      <w:bCs w:val="0"/>
                      <w:kern w:val="2"/>
                      <w:sz w:val="18"/>
                      <w:szCs w:val="18"/>
                      <w:u w:val="none"/>
                      <w:lang w:val="en-US" w:eastAsia="zh-CN" w:bidi="ar-SA"/>
                    </w:rPr>
                  </w:pPr>
                </w:p>
              </w:tc>
              <w:tc>
                <w:tcPr>
                  <w:tcW w:w="953" w:type="dxa"/>
                  <w:tcBorders>
                    <w:tl2br w:val="nil"/>
                    <w:tr2bl w:val="nil"/>
                  </w:tcBorders>
                  <w:vAlign w:val="center"/>
                </w:tcPr>
                <w:p>
                  <w:pPr>
                    <w:pStyle w:val="30"/>
                    <w:spacing w:line="320" w:lineRule="exact"/>
                    <w:rPr>
                      <w:rFonts w:hint="eastAsia" w:ascii="Times New Roman" w:hAnsi="Times New Roman" w:eastAsia="宋体" w:cs="Times New Roman"/>
                      <w:b/>
                      <w:bCs/>
                      <w:kern w:val="2"/>
                      <w:sz w:val="18"/>
                      <w:szCs w:val="18"/>
                      <w:u w:val="single"/>
                      <w:lang w:val="en-US" w:eastAsia="zh-CN" w:bidi="ar-SA"/>
                    </w:rPr>
                  </w:pPr>
                  <w:r>
                    <w:rPr>
                      <w:rFonts w:hint="eastAsia"/>
                      <w:b/>
                      <w:bCs/>
                      <w:sz w:val="18"/>
                      <w:szCs w:val="18"/>
                      <w:u w:val="single"/>
                      <w:lang w:val="en-US" w:eastAsia="zh-CN"/>
                    </w:rPr>
                    <w:t>/</w:t>
                  </w:r>
                </w:p>
              </w:tc>
              <w:tc>
                <w:tcPr>
                  <w:tcW w:w="716" w:type="dxa"/>
                  <w:tcBorders>
                    <w:tl2br w:val="nil"/>
                    <w:tr2bl w:val="nil"/>
                  </w:tcBorders>
                  <w:vAlign w:val="center"/>
                </w:tcPr>
                <w:p>
                  <w:pPr>
                    <w:pStyle w:val="30"/>
                    <w:spacing w:line="320" w:lineRule="exact"/>
                    <w:rPr>
                      <w:rFonts w:hint="default" w:ascii="Times New Roman" w:hAnsi="Times New Roman" w:eastAsia="宋体" w:cs="Times New Roman"/>
                      <w:b/>
                      <w:bCs/>
                      <w:kern w:val="2"/>
                      <w:sz w:val="18"/>
                      <w:szCs w:val="18"/>
                      <w:u w:val="single"/>
                      <w:lang w:val="en-US" w:eastAsia="zh-CN" w:bidi="ar-SA"/>
                    </w:rPr>
                  </w:pPr>
                  <w:r>
                    <w:rPr>
                      <w:rFonts w:hint="eastAsia"/>
                      <w:b/>
                      <w:bCs/>
                      <w:sz w:val="18"/>
                      <w:szCs w:val="18"/>
                      <w:u w:val="single"/>
                      <w:lang w:val="en-US" w:eastAsia="zh-CN"/>
                    </w:rPr>
                    <w:t>0.0343</w:t>
                  </w:r>
                </w:p>
              </w:tc>
              <w:tc>
                <w:tcPr>
                  <w:tcW w:w="778" w:type="dxa"/>
                  <w:tcBorders>
                    <w:tl2br w:val="nil"/>
                    <w:tr2bl w:val="nil"/>
                  </w:tcBorders>
                  <w:vAlign w:val="center"/>
                </w:tcPr>
                <w:p>
                  <w:pPr>
                    <w:pStyle w:val="30"/>
                    <w:spacing w:line="320" w:lineRule="exact"/>
                    <w:rPr>
                      <w:rFonts w:hint="eastAsia" w:ascii="Times New Roman" w:hAnsi="Times New Roman" w:eastAsia="宋体" w:cs="Times New Roman"/>
                      <w:b/>
                      <w:bCs/>
                      <w:kern w:val="2"/>
                      <w:sz w:val="18"/>
                      <w:szCs w:val="18"/>
                      <w:u w:val="single"/>
                      <w:lang w:val="en-US" w:eastAsia="zh-CN" w:bidi="ar-SA"/>
                    </w:rPr>
                  </w:pPr>
                  <w:r>
                    <w:rPr>
                      <w:rFonts w:hint="eastAsia"/>
                      <w:b/>
                      <w:bCs/>
                      <w:sz w:val="18"/>
                      <w:szCs w:val="18"/>
                      <w:u w:val="single"/>
                    </w:rPr>
                    <w:t>/</w:t>
                  </w:r>
                </w:p>
              </w:tc>
              <w:tc>
                <w:tcPr>
                  <w:tcW w:w="592" w:type="dxa"/>
                  <w:tcBorders>
                    <w:tl2br w:val="nil"/>
                    <w:tr2bl w:val="nil"/>
                  </w:tcBorders>
                  <w:vAlign w:val="center"/>
                </w:tcPr>
                <w:p>
                  <w:pPr>
                    <w:pStyle w:val="30"/>
                    <w:spacing w:line="320" w:lineRule="exact"/>
                    <w:rPr>
                      <w:rFonts w:hint="eastAsia" w:ascii="Times New Roman" w:hAnsi="Times New Roman" w:eastAsia="宋体" w:cs="Times New Roman"/>
                      <w:b/>
                      <w:bCs/>
                      <w:kern w:val="2"/>
                      <w:sz w:val="18"/>
                      <w:szCs w:val="18"/>
                      <w:u w:val="single"/>
                      <w:lang w:val="en-US" w:eastAsia="zh-CN" w:bidi="ar-SA"/>
                    </w:rPr>
                  </w:pPr>
                  <w:r>
                    <w:rPr>
                      <w:rFonts w:hint="eastAsia"/>
                      <w:b/>
                      <w:bCs/>
                      <w:sz w:val="18"/>
                      <w:szCs w:val="18"/>
                      <w:u w:val="single"/>
                    </w:rPr>
                    <w:t>/</w:t>
                  </w:r>
                </w:p>
              </w:tc>
              <w:tc>
                <w:tcPr>
                  <w:tcW w:w="898" w:type="dxa"/>
                  <w:tcBorders>
                    <w:tl2br w:val="nil"/>
                    <w:tr2bl w:val="nil"/>
                  </w:tcBorders>
                  <w:vAlign w:val="center"/>
                </w:tcPr>
                <w:p>
                  <w:pPr>
                    <w:pStyle w:val="30"/>
                    <w:spacing w:line="320" w:lineRule="exact"/>
                    <w:rPr>
                      <w:rFonts w:hint="eastAsia" w:ascii="Times New Roman" w:hAnsi="Times New Roman" w:eastAsia="宋体" w:cs="Times New Roman"/>
                      <w:b/>
                      <w:bCs/>
                      <w:kern w:val="2"/>
                      <w:sz w:val="18"/>
                      <w:szCs w:val="18"/>
                      <w:u w:val="single"/>
                      <w:lang w:val="en-US" w:eastAsia="zh-CN" w:bidi="ar-SA"/>
                    </w:rPr>
                  </w:pPr>
                  <w:r>
                    <w:rPr>
                      <w:rFonts w:hint="eastAsia"/>
                      <w:b/>
                      <w:bCs/>
                      <w:sz w:val="18"/>
                      <w:szCs w:val="18"/>
                      <w:u w:val="single"/>
                      <w:lang w:val="en-US" w:eastAsia="zh-CN"/>
                    </w:rPr>
                    <w:t>/</w:t>
                  </w:r>
                </w:p>
              </w:tc>
              <w:tc>
                <w:tcPr>
                  <w:tcW w:w="900" w:type="dxa"/>
                  <w:tcBorders>
                    <w:tl2br w:val="nil"/>
                    <w:tr2bl w:val="nil"/>
                  </w:tcBorders>
                  <w:vAlign w:val="center"/>
                </w:tcPr>
                <w:p>
                  <w:pPr>
                    <w:pStyle w:val="30"/>
                    <w:spacing w:line="320" w:lineRule="exact"/>
                    <w:rPr>
                      <w:rFonts w:hint="default" w:ascii="Times New Roman" w:hAnsi="Times New Roman" w:eastAsia="宋体" w:cs="Times New Roman"/>
                      <w:b/>
                      <w:bCs/>
                      <w:kern w:val="2"/>
                      <w:sz w:val="18"/>
                      <w:szCs w:val="18"/>
                      <w:u w:val="single"/>
                      <w:lang w:val="en-US" w:eastAsia="zh-CN" w:bidi="ar-SA"/>
                    </w:rPr>
                  </w:pPr>
                  <w:r>
                    <w:rPr>
                      <w:rFonts w:hint="eastAsia" w:cs="Times New Roman"/>
                      <w:b/>
                      <w:bCs/>
                      <w:kern w:val="2"/>
                      <w:sz w:val="18"/>
                      <w:szCs w:val="18"/>
                      <w:u w:val="single"/>
                      <w:lang w:val="en-US" w:eastAsia="zh-CN" w:bidi="ar-SA"/>
                    </w:rPr>
                    <w:t>0.0228</w:t>
                  </w:r>
                </w:p>
              </w:tc>
              <w:tc>
                <w:tcPr>
                  <w:tcW w:w="621" w:type="dxa"/>
                  <w:tcBorders>
                    <w:tl2br w:val="nil"/>
                    <w:tr2bl w:val="nil"/>
                  </w:tcBorders>
                  <w:vAlign w:val="center"/>
                </w:tcPr>
                <w:p>
                  <w:pPr>
                    <w:pStyle w:val="30"/>
                    <w:spacing w:line="320" w:lineRule="exact"/>
                    <w:rPr>
                      <w:rFonts w:hint="default" w:ascii="Times New Roman" w:hAnsi="Times New Roman" w:eastAsia="宋体" w:cs="Times New Roman"/>
                      <w:b/>
                      <w:bCs/>
                      <w:kern w:val="2"/>
                      <w:sz w:val="18"/>
                      <w:szCs w:val="18"/>
                      <w:u w:val="single"/>
                      <w:lang w:val="en-US" w:eastAsia="zh-CN" w:bidi="ar-SA"/>
                    </w:rPr>
                  </w:pPr>
                  <w:r>
                    <w:rPr>
                      <w:rFonts w:hint="eastAsia" w:cs="Times New Roman"/>
                      <w:b/>
                      <w:bCs/>
                      <w:kern w:val="2"/>
                      <w:sz w:val="18"/>
                      <w:szCs w:val="18"/>
                      <w:u w:val="single"/>
                      <w:lang w:val="en-US" w:eastAsia="zh-CN" w:bidi="ar-SA"/>
                    </w:rPr>
                    <w:t>0.0343</w:t>
                  </w:r>
                </w:p>
              </w:tc>
              <w:tc>
                <w:tcPr>
                  <w:tcW w:w="565" w:type="dxa"/>
                  <w:tcBorders>
                    <w:tl2br w:val="nil"/>
                    <w:tr2bl w:val="nil"/>
                  </w:tcBorders>
                  <w:vAlign w:val="center"/>
                </w:tcPr>
                <w:p>
                  <w:pPr>
                    <w:pStyle w:val="30"/>
                    <w:spacing w:line="320" w:lineRule="exact"/>
                    <w:rPr>
                      <w:rFonts w:hint="eastAsia" w:ascii="Times New Roman" w:hAnsi="Times New Roman" w:eastAsia="宋体" w:cs="Times New Roman"/>
                      <w:b/>
                      <w:bCs/>
                      <w:kern w:val="2"/>
                      <w:sz w:val="18"/>
                      <w:szCs w:val="18"/>
                      <w:u w:val="single"/>
                      <w:lang w:val="en-US" w:eastAsia="zh-CN" w:bidi="ar-SA"/>
                    </w:rPr>
                  </w:pPr>
                  <w:r>
                    <w:rPr>
                      <w:rFonts w:hint="eastAsia"/>
                      <w:b/>
                      <w:bCs/>
                      <w:sz w:val="18"/>
                      <w:szCs w:val="18"/>
                      <w:u w:val="single"/>
                      <w:lang w:val="en-US" w:eastAsia="zh-CN"/>
                    </w:rPr>
                    <w:t>2400</w:t>
                  </w:r>
                </w:p>
              </w:tc>
            </w:tr>
          </w:tbl>
          <w:p>
            <w:pPr>
              <w:widowControl/>
              <w:adjustRightInd w:val="0"/>
              <w:snapToGrid w:val="0"/>
              <w:spacing w:line="460" w:lineRule="exact"/>
              <w:ind w:firstLine="482" w:firstLineChars="200"/>
              <w:jc w:val="left"/>
              <w:rPr>
                <w:color w:val="000000"/>
                <w:sz w:val="24"/>
              </w:rPr>
            </w:pPr>
            <w:r>
              <w:rPr>
                <w:rFonts w:hint="eastAsia"/>
                <w:b/>
                <w:bCs/>
                <w:color w:val="000000"/>
                <w:sz w:val="24"/>
              </w:rPr>
              <w:t>1.2 治理措施可行性分析</w:t>
            </w:r>
          </w:p>
          <w:p>
            <w:pPr>
              <w:adjustRightInd w:val="0"/>
              <w:snapToGrid w:val="0"/>
              <w:spacing w:line="460" w:lineRule="exact"/>
              <w:ind w:firstLine="480" w:firstLineChars="200"/>
              <w:rPr>
                <w:b w:val="0"/>
                <w:bCs w:val="0"/>
                <w:color w:val="000000"/>
                <w:sz w:val="24"/>
                <w:u w:val="none"/>
              </w:rPr>
            </w:pPr>
            <w:r>
              <w:rPr>
                <w:b w:val="0"/>
                <w:bCs w:val="0"/>
                <w:sz w:val="24"/>
                <w:u w:val="none"/>
              </w:rPr>
              <w:t>本项</w:t>
            </w:r>
            <w:r>
              <w:rPr>
                <w:rFonts w:hint="eastAsia" w:ascii="宋体" w:hAnsi="宋体" w:cs="宋体"/>
                <w:b w:val="0"/>
                <w:bCs w:val="0"/>
                <w:sz w:val="24"/>
                <w:u w:val="none"/>
              </w:rPr>
              <w:t>目</w:t>
            </w:r>
            <w:r>
              <w:rPr>
                <w:rFonts w:hint="eastAsia"/>
                <w:b w:val="0"/>
                <w:bCs w:val="0"/>
                <w:color w:val="000000"/>
                <w:sz w:val="24"/>
                <w:u w:val="none"/>
              </w:rPr>
              <w:t>有机废气采用“UV光氧+活性炭吸附”</w:t>
            </w:r>
            <w:r>
              <w:rPr>
                <w:b w:val="0"/>
                <w:bCs w:val="0"/>
                <w:color w:val="000000"/>
                <w:sz w:val="24"/>
                <w:u w:val="none"/>
              </w:rPr>
              <w:t>进行净化处理，</w:t>
            </w:r>
            <w:r>
              <w:rPr>
                <w:rFonts w:hint="eastAsia"/>
                <w:b w:val="0"/>
                <w:bCs w:val="0"/>
                <w:color w:val="000000"/>
                <w:sz w:val="24"/>
                <w:u w:val="none"/>
              </w:rPr>
              <w:t>处理方法</w:t>
            </w:r>
            <w:r>
              <w:rPr>
                <w:b w:val="0"/>
                <w:bCs w:val="0"/>
                <w:color w:val="000000"/>
                <w:sz w:val="24"/>
                <w:u w:val="none"/>
              </w:rPr>
              <w:t>属于</w:t>
            </w:r>
            <w:r>
              <w:rPr>
                <w:rFonts w:hint="eastAsia"/>
                <w:b/>
                <w:bCs/>
                <w:color w:val="000000"/>
                <w:sz w:val="24"/>
                <w:u w:val="single"/>
              </w:rPr>
              <w:t>《排污许可证申请与核发技术规范 橡胶和塑料制品工业》（HJ1122—2020）</w:t>
            </w:r>
            <w:r>
              <w:rPr>
                <w:rFonts w:hint="eastAsia"/>
                <w:b/>
                <w:bCs/>
                <w:color w:val="000000"/>
                <w:sz w:val="24"/>
                <w:u w:val="single"/>
                <w:lang w:eastAsia="zh-CN"/>
              </w:rPr>
              <w:t>、《排污许可证申请与核发技术规范 印刷工业》（HJ 1066－2019）</w:t>
            </w:r>
            <w:r>
              <w:rPr>
                <w:b w:val="0"/>
                <w:bCs w:val="0"/>
                <w:color w:val="000000"/>
                <w:sz w:val="24"/>
                <w:u w:val="none"/>
              </w:rPr>
              <w:t>中的污染治理工艺</w:t>
            </w:r>
            <w:r>
              <w:rPr>
                <w:rFonts w:hint="eastAsia"/>
                <w:b w:val="0"/>
                <w:bCs w:val="0"/>
                <w:color w:val="000000"/>
                <w:sz w:val="24"/>
                <w:u w:val="none"/>
                <w:lang w:eastAsia="zh-CN"/>
              </w:rPr>
              <w:t>，</w:t>
            </w:r>
            <w:r>
              <w:rPr>
                <w:b w:val="0"/>
                <w:bCs w:val="0"/>
                <w:color w:val="000000"/>
                <w:sz w:val="24"/>
                <w:u w:val="none"/>
              </w:rPr>
              <w:t>因此本项目污染防治设施可行。</w:t>
            </w:r>
          </w:p>
          <w:p>
            <w:pPr>
              <w:adjustRightInd w:val="0"/>
              <w:snapToGrid w:val="0"/>
              <w:spacing w:line="460" w:lineRule="exact"/>
              <w:ind w:firstLine="482" w:firstLineChars="200"/>
              <w:jc w:val="left"/>
              <w:rPr>
                <w:b/>
                <w:bCs/>
              </w:rPr>
            </w:pPr>
            <w:r>
              <w:rPr>
                <w:b/>
                <w:bCs/>
                <w:color w:val="000000"/>
                <w:sz w:val="24"/>
              </w:rPr>
              <w:t>1.</w:t>
            </w:r>
            <w:r>
              <w:rPr>
                <w:rFonts w:hint="eastAsia"/>
                <w:b/>
                <w:bCs/>
                <w:color w:val="000000"/>
                <w:sz w:val="24"/>
              </w:rPr>
              <w:t>3</w:t>
            </w:r>
            <w:r>
              <w:rPr>
                <w:b/>
                <w:bCs/>
                <w:color w:val="000000"/>
                <w:sz w:val="24"/>
              </w:rPr>
              <w:t xml:space="preserve"> 废气排放口基本情况</w:t>
            </w:r>
          </w:p>
          <w:p>
            <w:pPr>
              <w:pStyle w:val="5"/>
              <w:numPr>
                <w:ilvl w:val="255"/>
                <w:numId w:val="0"/>
              </w:numPr>
              <w:ind w:left="420" w:leftChars="200"/>
              <w:rPr>
                <w:b w:val="0"/>
              </w:rPr>
            </w:pPr>
            <w:r>
              <w:rPr>
                <w:rFonts w:hint="eastAsia"/>
                <w:bCs/>
              </w:rPr>
              <w:t>表</w:t>
            </w:r>
            <w:r>
              <w:rPr>
                <w:rFonts w:hint="eastAsia"/>
                <w:bCs/>
                <w:lang w:val="en-US" w:eastAsia="zh-CN"/>
              </w:rPr>
              <w:t>19</w:t>
            </w:r>
            <w:r>
              <w:rPr>
                <w:rFonts w:hint="eastAsia"/>
                <w:bCs/>
              </w:rPr>
              <w:t xml:space="preserve">                    排放口基本情况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65"/>
              <w:gridCol w:w="1472"/>
              <w:gridCol w:w="1561"/>
              <w:gridCol w:w="1366"/>
              <w:gridCol w:w="630"/>
              <w:gridCol w:w="764"/>
              <w:gridCol w:w="74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695" w:type="pct"/>
                  <w:vMerge w:val="restart"/>
                  <w:tcBorders>
                    <w:tl2br w:val="nil"/>
                    <w:tr2bl w:val="nil"/>
                  </w:tcBorders>
                  <w:vAlign w:val="center"/>
                </w:tcPr>
                <w:p>
                  <w:pPr>
                    <w:spacing w:line="320" w:lineRule="exact"/>
                    <w:jc w:val="center"/>
                    <w:rPr>
                      <w:szCs w:val="21"/>
                    </w:rPr>
                  </w:pPr>
                  <w:r>
                    <w:rPr>
                      <w:szCs w:val="21"/>
                    </w:rPr>
                    <w:t>排放口编号</w:t>
                  </w:r>
                  <w:r>
                    <w:rPr>
                      <w:rFonts w:hint="eastAsia"/>
                      <w:szCs w:val="21"/>
                    </w:rPr>
                    <w:t>及</w:t>
                  </w:r>
                  <w:r>
                    <w:rPr>
                      <w:szCs w:val="21"/>
                    </w:rPr>
                    <w:t>名称</w:t>
                  </w:r>
                </w:p>
              </w:tc>
              <w:tc>
                <w:tcPr>
                  <w:tcW w:w="878" w:type="pct"/>
                  <w:vMerge w:val="restart"/>
                  <w:tcBorders>
                    <w:tl2br w:val="nil"/>
                    <w:tr2bl w:val="nil"/>
                  </w:tcBorders>
                  <w:vAlign w:val="center"/>
                </w:tcPr>
                <w:p>
                  <w:pPr>
                    <w:spacing w:line="320" w:lineRule="exact"/>
                    <w:jc w:val="center"/>
                    <w:rPr>
                      <w:szCs w:val="21"/>
                    </w:rPr>
                  </w:pPr>
                  <w:r>
                    <w:rPr>
                      <w:szCs w:val="21"/>
                    </w:rPr>
                    <w:t>污染物</w:t>
                  </w:r>
                </w:p>
                <w:p>
                  <w:pPr>
                    <w:spacing w:line="320" w:lineRule="exact"/>
                    <w:jc w:val="center"/>
                    <w:rPr>
                      <w:szCs w:val="21"/>
                    </w:rPr>
                  </w:pPr>
                  <w:r>
                    <w:rPr>
                      <w:szCs w:val="21"/>
                    </w:rPr>
                    <w:t>种类</w:t>
                  </w:r>
                </w:p>
              </w:tc>
              <w:tc>
                <w:tcPr>
                  <w:tcW w:w="1746" w:type="pct"/>
                  <w:gridSpan w:val="2"/>
                  <w:tcBorders>
                    <w:tl2br w:val="nil"/>
                    <w:tr2bl w:val="nil"/>
                  </w:tcBorders>
                  <w:vAlign w:val="center"/>
                </w:tcPr>
                <w:p>
                  <w:pPr>
                    <w:spacing w:line="320" w:lineRule="exact"/>
                    <w:jc w:val="center"/>
                    <w:rPr>
                      <w:szCs w:val="21"/>
                    </w:rPr>
                  </w:pPr>
                  <w:r>
                    <w:rPr>
                      <w:szCs w:val="21"/>
                    </w:rPr>
                    <w:t>排放口地理坐标</w:t>
                  </w:r>
                </w:p>
              </w:tc>
              <w:tc>
                <w:tcPr>
                  <w:tcW w:w="376" w:type="pct"/>
                  <w:vMerge w:val="restart"/>
                  <w:tcBorders>
                    <w:tl2br w:val="nil"/>
                    <w:tr2bl w:val="nil"/>
                  </w:tcBorders>
                  <w:vAlign w:val="center"/>
                </w:tcPr>
                <w:p>
                  <w:pPr>
                    <w:spacing w:line="320" w:lineRule="exact"/>
                    <w:jc w:val="center"/>
                    <w:rPr>
                      <w:szCs w:val="21"/>
                    </w:rPr>
                  </w:pPr>
                  <w:r>
                    <w:rPr>
                      <w:szCs w:val="21"/>
                    </w:rPr>
                    <w:t>高度（m）</w:t>
                  </w:r>
                </w:p>
              </w:tc>
              <w:tc>
                <w:tcPr>
                  <w:tcW w:w="456" w:type="pct"/>
                  <w:vMerge w:val="restart"/>
                  <w:tcBorders>
                    <w:tl2br w:val="nil"/>
                    <w:tr2bl w:val="nil"/>
                  </w:tcBorders>
                  <w:vAlign w:val="center"/>
                </w:tcPr>
                <w:p>
                  <w:pPr>
                    <w:spacing w:line="320" w:lineRule="exact"/>
                    <w:jc w:val="center"/>
                    <w:rPr>
                      <w:szCs w:val="21"/>
                    </w:rPr>
                  </w:pPr>
                  <w:r>
                    <w:rPr>
                      <w:szCs w:val="21"/>
                    </w:rPr>
                    <w:t>排气筒内径（m）</w:t>
                  </w:r>
                </w:p>
              </w:tc>
              <w:tc>
                <w:tcPr>
                  <w:tcW w:w="447" w:type="pct"/>
                  <w:vMerge w:val="restart"/>
                  <w:tcBorders>
                    <w:tl2br w:val="nil"/>
                    <w:tr2bl w:val="nil"/>
                  </w:tcBorders>
                  <w:vAlign w:val="center"/>
                </w:tcPr>
                <w:p>
                  <w:pPr>
                    <w:spacing w:line="320" w:lineRule="exact"/>
                    <w:jc w:val="center"/>
                    <w:rPr>
                      <w:szCs w:val="21"/>
                    </w:rPr>
                  </w:pPr>
                  <w:r>
                    <w:rPr>
                      <w:szCs w:val="21"/>
                    </w:rPr>
                    <w:t>温度（℃）</w:t>
                  </w:r>
                </w:p>
              </w:tc>
              <w:tc>
                <w:tcPr>
                  <w:tcW w:w="399" w:type="pct"/>
                  <w:vMerge w:val="restart"/>
                  <w:tcBorders>
                    <w:tl2br w:val="nil"/>
                    <w:tr2bl w:val="nil"/>
                  </w:tcBorders>
                  <w:vAlign w:val="center"/>
                </w:tcPr>
                <w:p>
                  <w:pPr>
                    <w:spacing w:line="320" w:lineRule="exact"/>
                    <w:jc w:val="center"/>
                    <w:rPr>
                      <w:szCs w:val="21"/>
                    </w:rPr>
                  </w:pPr>
                  <w:r>
                    <w:rPr>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695" w:type="pct"/>
                  <w:vMerge w:val="continue"/>
                  <w:tcBorders>
                    <w:tl2br w:val="nil"/>
                    <w:tr2bl w:val="nil"/>
                  </w:tcBorders>
                  <w:vAlign w:val="center"/>
                </w:tcPr>
                <w:p>
                  <w:pPr>
                    <w:spacing w:line="320" w:lineRule="exact"/>
                    <w:jc w:val="center"/>
                    <w:rPr>
                      <w:szCs w:val="21"/>
                    </w:rPr>
                  </w:pPr>
                </w:p>
              </w:tc>
              <w:tc>
                <w:tcPr>
                  <w:tcW w:w="878" w:type="pct"/>
                  <w:vMerge w:val="continue"/>
                  <w:tcBorders>
                    <w:tl2br w:val="nil"/>
                    <w:tr2bl w:val="nil"/>
                  </w:tcBorders>
                  <w:vAlign w:val="center"/>
                </w:tcPr>
                <w:p>
                  <w:pPr>
                    <w:spacing w:line="320" w:lineRule="exact"/>
                    <w:jc w:val="center"/>
                    <w:rPr>
                      <w:szCs w:val="21"/>
                    </w:rPr>
                  </w:pPr>
                </w:p>
              </w:tc>
              <w:tc>
                <w:tcPr>
                  <w:tcW w:w="931" w:type="pct"/>
                  <w:tcBorders>
                    <w:tl2br w:val="nil"/>
                    <w:tr2bl w:val="nil"/>
                  </w:tcBorders>
                  <w:vAlign w:val="center"/>
                </w:tcPr>
                <w:p>
                  <w:pPr>
                    <w:spacing w:line="320" w:lineRule="exact"/>
                    <w:jc w:val="center"/>
                    <w:rPr>
                      <w:szCs w:val="21"/>
                    </w:rPr>
                  </w:pPr>
                  <w:r>
                    <w:rPr>
                      <w:szCs w:val="21"/>
                    </w:rPr>
                    <w:t>经度</w:t>
                  </w:r>
                </w:p>
              </w:tc>
              <w:tc>
                <w:tcPr>
                  <w:tcW w:w="814" w:type="pct"/>
                  <w:tcBorders>
                    <w:tl2br w:val="nil"/>
                    <w:tr2bl w:val="nil"/>
                  </w:tcBorders>
                  <w:vAlign w:val="center"/>
                </w:tcPr>
                <w:p>
                  <w:pPr>
                    <w:spacing w:line="320" w:lineRule="exact"/>
                    <w:jc w:val="center"/>
                    <w:rPr>
                      <w:szCs w:val="21"/>
                    </w:rPr>
                  </w:pPr>
                  <w:r>
                    <w:rPr>
                      <w:szCs w:val="21"/>
                    </w:rPr>
                    <w:t>纬度</w:t>
                  </w:r>
                </w:p>
              </w:tc>
              <w:tc>
                <w:tcPr>
                  <w:tcW w:w="376" w:type="pct"/>
                  <w:vMerge w:val="continue"/>
                  <w:tcBorders>
                    <w:tl2br w:val="nil"/>
                    <w:tr2bl w:val="nil"/>
                  </w:tcBorders>
                  <w:vAlign w:val="center"/>
                </w:tcPr>
                <w:p>
                  <w:pPr>
                    <w:spacing w:line="320" w:lineRule="exact"/>
                    <w:jc w:val="center"/>
                    <w:rPr>
                      <w:szCs w:val="21"/>
                    </w:rPr>
                  </w:pPr>
                </w:p>
              </w:tc>
              <w:tc>
                <w:tcPr>
                  <w:tcW w:w="456" w:type="pct"/>
                  <w:vMerge w:val="continue"/>
                  <w:tcBorders>
                    <w:tl2br w:val="nil"/>
                    <w:tr2bl w:val="nil"/>
                  </w:tcBorders>
                  <w:vAlign w:val="center"/>
                </w:tcPr>
                <w:p>
                  <w:pPr>
                    <w:spacing w:line="320" w:lineRule="exact"/>
                    <w:jc w:val="center"/>
                    <w:rPr>
                      <w:szCs w:val="21"/>
                    </w:rPr>
                  </w:pPr>
                </w:p>
              </w:tc>
              <w:tc>
                <w:tcPr>
                  <w:tcW w:w="447" w:type="pct"/>
                  <w:vMerge w:val="continue"/>
                  <w:tcBorders>
                    <w:tl2br w:val="nil"/>
                    <w:tr2bl w:val="nil"/>
                  </w:tcBorders>
                  <w:vAlign w:val="center"/>
                </w:tcPr>
                <w:p>
                  <w:pPr>
                    <w:spacing w:line="320" w:lineRule="exact"/>
                    <w:jc w:val="center"/>
                    <w:rPr>
                      <w:szCs w:val="21"/>
                    </w:rPr>
                  </w:pPr>
                </w:p>
              </w:tc>
              <w:tc>
                <w:tcPr>
                  <w:tcW w:w="399" w:type="pct"/>
                  <w:vMerge w:val="continue"/>
                  <w:tcBorders>
                    <w:tl2br w:val="nil"/>
                    <w:tr2bl w:val="nil"/>
                  </w:tcBorders>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1" w:hRule="atLeast"/>
                <w:jc w:val="center"/>
              </w:trPr>
              <w:tc>
                <w:tcPr>
                  <w:tcW w:w="695" w:type="pct"/>
                  <w:tcBorders>
                    <w:tl2br w:val="nil"/>
                    <w:tr2bl w:val="nil"/>
                  </w:tcBorders>
                  <w:vAlign w:val="center"/>
                </w:tcPr>
                <w:p>
                  <w:pPr>
                    <w:spacing w:line="320" w:lineRule="exact"/>
                    <w:jc w:val="center"/>
                    <w:rPr>
                      <w:szCs w:val="21"/>
                    </w:rPr>
                  </w:pPr>
                  <w:r>
                    <w:rPr>
                      <w:rFonts w:hint="eastAsia"/>
                      <w:szCs w:val="21"/>
                    </w:rPr>
                    <w:t>DA001</w:t>
                  </w:r>
                </w:p>
                <w:p>
                  <w:pPr>
                    <w:spacing w:line="320" w:lineRule="exact"/>
                    <w:jc w:val="center"/>
                    <w:rPr>
                      <w:szCs w:val="21"/>
                    </w:rPr>
                  </w:pPr>
                  <w:r>
                    <w:rPr>
                      <w:rFonts w:hint="eastAsia"/>
                      <w:szCs w:val="21"/>
                    </w:rPr>
                    <w:t>废气排放口</w:t>
                  </w:r>
                </w:p>
              </w:tc>
              <w:tc>
                <w:tcPr>
                  <w:tcW w:w="878" w:type="pct"/>
                  <w:tcBorders>
                    <w:tl2br w:val="nil"/>
                    <w:tr2bl w:val="nil"/>
                  </w:tcBorders>
                  <w:vAlign w:val="center"/>
                </w:tcPr>
                <w:p>
                  <w:pPr>
                    <w:spacing w:line="320" w:lineRule="exact"/>
                    <w:jc w:val="center"/>
                    <w:rPr>
                      <w:rFonts w:hint="default" w:eastAsia="宋体"/>
                      <w:szCs w:val="21"/>
                      <w:lang w:val="en-US" w:eastAsia="zh-CN"/>
                    </w:rPr>
                  </w:pPr>
                  <w:r>
                    <w:rPr>
                      <w:rFonts w:hint="eastAsia"/>
                      <w:szCs w:val="21"/>
                    </w:rPr>
                    <w:t>非甲烷总烃</w:t>
                  </w:r>
                </w:p>
              </w:tc>
              <w:tc>
                <w:tcPr>
                  <w:tcW w:w="931" w:type="pct"/>
                  <w:tcBorders>
                    <w:tl2br w:val="nil"/>
                    <w:tr2bl w:val="nil"/>
                  </w:tcBorders>
                  <w:vAlign w:val="center"/>
                </w:tcPr>
                <w:p>
                  <w:pPr>
                    <w:spacing w:line="320" w:lineRule="exact"/>
                    <w:jc w:val="center"/>
                    <w:rPr>
                      <w:szCs w:val="21"/>
                    </w:rPr>
                  </w:pPr>
                  <w:r>
                    <w:rPr>
                      <w:rFonts w:hint="eastAsia"/>
                      <w:szCs w:val="21"/>
                    </w:rPr>
                    <w:t>112.829555693</w:t>
                  </w:r>
                </w:p>
              </w:tc>
              <w:tc>
                <w:tcPr>
                  <w:tcW w:w="814" w:type="pct"/>
                  <w:tcBorders>
                    <w:tl2br w:val="nil"/>
                    <w:tr2bl w:val="nil"/>
                  </w:tcBorders>
                  <w:vAlign w:val="center"/>
                </w:tcPr>
                <w:p>
                  <w:pPr>
                    <w:spacing w:line="320" w:lineRule="exact"/>
                    <w:jc w:val="center"/>
                    <w:rPr>
                      <w:szCs w:val="21"/>
                    </w:rPr>
                  </w:pPr>
                  <w:r>
                    <w:rPr>
                      <w:rFonts w:hint="eastAsia"/>
                      <w:szCs w:val="21"/>
                    </w:rPr>
                    <w:t>34.720739606</w:t>
                  </w:r>
                </w:p>
              </w:tc>
              <w:tc>
                <w:tcPr>
                  <w:tcW w:w="376" w:type="pct"/>
                  <w:tcBorders>
                    <w:tl2br w:val="nil"/>
                    <w:tr2bl w:val="nil"/>
                  </w:tcBorders>
                  <w:vAlign w:val="center"/>
                </w:tcPr>
                <w:p>
                  <w:pPr>
                    <w:spacing w:line="320" w:lineRule="exact"/>
                    <w:jc w:val="center"/>
                    <w:rPr>
                      <w:szCs w:val="21"/>
                    </w:rPr>
                  </w:pPr>
                  <w:r>
                    <w:rPr>
                      <w:szCs w:val="21"/>
                    </w:rPr>
                    <w:t>15</w:t>
                  </w:r>
                </w:p>
              </w:tc>
              <w:tc>
                <w:tcPr>
                  <w:tcW w:w="456" w:type="pct"/>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0.6</w:t>
                  </w:r>
                </w:p>
              </w:tc>
              <w:tc>
                <w:tcPr>
                  <w:tcW w:w="447" w:type="pct"/>
                  <w:tcBorders>
                    <w:tl2br w:val="nil"/>
                    <w:tr2bl w:val="nil"/>
                  </w:tcBorders>
                  <w:vAlign w:val="center"/>
                </w:tcPr>
                <w:p>
                  <w:pPr>
                    <w:spacing w:line="320" w:lineRule="exact"/>
                    <w:jc w:val="center"/>
                    <w:rPr>
                      <w:szCs w:val="21"/>
                    </w:rPr>
                  </w:pPr>
                  <w:r>
                    <w:rPr>
                      <w:rFonts w:hint="eastAsia"/>
                      <w:szCs w:val="21"/>
                    </w:rPr>
                    <w:t>常温</w:t>
                  </w:r>
                </w:p>
              </w:tc>
              <w:tc>
                <w:tcPr>
                  <w:tcW w:w="399" w:type="pct"/>
                  <w:tcBorders>
                    <w:tl2br w:val="nil"/>
                    <w:tr2bl w:val="nil"/>
                  </w:tcBorders>
                  <w:vAlign w:val="center"/>
                </w:tcPr>
                <w:p>
                  <w:pPr>
                    <w:spacing w:line="320" w:lineRule="exact"/>
                    <w:jc w:val="center"/>
                    <w:rPr>
                      <w:szCs w:val="21"/>
                    </w:rPr>
                  </w:pPr>
                  <w:r>
                    <w:rPr>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1" w:hRule="atLeast"/>
                <w:jc w:val="center"/>
              </w:trPr>
              <w:tc>
                <w:tcPr>
                  <w:tcW w:w="695" w:type="pct"/>
                  <w:tcBorders>
                    <w:tl2br w:val="nil"/>
                    <w:tr2bl w:val="nil"/>
                  </w:tcBorders>
                  <w:vAlign w:val="center"/>
                </w:tcPr>
                <w:p>
                  <w:pPr>
                    <w:spacing w:line="320" w:lineRule="exact"/>
                    <w:jc w:val="center"/>
                    <w:rPr>
                      <w:rFonts w:hint="eastAsia"/>
                      <w:b/>
                      <w:bCs/>
                      <w:szCs w:val="21"/>
                      <w:u w:val="single"/>
                      <w:lang w:val="en-US" w:eastAsia="zh-CN"/>
                    </w:rPr>
                  </w:pPr>
                  <w:r>
                    <w:rPr>
                      <w:rFonts w:hint="eastAsia"/>
                      <w:b/>
                      <w:bCs/>
                      <w:szCs w:val="21"/>
                      <w:u w:val="single"/>
                      <w:lang w:val="en-US" w:eastAsia="zh-CN"/>
                    </w:rPr>
                    <w:t>DA002</w:t>
                  </w:r>
                </w:p>
                <w:p>
                  <w:pPr>
                    <w:spacing w:line="320" w:lineRule="exact"/>
                    <w:jc w:val="center"/>
                    <w:rPr>
                      <w:rFonts w:hint="default" w:eastAsia="宋体"/>
                      <w:b/>
                      <w:bCs/>
                      <w:szCs w:val="21"/>
                      <w:u w:val="single"/>
                      <w:lang w:val="en-US" w:eastAsia="zh-CN"/>
                    </w:rPr>
                  </w:pPr>
                  <w:r>
                    <w:rPr>
                      <w:rFonts w:hint="eastAsia"/>
                      <w:b/>
                      <w:bCs/>
                      <w:szCs w:val="21"/>
                      <w:u w:val="single"/>
                    </w:rPr>
                    <w:t>废气排放口</w:t>
                  </w:r>
                </w:p>
              </w:tc>
              <w:tc>
                <w:tcPr>
                  <w:tcW w:w="878" w:type="pct"/>
                  <w:tcBorders>
                    <w:tl2br w:val="nil"/>
                    <w:tr2bl w:val="nil"/>
                  </w:tcBorders>
                  <w:vAlign w:val="center"/>
                </w:tcPr>
                <w:p>
                  <w:pPr>
                    <w:spacing w:line="320" w:lineRule="exact"/>
                    <w:jc w:val="center"/>
                    <w:rPr>
                      <w:rFonts w:hint="eastAsia"/>
                      <w:b/>
                      <w:bCs/>
                      <w:szCs w:val="21"/>
                      <w:u w:val="single"/>
                    </w:rPr>
                  </w:pPr>
                  <w:r>
                    <w:rPr>
                      <w:rFonts w:hint="eastAsia"/>
                      <w:b/>
                      <w:bCs/>
                      <w:szCs w:val="21"/>
                      <w:u w:val="single"/>
                    </w:rPr>
                    <w:t>非甲烷总烃</w:t>
                  </w:r>
                </w:p>
              </w:tc>
              <w:tc>
                <w:tcPr>
                  <w:tcW w:w="931" w:type="pct"/>
                  <w:tcBorders>
                    <w:tl2br w:val="nil"/>
                    <w:tr2bl w:val="nil"/>
                  </w:tcBorders>
                  <w:vAlign w:val="center"/>
                </w:tcPr>
                <w:p>
                  <w:pPr>
                    <w:spacing w:line="320" w:lineRule="exact"/>
                    <w:jc w:val="center"/>
                    <w:rPr>
                      <w:rFonts w:hint="eastAsia"/>
                      <w:b/>
                      <w:bCs/>
                      <w:szCs w:val="21"/>
                      <w:u w:val="single"/>
                    </w:rPr>
                  </w:pPr>
                  <w:r>
                    <w:rPr>
                      <w:rFonts w:hint="eastAsia"/>
                      <w:b/>
                      <w:bCs/>
                      <w:szCs w:val="21"/>
                      <w:u w:val="single"/>
                    </w:rPr>
                    <w:t>112.832344029</w:t>
                  </w:r>
                </w:p>
              </w:tc>
              <w:tc>
                <w:tcPr>
                  <w:tcW w:w="814" w:type="pct"/>
                  <w:tcBorders>
                    <w:tl2br w:val="nil"/>
                    <w:tr2bl w:val="nil"/>
                  </w:tcBorders>
                  <w:vAlign w:val="center"/>
                </w:tcPr>
                <w:p>
                  <w:pPr>
                    <w:spacing w:line="320" w:lineRule="exact"/>
                    <w:jc w:val="center"/>
                    <w:rPr>
                      <w:rFonts w:hint="eastAsia"/>
                      <w:b/>
                      <w:bCs/>
                      <w:szCs w:val="21"/>
                      <w:u w:val="single"/>
                    </w:rPr>
                  </w:pPr>
                  <w:r>
                    <w:rPr>
                      <w:rFonts w:hint="eastAsia"/>
                      <w:b/>
                      <w:bCs/>
                      <w:szCs w:val="21"/>
                      <w:u w:val="single"/>
                    </w:rPr>
                    <w:t>34.727514239</w:t>
                  </w:r>
                </w:p>
              </w:tc>
              <w:tc>
                <w:tcPr>
                  <w:tcW w:w="376" w:type="pct"/>
                  <w:tcBorders>
                    <w:tl2br w:val="nil"/>
                    <w:tr2bl w:val="nil"/>
                  </w:tcBorders>
                  <w:vAlign w:val="center"/>
                </w:tcPr>
                <w:p>
                  <w:pPr>
                    <w:spacing w:line="320" w:lineRule="exact"/>
                    <w:jc w:val="center"/>
                    <w:rPr>
                      <w:rFonts w:hint="default" w:eastAsia="宋体"/>
                      <w:b/>
                      <w:bCs/>
                      <w:szCs w:val="21"/>
                      <w:u w:val="single"/>
                      <w:lang w:val="en-US" w:eastAsia="zh-CN"/>
                    </w:rPr>
                  </w:pPr>
                  <w:r>
                    <w:rPr>
                      <w:rFonts w:hint="eastAsia"/>
                      <w:b/>
                      <w:bCs/>
                      <w:szCs w:val="21"/>
                      <w:u w:val="single"/>
                      <w:lang w:val="en-US" w:eastAsia="zh-CN"/>
                    </w:rPr>
                    <w:t>15</w:t>
                  </w:r>
                </w:p>
              </w:tc>
              <w:tc>
                <w:tcPr>
                  <w:tcW w:w="456" w:type="pct"/>
                  <w:tcBorders>
                    <w:tl2br w:val="nil"/>
                    <w:tr2bl w:val="nil"/>
                  </w:tcBorders>
                  <w:vAlign w:val="center"/>
                </w:tcPr>
                <w:p>
                  <w:pPr>
                    <w:spacing w:line="320" w:lineRule="exact"/>
                    <w:jc w:val="center"/>
                    <w:rPr>
                      <w:rFonts w:hint="default"/>
                      <w:b/>
                      <w:bCs/>
                      <w:szCs w:val="21"/>
                      <w:u w:val="single"/>
                      <w:lang w:val="en-US" w:eastAsia="zh-CN"/>
                    </w:rPr>
                  </w:pPr>
                  <w:r>
                    <w:rPr>
                      <w:rFonts w:hint="eastAsia"/>
                      <w:b/>
                      <w:bCs/>
                      <w:szCs w:val="21"/>
                      <w:u w:val="single"/>
                      <w:lang w:val="en-US" w:eastAsia="zh-CN"/>
                    </w:rPr>
                    <w:t>0.3</w:t>
                  </w:r>
                </w:p>
              </w:tc>
              <w:tc>
                <w:tcPr>
                  <w:tcW w:w="749" w:type="dxa"/>
                  <w:tcBorders>
                    <w:tl2br w:val="nil"/>
                    <w:tr2bl w:val="nil"/>
                  </w:tcBorders>
                  <w:vAlign w:val="center"/>
                </w:tcPr>
                <w:p>
                  <w:pPr>
                    <w:spacing w:line="320" w:lineRule="exact"/>
                    <w:jc w:val="center"/>
                    <w:rPr>
                      <w:rFonts w:hint="eastAsia"/>
                      <w:b/>
                      <w:bCs/>
                      <w:szCs w:val="21"/>
                      <w:u w:val="single"/>
                      <w:lang w:val="en-US" w:eastAsia="zh-CN"/>
                    </w:rPr>
                  </w:pPr>
                  <w:r>
                    <w:rPr>
                      <w:rFonts w:hint="eastAsia"/>
                      <w:b/>
                      <w:bCs/>
                      <w:szCs w:val="21"/>
                      <w:u w:val="single"/>
                      <w:lang w:val="en-US" w:eastAsia="zh-CN"/>
                    </w:rPr>
                    <w:t>常温</w:t>
                  </w:r>
                </w:p>
              </w:tc>
              <w:tc>
                <w:tcPr>
                  <w:tcW w:w="669" w:type="dxa"/>
                  <w:tcBorders>
                    <w:tl2br w:val="nil"/>
                    <w:tr2bl w:val="nil"/>
                  </w:tcBorders>
                  <w:vAlign w:val="center"/>
                </w:tcPr>
                <w:p>
                  <w:pPr>
                    <w:spacing w:line="320" w:lineRule="exact"/>
                    <w:jc w:val="center"/>
                    <w:rPr>
                      <w:rFonts w:hint="default"/>
                      <w:b/>
                      <w:bCs/>
                      <w:szCs w:val="21"/>
                      <w:u w:val="single"/>
                      <w:lang w:val="en-US" w:eastAsia="zh-CN"/>
                    </w:rPr>
                  </w:pPr>
                  <w:r>
                    <w:rPr>
                      <w:rFonts w:hint="default"/>
                      <w:b/>
                      <w:bCs/>
                      <w:szCs w:val="21"/>
                      <w:u w:val="single"/>
                      <w:lang w:val="en-US" w:eastAsia="zh-CN"/>
                    </w:rPr>
                    <w:t>一般排放口</w:t>
                  </w:r>
                </w:p>
              </w:tc>
            </w:tr>
          </w:tbl>
          <w:p>
            <w:pPr>
              <w:adjustRightInd w:val="0"/>
              <w:snapToGrid w:val="0"/>
              <w:spacing w:line="460" w:lineRule="exact"/>
              <w:ind w:firstLine="482" w:firstLineChars="200"/>
              <w:jc w:val="left"/>
              <w:rPr>
                <w:b/>
                <w:bCs/>
                <w:color w:val="000000"/>
                <w:sz w:val="24"/>
              </w:rPr>
            </w:pPr>
            <w:r>
              <w:rPr>
                <w:rFonts w:hint="eastAsia"/>
                <w:b/>
                <w:bCs/>
                <w:color w:val="000000"/>
                <w:sz w:val="24"/>
              </w:rPr>
              <w:t>1.4 大气自行监测要求</w:t>
            </w:r>
          </w:p>
          <w:p>
            <w:pPr>
              <w:adjustRightInd w:val="0"/>
              <w:snapToGrid w:val="0"/>
              <w:spacing w:line="460" w:lineRule="exact"/>
              <w:ind w:firstLine="480" w:firstLineChars="200"/>
              <w:rPr>
                <w:b/>
                <w:bCs/>
                <w:sz w:val="24"/>
              </w:rPr>
            </w:pPr>
            <w:r>
              <w:rPr>
                <w:sz w:val="24"/>
              </w:rPr>
              <w:t>根据《环境影响评价技术导则-大气环境》（HJ2.2-2018）中关于污染源监测计划要求，</w:t>
            </w:r>
            <w:r>
              <w:rPr>
                <w:rFonts w:hint="eastAsia"/>
                <w:sz w:val="24"/>
              </w:rPr>
              <w:t>根据</w:t>
            </w:r>
            <w:r>
              <w:rPr>
                <w:rFonts w:hint="eastAsia"/>
                <w:b/>
                <w:bCs/>
                <w:sz w:val="24"/>
                <w:u w:val="single"/>
                <w:lang w:eastAsia="zh-CN"/>
              </w:rPr>
              <w:t>《</w:t>
            </w:r>
            <w:r>
              <w:rPr>
                <w:rFonts w:hint="eastAsia"/>
                <w:b/>
                <w:bCs/>
                <w:color w:val="000000"/>
                <w:sz w:val="24"/>
                <w:u w:val="single"/>
              </w:rPr>
              <w:t>排污单位自行监测技术指南 橡胶和塑料制品</w:t>
            </w:r>
            <w:r>
              <w:rPr>
                <w:rFonts w:hint="eastAsia"/>
                <w:b/>
                <w:bCs/>
                <w:sz w:val="24"/>
                <w:u w:val="single"/>
                <w:lang w:eastAsia="zh-CN"/>
              </w:rPr>
              <w:t>》</w:t>
            </w:r>
            <w:r>
              <w:rPr>
                <w:rFonts w:hint="eastAsia"/>
                <w:b/>
                <w:bCs/>
                <w:color w:val="000000"/>
                <w:sz w:val="24"/>
                <w:u w:val="single"/>
              </w:rPr>
              <w:t>（HJ 1207—2021）、</w:t>
            </w:r>
            <w:r>
              <w:rPr>
                <w:rFonts w:hint="eastAsia"/>
                <w:b/>
                <w:bCs/>
                <w:color w:val="000000"/>
                <w:sz w:val="24"/>
                <w:u w:val="single"/>
                <w:lang w:eastAsia="zh-CN"/>
              </w:rPr>
              <w:t>《</w:t>
            </w:r>
            <w:r>
              <w:rPr>
                <w:rFonts w:hint="eastAsia"/>
                <w:b/>
                <w:bCs/>
                <w:color w:val="000000"/>
                <w:sz w:val="24"/>
                <w:u w:val="single"/>
              </w:rPr>
              <w:t>排污单位自行监测技术指南 印刷工业</w:t>
            </w:r>
            <w:r>
              <w:rPr>
                <w:rFonts w:hint="eastAsia"/>
                <w:b/>
                <w:bCs/>
                <w:color w:val="000000"/>
                <w:sz w:val="24"/>
                <w:u w:val="single"/>
                <w:lang w:eastAsia="zh-CN"/>
              </w:rPr>
              <w:t>》</w:t>
            </w:r>
            <w:r>
              <w:rPr>
                <w:rFonts w:hint="eastAsia"/>
                <w:b/>
                <w:bCs/>
                <w:color w:val="000000"/>
                <w:sz w:val="24"/>
                <w:u w:val="single"/>
              </w:rPr>
              <w:t>（HJ 1246—2022）</w:t>
            </w:r>
            <w:r>
              <w:rPr>
                <w:rFonts w:hint="eastAsia"/>
                <w:sz w:val="24"/>
              </w:rPr>
              <w:t>等文件执行</w:t>
            </w:r>
            <w:r>
              <w:rPr>
                <w:sz w:val="24"/>
              </w:rPr>
              <w:t>中关于污染源监测的要求制定以下监测方案</w:t>
            </w:r>
            <w:r>
              <w:rPr>
                <w:rFonts w:hint="eastAsia"/>
                <w:color w:val="000000"/>
                <w:sz w:val="24"/>
              </w:rPr>
              <w:t>。</w:t>
            </w:r>
          </w:p>
          <w:p>
            <w:pPr>
              <w:pStyle w:val="5"/>
              <w:numPr>
                <w:ilvl w:val="0"/>
                <w:numId w:val="0"/>
              </w:numPr>
              <w:ind w:left="420" w:leftChars="200"/>
              <w:rPr>
                <w:b w:val="0"/>
              </w:rPr>
            </w:pPr>
            <w:r>
              <w:rPr>
                <w:rFonts w:hint="eastAsia"/>
                <w:bCs/>
              </w:rPr>
              <w:t>表</w:t>
            </w:r>
            <w:r>
              <w:rPr>
                <w:rFonts w:hint="eastAsia"/>
                <w:bCs/>
                <w:lang w:val="en-US" w:eastAsia="zh-CN"/>
              </w:rPr>
              <w:t>20</w:t>
            </w:r>
            <w:r>
              <w:rPr>
                <w:rFonts w:hint="eastAsia"/>
                <w:bCs/>
              </w:rPr>
              <w:t xml:space="preserve">              大气自行监测及记录信息</w:t>
            </w:r>
          </w:p>
          <w:tbl>
            <w:tblPr>
              <w:tblStyle w:val="21"/>
              <w:tblW w:w="496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57" w:type="dxa"/>
                <w:bottom w:w="0" w:type="dxa"/>
                <w:right w:w="57" w:type="dxa"/>
              </w:tblCellMar>
            </w:tblPr>
            <w:tblGrid>
              <w:gridCol w:w="655"/>
              <w:gridCol w:w="1024"/>
              <w:gridCol w:w="1377"/>
              <w:gridCol w:w="1341"/>
              <w:gridCol w:w="393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655" w:type="dxa"/>
                  <w:tcBorders>
                    <w:tl2br w:val="nil"/>
                    <w:tr2bl w:val="nil"/>
                  </w:tcBorders>
                  <w:vAlign w:val="center"/>
                </w:tcPr>
                <w:p>
                  <w:pPr>
                    <w:spacing w:line="320" w:lineRule="exact"/>
                    <w:jc w:val="center"/>
                    <w:rPr>
                      <w:szCs w:val="21"/>
                    </w:rPr>
                  </w:pPr>
                  <w:r>
                    <w:rPr>
                      <w:rFonts w:hint="eastAsia"/>
                      <w:szCs w:val="21"/>
                    </w:rPr>
                    <w:t>项目</w:t>
                  </w:r>
                </w:p>
              </w:tc>
              <w:tc>
                <w:tcPr>
                  <w:tcW w:w="1024" w:type="dxa"/>
                  <w:tcBorders>
                    <w:tl2br w:val="nil"/>
                    <w:tr2bl w:val="nil"/>
                  </w:tcBorders>
                  <w:vAlign w:val="center"/>
                </w:tcPr>
                <w:p>
                  <w:pPr>
                    <w:spacing w:line="320" w:lineRule="exact"/>
                    <w:jc w:val="center"/>
                    <w:rPr>
                      <w:szCs w:val="21"/>
                    </w:rPr>
                  </w:pPr>
                  <w:r>
                    <w:rPr>
                      <w:szCs w:val="21"/>
                    </w:rPr>
                    <w:t>监测点位</w:t>
                  </w:r>
                </w:p>
              </w:tc>
              <w:tc>
                <w:tcPr>
                  <w:tcW w:w="1377" w:type="dxa"/>
                  <w:tcBorders>
                    <w:tl2br w:val="nil"/>
                    <w:tr2bl w:val="nil"/>
                  </w:tcBorders>
                  <w:vAlign w:val="center"/>
                </w:tcPr>
                <w:p>
                  <w:pPr>
                    <w:spacing w:line="320" w:lineRule="exact"/>
                    <w:jc w:val="center"/>
                    <w:rPr>
                      <w:szCs w:val="21"/>
                    </w:rPr>
                  </w:pPr>
                  <w:r>
                    <w:rPr>
                      <w:szCs w:val="21"/>
                    </w:rPr>
                    <w:t>监测指标</w:t>
                  </w:r>
                </w:p>
              </w:tc>
              <w:tc>
                <w:tcPr>
                  <w:tcW w:w="1341" w:type="dxa"/>
                  <w:tcBorders>
                    <w:tl2br w:val="nil"/>
                    <w:tr2bl w:val="nil"/>
                  </w:tcBorders>
                  <w:vAlign w:val="center"/>
                </w:tcPr>
                <w:p>
                  <w:pPr>
                    <w:spacing w:line="320" w:lineRule="exact"/>
                    <w:jc w:val="center"/>
                    <w:rPr>
                      <w:szCs w:val="21"/>
                    </w:rPr>
                  </w:pPr>
                  <w:r>
                    <w:rPr>
                      <w:szCs w:val="21"/>
                    </w:rPr>
                    <w:t>监测频次</w:t>
                  </w:r>
                </w:p>
              </w:tc>
              <w:tc>
                <w:tcPr>
                  <w:tcW w:w="3932" w:type="dxa"/>
                  <w:tcBorders>
                    <w:tl2br w:val="nil"/>
                    <w:tr2bl w:val="nil"/>
                  </w:tcBorders>
                  <w:vAlign w:val="center"/>
                </w:tcPr>
                <w:p>
                  <w:pPr>
                    <w:spacing w:line="320" w:lineRule="exact"/>
                    <w:jc w:val="center"/>
                    <w:rPr>
                      <w:szCs w:val="21"/>
                    </w:rPr>
                  </w:pPr>
                  <w:r>
                    <w:rPr>
                      <w:szCs w:val="21"/>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655" w:type="dxa"/>
                  <w:vMerge w:val="restart"/>
                  <w:tcBorders>
                    <w:tl2br w:val="nil"/>
                    <w:tr2bl w:val="nil"/>
                  </w:tcBorders>
                  <w:vAlign w:val="center"/>
                </w:tcPr>
                <w:p>
                  <w:pPr>
                    <w:spacing w:line="320" w:lineRule="exact"/>
                    <w:jc w:val="center"/>
                    <w:rPr>
                      <w:szCs w:val="21"/>
                    </w:rPr>
                  </w:pPr>
                  <w:r>
                    <w:rPr>
                      <w:szCs w:val="21"/>
                    </w:rPr>
                    <w:t>废气</w:t>
                  </w:r>
                </w:p>
              </w:tc>
              <w:tc>
                <w:tcPr>
                  <w:tcW w:w="1024" w:type="dxa"/>
                  <w:tcBorders>
                    <w:tl2br w:val="nil"/>
                    <w:tr2bl w:val="nil"/>
                  </w:tcBorders>
                  <w:vAlign w:val="center"/>
                </w:tcPr>
                <w:p>
                  <w:pPr>
                    <w:spacing w:line="320" w:lineRule="exact"/>
                    <w:jc w:val="center"/>
                    <w:rPr>
                      <w:szCs w:val="21"/>
                    </w:rPr>
                  </w:pPr>
                  <w:r>
                    <w:rPr>
                      <w:szCs w:val="21"/>
                    </w:rPr>
                    <w:t>DA001</w:t>
                  </w:r>
                </w:p>
              </w:tc>
              <w:tc>
                <w:tcPr>
                  <w:tcW w:w="1377" w:type="dxa"/>
                  <w:tcBorders>
                    <w:tl2br w:val="nil"/>
                    <w:tr2bl w:val="nil"/>
                  </w:tcBorders>
                  <w:vAlign w:val="center"/>
                </w:tcPr>
                <w:p>
                  <w:pPr>
                    <w:spacing w:line="320" w:lineRule="exact"/>
                    <w:jc w:val="center"/>
                    <w:rPr>
                      <w:szCs w:val="21"/>
                    </w:rPr>
                  </w:pPr>
                  <w:r>
                    <w:rPr>
                      <w:szCs w:val="21"/>
                    </w:rPr>
                    <w:t>非甲烷总烃</w:t>
                  </w:r>
                </w:p>
              </w:tc>
              <w:tc>
                <w:tcPr>
                  <w:tcW w:w="1341" w:type="dxa"/>
                  <w:tcBorders>
                    <w:tl2br w:val="nil"/>
                    <w:tr2bl w:val="nil"/>
                  </w:tcBorders>
                  <w:vAlign w:val="center"/>
                </w:tcPr>
                <w:p>
                  <w:pPr>
                    <w:spacing w:line="320" w:lineRule="exact"/>
                    <w:jc w:val="center"/>
                    <w:rPr>
                      <w:szCs w:val="21"/>
                    </w:rPr>
                  </w:pPr>
                  <w:r>
                    <w:rPr>
                      <w:b/>
                      <w:bCs/>
                      <w:szCs w:val="21"/>
                      <w:u w:val="single"/>
                    </w:rPr>
                    <w:t>1次/</w:t>
                  </w:r>
                  <w:r>
                    <w:rPr>
                      <w:rFonts w:hint="eastAsia"/>
                      <w:b/>
                      <w:bCs/>
                      <w:szCs w:val="21"/>
                      <w:u w:val="single"/>
                      <w:lang w:val="en-US" w:eastAsia="zh-CN"/>
                    </w:rPr>
                    <w:t>半</w:t>
                  </w:r>
                  <w:r>
                    <w:rPr>
                      <w:b/>
                      <w:bCs/>
                      <w:szCs w:val="21"/>
                      <w:u w:val="single"/>
                    </w:rPr>
                    <w:t>年</w:t>
                  </w:r>
                </w:p>
              </w:tc>
              <w:tc>
                <w:tcPr>
                  <w:tcW w:w="3932" w:type="dxa"/>
                  <w:tcBorders>
                    <w:tl2br w:val="nil"/>
                    <w:tr2bl w:val="nil"/>
                  </w:tcBorders>
                  <w:vAlign w:val="center"/>
                </w:tcPr>
                <w:p>
                  <w:pPr>
                    <w:spacing w:line="320" w:lineRule="exact"/>
                    <w:jc w:val="center"/>
                    <w:rPr>
                      <w:rFonts w:hint="eastAsia" w:eastAsia="宋体"/>
                      <w:szCs w:val="21"/>
                      <w:lang w:eastAsia="zh-CN"/>
                    </w:rPr>
                  </w:pPr>
                  <w:r>
                    <w:rPr>
                      <w:rFonts w:hint="eastAsia"/>
                      <w:szCs w:val="21"/>
                    </w:rPr>
                    <w:t>《合成树脂工业污染物排放标准》（GB31572-2015）；《关于全省开展工业企业挥发性有机物专项治理工作中排放建议值的通知》（豫环攻坚办〔2017〕162 号文）</w:t>
                  </w:r>
                  <w:r>
                    <w:rPr>
                      <w:rFonts w:hint="eastAsia"/>
                      <w:szCs w:val="21"/>
                      <w:lang w:eastAsia="zh-CN"/>
                    </w:rPr>
                    <w:t>；</w:t>
                  </w:r>
                  <w:r>
                    <w:rPr>
                      <w:rFonts w:hint="eastAsia"/>
                      <w:b/>
                      <w:bCs/>
                      <w:szCs w:val="21"/>
                      <w:u w:val="single"/>
                      <w:lang w:eastAsia="zh-CN"/>
                    </w:rPr>
                    <w:t>《重污染天气重点行业应急减排措施制定技术指南（2020年修订版）》塑料制品</w:t>
                  </w:r>
                  <w:r>
                    <w:rPr>
                      <w:rFonts w:hint="eastAsia"/>
                      <w:b/>
                      <w:bCs/>
                      <w:szCs w:val="21"/>
                      <w:u w:val="single"/>
                      <w:lang w:val="en-US" w:eastAsia="zh-CN"/>
                    </w:rPr>
                    <w:t>行业</w:t>
                  </w:r>
                  <w:r>
                    <w:rPr>
                      <w:rFonts w:hint="eastAsia"/>
                      <w:b/>
                      <w:bCs/>
                      <w:szCs w:val="21"/>
                      <w:u w:val="single"/>
                      <w:lang w:eastAsia="zh-CN"/>
                    </w:rPr>
                    <w:t>绩效分级指标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655" w:type="dxa"/>
                  <w:vMerge w:val="continue"/>
                  <w:tcBorders>
                    <w:tl2br w:val="nil"/>
                    <w:tr2bl w:val="nil"/>
                  </w:tcBorders>
                  <w:vAlign w:val="center"/>
                </w:tcPr>
                <w:p>
                  <w:pPr>
                    <w:spacing w:line="320" w:lineRule="exact"/>
                    <w:jc w:val="center"/>
                    <w:rPr>
                      <w:szCs w:val="21"/>
                    </w:rPr>
                  </w:pPr>
                </w:p>
              </w:tc>
              <w:tc>
                <w:tcPr>
                  <w:tcW w:w="1024" w:type="dxa"/>
                  <w:tcBorders>
                    <w:tl2br w:val="nil"/>
                    <w:tr2bl w:val="nil"/>
                  </w:tcBorders>
                  <w:vAlign w:val="center"/>
                </w:tcPr>
                <w:p>
                  <w:pPr>
                    <w:spacing w:line="320" w:lineRule="exact"/>
                    <w:jc w:val="center"/>
                    <w:rPr>
                      <w:rFonts w:hint="eastAsia" w:eastAsia="宋体"/>
                      <w:b/>
                      <w:bCs/>
                      <w:szCs w:val="21"/>
                      <w:u w:val="single"/>
                      <w:lang w:val="en-US" w:eastAsia="zh-CN"/>
                    </w:rPr>
                  </w:pPr>
                  <w:r>
                    <w:rPr>
                      <w:b/>
                      <w:bCs/>
                      <w:szCs w:val="21"/>
                      <w:u w:val="single"/>
                    </w:rPr>
                    <w:t>DA00</w:t>
                  </w:r>
                  <w:r>
                    <w:rPr>
                      <w:rFonts w:hint="eastAsia"/>
                      <w:b/>
                      <w:bCs/>
                      <w:szCs w:val="21"/>
                      <w:u w:val="single"/>
                      <w:lang w:val="en-US" w:eastAsia="zh-CN"/>
                    </w:rPr>
                    <w:t>2</w:t>
                  </w:r>
                </w:p>
              </w:tc>
              <w:tc>
                <w:tcPr>
                  <w:tcW w:w="1377" w:type="dxa"/>
                  <w:tcBorders>
                    <w:tl2br w:val="nil"/>
                    <w:tr2bl w:val="nil"/>
                  </w:tcBorders>
                  <w:vAlign w:val="center"/>
                </w:tcPr>
                <w:p>
                  <w:pPr>
                    <w:spacing w:line="320" w:lineRule="exact"/>
                    <w:jc w:val="center"/>
                    <w:rPr>
                      <w:b/>
                      <w:bCs/>
                      <w:szCs w:val="21"/>
                      <w:u w:val="single"/>
                    </w:rPr>
                  </w:pPr>
                  <w:r>
                    <w:rPr>
                      <w:b/>
                      <w:bCs/>
                      <w:szCs w:val="21"/>
                      <w:u w:val="single"/>
                    </w:rPr>
                    <w:t>非甲烷总烃</w:t>
                  </w:r>
                </w:p>
              </w:tc>
              <w:tc>
                <w:tcPr>
                  <w:tcW w:w="1341" w:type="dxa"/>
                  <w:tcBorders>
                    <w:tl2br w:val="nil"/>
                    <w:tr2bl w:val="nil"/>
                  </w:tcBorders>
                  <w:vAlign w:val="center"/>
                </w:tcPr>
                <w:p>
                  <w:pPr>
                    <w:spacing w:line="320" w:lineRule="exact"/>
                    <w:jc w:val="center"/>
                    <w:rPr>
                      <w:b/>
                      <w:bCs/>
                      <w:szCs w:val="21"/>
                      <w:u w:val="single"/>
                    </w:rPr>
                  </w:pPr>
                  <w:r>
                    <w:rPr>
                      <w:b/>
                      <w:bCs/>
                      <w:szCs w:val="21"/>
                      <w:u w:val="single"/>
                    </w:rPr>
                    <w:t>1次</w:t>
                  </w:r>
                  <w:r>
                    <w:rPr>
                      <w:rFonts w:hint="eastAsia"/>
                      <w:b/>
                      <w:bCs/>
                      <w:szCs w:val="21"/>
                      <w:u w:val="single"/>
                      <w:lang w:val="en-US" w:eastAsia="zh-CN"/>
                    </w:rPr>
                    <w:t>半</w:t>
                  </w:r>
                  <w:r>
                    <w:rPr>
                      <w:b/>
                      <w:bCs/>
                      <w:szCs w:val="21"/>
                      <w:u w:val="single"/>
                    </w:rPr>
                    <w:t>/年</w:t>
                  </w:r>
                </w:p>
              </w:tc>
              <w:tc>
                <w:tcPr>
                  <w:tcW w:w="3932" w:type="dxa"/>
                  <w:tcBorders>
                    <w:tl2br w:val="nil"/>
                    <w:tr2bl w:val="nil"/>
                  </w:tcBorders>
                  <w:vAlign w:val="center"/>
                </w:tcPr>
                <w:p>
                  <w:pPr>
                    <w:spacing w:line="320" w:lineRule="exact"/>
                    <w:jc w:val="center"/>
                    <w:rPr>
                      <w:rFonts w:hint="eastAsia" w:eastAsia="宋体"/>
                      <w:b/>
                      <w:bCs/>
                      <w:szCs w:val="21"/>
                      <w:u w:val="single"/>
                      <w:lang w:eastAsia="zh-CN"/>
                    </w:rPr>
                  </w:pPr>
                  <w:r>
                    <w:rPr>
                      <w:rFonts w:hint="eastAsia"/>
                      <w:b/>
                      <w:bCs/>
                      <w:szCs w:val="21"/>
                      <w:u w:val="single"/>
                    </w:rPr>
                    <w:t>《河南省印刷工业挥发性有机物排放标准》（DB41/1956-2020）</w:t>
                  </w:r>
                  <w:r>
                    <w:rPr>
                      <w:rFonts w:hint="eastAsia"/>
                      <w:b/>
                      <w:bCs/>
                      <w:szCs w:val="21"/>
                      <w:u w:val="single"/>
                      <w:lang w:eastAsia="zh-CN"/>
                    </w:rPr>
                    <w:t>；</w:t>
                  </w:r>
                  <w:r>
                    <w:rPr>
                      <w:rFonts w:hint="eastAsia"/>
                      <w:b/>
                      <w:bCs/>
                      <w:szCs w:val="21"/>
                      <w:u w:val="single"/>
                    </w:rPr>
                    <w:t>《关于全省开展工业企业挥发性有机物专项治理工作中排放建议值的通知》（豫环攻坚办〔2017〕162 号文）</w:t>
                  </w:r>
                  <w:r>
                    <w:rPr>
                      <w:rFonts w:hint="eastAsia"/>
                      <w:b/>
                      <w:bCs/>
                      <w:szCs w:val="21"/>
                      <w:u w:val="single"/>
                      <w:lang w:eastAsia="zh-CN"/>
                    </w:rPr>
                    <w:t>；《重污染天气重点行业应急减排措施制定技术指南（2020年修订版）》包装印刷行业绩效分级指标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655" w:type="dxa"/>
                  <w:vMerge w:val="continue"/>
                  <w:tcBorders>
                    <w:tl2br w:val="nil"/>
                    <w:tr2bl w:val="nil"/>
                  </w:tcBorders>
                  <w:vAlign w:val="center"/>
                </w:tcPr>
                <w:p>
                  <w:pPr>
                    <w:spacing w:line="320" w:lineRule="exact"/>
                    <w:jc w:val="center"/>
                    <w:rPr>
                      <w:szCs w:val="21"/>
                    </w:rPr>
                  </w:pPr>
                </w:p>
              </w:tc>
              <w:tc>
                <w:tcPr>
                  <w:tcW w:w="1024" w:type="dxa"/>
                  <w:tcBorders>
                    <w:tl2br w:val="nil"/>
                    <w:tr2bl w:val="nil"/>
                  </w:tcBorders>
                  <w:vAlign w:val="center"/>
                </w:tcPr>
                <w:p>
                  <w:pPr>
                    <w:spacing w:line="320" w:lineRule="exact"/>
                    <w:jc w:val="center"/>
                    <w:rPr>
                      <w:szCs w:val="21"/>
                    </w:rPr>
                  </w:pPr>
                  <w:r>
                    <w:rPr>
                      <w:rFonts w:hint="eastAsia"/>
                      <w:szCs w:val="21"/>
                    </w:rPr>
                    <w:t>厂房外</w:t>
                  </w:r>
                </w:p>
              </w:tc>
              <w:tc>
                <w:tcPr>
                  <w:tcW w:w="1377" w:type="dxa"/>
                  <w:tcBorders>
                    <w:tl2br w:val="nil"/>
                    <w:tr2bl w:val="nil"/>
                  </w:tcBorders>
                  <w:vAlign w:val="center"/>
                </w:tcPr>
                <w:p>
                  <w:pPr>
                    <w:spacing w:line="320" w:lineRule="exact"/>
                    <w:jc w:val="center"/>
                    <w:rPr>
                      <w:szCs w:val="21"/>
                    </w:rPr>
                  </w:pPr>
                  <w:r>
                    <w:rPr>
                      <w:szCs w:val="21"/>
                    </w:rPr>
                    <w:t>非甲烷总烃</w:t>
                  </w:r>
                </w:p>
              </w:tc>
              <w:tc>
                <w:tcPr>
                  <w:tcW w:w="1341" w:type="dxa"/>
                  <w:tcBorders>
                    <w:tl2br w:val="nil"/>
                    <w:tr2bl w:val="nil"/>
                  </w:tcBorders>
                  <w:vAlign w:val="center"/>
                </w:tcPr>
                <w:p>
                  <w:pPr>
                    <w:spacing w:line="320" w:lineRule="exact"/>
                    <w:jc w:val="center"/>
                    <w:rPr>
                      <w:szCs w:val="21"/>
                    </w:rPr>
                  </w:pPr>
                  <w:r>
                    <w:rPr>
                      <w:szCs w:val="21"/>
                    </w:rPr>
                    <w:t>1次/年</w:t>
                  </w:r>
                </w:p>
              </w:tc>
              <w:tc>
                <w:tcPr>
                  <w:tcW w:w="3932" w:type="dxa"/>
                  <w:tcBorders>
                    <w:tl2br w:val="nil"/>
                    <w:tr2bl w:val="nil"/>
                  </w:tcBorders>
                  <w:vAlign w:val="center"/>
                </w:tcPr>
                <w:p>
                  <w:pPr>
                    <w:spacing w:line="320" w:lineRule="exact"/>
                    <w:jc w:val="center"/>
                    <w:rPr>
                      <w:szCs w:val="21"/>
                    </w:rPr>
                  </w:pPr>
                  <w:r>
                    <w:rPr>
                      <w:szCs w:val="21"/>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655" w:type="dxa"/>
                  <w:vMerge w:val="continue"/>
                  <w:tcBorders>
                    <w:tl2br w:val="nil"/>
                    <w:tr2bl w:val="nil"/>
                  </w:tcBorders>
                  <w:vAlign w:val="center"/>
                </w:tcPr>
                <w:p>
                  <w:pPr>
                    <w:spacing w:line="320" w:lineRule="exact"/>
                    <w:jc w:val="center"/>
                    <w:rPr>
                      <w:szCs w:val="21"/>
                    </w:rPr>
                  </w:pPr>
                </w:p>
              </w:tc>
              <w:tc>
                <w:tcPr>
                  <w:tcW w:w="1024" w:type="dxa"/>
                  <w:tcBorders>
                    <w:tl2br w:val="nil"/>
                    <w:tr2bl w:val="nil"/>
                  </w:tcBorders>
                  <w:vAlign w:val="center"/>
                </w:tcPr>
                <w:p>
                  <w:pPr>
                    <w:spacing w:line="320" w:lineRule="exact"/>
                    <w:jc w:val="center"/>
                    <w:rPr>
                      <w:szCs w:val="21"/>
                    </w:rPr>
                  </w:pPr>
                  <w:r>
                    <w:rPr>
                      <w:szCs w:val="21"/>
                    </w:rPr>
                    <w:t>厂界</w:t>
                  </w:r>
                </w:p>
              </w:tc>
              <w:tc>
                <w:tcPr>
                  <w:tcW w:w="1377" w:type="dxa"/>
                  <w:tcBorders>
                    <w:tl2br w:val="nil"/>
                    <w:tr2bl w:val="nil"/>
                  </w:tcBorders>
                  <w:vAlign w:val="center"/>
                </w:tcPr>
                <w:p>
                  <w:pPr>
                    <w:spacing w:line="320" w:lineRule="exact"/>
                    <w:jc w:val="center"/>
                    <w:rPr>
                      <w:szCs w:val="21"/>
                    </w:rPr>
                  </w:pPr>
                  <w:r>
                    <w:rPr>
                      <w:szCs w:val="21"/>
                    </w:rPr>
                    <w:t>非甲烷总烃</w:t>
                  </w:r>
                </w:p>
              </w:tc>
              <w:tc>
                <w:tcPr>
                  <w:tcW w:w="1341" w:type="dxa"/>
                  <w:tcBorders>
                    <w:tl2br w:val="nil"/>
                    <w:tr2bl w:val="nil"/>
                  </w:tcBorders>
                  <w:vAlign w:val="center"/>
                </w:tcPr>
                <w:p>
                  <w:pPr>
                    <w:spacing w:line="320" w:lineRule="exact"/>
                    <w:jc w:val="center"/>
                    <w:rPr>
                      <w:szCs w:val="21"/>
                    </w:rPr>
                  </w:pPr>
                  <w:r>
                    <w:rPr>
                      <w:szCs w:val="21"/>
                    </w:rPr>
                    <w:t>1次/年</w:t>
                  </w:r>
                </w:p>
              </w:tc>
              <w:tc>
                <w:tcPr>
                  <w:tcW w:w="3932" w:type="dxa"/>
                  <w:tcBorders>
                    <w:tl2br w:val="nil"/>
                    <w:tr2bl w:val="nil"/>
                  </w:tcBorders>
                  <w:vAlign w:val="center"/>
                </w:tcPr>
                <w:p>
                  <w:pPr>
                    <w:spacing w:line="320" w:lineRule="exact"/>
                    <w:jc w:val="center"/>
                    <w:rPr>
                      <w:szCs w:val="21"/>
                    </w:rPr>
                  </w:pPr>
                  <w:r>
                    <w:rPr>
                      <w:rFonts w:hint="eastAsia"/>
                      <w:szCs w:val="21"/>
                    </w:rPr>
                    <w:t>《合成树脂工业污染物排放标准》（GB31572-2015）；《关于全省开展工业企业挥发性有机物专项治理工作中排放建议值的通知》（豫环攻坚办〔2017〕162 号文）</w:t>
                  </w:r>
                </w:p>
              </w:tc>
            </w:tr>
          </w:tbl>
          <w:p>
            <w:pPr>
              <w:adjustRightInd w:val="0"/>
              <w:snapToGrid w:val="0"/>
              <w:spacing w:line="460" w:lineRule="exact"/>
              <w:ind w:firstLine="482" w:firstLineChars="200"/>
              <w:jc w:val="left"/>
              <w:rPr>
                <w:rFonts w:hint="eastAsia" w:eastAsia="宋体"/>
                <w:b w:val="0"/>
                <w:bCs w:val="0"/>
                <w:color w:val="000000"/>
                <w:sz w:val="24"/>
                <w:u w:val="none"/>
                <w:lang w:eastAsia="zh-CN"/>
              </w:rPr>
            </w:pPr>
            <w:r>
              <w:rPr>
                <w:rFonts w:hint="eastAsia"/>
                <w:b/>
                <w:bCs/>
                <w:color w:val="000000"/>
                <w:sz w:val="24"/>
              </w:rPr>
              <w:t>1.5 大气环境影响分析</w:t>
            </w:r>
          </w:p>
          <w:p>
            <w:pPr>
              <w:adjustRightInd w:val="0"/>
              <w:snapToGrid w:val="0"/>
              <w:spacing w:line="480" w:lineRule="exact"/>
              <w:ind w:firstLine="480" w:firstLineChars="200"/>
              <w:rPr>
                <w:b/>
                <w:bCs/>
                <w:color w:val="000000"/>
                <w:sz w:val="24"/>
              </w:rPr>
            </w:pPr>
            <w:r>
              <w:rPr>
                <w:color w:val="auto"/>
                <w:sz w:val="24"/>
                <w:highlight w:val="none"/>
              </w:rPr>
              <w:t>根据</w:t>
            </w:r>
            <w:r>
              <w:rPr>
                <w:rFonts w:hint="eastAsia"/>
                <w:color w:val="auto"/>
                <w:sz w:val="24"/>
                <w:highlight w:val="none"/>
              </w:rPr>
              <w:t>环境</w:t>
            </w:r>
            <w:r>
              <w:rPr>
                <w:color w:val="auto"/>
                <w:sz w:val="24"/>
                <w:highlight w:val="none"/>
              </w:rPr>
              <w:t>空气现状监测结果，</w:t>
            </w:r>
            <w:r>
              <w:rPr>
                <w:bCs/>
                <w:color w:val="auto"/>
                <w:sz w:val="24"/>
                <w:highlight w:val="none"/>
              </w:rPr>
              <w:t>项目评价范围</w:t>
            </w:r>
            <w:r>
              <w:rPr>
                <w:color w:val="auto"/>
                <w:sz w:val="24"/>
                <w:highlight w:val="none"/>
              </w:rPr>
              <w:t>的特征污染因子非甲烷总烃1小时浓度监测值满足《大气污染物综合排放标准详解》一次浓度限值要求；</w:t>
            </w:r>
            <w:r>
              <w:rPr>
                <w:rFonts w:hint="eastAsia"/>
                <w:color w:val="auto"/>
                <w:sz w:val="24"/>
                <w:highlight w:val="none"/>
              </w:rPr>
              <w:t>且本项目</w:t>
            </w:r>
            <w:r>
              <w:rPr>
                <w:color w:val="auto"/>
                <w:sz w:val="24"/>
                <w:highlight w:val="none"/>
              </w:rPr>
              <w:t>大气污染物均能达标排放</w:t>
            </w:r>
            <w:r>
              <w:rPr>
                <w:rFonts w:hint="eastAsia"/>
                <w:color w:val="auto"/>
                <w:sz w:val="24"/>
                <w:highlight w:val="none"/>
              </w:rPr>
              <w:t>，</w:t>
            </w:r>
            <w:r>
              <w:rPr>
                <w:color w:val="auto"/>
                <w:sz w:val="24"/>
                <w:highlight w:val="none"/>
              </w:rPr>
              <w:t>因此</w:t>
            </w:r>
            <w:r>
              <w:rPr>
                <w:rFonts w:hint="eastAsia"/>
                <w:color w:val="auto"/>
                <w:sz w:val="24"/>
                <w:highlight w:val="none"/>
              </w:rPr>
              <w:t>本项目</w:t>
            </w:r>
            <w:r>
              <w:rPr>
                <w:color w:val="auto"/>
                <w:sz w:val="24"/>
                <w:highlight w:val="none"/>
              </w:rPr>
              <w:t>的建设对周围大气环境影响较小</w:t>
            </w:r>
            <w:r>
              <w:rPr>
                <w:rFonts w:hint="eastAsia"/>
                <w:color w:val="auto"/>
                <w:sz w:val="24"/>
                <w:highlight w:val="none"/>
              </w:rPr>
              <w:t>。</w:t>
            </w:r>
          </w:p>
          <w:p>
            <w:pPr>
              <w:adjustRightInd w:val="0"/>
              <w:snapToGrid w:val="0"/>
              <w:spacing w:line="460" w:lineRule="exact"/>
              <w:ind w:firstLine="482" w:firstLineChars="200"/>
              <w:jc w:val="left"/>
              <w:rPr>
                <w:b/>
                <w:bCs/>
                <w:color w:val="000000"/>
                <w:sz w:val="24"/>
              </w:rPr>
            </w:pPr>
            <w:r>
              <w:rPr>
                <w:rFonts w:hint="eastAsia"/>
                <w:b/>
                <w:bCs/>
                <w:color w:val="000000"/>
                <w:sz w:val="24"/>
              </w:rPr>
              <w:t>2、</w:t>
            </w:r>
            <w:r>
              <w:rPr>
                <w:b/>
                <w:bCs/>
                <w:color w:val="000000"/>
                <w:sz w:val="24"/>
              </w:rPr>
              <w:t>废水</w:t>
            </w:r>
          </w:p>
          <w:p>
            <w:pPr>
              <w:adjustRightInd w:val="0"/>
              <w:snapToGrid w:val="0"/>
              <w:spacing w:line="460" w:lineRule="exact"/>
              <w:ind w:firstLine="482" w:firstLineChars="200"/>
              <w:jc w:val="left"/>
              <w:rPr>
                <w:b/>
                <w:bCs/>
                <w:color w:val="000000"/>
                <w:sz w:val="24"/>
              </w:rPr>
            </w:pPr>
            <w:r>
              <w:rPr>
                <w:rFonts w:hint="eastAsia"/>
                <w:b/>
                <w:bCs/>
                <w:color w:val="000000"/>
                <w:sz w:val="24"/>
              </w:rPr>
              <w:t>2.1废水产排分析</w:t>
            </w:r>
          </w:p>
          <w:p>
            <w:pPr>
              <w:numPr>
                <w:ilvl w:val="0"/>
                <w:numId w:val="0"/>
              </w:numPr>
              <w:adjustRightInd w:val="0"/>
              <w:snapToGrid w:val="0"/>
              <w:spacing w:line="460" w:lineRule="exact"/>
              <w:ind w:firstLine="480" w:firstLineChars="200"/>
              <w:rPr>
                <w:color w:val="000000"/>
                <w:sz w:val="24"/>
              </w:rPr>
            </w:pPr>
            <w:r>
              <w:rPr>
                <w:rFonts w:hint="eastAsia"/>
                <w:color w:val="000000"/>
                <w:sz w:val="24"/>
              </w:rPr>
              <w:t>营运期产生的废水主要为职工活动中产生的生活废水。</w:t>
            </w:r>
            <w:r>
              <w:rPr>
                <w:color w:val="000000"/>
                <w:sz w:val="24"/>
              </w:rPr>
              <w:t>根据建设单位提供资料，本项目劳动定员为</w:t>
            </w:r>
            <w:r>
              <w:rPr>
                <w:rFonts w:hint="eastAsia"/>
                <w:color w:val="000000"/>
                <w:sz w:val="24"/>
                <w:lang w:val="en-US" w:eastAsia="zh-CN"/>
              </w:rPr>
              <w:t>23</w:t>
            </w:r>
            <w:r>
              <w:rPr>
                <w:color w:val="000000"/>
                <w:sz w:val="24"/>
              </w:rPr>
              <w:t>人，</w:t>
            </w:r>
            <w:r>
              <w:rPr>
                <w:rFonts w:hint="eastAsia"/>
                <w:color w:val="000000"/>
                <w:sz w:val="24"/>
              </w:rPr>
              <w:t>在不厂区食宿，年有效工作时间300天，为单班工作制，</w:t>
            </w:r>
            <w:r>
              <w:rPr>
                <w:color w:val="000000"/>
                <w:sz w:val="24"/>
              </w:rPr>
              <w:t>根据河南省《工业与城镇生活用水定额》（DB41/T385-2020），用水定额40L/（人</w:t>
            </w:r>
            <w:r>
              <w:rPr>
                <w:rFonts w:hint="eastAsia"/>
                <w:color w:val="000000"/>
                <w:sz w:val="24"/>
              </w:rPr>
              <w:t>/</w:t>
            </w:r>
            <w:r>
              <w:rPr>
                <w:color w:val="000000"/>
                <w:sz w:val="24"/>
              </w:rPr>
              <w:t>d），则本项目生活用水量总计为</w:t>
            </w:r>
            <w:r>
              <w:rPr>
                <w:rFonts w:hint="eastAsia"/>
                <w:color w:val="000000"/>
                <w:sz w:val="24"/>
                <w:lang w:val="en-US" w:eastAsia="zh-CN"/>
              </w:rPr>
              <w:t>0.92</w:t>
            </w:r>
            <w:r>
              <w:rPr>
                <w:color w:val="000000"/>
                <w:sz w:val="24"/>
              </w:rPr>
              <w:t>m</w:t>
            </w:r>
            <w:r>
              <w:rPr>
                <w:sz w:val="24"/>
                <w:vertAlign w:val="superscript"/>
              </w:rPr>
              <w:t>3</w:t>
            </w:r>
            <w:r>
              <w:rPr>
                <w:color w:val="000000"/>
                <w:sz w:val="24"/>
              </w:rPr>
              <w:t>/d（</w:t>
            </w:r>
            <w:r>
              <w:rPr>
                <w:rFonts w:hint="eastAsia"/>
                <w:color w:val="000000"/>
                <w:sz w:val="24"/>
                <w:lang w:val="en-US" w:eastAsia="zh-CN"/>
              </w:rPr>
              <w:t>276</w:t>
            </w:r>
            <w:r>
              <w:rPr>
                <w:color w:val="000000"/>
                <w:sz w:val="24"/>
              </w:rPr>
              <w:t>m</w:t>
            </w:r>
            <w:r>
              <w:rPr>
                <w:sz w:val="24"/>
                <w:vertAlign w:val="superscript"/>
              </w:rPr>
              <w:t>3</w:t>
            </w:r>
            <w:r>
              <w:rPr>
                <w:color w:val="000000"/>
                <w:sz w:val="24"/>
              </w:rPr>
              <w:t>/a），污水产生系数按0.8计，则站内职工生活污水产生量为</w:t>
            </w:r>
            <w:r>
              <w:rPr>
                <w:rFonts w:hint="eastAsia"/>
                <w:color w:val="000000"/>
                <w:sz w:val="24"/>
                <w:lang w:val="en-US" w:eastAsia="zh-CN"/>
              </w:rPr>
              <w:t>220.8</w:t>
            </w:r>
            <w:r>
              <w:rPr>
                <w:color w:val="000000"/>
                <w:sz w:val="24"/>
              </w:rPr>
              <w:t>m</w:t>
            </w:r>
            <w:r>
              <w:rPr>
                <w:sz w:val="24"/>
                <w:vertAlign w:val="superscript"/>
              </w:rPr>
              <w:t>3</w:t>
            </w:r>
            <w:r>
              <w:rPr>
                <w:color w:val="000000"/>
                <w:sz w:val="24"/>
              </w:rPr>
              <w:t>/a（</w:t>
            </w:r>
            <w:r>
              <w:rPr>
                <w:rFonts w:hint="eastAsia"/>
                <w:color w:val="000000"/>
                <w:sz w:val="24"/>
                <w:lang w:val="en-US" w:eastAsia="zh-CN"/>
              </w:rPr>
              <w:t>0.736</w:t>
            </w:r>
            <w:r>
              <w:rPr>
                <w:color w:val="000000"/>
                <w:sz w:val="24"/>
              </w:rPr>
              <w:t>m</w:t>
            </w:r>
            <w:r>
              <w:rPr>
                <w:sz w:val="24"/>
                <w:vertAlign w:val="superscript"/>
              </w:rPr>
              <w:t>3</w:t>
            </w:r>
            <w:r>
              <w:rPr>
                <w:color w:val="000000"/>
                <w:sz w:val="24"/>
              </w:rPr>
              <w:t>/d）。经化粪池预处理，污水的主要污染因子有COD、SS、NH</w:t>
            </w:r>
            <w:r>
              <w:rPr>
                <w:color w:val="000000"/>
                <w:sz w:val="24"/>
                <w:vertAlign w:val="subscript"/>
              </w:rPr>
              <w:t>3</w:t>
            </w:r>
            <w:r>
              <w:rPr>
                <w:color w:val="000000"/>
                <w:sz w:val="24"/>
              </w:rPr>
              <w:t>-N</w:t>
            </w:r>
            <w:r>
              <w:rPr>
                <w:rFonts w:hint="eastAsia"/>
                <w:color w:val="000000"/>
                <w:sz w:val="24"/>
              </w:rPr>
              <w:t>。</w:t>
            </w:r>
          </w:p>
          <w:p>
            <w:pPr>
              <w:pStyle w:val="5"/>
              <w:numPr>
                <w:ilvl w:val="0"/>
                <w:numId w:val="0"/>
              </w:numPr>
              <w:ind w:firstLine="482" w:firstLineChars="200"/>
              <w:rPr>
                <w:b w:val="0"/>
              </w:rPr>
            </w:pPr>
            <w:r>
              <w:rPr>
                <w:rFonts w:hint="eastAsia"/>
                <w:bCs/>
              </w:rPr>
              <w:t>表</w:t>
            </w:r>
            <w:r>
              <w:rPr>
                <w:rFonts w:hint="eastAsia"/>
                <w:bCs/>
                <w:lang w:val="en-US" w:eastAsia="zh-CN"/>
              </w:rPr>
              <w:t>21</w:t>
            </w:r>
            <w:r>
              <w:rPr>
                <w:rFonts w:hint="eastAsia"/>
                <w:bCs/>
              </w:rPr>
              <w:t xml:space="preserve">            本项目生活污水产排情况一览表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237"/>
              <w:gridCol w:w="873"/>
              <w:gridCol w:w="1340"/>
              <w:gridCol w:w="12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5" w:type="dxa"/>
                  <w:gridSpan w:val="2"/>
                  <w:tcBorders>
                    <w:tl2br w:val="nil"/>
                    <w:tr2bl w:val="nil"/>
                  </w:tcBorders>
                  <w:vAlign w:val="center"/>
                </w:tcPr>
                <w:p>
                  <w:pPr>
                    <w:spacing w:line="320" w:lineRule="exact"/>
                    <w:jc w:val="center"/>
                  </w:pPr>
                  <w:r>
                    <w:t>类别</w:t>
                  </w:r>
                </w:p>
              </w:tc>
              <w:tc>
                <w:tcPr>
                  <w:tcW w:w="873" w:type="dxa"/>
                  <w:tcBorders>
                    <w:tl2br w:val="nil"/>
                    <w:tr2bl w:val="nil"/>
                  </w:tcBorders>
                  <w:vAlign w:val="center"/>
                </w:tcPr>
                <w:p>
                  <w:pPr>
                    <w:spacing w:line="320" w:lineRule="exact"/>
                    <w:jc w:val="center"/>
                  </w:pPr>
                  <w:r>
                    <w:t>污水量</w:t>
                  </w:r>
                </w:p>
              </w:tc>
              <w:tc>
                <w:tcPr>
                  <w:tcW w:w="1340" w:type="dxa"/>
                  <w:tcBorders>
                    <w:tl2br w:val="nil"/>
                    <w:tr2bl w:val="nil"/>
                  </w:tcBorders>
                  <w:vAlign w:val="center"/>
                </w:tcPr>
                <w:p>
                  <w:pPr>
                    <w:spacing w:line="320" w:lineRule="exact"/>
                    <w:jc w:val="center"/>
                  </w:pPr>
                  <w:r>
                    <w:t>COD</w:t>
                  </w:r>
                </w:p>
              </w:tc>
              <w:tc>
                <w:tcPr>
                  <w:tcW w:w="1245" w:type="dxa"/>
                  <w:tcBorders>
                    <w:tl2br w:val="nil"/>
                    <w:tr2bl w:val="nil"/>
                  </w:tcBorders>
                  <w:vAlign w:val="center"/>
                </w:tcPr>
                <w:p>
                  <w:pPr>
                    <w:spacing w:line="320" w:lineRule="exact"/>
                    <w:jc w:val="center"/>
                  </w:pPr>
                  <w:r>
                    <w:t>NH</w:t>
                  </w:r>
                  <w:r>
                    <w:rPr>
                      <w:color w:val="000000"/>
                      <w:sz w:val="24"/>
                      <w:vertAlign w:val="subscript"/>
                    </w:rPr>
                    <w:t>3</w:t>
                  </w:r>
                  <w:r>
                    <w:t>-N</w:t>
                  </w:r>
                </w:p>
              </w:tc>
              <w:tc>
                <w:tcPr>
                  <w:tcW w:w="1109" w:type="dxa"/>
                  <w:tcBorders>
                    <w:tl2br w:val="nil"/>
                    <w:tr2bl w:val="nil"/>
                  </w:tcBorders>
                  <w:vAlign w:val="center"/>
                </w:tcPr>
                <w:p>
                  <w:pPr>
                    <w:spacing w:line="320" w:lineRule="exact"/>
                    <w:jc w:val="center"/>
                  </w:pPr>
                  <w: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restart"/>
                  <w:tcBorders>
                    <w:tl2br w:val="nil"/>
                    <w:tr2bl w:val="nil"/>
                  </w:tcBorders>
                  <w:vAlign w:val="center"/>
                </w:tcPr>
                <w:p>
                  <w:pPr>
                    <w:spacing w:line="320" w:lineRule="exact"/>
                    <w:jc w:val="center"/>
                  </w:pPr>
                  <w:r>
                    <w:t>处理前</w:t>
                  </w:r>
                </w:p>
              </w:tc>
              <w:tc>
                <w:tcPr>
                  <w:tcW w:w="3237" w:type="dxa"/>
                  <w:tcBorders>
                    <w:tl2br w:val="nil"/>
                    <w:tr2bl w:val="nil"/>
                  </w:tcBorders>
                  <w:vAlign w:val="center"/>
                </w:tcPr>
                <w:p>
                  <w:pPr>
                    <w:spacing w:line="320" w:lineRule="exact"/>
                    <w:jc w:val="center"/>
                  </w:pPr>
                  <w:r>
                    <w:t>浓度（mg/L）</w:t>
                  </w:r>
                </w:p>
              </w:tc>
              <w:tc>
                <w:tcPr>
                  <w:tcW w:w="873" w:type="dxa"/>
                  <w:tcBorders>
                    <w:tl2br w:val="nil"/>
                    <w:tr2bl w:val="nil"/>
                  </w:tcBorders>
                  <w:vAlign w:val="center"/>
                </w:tcPr>
                <w:p>
                  <w:pPr>
                    <w:spacing w:line="320" w:lineRule="exact"/>
                    <w:jc w:val="center"/>
                  </w:pPr>
                  <w:r>
                    <w:t>/</w:t>
                  </w:r>
                </w:p>
              </w:tc>
              <w:tc>
                <w:tcPr>
                  <w:tcW w:w="1340" w:type="dxa"/>
                  <w:tcBorders>
                    <w:tl2br w:val="nil"/>
                    <w:tr2bl w:val="nil"/>
                  </w:tcBorders>
                  <w:vAlign w:val="center"/>
                </w:tcPr>
                <w:p>
                  <w:pPr>
                    <w:spacing w:line="320" w:lineRule="exact"/>
                    <w:jc w:val="center"/>
                  </w:pPr>
                  <w:r>
                    <w:rPr>
                      <w:rFonts w:hint="eastAsia"/>
                    </w:rPr>
                    <w:t>350</w:t>
                  </w:r>
                </w:p>
              </w:tc>
              <w:tc>
                <w:tcPr>
                  <w:tcW w:w="1245" w:type="dxa"/>
                  <w:tcBorders>
                    <w:tl2br w:val="nil"/>
                    <w:tr2bl w:val="nil"/>
                  </w:tcBorders>
                  <w:vAlign w:val="center"/>
                </w:tcPr>
                <w:p>
                  <w:pPr>
                    <w:spacing w:line="320" w:lineRule="exact"/>
                    <w:jc w:val="center"/>
                  </w:pPr>
                  <w:r>
                    <w:rPr>
                      <w:rFonts w:hint="eastAsia"/>
                    </w:rPr>
                    <w:t>30</w:t>
                  </w:r>
                </w:p>
              </w:tc>
              <w:tc>
                <w:tcPr>
                  <w:tcW w:w="1109" w:type="dxa"/>
                  <w:tcBorders>
                    <w:tl2br w:val="nil"/>
                    <w:tr2bl w:val="nil"/>
                  </w:tcBorders>
                  <w:vAlign w:val="center"/>
                </w:tcPr>
                <w:p>
                  <w:pPr>
                    <w:spacing w:line="320" w:lineRule="exact"/>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continue"/>
                  <w:tcBorders>
                    <w:tl2br w:val="nil"/>
                    <w:tr2bl w:val="nil"/>
                  </w:tcBorders>
                  <w:vAlign w:val="center"/>
                </w:tcPr>
                <w:p>
                  <w:pPr>
                    <w:spacing w:line="320" w:lineRule="exact"/>
                    <w:jc w:val="center"/>
                  </w:pPr>
                </w:p>
              </w:tc>
              <w:tc>
                <w:tcPr>
                  <w:tcW w:w="3237" w:type="dxa"/>
                  <w:tcBorders>
                    <w:tl2br w:val="nil"/>
                    <w:tr2bl w:val="nil"/>
                  </w:tcBorders>
                  <w:vAlign w:val="center"/>
                </w:tcPr>
                <w:p>
                  <w:pPr>
                    <w:spacing w:line="320" w:lineRule="exact"/>
                    <w:jc w:val="center"/>
                  </w:pPr>
                  <w:r>
                    <w:t>产生量（</w:t>
                  </w:r>
                  <w:r>
                    <w:rPr>
                      <w:rFonts w:hint="eastAsia"/>
                    </w:rPr>
                    <w:t>m</w:t>
                  </w:r>
                  <w:r>
                    <w:rPr>
                      <w:rFonts w:hint="eastAsia"/>
                      <w:vertAlign w:val="superscript"/>
                    </w:rPr>
                    <w:t>3</w:t>
                  </w:r>
                  <w:r>
                    <w:t>/a）</w:t>
                  </w:r>
                </w:p>
              </w:tc>
              <w:tc>
                <w:tcPr>
                  <w:tcW w:w="873" w:type="dxa"/>
                  <w:tcBorders>
                    <w:tl2br w:val="nil"/>
                    <w:tr2bl w:val="nil"/>
                  </w:tcBorders>
                  <w:vAlign w:val="center"/>
                </w:tcPr>
                <w:p>
                  <w:pPr>
                    <w:spacing w:line="320" w:lineRule="exact"/>
                    <w:jc w:val="center"/>
                    <w:rPr>
                      <w:rFonts w:hint="default" w:eastAsia="宋体"/>
                      <w:lang w:val="en-US" w:eastAsia="zh-CN"/>
                    </w:rPr>
                  </w:pPr>
                  <w:r>
                    <w:rPr>
                      <w:rFonts w:hint="eastAsia"/>
                      <w:lang w:val="en-US" w:eastAsia="zh-CN"/>
                    </w:rPr>
                    <w:t>220.8</w:t>
                  </w:r>
                </w:p>
              </w:tc>
              <w:tc>
                <w:tcPr>
                  <w:tcW w:w="1340"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0.0773 </w:t>
                  </w:r>
                </w:p>
              </w:tc>
              <w:tc>
                <w:tcPr>
                  <w:tcW w:w="1245"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0.0066 </w:t>
                  </w:r>
                </w:p>
              </w:tc>
              <w:tc>
                <w:tcPr>
                  <w:tcW w:w="1109"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5" w:type="dxa"/>
                  <w:gridSpan w:val="2"/>
                  <w:tcBorders>
                    <w:tl2br w:val="nil"/>
                    <w:tr2bl w:val="nil"/>
                  </w:tcBorders>
                  <w:vAlign w:val="center"/>
                </w:tcPr>
                <w:p>
                  <w:pPr>
                    <w:spacing w:line="320" w:lineRule="exact"/>
                    <w:jc w:val="center"/>
                  </w:pPr>
                  <w:r>
                    <w:t>化粪池去除效率（%）</w:t>
                  </w:r>
                </w:p>
              </w:tc>
              <w:tc>
                <w:tcPr>
                  <w:tcW w:w="873" w:type="dxa"/>
                  <w:tcBorders>
                    <w:tl2br w:val="nil"/>
                    <w:tr2bl w:val="nil"/>
                  </w:tcBorders>
                  <w:vAlign w:val="center"/>
                </w:tcPr>
                <w:p>
                  <w:pPr>
                    <w:spacing w:line="320" w:lineRule="exact"/>
                    <w:jc w:val="center"/>
                  </w:pPr>
                  <w:r>
                    <w:t>/</w:t>
                  </w:r>
                </w:p>
              </w:tc>
              <w:tc>
                <w:tcPr>
                  <w:tcW w:w="1340" w:type="dxa"/>
                  <w:tcBorders>
                    <w:tl2br w:val="nil"/>
                    <w:tr2bl w:val="nil"/>
                  </w:tcBorders>
                  <w:vAlign w:val="center"/>
                </w:tcPr>
                <w:p>
                  <w:pPr>
                    <w:spacing w:line="320" w:lineRule="exact"/>
                    <w:jc w:val="center"/>
                    <w:rPr>
                      <w:rFonts w:ascii="Times New Roman" w:hAnsi="Times New Roman" w:eastAsia="宋体" w:cs="Times New Roman"/>
                    </w:rPr>
                  </w:pPr>
                  <w:r>
                    <w:rPr>
                      <w:rFonts w:ascii="Times New Roman" w:hAnsi="Times New Roman" w:eastAsia="宋体" w:cs="Times New Roman"/>
                    </w:rPr>
                    <w:t>20</w:t>
                  </w:r>
                </w:p>
              </w:tc>
              <w:tc>
                <w:tcPr>
                  <w:tcW w:w="1245" w:type="dxa"/>
                  <w:tcBorders>
                    <w:tl2br w:val="nil"/>
                    <w:tr2bl w:val="nil"/>
                  </w:tcBorders>
                  <w:vAlign w:val="center"/>
                </w:tcPr>
                <w:p>
                  <w:pPr>
                    <w:spacing w:line="320" w:lineRule="exact"/>
                    <w:jc w:val="center"/>
                    <w:rPr>
                      <w:rFonts w:ascii="Times New Roman" w:hAnsi="Times New Roman" w:eastAsia="宋体" w:cs="Times New Roman"/>
                    </w:rPr>
                  </w:pPr>
                  <w:r>
                    <w:rPr>
                      <w:rFonts w:ascii="Times New Roman" w:hAnsi="Times New Roman" w:eastAsia="宋体" w:cs="Times New Roman"/>
                    </w:rPr>
                    <w:t>3</w:t>
                  </w:r>
                </w:p>
              </w:tc>
              <w:tc>
                <w:tcPr>
                  <w:tcW w:w="1109" w:type="dxa"/>
                  <w:tcBorders>
                    <w:tl2br w:val="nil"/>
                    <w:tr2bl w:val="nil"/>
                  </w:tcBorders>
                  <w:vAlign w:val="center"/>
                </w:tcPr>
                <w:p>
                  <w:pPr>
                    <w:spacing w:line="320" w:lineRule="exact"/>
                    <w:jc w:val="center"/>
                    <w:rPr>
                      <w:rFonts w:ascii="Times New Roman" w:hAnsi="Times New Roman" w:eastAsia="宋体" w:cs="Times New Roman"/>
                    </w:rPr>
                  </w:pPr>
                  <w:r>
                    <w:rPr>
                      <w:rFonts w:ascii="Times New Roman" w:hAnsi="Times New Roman" w:eastAsia="宋体"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restart"/>
                  <w:tcBorders>
                    <w:tl2br w:val="nil"/>
                    <w:tr2bl w:val="nil"/>
                  </w:tcBorders>
                  <w:vAlign w:val="center"/>
                </w:tcPr>
                <w:p>
                  <w:pPr>
                    <w:spacing w:line="320" w:lineRule="exact"/>
                    <w:jc w:val="center"/>
                  </w:pPr>
                  <w:r>
                    <w:t>处理后</w:t>
                  </w:r>
                </w:p>
              </w:tc>
              <w:tc>
                <w:tcPr>
                  <w:tcW w:w="3237" w:type="dxa"/>
                  <w:tcBorders>
                    <w:tl2br w:val="nil"/>
                    <w:tr2bl w:val="nil"/>
                  </w:tcBorders>
                  <w:vAlign w:val="center"/>
                </w:tcPr>
                <w:p>
                  <w:pPr>
                    <w:spacing w:line="320" w:lineRule="exact"/>
                    <w:jc w:val="center"/>
                  </w:pPr>
                  <w:r>
                    <w:t>浓度（mg/L）</w:t>
                  </w:r>
                </w:p>
              </w:tc>
              <w:tc>
                <w:tcPr>
                  <w:tcW w:w="873" w:type="dxa"/>
                  <w:tcBorders>
                    <w:tl2br w:val="nil"/>
                    <w:tr2bl w:val="nil"/>
                  </w:tcBorders>
                  <w:vAlign w:val="center"/>
                </w:tcPr>
                <w:p>
                  <w:pPr>
                    <w:spacing w:line="320" w:lineRule="exact"/>
                    <w:jc w:val="center"/>
                  </w:pPr>
                  <w:r>
                    <w:t>/</w:t>
                  </w:r>
                </w:p>
              </w:tc>
              <w:tc>
                <w:tcPr>
                  <w:tcW w:w="1340" w:type="dxa"/>
                  <w:tcBorders>
                    <w:tl2br w:val="nil"/>
                    <w:tr2bl w:val="nil"/>
                  </w:tcBorders>
                  <w:vAlign w:val="center"/>
                </w:tcPr>
                <w:p>
                  <w:pPr>
                    <w:spacing w:line="320" w:lineRule="exact"/>
                    <w:jc w:val="center"/>
                    <w:rPr>
                      <w:rFonts w:ascii="Times New Roman" w:hAnsi="Times New Roman" w:eastAsia="宋体" w:cs="Times New Roman"/>
                    </w:rPr>
                  </w:pPr>
                  <w:r>
                    <w:rPr>
                      <w:rFonts w:hint="eastAsia" w:ascii="Times New Roman" w:hAnsi="Times New Roman" w:eastAsia="宋体" w:cs="Times New Roman"/>
                    </w:rPr>
                    <w:t>280</w:t>
                  </w:r>
                </w:p>
              </w:tc>
              <w:tc>
                <w:tcPr>
                  <w:tcW w:w="1245" w:type="dxa"/>
                  <w:tcBorders>
                    <w:tl2br w:val="nil"/>
                    <w:tr2bl w:val="nil"/>
                  </w:tcBorders>
                  <w:vAlign w:val="center"/>
                </w:tcPr>
                <w:p>
                  <w:pPr>
                    <w:spacing w:line="320" w:lineRule="exact"/>
                    <w:jc w:val="center"/>
                    <w:rPr>
                      <w:rFonts w:ascii="Times New Roman" w:hAnsi="Times New Roman" w:eastAsia="宋体" w:cs="Times New Roman"/>
                    </w:rPr>
                  </w:pPr>
                  <w:r>
                    <w:rPr>
                      <w:rFonts w:hint="eastAsia" w:ascii="Times New Roman" w:hAnsi="Times New Roman" w:eastAsia="宋体" w:cs="Times New Roman"/>
                    </w:rPr>
                    <w:t>29.1</w:t>
                  </w:r>
                </w:p>
              </w:tc>
              <w:tc>
                <w:tcPr>
                  <w:tcW w:w="1109" w:type="dxa"/>
                  <w:tcBorders>
                    <w:tl2br w:val="nil"/>
                    <w:tr2bl w:val="nil"/>
                  </w:tcBorders>
                  <w:vAlign w:val="center"/>
                </w:tcPr>
                <w:p>
                  <w:pPr>
                    <w:spacing w:line="320" w:lineRule="exact"/>
                    <w:jc w:val="center"/>
                    <w:rPr>
                      <w:rFonts w:ascii="Times New Roman" w:hAnsi="Times New Roman" w:eastAsia="宋体" w:cs="Times New Roman"/>
                    </w:rPr>
                  </w:pPr>
                  <w:r>
                    <w:rPr>
                      <w:rFonts w:hint="eastAsia"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continue"/>
                  <w:tcBorders>
                    <w:tl2br w:val="nil"/>
                    <w:tr2bl w:val="nil"/>
                  </w:tcBorders>
                  <w:vAlign w:val="center"/>
                </w:tcPr>
                <w:p>
                  <w:pPr>
                    <w:spacing w:line="320" w:lineRule="exact"/>
                    <w:jc w:val="center"/>
                  </w:pPr>
                </w:p>
              </w:tc>
              <w:tc>
                <w:tcPr>
                  <w:tcW w:w="3237" w:type="dxa"/>
                  <w:tcBorders>
                    <w:tl2br w:val="nil"/>
                    <w:tr2bl w:val="nil"/>
                  </w:tcBorders>
                  <w:vAlign w:val="center"/>
                </w:tcPr>
                <w:p>
                  <w:pPr>
                    <w:spacing w:line="320" w:lineRule="exact"/>
                    <w:jc w:val="center"/>
                  </w:pPr>
                  <w:r>
                    <w:t>排放量（</w:t>
                  </w:r>
                  <w:r>
                    <w:rPr>
                      <w:rFonts w:hint="eastAsia"/>
                    </w:rPr>
                    <w:t>m</w:t>
                  </w:r>
                  <w:r>
                    <w:rPr>
                      <w:rFonts w:hint="eastAsia"/>
                      <w:sz w:val="24"/>
                      <w:vertAlign w:val="superscript"/>
                    </w:rPr>
                    <w:t>3</w:t>
                  </w:r>
                  <w:r>
                    <w:t>/a）</w:t>
                  </w:r>
                </w:p>
              </w:tc>
              <w:tc>
                <w:tcPr>
                  <w:tcW w:w="873" w:type="dxa"/>
                  <w:tcBorders>
                    <w:tl2br w:val="nil"/>
                    <w:tr2bl w:val="nil"/>
                  </w:tcBorders>
                  <w:vAlign w:val="center"/>
                </w:tcPr>
                <w:p>
                  <w:pPr>
                    <w:spacing w:line="320" w:lineRule="exact"/>
                    <w:jc w:val="center"/>
                    <w:rPr>
                      <w:rFonts w:hint="default" w:eastAsia="宋体"/>
                      <w:lang w:val="en-US" w:eastAsia="zh-CN"/>
                    </w:rPr>
                  </w:pPr>
                  <w:r>
                    <w:rPr>
                      <w:rFonts w:hint="eastAsia"/>
                      <w:lang w:val="en-US" w:eastAsia="zh-CN"/>
                    </w:rPr>
                    <w:t>220.8</w:t>
                  </w:r>
                </w:p>
              </w:tc>
              <w:tc>
                <w:tcPr>
                  <w:tcW w:w="1340"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0.0618 </w:t>
                  </w:r>
                </w:p>
              </w:tc>
              <w:tc>
                <w:tcPr>
                  <w:tcW w:w="1245"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0.0064 </w:t>
                  </w:r>
                </w:p>
              </w:tc>
              <w:tc>
                <w:tcPr>
                  <w:tcW w:w="1109" w:type="dxa"/>
                  <w:tcBorders>
                    <w:tl2br w:val="nil"/>
                    <w:tr2bl w:val="nil"/>
                  </w:tcBorders>
                  <w:vAlign w:val="center"/>
                </w:tcPr>
                <w:p>
                  <w:pPr>
                    <w:spacing w:line="320" w:lineRule="exac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0.0221 </w:t>
                  </w:r>
                </w:p>
              </w:tc>
            </w:tr>
          </w:tbl>
          <w:p>
            <w:pPr>
              <w:adjustRightInd w:val="0"/>
              <w:snapToGrid w:val="0"/>
              <w:spacing w:line="460" w:lineRule="exact"/>
              <w:ind w:firstLine="480" w:firstLineChars="200"/>
              <w:jc w:val="left"/>
              <w:rPr>
                <w:rFonts w:hint="eastAsia"/>
                <w:b/>
                <w:bCs/>
                <w:color w:val="000000"/>
                <w:sz w:val="24"/>
              </w:rPr>
            </w:pPr>
            <w:r>
              <w:rPr>
                <w:rFonts w:hint="default"/>
                <w:b w:val="0"/>
                <w:bCs w:val="0"/>
                <w:color w:val="000000"/>
                <w:sz w:val="24"/>
                <w:u w:val="none"/>
              </w:rPr>
              <w:t>由上表可知，本项目废水经化粪池预处理后中COD、氨氮排放浓度均满足《污水综合排放标准》（GB8978-1996）表4三级标准，项目</w:t>
            </w:r>
            <w:r>
              <w:rPr>
                <w:rFonts w:hint="eastAsia" w:ascii="Times New Roman" w:hAnsi="Times New Roman" w:eastAsia="宋体" w:cs="Times New Roman"/>
                <w:color w:val="000000"/>
                <w:sz w:val="24"/>
                <w:szCs w:val="24"/>
              </w:rPr>
              <w:t>生活污水经化粪池处理后通过东屯村污水管网排入中州渠人工湿地进一步处理，出水最终排至伊洛河。</w:t>
            </w:r>
          </w:p>
          <w:p>
            <w:pPr>
              <w:adjustRightInd w:val="0"/>
              <w:snapToGrid w:val="0"/>
              <w:spacing w:line="460" w:lineRule="exact"/>
              <w:ind w:firstLine="482" w:firstLineChars="200"/>
              <w:jc w:val="left"/>
              <w:rPr>
                <w:b/>
                <w:bCs/>
                <w:color w:val="000000"/>
                <w:sz w:val="24"/>
              </w:rPr>
            </w:pPr>
            <w:r>
              <w:rPr>
                <w:rFonts w:hint="eastAsia"/>
                <w:b/>
                <w:bCs/>
                <w:color w:val="000000"/>
                <w:sz w:val="24"/>
              </w:rPr>
              <w:t>2.2依托化粪池可行性分析</w:t>
            </w:r>
          </w:p>
          <w:p>
            <w:pPr>
              <w:adjustRightInd w:val="0"/>
              <w:snapToGrid w:val="0"/>
              <w:spacing w:line="460" w:lineRule="exact"/>
              <w:ind w:firstLine="482" w:firstLineChars="200"/>
              <w:rPr>
                <w:sz w:val="24"/>
              </w:rPr>
            </w:pPr>
            <w:r>
              <w:rPr>
                <w:rFonts w:hint="eastAsia"/>
                <w:b/>
                <w:bCs w:val="0"/>
                <w:sz w:val="24"/>
                <w:u w:val="single"/>
                <w:lang w:val="en-US" w:eastAsia="zh-CN"/>
              </w:rPr>
              <w:t>经调查，本项目所在厂区内除本项目外，西南侧车间外租为仓库，仅用于存放货物，未设置生产线，无固定工作人员。</w:t>
            </w:r>
            <w:r>
              <w:rPr>
                <w:bCs/>
                <w:sz w:val="24"/>
              </w:rPr>
              <w:t>本项目</w:t>
            </w:r>
            <w:r>
              <w:rPr>
                <w:rFonts w:hint="eastAsia"/>
                <w:bCs/>
                <w:sz w:val="24"/>
              </w:rPr>
              <w:t>建成后</w:t>
            </w:r>
            <w:r>
              <w:rPr>
                <w:bCs/>
                <w:sz w:val="24"/>
              </w:rPr>
              <w:t>生活污水产生量为</w:t>
            </w:r>
            <w:r>
              <w:rPr>
                <w:rFonts w:hint="eastAsia"/>
                <w:bCs/>
                <w:sz w:val="24"/>
                <w:lang w:val="en-US" w:eastAsia="zh-CN"/>
              </w:rPr>
              <w:t>0.736</w:t>
            </w:r>
            <w:r>
              <w:rPr>
                <w:bCs/>
                <w:sz w:val="24"/>
              </w:rPr>
              <w:t>m</w:t>
            </w:r>
            <w:r>
              <w:rPr>
                <w:bCs/>
                <w:sz w:val="24"/>
                <w:vertAlign w:val="superscript"/>
              </w:rPr>
              <w:t>3</w:t>
            </w:r>
            <w:r>
              <w:rPr>
                <w:bCs/>
                <w:sz w:val="24"/>
              </w:rPr>
              <w:t>/d</w:t>
            </w:r>
            <w:r>
              <w:rPr>
                <w:rFonts w:hint="eastAsia"/>
                <w:bCs/>
                <w:sz w:val="24"/>
              </w:rPr>
              <w:t>，化粪池容积为</w:t>
            </w:r>
            <w:r>
              <w:rPr>
                <w:rFonts w:hint="eastAsia"/>
                <w:bCs/>
                <w:sz w:val="24"/>
                <w:lang w:val="en-US" w:eastAsia="zh-CN"/>
              </w:rPr>
              <w:t>10</w:t>
            </w:r>
            <w:r>
              <w:rPr>
                <w:bCs/>
                <w:sz w:val="24"/>
              </w:rPr>
              <w:t>m</w:t>
            </w:r>
            <w:r>
              <w:rPr>
                <w:bCs/>
                <w:sz w:val="24"/>
                <w:vertAlign w:val="superscript"/>
              </w:rPr>
              <w:t>3</w:t>
            </w:r>
            <w:r>
              <w:rPr>
                <w:rFonts w:hint="eastAsia"/>
                <w:bCs/>
                <w:sz w:val="24"/>
              </w:rPr>
              <w:t>，</w:t>
            </w:r>
            <w:r>
              <w:rPr>
                <w:rFonts w:hint="eastAsia"/>
                <w:sz w:val="24"/>
                <w:szCs w:val="32"/>
              </w:rPr>
              <w:t>可满足化粪池12～24h停留时间要求。</w:t>
            </w:r>
            <w:r>
              <w:rPr>
                <w:bCs/>
                <w:sz w:val="24"/>
              </w:rPr>
              <w:t>因此，本项目依托化粪池容积可行</w:t>
            </w:r>
            <w:r>
              <w:rPr>
                <w:sz w:val="24"/>
              </w:rPr>
              <w:t>。</w:t>
            </w:r>
          </w:p>
          <w:p>
            <w:pPr>
              <w:widowControl w:val="0"/>
              <w:spacing w:line="460" w:lineRule="exact"/>
              <w:ind w:firstLine="482" w:firstLineChars="200"/>
              <w:jc w:val="left"/>
              <w:rPr>
                <w:rFonts w:hint="eastAsia" w:ascii="Times New Roman" w:hAnsi="Times New Roman" w:eastAsia="宋体" w:cs="Times New Roman"/>
                <w:b/>
                <w:bCs/>
                <w:color w:val="000000"/>
                <w:kern w:val="2"/>
                <w:sz w:val="24"/>
                <w:szCs w:val="24"/>
                <w:lang w:val="en-US" w:eastAsia="zh-CN" w:bidi="ar-SA"/>
              </w:rPr>
            </w:pPr>
            <w:r>
              <w:rPr>
                <w:rFonts w:hint="eastAsia"/>
                <w:b/>
                <w:bCs/>
                <w:color w:val="000000"/>
                <w:sz w:val="24"/>
              </w:rPr>
              <w:t>2.3</w:t>
            </w:r>
            <w:r>
              <w:rPr>
                <w:rFonts w:hint="eastAsia" w:ascii="Times New Roman" w:hAnsi="Times New Roman" w:eastAsia="宋体" w:cs="Times New Roman"/>
                <w:b/>
                <w:bCs/>
                <w:color w:val="000000"/>
                <w:kern w:val="2"/>
                <w:sz w:val="24"/>
                <w:szCs w:val="24"/>
                <w:lang w:val="en-US" w:eastAsia="zh-CN" w:bidi="ar-SA"/>
              </w:rPr>
              <w:t>项目废水进入洛阳市中州渠人工湿地可行性分析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洛阳市中州渠人工湿地位于偃师区山化镇王窑村，于2018年12月完成提标改造，提标改造工艺采用倒置缺氧/厌氧/接触氧化（A/A/O）＋人工湿地＋混凝沉淀＋纤维转盘过滤＋紫外线消毒工艺。污泥处理采用重力浓缩＋叠螺脱泥机，脱水后外运至偃师市华润热力有限公司进行焚烧处理。处理规模为6000m</w:t>
            </w:r>
            <w:r>
              <w:rPr>
                <w:rFonts w:hint="eastAsia" w:ascii="Times New Roman" w:hAnsi="Times New Roman" w:eastAsia="宋体" w:cs="Times New Roman"/>
                <w:color w:val="000000"/>
                <w:kern w:val="2"/>
                <w:sz w:val="24"/>
                <w:szCs w:val="24"/>
                <w:vertAlign w:val="superscript"/>
                <w:lang w:val="en-US" w:eastAsia="zh-CN" w:bidi="ar-SA"/>
              </w:rPr>
              <w:t>3</w:t>
            </w:r>
            <w:r>
              <w:rPr>
                <w:rFonts w:hint="eastAsia" w:ascii="Times New Roman" w:hAnsi="Times New Roman" w:eastAsia="宋体" w:cs="Times New Roman"/>
                <w:color w:val="000000"/>
                <w:kern w:val="2"/>
                <w:sz w:val="24"/>
                <w:szCs w:val="24"/>
                <w:lang w:val="en-US" w:eastAsia="zh-CN" w:bidi="ar-SA"/>
              </w:rPr>
              <w:t>/d，处理后出水水质满足《城镇污水处理厂污染物排放标准修改单》（GB18918-2002）的一级A标准。收水范围为：偃师区文化路以东，中州渠沿线包括北窑村、神沟庙、汤泉村、许庄寨、东山咀、魏窑、寨沟、王窑村、化村、山化乡和山化村等村庄在内，中州渠下游直到入伊洛河口范围内的中州渠污水。</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本项目位于洛阳市中州渠人工湿地收水范围，且该区域污水管网已铺设完善，项目废水具备直接排入洛阳市中州渠人工湿地的条件。项目营运期废水排放量</w:t>
            </w:r>
            <w:r>
              <w:rPr>
                <w:rFonts w:hint="eastAsia" w:cs="Times New Roman"/>
                <w:color w:val="000000"/>
                <w:kern w:val="2"/>
                <w:sz w:val="24"/>
                <w:szCs w:val="24"/>
                <w:lang w:val="en-US" w:eastAsia="zh-CN" w:bidi="ar-SA"/>
              </w:rPr>
              <w:t>0.736</w:t>
            </w:r>
            <w:r>
              <w:rPr>
                <w:rFonts w:hint="eastAsia" w:ascii="Times New Roman" w:hAnsi="Times New Roman" w:eastAsia="宋体" w:cs="Times New Roman"/>
                <w:color w:val="000000"/>
                <w:kern w:val="2"/>
                <w:sz w:val="24"/>
                <w:szCs w:val="24"/>
                <w:lang w:val="en-US" w:eastAsia="zh-CN" w:bidi="ar-SA"/>
              </w:rPr>
              <w:t>m</w:t>
            </w:r>
            <w:r>
              <w:rPr>
                <w:rFonts w:hint="eastAsia" w:ascii="Times New Roman" w:hAnsi="Times New Roman" w:eastAsia="宋体" w:cs="Times New Roman"/>
                <w:color w:val="000000"/>
                <w:kern w:val="2"/>
                <w:sz w:val="24"/>
                <w:szCs w:val="24"/>
                <w:vertAlign w:val="superscript"/>
                <w:lang w:val="en-US" w:eastAsia="zh-CN" w:bidi="ar-SA"/>
              </w:rPr>
              <w:t>3</w:t>
            </w:r>
            <w:r>
              <w:rPr>
                <w:rFonts w:hint="eastAsia" w:ascii="Times New Roman" w:hAnsi="Times New Roman" w:eastAsia="宋体" w:cs="Times New Roman"/>
                <w:color w:val="000000"/>
                <w:kern w:val="2"/>
                <w:sz w:val="24"/>
                <w:szCs w:val="24"/>
                <w:lang w:val="en-US" w:eastAsia="zh-CN" w:bidi="ar-SA"/>
              </w:rPr>
              <w:t>/</w:t>
            </w:r>
            <w:r>
              <w:rPr>
                <w:rFonts w:hint="eastAsia" w:cs="Times New Roman"/>
                <w:color w:val="000000"/>
                <w:kern w:val="2"/>
                <w:sz w:val="24"/>
                <w:szCs w:val="24"/>
                <w:lang w:val="en-US" w:eastAsia="zh-CN" w:bidi="ar-SA"/>
              </w:rPr>
              <w:t>d</w:t>
            </w:r>
            <w:r>
              <w:rPr>
                <w:rFonts w:hint="eastAsia" w:ascii="Times New Roman" w:hAnsi="Times New Roman" w:eastAsia="宋体" w:cs="Times New Roman"/>
                <w:color w:val="000000"/>
                <w:kern w:val="2"/>
                <w:sz w:val="24"/>
                <w:szCs w:val="24"/>
                <w:lang w:val="en-US" w:eastAsia="zh-CN" w:bidi="ar-SA"/>
              </w:rPr>
              <w:t>，洛阳市中州渠人工湿地处理能力为6000m</w:t>
            </w:r>
            <w:r>
              <w:rPr>
                <w:rFonts w:hint="eastAsia" w:ascii="Times New Roman" w:hAnsi="Times New Roman" w:eastAsia="宋体" w:cs="Times New Roman"/>
                <w:color w:val="000000"/>
                <w:kern w:val="2"/>
                <w:sz w:val="24"/>
                <w:szCs w:val="24"/>
                <w:vertAlign w:val="superscript"/>
                <w:lang w:val="en-US" w:eastAsia="zh-CN" w:bidi="ar-SA"/>
              </w:rPr>
              <w:t>3</w:t>
            </w:r>
            <w:r>
              <w:rPr>
                <w:rFonts w:hint="eastAsia" w:ascii="Times New Roman" w:hAnsi="Times New Roman" w:eastAsia="宋体" w:cs="Times New Roman"/>
                <w:color w:val="000000"/>
                <w:kern w:val="2"/>
                <w:sz w:val="24"/>
                <w:szCs w:val="24"/>
                <w:lang w:val="en-US" w:eastAsia="zh-CN" w:bidi="ar-SA"/>
              </w:rPr>
              <w:t>/d，本项目废水量远小于洛阳市中州渠人工湿地的处理能力。</w:t>
            </w:r>
            <w:r>
              <w:rPr>
                <w:rFonts w:hint="default" w:ascii="Times New Roman" w:hAnsi="Times New Roman" w:eastAsia="宋体" w:cs="Times New Roman"/>
                <w:color w:val="000000"/>
                <w:kern w:val="2"/>
                <w:sz w:val="24"/>
                <w:szCs w:val="24"/>
                <w:lang w:val="en-US" w:eastAsia="zh-CN" w:bidi="ar-SA"/>
              </w:rPr>
              <w:t>综上所述，本项目废水</w:t>
            </w:r>
            <w:r>
              <w:rPr>
                <w:rFonts w:hint="eastAsia" w:ascii="Times New Roman" w:hAnsi="Times New Roman" w:eastAsia="宋体" w:cs="Times New Roman"/>
                <w:color w:val="000000"/>
                <w:kern w:val="2"/>
                <w:sz w:val="24"/>
                <w:szCs w:val="24"/>
                <w:lang w:val="en-US" w:eastAsia="zh-CN" w:bidi="ar-SA"/>
              </w:rPr>
              <w:t>排</w:t>
            </w:r>
            <w:r>
              <w:rPr>
                <w:rFonts w:hint="default" w:ascii="Times New Roman" w:hAnsi="Times New Roman" w:eastAsia="宋体" w:cs="Times New Roman"/>
                <w:color w:val="000000"/>
                <w:kern w:val="2"/>
                <w:sz w:val="24"/>
                <w:szCs w:val="24"/>
                <w:lang w:val="en-US" w:eastAsia="zh-CN" w:bidi="ar-SA"/>
              </w:rPr>
              <w:t>入洛阳市中州渠人工湿地是可行的。</w:t>
            </w:r>
          </w:p>
          <w:p>
            <w:pPr>
              <w:adjustRightInd w:val="0"/>
              <w:snapToGrid w:val="0"/>
              <w:spacing w:line="460" w:lineRule="exact"/>
              <w:ind w:firstLine="482" w:firstLineChars="200"/>
              <w:jc w:val="left"/>
              <w:rPr>
                <w:b/>
                <w:bCs/>
                <w:color w:val="000000"/>
                <w:sz w:val="24"/>
              </w:rPr>
            </w:pPr>
            <w:r>
              <w:rPr>
                <w:b/>
                <w:bCs/>
                <w:color w:val="000000"/>
                <w:sz w:val="24"/>
              </w:rPr>
              <w:t>3、噪声</w:t>
            </w:r>
          </w:p>
          <w:p>
            <w:pPr>
              <w:adjustRightInd w:val="0"/>
              <w:snapToGrid w:val="0"/>
              <w:spacing w:line="460" w:lineRule="exact"/>
              <w:ind w:firstLine="482" w:firstLineChars="200"/>
              <w:jc w:val="left"/>
              <w:rPr>
                <w:b/>
                <w:bCs/>
                <w:color w:val="000000"/>
                <w:sz w:val="24"/>
              </w:rPr>
            </w:pPr>
            <w:r>
              <w:rPr>
                <w:b/>
                <w:bCs/>
                <w:color w:val="000000"/>
                <w:sz w:val="24"/>
              </w:rPr>
              <w:t>3.1 噪声污染源及治理措施</w:t>
            </w:r>
          </w:p>
          <w:p>
            <w:pPr>
              <w:spacing w:line="460" w:lineRule="exact"/>
              <w:ind w:firstLine="480" w:firstLineChars="200"/>
              <w:textAlignment w:val="baseline"/>
            </w:pPr>
            <w:r>
              <w:rPr>
                <w:color w:val="000000"/>
                <w:sz w:val="24"/>
              </w:rPr>
              <w:t>本项目运营期噪声主要为生产过程中</w:t>
            </w:r>
            <w:r>
              <w:rPr>
                <w:rFonts w:hint="eastAsia"/>
                <w:color w:val="000000"/>
                <w:sz w:val="24"/>
              </w:rPr>
              <w:t>产生的机械噪声</w:t>
            </w:r>
            <w:r>
              <w:rPr>
                <w:color w:val="000000"/>
                <w:sz w:val="24"/>
              </w:rPr>
              <w:t>，经类比同类设备，声级为</w:t>
            </w:r>
            <w:r>
              <w:rPr>
                <w:rFonts w:hint="eastAsia"/>
                <w:color w:val="000000"/>
                <w:sz w:val="24"/>
              </w:rPr>
              <w:t>70~80</w:t>
            </w:r>
            <w:r>
              <w:rPr>
                <w:color w:val="000000"/>
                <w:sz w:val="24"/>
              </w:rPr>
              <w:t>dB（A）。其主要噪声源强及防治措施见下表。</w:t>
            </w:r>
          </w:p>
          <w:p>
            <w:pPr>
              <w:pStyle w:val="5"/>
              <w:numPr>
                <w:ilvl w:val="0"/>
                <w:numId w:val="0"/>
              </w:numPr>
              <w:ind w:firstLine="482" w:firstLineChars="200"/>
            </w:pPr>
            <w:r>
              <w:rPr>
                <w:rFonts w:hint="eastAsia"/>
              </w:rPr>
              <w:t>表</w:t>
            </w:r>
            <w:r>
              <w:rPr>
                <w:rFonts w:hint="eastAsia"/>
                <w:lang w:val="en-US" w:eastAsia="zh-CN"/>
              </w:rPr>
              <w:t>22</w:t>
            </w:r>
            <w:r>
              <w:t xml:space="preserve">         项目主要噪声源及治理措施一览表       单位：dB(A)</w:t>
            </w:r>
          </w:p>
          <w:tbl>
            <w:tblPr>
              <w:tblStyle w:val="21"/>
              <w:tblW w:w="497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54"/>
              <w:gridCol w:w="846"/>
              <w:gridCol w:w="909"/>
              <w:gridCol w:w="1200"/>
              <w:gridCol w:w="2040"/>
              <w:gridCol w:w="1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2054" w:type="dxa"/>
                  <w:vAlign w:val="center"/>
                </w:tcPr>
                <w:p>
                  <w:pPr>
                    <w:pStyle w:val="37"/>
                    <w:spacing w:line="320" w:lineRule="exact"/>
                    <w:jc w:val="center"/>
                  </w:pPr>
                  <w:r>
                    <w:t>高噪声设备名称</w:t>
                  </w:r>
                </w:p>
              </w:tc>
              <w:tc>
                <w:tcPr>
                  <w:tcW w:w="846" w:type="dxa"/>
                  <w:vAlign w:val="center"/>
                </w:tcPr>
                <w:p>
                  <w:pPr>
                    <w:pStyle w:val="37"/>
                    <w:spacing w:line="320" w:lineRule="exact"/>
                    <w:jc w:val="center"/>
                  </w:pPr>
                  <w:r>
                    <w:t>数量</w:t>
                  </w:r>
                  <w:r>
                    <w:rPr>
                      <w:rFonts w:hint="eastAsia"/>
                    </w:rPr>
                    <w:t>（台）</w:t>
                  </w:r>
                </w:p>
              </w:tc>
              <w:tc>
                <w:tcPr>
                  <w:tcW w:w="909" w:type="dxa"/>
                  <w:vAlign w:val="center"/>
                </w:tcPr>
                <w:p>
                  <w:pPr>
                    <w:pStyle w:val="37"/>
                    <w:spacing w:line="320" w:lineRule="exact"/>
                    <w:jc w:val="center"/>
                  </w:pPr>
                  <w:r>
                    <w:t>噪声</w:t>
                  </w:r>
                </w:p>
                <w:p>
                  <w:pPr>
                    <w:pStyle w:val="37"/>
                    <w:spacing w:line="320" w:lineRule="exact"/>
                    <w:jc w:val="center"/>
                  </w:pPr>
                  <w:r>
                    <w:t>源强</w:t>
                  </w:r>
                </w:p>
              </w:tc>
              <w:tc>
                <w:tcPr>
                  <w:tcW w:w="1200" w:type="dxa"/>
                  <w:vAlign w:val="center"/>
                </w:tcPr>
                <w:p>
                  <w:pPr>
                    <w:pStyle w:val="37"/>
                    <w:spacing w:line="320" w:lineRule="exact"/>
                    <w:jc w:val="center"/>
                  </w:pPr>
                  <w:r>
                    <w:t>运行情况</w:t>
                  </w:r>
                </w:p>
              </w:tc>
              <w:tc>
                <w:tcPr>
                  <w:tcW w:w="2040" w:type="dxa"/>
                  <w:vAlign w:val="center"/>
                </w:tcPr>
                <w:p>
                  <w:pPr>
                    <w:pStyle w:val="37"/>
                    <w:spacing w:line="320" w:lineRule="exact"/>
                    <w:jc w:val="center"/>
                  </w:pPr>
                  <w:r>
                    <w:t>防治措施</w:t>
                  </w:r>
                </w:p>
              </w:tc>
              <w:tc>
                <w:tcPr>
                  <w:tcW w:w="1295" w:type="dxa"/>
                  <w:vAlign w:val="center"/>
                </w:tcPr>
                <w:p>
                  <w:pPr>
                    <w:pStyle w:val="37"/>
                    <w:spacing w:line="320" w:lineRule="exact"/>
                    <w:jc w:val="center"/>
                  </w:pPr>
                  <w:r>
                    <w:t>采取措施后车间外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2054" w:type="dxa"/>
                  <w:vAlign w:val="center"/>
                </w:tcPr>
                <w:p>
                  <w:pPr>
                    <w:widowControl/>
                    <w:spacing w:beforeLines="0" w:line="360" w:lineRule="exact"/>
                    <w:ind w:firstLine="0" w:firstLineChars="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olor w:val="000000"/>
                      <w:sz w:val="22"/>
                      <w:szCs w:val="22"/>
                      <w:lang w:val="en-US" w:eastAsia="zh-CN"/>
                    </w:rPr>
                    <w:t>发泡机</w:t>
                  </w:r>
                </w:p>
              </w:tc>
              <w:tc>
                <w:tcPr>
                  <w:tcW w:w="846"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w:t>
                  </w:r>
                </w:p>
              </w:tc>
              <w:tc>
                <w:tcPr>
                  <w:tcW w:w="909" w:type="dxa"/>
                  <w:vAlign w:val="center"/>
                </w:tcPr>
                <w:p>
                  <w:pPr>
                    <w:pStyle w:val="37"/>
                    <w:spacing w:line="320" w:lineRule="exact"/>
                    <w:jc w:val="center"/>
                    <w:rPr>
                      <w:rFonts w:hint="default" w:eastAsia="宋体"/>
                      <w:lang w:val="en-US" w:eastAsia="zh-CN"/>
                    </w:rPr>
                  </w:pPr>
                  <w:r>
                    <w:rPr>
                      <w:rFonts w:hint="eastAsia"/>
                      <w:lang w:val="en-US" w:eastAsia="zh-CN"/>
                    </w:rPr>
                    <w:t>75</w:t>
                  </w:r>
                </w:p>
              </w:tc>
              <w:tc>
                <w:tcPr>
                  <w:tcW w:w="1200" w:type="dxa"/>
                  <w:vMerge w:val="restart"/>
                  <w:vAlign w:val="center"/>
                </w:tcPr>
                <w:p>
                  <w:pPr>
                    <w:pStyle w:val="37"/>
                    <w:spacing w:line="320" w:lineRule="exact"/>
                    <w:jc w:val="center"/>
                  </w:pPr>
                  <w:r>
                    <w:t>间断</w:t>
                  </w:r>
                </w:p>
              </w:tc>
              <w:tc>
                <w:tcPr>
                  <w:tcW w:w="2040" w:type="dxa"/>
                  <w:vMerge w:val="restart"/>
                  <w:vAlign w:val="center"/>
                </w:tcPr>
                <w:p>
                  <w:pPr>
                    <w:pStyle w:val="37"/>
                    <w:spacing w:line="320" w:lineRule="exact"/>
                    <w:jc w:val="center"/>
                  </w:pPr>
                  <w:r>
                    <w:rPr>
                      <w:rFonts w:hint="eastAsia"/>
                    </w:rPr>
                    <w:t>距离衰减</w:t>
                  </w:r>
                  <w:r>
                    <w:t>、车间隔声</w:t>
                  </w:r>
                </w:p>
              </w:tc>
              <w:tc>
                <w:tcPr>
                  <w:tcW w:w="1295" w:type="dxa"/>
                  <w:vAlign w:val="center"/>
                </w:tcPr>
                <w:p>
                  <w:pPr>
                    <w:pStyle w:val="37"/>
                    <w:spacing w:line="320" w:lineRule="exact"/>
                    <w:jc w:val="center"/>
                    <w:rPr>
                      <w:rFonts w:hint="default" w:eastAsia="宋体"/>
                      <w:lang w:val="en-US" w:eastAsia="zh-CN"/>
                    </w:rPr>
                  </w:pPr>
                  <w:r>
                    <w:rPr>
                      <w:rFonts w:hint="eastAsia"/>
                      <w:lang w:val="en-US" w:eastAsia="zh-CN"/>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 w:hRule="atLeast"/>
                <w:tblHeader/>
                <w:jc w:val="center"/>
              </w:trPr>
              <w:tc>
                <w:tcPr>
                  <w:tcW w:w="2054" w:type="dxa"/>
                  <w:vAlign w:val="center"/>
                </w:tcPr>
                <w:p>
                  <w:pPr>
                    <w:widowControl/>
                    <w:tabs>
                      <w:tab w:val="left" w:pos="437"/>
                    </w:tabs>
                    <w:spacing w:beforeLines="0" w:line="360" w:lineRule="exact"/>
                    <w:ind w:firstLine="0" w:firstLineChars="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olor w:val="000000"/>
                      <w:sz w:val="22"/>
                      <w:szCs w:val="22"/>
                      <w:lang w:val="en-US" w:eastAsia="zh-CN"/>
                    </w:rPr>
                    <w:t>冷压机</w:t>
                  </w:r>
                </w:p>
              </w:tc>
              <w:tc>
                <w:tcPr>
                  <w:tcW w:w="846"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909" w:type="dxa"/>
                  <w:vAlign w:val="center"/>
                </w:tcPr>
                <w:p>
                  <w:pPr>
                    <w:pStyle w:val="37"/>
                    <w:spacing w:line="320" w:lineRule="exact"/>
                    <w:jc w:val="center"/>
                    <w:rPr>
                      <w:rFonts w:hint="default" w:eastAsia="宋体"/>
                      <w:szCs w:val="21"/>
                      <w:lang w:val="en-US" w:eastAsia="zh-CN"/>
                    </w:rPr>
                  </w:pPr>
                  <w:r>
                    <w:rPr>
                      <w:rFonts w:hint="eastAsia"/>
                      <w:szCs w:val="21"/>
                      <w:lang w:val="en-US" w:eastAsia="zh-CN"/>
                    </w:rPr>
                    <w:t>75</w:t>
                  </w:r>
                </w:p>
              </w:tc>
              <w:tc>
                <w:tcPr>
                  <w:tcW w:w="1200" w:type="dxa"/>
                  <w:vMerge w:val="continue"/>
                  <w:vAlign w:val="center"/>
                </w:tcPr>
                <w:p>
                  <w:pPr>
                    <w:pStyle w:val="37"/>
                    <w:spacing w:line="320" w:lineRule="exact"/>
                    <w:jc w:val="center"/>
                    <w:rPr>
                      <w:szCs w:val="21"/>
                    </w:rPr>
                  </w:pPr>
                </w:p>
              </w:tc>
              <w:tc>
                <w:tcPr>
                  <w:tcW w:w="2040" w:type="dxa"/>
                  <w:vMerge w:val="continue"/>
                  <w:vAlign w:val="center"/>
                </w:tcPr>
                <w:p>
                  <w:pPr>
                    <w:pStyle w:val="37"/>
                    <w:spacing w:line="320" w:lineRule="exact"/>
                    <w:jc w:val="center"/>
                    <w:rPr>
                      <w:szCs w:val="21"/>
                    </w:rPr>
                  </w:pPr>
                </w:p>
              </w:tc>
              <w:tc>
                <w:tcPr>
                  <w:tcW w:w="1295" w:type="dxa"/>
                  <w:vAlign w:val="center"/>
                </w:tcPr>
                <w:p>
                  <w:pPr>
                    <w:pStyle w:val="37"/>
                    <w:spacing w:line="320" w:lineRule="exact"/>
                    <w:jc w:val="center"/>
                    <w:rPr>
                      <w:rFonts w:hint="default" w:eastAsia="宋体"/>
                      <w:szCs w:val="21"/>
                      <w:lang w:val="en-US" w:eastAsia="zh-CN"/>
                    </w:rPr>
                  </w:pPr>
                  <w:r>
                    <w:rPr>
                      <w:rFonts w:hint="eastAsia"/>
                      <w:szCs w:val="21"/>
                      <w:lang w:val="en-US" w:eastAsia="zh-CN"/>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 w:hRule="atLeast"/>
                <w:tblHeader/>
                <w:jc w:val="center"/>
              </w:trPr>
              <w:tc>
                <w:tcPr>
                  <w:tcW w:w="2054" w:type="dxa"/>
                  <w:vAlign w:val="center"/>
                </w:tcPr>
                <w:p>
                  <w:pPr>
                    <w:widowControl/>
                    <w:spacing w:beforeLines="0" w:line="360" w:lineRule="exact"/>
                    <w:ind w:firstLine="0" w:firstLineChars="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olor w:val="000000"/>
                      <w:sz w:val="22"/>
                      <w:szCs w:val="22"/>
                      <w:lang w:val="en-US" w:eastAsia="zh-CN"/>
                    </w:rPr>
                    <w:t>热压机</w:t>
                  </w:r>
                </w:p>
              </w:tc>
              <w:tc>
                <w:tcPr>
                  <w:tcW w:w="846"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w:t>
                  </w:r>
                </w:p>
              </w:tc>
              <w:tc>
                <w:tcPr>
                  <w:tcW w:w="909" w:type="dxa"/>
                  <w:vAlign w:val="center"/>
                </w:tcPr>
                <w:p>
                  <w:pPr>
                    <w:pStyle w:val="37"/>
                    <w:spacing w:line="320" w:lineRule="exact"/>
                    <w:jc w:val="center"/>
                    <w:rPr>
                      <w:rFonts w:hint="default" w:eastAsia="宋体"/>
                      <w:szCs w:val="21"/>
                      <w:lang w:val="en-US" w:eastAsia="zh-CN"/>
                    </w:rPr>
                  </w:pPr>
                  <w:r>
                    <w:rPr>
                      <w:rFonts w:hint="eastAsia"/>
                      <w:szCs w:val="21"/>
                      <w:lang w:val="en-US" w:eastAsia="zh-CN"/>
                    </w:rPr>
                    <w:t>75</w:t>
                  </w:r>
                </w:p>
              </w:tc>
              <w:tc>
                <w:tcPr>
                  <w:tcW w:w="1200" w:type="dxa"/>
                  <w:vMerge w:val="continue"/>
                  <w:vAlign w:val="center"/>
                </w:tcPr>
                <w:p>
                  <w:pPr>
                    <w:pStyle w:val="37"/>
                    <w:spacing w:line="320" w:lineRule="exact"/>
                    <w:jc w:val="center"/>
                    <w:rPr>
                      <w:szCs w:val="21"/>
                    </w:rPr>
                  </w:pPr>
                </w:p>
              </w:tc>
              <w:tc>
                <w:tcPr>
                  <w:tcW w:w="2040" w:type="dxa"/>
                  <w:vMerge w:val="continue"/>
                  <w:vAlign w:val="center"/>
                </w:tcPr>
                <w:p>
                  <w:pPr>
                    <w:pStyle w:val="37"/>
                    <w:spacing w:line="320" w:lineRule="exact"/>
                    <w:jc w:val="center"/>
                    <w:rPr>
                      <w:szCs w:val="21"/>
                    </w:rPr>
                  </w:pPr>
                </w:p>
              </w:tc>
              <w:tc>
                <w:tcPr>
                  <w:tcW w:w="1295" w:type="dxa"/>
                  <w:vAlign w:val="center"/>
                </w:tcPr>
                <w:p>
                  <w:pPr>
                    <w:pStyle w:val="37"/>
                    <w:spacing w:line="320" w:lineRule="exact"/>
                    <w:jc w:val="center"/>
                    <w:rPr>
                      <w:rFonts w:hint="default" w:eastAsia="宋体"/>
                      <w:szCs w:val="21"/>
                      <w:lang w:val="en-US" w:eastAsia="zh-CN"/>
                    </w:rPr>
                  </w:pPr>
                  <w:r>
                    <w:rPr>
                      <w:rFonts w:hint="eastAsia"/>
                      <w:szCs w:val="21"/>
                      <w:lang w:val="en-US" w:eastAsia="zh-CN"/>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 w:hRule="atLeast"/>
                <w:tblHeader/>
                <w:jc w:val="center"/>
              </w:trPr>
              <w:tc>
                <w:tcPr>
                  <w:tcW w:w="2054" w:type="dxa"/>
                  <w:vAlign w:val="center"/>
                </w:tcPr>
                <w:p>
                  <w:pPr>
                    <w:widowControl/>
                    <w:spacing w:beforeLines="0" w:line="360" w:lineRule="exact"/>
                    <w:ind w:firstLine="0" w:firstLineChars="0"/>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冲裁机</w:t>
                  </w:r>
                </w:p>
              </w:tc>
              <w:tc>
                <w:tcPr>
                  <w:tcW w:w="846"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909" w:type="dxa"/>
                  <w:vAlign w:val="center"/>
                </w:tcPr>
                <w:p>
                  <w:pPr>
                    <w:pStyle w:val="37"/>
                    <w:spacing w:line="320" w:lineRule="exact"/>
                    <w:jc w:val="center"/>
                    <w:rPr>
                      <w:rFonts w:hint="default" w:eastAsia="宋体"/>
                      <w:szCs w:val="21"/>
                      <w:lang w:val="en-US" w:eastAsia="zh-CN"/>
                    </w:rPr>
                  </w:pPr>
                  <w:r>
                    <w:rPr>
                      <w:rFonts w:hint="eastAsia"/>
                      <w:szCs w:val="21"/>
                      <w:lang w:val="en-US" w:eastAsia="zh-CN"/>
                    </w:rPr>
                    <w:t>78</w:t>
                  </w:r>
                </w:p>
              </w:tc>
              <w:tc>
                <w:tcPr>
                  <w:tcW w:w="1200" w:type="dxa"/>
                  <w:vMerge w:val="continue"/>
                  <w:vAlign w:val="center"/>
                </w:tcPr>
                <w:p>
                  <w:pPr>
                    <w:pStyle w:val="37"/>
                    <w:spacing w:line="320" w:lineRule="exact"/>
                    <w:jc w:val="center"/>
                    <w:rPr>
                      <w:szCs w:val="21"/>
                    </w:rPr>
                  </w:pPr>
                </w:p>
              </w:tc>
              <w:tc>
                <w:tcPr>
                  <w:tcW w:w="2040" w:type="dxa"/>
                  <w:vMerge w:val="continue"/>
                  <w:vAlign w:val="center"/>
                </w:tcPr>
                <w:p>
                  <w:pPr>
                    <w:pStyle w:val="37"/>
                    <w:spacing w:line="320" w:lineRule="exact"/>
                    <w:jc w:val="center"/>
                    <w:rPr>
                      <w:szCs w:val="21"/>
                    </w:rPr>
                  </w:pPr>
                </w:p>
              </w:tc>
              <w:tc>
                <w:tcPr>
                  <w:tcW w:w="1295" w:type="dxa"/>
                  <w:vAlign w:val="center"/>
                </w:tcPr>
                <w:p>
                  <w:pPr>
                    <w:pStyle w:val="37"/>
                    <w:spacing w:line="320" w:lineRule="exact"/>
                    <w:jc w:val="center"/>
                    <w:rPr>
                      <w:rFonts w:hint="default" w:eastAsia="宋体"/>
                      <w:szCs w:val="21"/>
                      <w:lang w:val="en-US" w:eastAsia="zh-CN"/>
                    </w:rPr>
                  </w:pPr>
                  <w:r>
                    <w:rPr>
                      <w:rFonts w:hint="eastAsia"/>
                      <w:szCs w:val="21"/>
                      <w:lang w:val="en-US" w:eastAsia="zh-CN"/>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 w:hRule="atLeast"/>
                <w:tblHeader/>
                <w:jc w:val="center"/>
              </w:trPr>
              <w:tc>
                <w:tcPr>
                  <w:tcW w:w="2054" w:type="dxa"/>
                  <w:vAlign w:val="center"/>
                </w:tcPr>
                <w:p>
                  <w:pPr>
                    <w:widowControl/>
                    <w:spacing w:beforeLines="0" w:line="360" w:lineRule="exact"/>
                    <w:ind w:firstLine="0" w:firstLineChars="0"/>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eastAsia="宋体"/>
                      <w:color w:val="000000"/>
                      <w:sz w:val="22"/>
                      <w:szCs w:val="22"/>
                      <w:lang w:val="en-US" w:eastAsia="zh-CN"/>
                    </w:rPr>
                    <w:t>风机</w:t>
                  </w:r>
                </w:p>
              </w:tc>
              <w:tc>
                <w:tcPr>
                  <w:tcW w:w="846" w:type="dxa"/>
                  <w:vAlign w:val="center"/>
                </w:tcPr>
                <w:p>
                  <w:pPr>
                    <w:widowControl/>
                    <w:spacing w:line="320" w:lineRule="exact"/>
                    <w:jc w:val="center"/>
                    <w:textAlignment w:val="center"/>
                    <w:rPr>
                      <w:rFonts w:hint="default"/>
                      <w:szCs w:val="21"/>
                      <w:lang w:val="en-US" w:eastAsia="zh-CN"/>
                    </w:rPr>
                  </w:pPr>
                  <w:r>
                    <w:rPr>
                      <w:rFonts w:hint="eastAsia"/>
                      <w:szCs w:val="21"/>
                      <w:lang w:val="en-US" w:eastAsia="zh-CN"/>
                    </w:rPr>
                    <w:t>1</w:t>
                  </w:r>
                </w:p>
              </w:tc>
              <w:tc>
                <w:tcPr>
                  <w:tcW w:w="909" w:type="dxa"/>
                  <w:vAlign w:val="center"/>
                </w:tcPr>
                <w:p>
                  <w:pPr>
                    <w:pStyle w:val="37"/>
                    <w:spacing w:line="320" w:lineRule="exact"/>
                    <w:jc w:val="center"/>
                    <w:rPr>
                      <w:rFonts w:hint="default"/>
                      <w:szCs w:val="21"/>
                      <w:lang w:val="en-US" w:eastAsia="zh-CN"/>
                    </w:rPr>
                  </w:pPr>
                  <w:r>
                    <w:rPr>
                      <w:rFonts w:hint="eastAsia"/>
                      <w:szCs w:val="21"/>
                      <w:lang w:val="en-US" w:eastAsia="zh-CN"/>
                    </w:rPr>
                    <w:t>80</w:t>
                  </w:r>
                </w:p>
              </w:tc>
              <w:tc>
                <w:tcPr>
                  <w:tcW w:w="1200" w:type="dxa"/>
                  <w:vMerge w:val="continue"/>
                  <w:vAlign w:val="center"/>
                </w:tcPr>
                <w:p>
                  <w:pPr>
                    <w:pStyle w:val="37"/>
                    <w:spacing w:line="320" w:lineRule="exact"/>
                    <w:jc w:val="center"/>
                    <w:rPr>
                      <w:szCs w:val="21"/>
                    </w:rPr>
                  </w:pPr>
                </w:p>
              </w:tc>
              <w:tc>
                <w:tcPr>
                  <w:tcW w:w="2040" w:type="dxa"/>
                  <w:vMerge w:val="continue"/>
                  <w:vAlign w:val="center"/>
                </w:tcPr>
                <w:p>
                  <w:pPr>
                    <w:pStyle w:val="37"/>
                    <w:spacing w:line="320" w:lineRule="exact"/>
                    <w:jc w:val="center"/>
                    <w:rPr>
                      <w:szCs w:val="21"/>
                    </w:rPr>
                  </w:pPr>
                </w:p>
              </w:tc>
              <w:tc>
                <w:tcPr>
                  <w:tcW w:w="1295" w:type="dxa"/>
                  <w:vAlign w:val="center"/>
                </w:tcPr>
                <w:p>
                  <w:pPr>
                    <w:pStyle w:val="37"/>
                    <w:spacing w:line="320" w:lineRule="exact"/>
                    <w:jc w:val="center"/>
                    <w:rPr>
                      <w:rFonts w:hint="default"/>
                      <w:szCs w:val="21"/>
                      <w:lang w:val="en-US" w:eastAsia="zh-CN"/>
                    </w:rPr>
                  </w:pPr>
                  <w:r>
                    <w:rPr>
                      <w:rFonts w:hint="eastAsia"/>
                      <w:szCs w:val="21"/>
                      <w:lang w:val="en-US" w:eastAsia="zh-CN"/>
                    </w:rPr>
                    <w:t>60</w:t>
                  </w:r>
                </w:p>
              </w:tc>
            </w:tr>
          </w:tbl>
          <w:p>
            <w:pPr>
              <w:adjustRightInd w:val="0"/>
              <w:snapToGrid w:val="0"/>
              <w:spacing w:line="460" w:lineRule="exact"/>
              <w:ind w:firstLine="482" w:firstLineChars="200"/>
              <w:jc w:val="left"/>
              <w:rPr>
                <w:b/>
                <w:bCs/>
                <w:color w:val="000000"/>
                <w:sz w:val="24"/>
              </w:rPr>
            </w:pPr>
            <w:r>
              <w:rPr>
                <w:b/>
                <w:bCs/>
                <w:color w:val="000000"/>
                <w:sz w:val="24"/>
              </w:rPr>
              <w:t>3.2预测模式</w:t>
            </w:r>
          </w:p>
          <w:p>
            <w:pPr>
              <w:spacing w:line="460" w:lineRule="exact"/>
              <w:ind w:firstLine="480" w:firstLineChars="200"/>
              <w:textAlignment w:val="baseline"/>
              <w:rPr>
                <w:color w:val="000000"/>
                <w:sz w:val="24"/>
              </w:rPr>
            </w:pPr>
            <w:r>
              <w:rPr>
                <w:color w:val="000000"/>
                <w:sz w:val="24"/>
              </w:rPr>
              <w:t>本次声环境影响评价选用如下预测模式：</w:t>
            </w:r>
          </w:p>
          <w:p>
            <w:pPr>
              <w:spacing w:line="460" w:lineRule="exact"/>
              <w:ind w:firstLine="480" w:firstLineChars="200"/>
              <w:textAlignment w:val="baseline"/>
              <w:rPr>
                <w:color w:val="000000"/>
                <w:sz w:val="24"/>
              </w:rPr>
            </w:pPr>
            <w:r>
              <w:rPr>
                <w:color w:val="000000"/>
                <w:sz w:val="24"/>
              </w:rPr>
              <w:t>当预测点受多声源叠加影响时，噪声源叠加公式：</w:t>
            </w:r>
          </w:p>
          <w:p>
            <w:pPr>
              <w:spacing w:line="460" w:lineRule="exact"/>
              <w:ind w:firstLine="420" w:firstLineChars="200"/>
              <w:rPr>
                <w:color w:val="000000"/>
                <w:sz w:val="24"/>
              </w:rPr>
            </w:pPr>
            <w:r>
              <w:t xml:space="preserve">                   </w:t>
            </w:r>
            <w:r>
              <w:rPr>
                <w:position w:val="-28"/>
              </w:rPr>
              <w:object>
                <v:shape id="_x0000_i1025" o:spt="75" type="#_x0000_t75" style="height:37.5pt;width:11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spacing w:line="460" w:lineRule="exact"/>
              <w:ind w:firstLine="480" w:firstLineChars="200"/>
              <w:textAlignment w:val="baseline"/>
              <w:rPr>
                <w:color w:val="000000"/>
                <w:sz w:val="24"/>
              </w:rPr>
            </w:pPr>
            <w:r>
              <w:rPr>
                <w:color w:val="000000"/>
                <w:sz w:val="24"/>
              </w:rPr>
              <w:t>式中：L—总声压级，dB(A)；</w:t>
            </w:r>
          </w:p>
          <w:p>
            <w:pPr>
              <w:spacing w:line="460" w:lineRule="exact"/>
              <w:ind w:firstLine="480" w:firstLineChars="200"/>
              <w:textAlignment w:val="baseline"/>
              <w:rPr>
                <w:color w:val="000000"/>
                <w:sz w:val="24"/>
              </w:rPr>
            </w:pPr>
            <w:r>
              <w:rPr>
                <w:color w:val="000000"/>
                <w:sz w:val="24"/>
              </w:rPr>
              <w:t>Li—第i个声源的声压级，dB(A)；</w:t>
            </w:r>
          </w:p>
          <w:p>
            <w:pPr>
              <w:spacing w:line="460" w:lineRule="exact"/>
              <w:ind w:firstLine="480" w:firstLineChars="200"/>
              <w:textAlignment w:val="baseline"/>
              <w:rPr>
                <w:color w:val="000000"/>
                <w:sz w:val="24"/>
              </w:rPr>
            </w:pPr>
            <w:r>
              <w:rPr>
                <w:color w:val="000000"/>
                <w:sz w:val="24"/>
              </w:rPr>
              <w:t>n—声源数量。</w:t>
            </w:r>
          </w:p>
          <w:p>
            <w:pPr>
              <w:spacing w:line="460" w:lineRule="exact"/>
              <w:ind w:firstLine="480" w:firstLineChars="200"/>
              <w:textAlignment w:val="baseline"/>
              <w:rPr>
                <w:color w:val="000000"/>
                <w:sz w:val="24"/>
              </w:rPr>
            </w:pPr>
            <w:r>
              <w:rPr>
                <w:color w:val="000000"/>
                <w:sz w:val="24"/>
              </w:rPr>
              <w:t>根据</w:t>
            </w:r>
            <w:r>
              <w:rPr>
                <w:b/>
                <w:bCs/>
                <w:color w:val="000000"/>
                <w:sz w:val="24"/>
                <w:u w:val="single"/>
              </w:rPr>
              <w:t>《环境影响评价技术导则 声环境》(HJ 2.4-</w:t>
            </w:r>
            <w:r>
              <w:rPr>
                <w:rFonts w:hint="eastAsia"/>
                <w:b/>
                <w:bCs/>
                <w:color w:val="000000"/>
                <w:sz w:val="24"/>
                <w:u w:val="single"/>
                <w:lang w:val="en-US" w:eastAsia="zh-CN"/>
              </w:rPr>
              <w:t>2021</w:t>
            </w:r>
            <w:r>
              <w:rPr>
                <w:b/>
                <w:bCs/>
                <w:color w:val="000000"/>
                <w:sz w:val="24"/>
                <w:u w:val="single"/>
              </w:rPr>
              <w:t>)</w:t>
            </w:r>
            <w:r>
              <w:rPr>
                <w:color w:val="000000"/>
                <w:sz w:val="24"/>
              </w:rPr>
              <w:t>，本项目车间可视为面源。设距离为r，厂房高度为a，宽度为b，面声源影响预测模式如下：</w:t>
            </w:r>
          </w:p>
          <w:p>
            <w:pPr>
              <w:spacing w:line="460" w:lineRule="exact"/>
              <w:ind w:firstLine="480" w:firstLineChars="200"/>
              <w:textAlignment w:val="baseline"/>
              <w:rPr>
                <w:color w:val="000000"/>
                <w:sz w:val="24"/>
              </w:rPr>
            </w:pPr>
            <w:r>
              <w:rPr>
                <w:color w:val="000000"/>
                <w:sz w:val="24"/>
              </w:rPr>
              <w:t>L(r)=L（r0）—Adiv</w:t>
            </w:r>
          </w:p>
          <w:p>
            <w:pPr>
              <w:spacing w:line="460" w:lineRule="exact"/>
              <w:ind w:firstLine="480" w:firstLineChars="200"/>
              <w:textAlignment w:val="baseline"/>
              <w:rPr>
                <w:color w:val="000000"/>
                <w:sz w:val="24"/>
              </w:rPr>
            </w:pPr>
            <w:r>
              <w:rPr>
                <w:color w:val="000000"/>
                <w:sz w:val="24"/>
              </w:rPr>
              <w:t>当r&lt;a/π时，几乎不衰减（Adiv≈0）；</w:t>
            </w:r>
          </w:p>
          <w:p>
            <w:pPr>
              <w:spacing w:line="460" w:lineRule="exact"/>
              <w:ind w:firstLine="480" w:firstLineChars="200"/>
              <w:textAlignment w:val="baseline"/>
              <w:rPr>
                <w:color w:val="000000"/>
                <w:sz w:val="24"/>
              </w:rPr>
            </w:pPr>
            <w:r>
              <w:rPr>
                <w:color w:val="000000"/>
                <w:sz w:val="24"/>
              </w:rPr>
              <w:t>当a/π&lt;r&lt;b/π时，距离加倍衰减3dB左右，类似线声源衰减特性（Adiv≈10lg（r/r0））；</w:t>
            </w:r>
          </w:p>
          <w:p>
            <w:pPr>
              <w:spacing w:line="460" w:lineRule="exact"/>
              <w:ind w:firstLine="480" w:firstLineChars="200"/>
              <w:textAlignment w:val="baseline"/>
              <w:rPr>
                <w:color w:val="000000"/>
                <w:sz w:val="24"/>
              </w:rPr>
            </w:pPr>
            <w:r>
              <w:rPr>
                <w:color w:val="000000"/>
                <w:sz w:val="24"/>
              </w:rPr>
              <w:t>当r&gt;b/π时，距离加倍衰减趋近于6dB，类似为点声源衰减特性Adiv≈20lg（r/r0））；</w:t>
            </w:r>
          </w:p>
          <w:p>
            <w:pPr>
              <w:spacing w:line="460" w:lineRule="exact"/>
              <w:ind w:firstLine="480" w:firstLineChars="200"/>
              <w:textAlignment w:val="baseline"/>
              <w:rPr>
                <w:color w:val="000000"/>
                <w:sz w:val="24"/>
              </w:rPr>
            </w:pPr>
            <w:r>
              <w:rPr>
                <w:color w:val="000000"/>
                <w:sz w:val="24"/>
              </w:rPr>
              <w:t>上述式中：L(r0)—参考位置r0处的A声级，dB(A)；</w:t>
            </w:r>
          </w:p>
          <w:p>
            <w:pPr>
              <w:spacing w:line="460" w:lineRule="exact"/>
              <w:ind w:firstLine="480" w:firstLineChars="200"/>
              <w:textAlignment w:val="baseline"/>
              <w:rPr>
                <w:color w:val="000000"/>
                <w:sz w:val="24"/>
              </w:rPr>
            </w:pPr>
            <w:r>
              <w:rPr>
                <w:color w:val="000000"/>
                <w:sz w:val="24"/>
              </w:rPr>
              <w:t>r—预测点距离声源的距离，m；</w:t>
            </w:r>
          </w:p>
          <w:p>
            <w:pPr>
              <w:spacing w:line="460" w:lineRule="exact"/>
              <w:ind w:firstLine="480" w:firstLineChars="200"/>
              <w:textAlignment w:val="baseline"/>
              <w:rPr>
                <w:color w:val="000000"/>
                <w:sz w:val="24"/>
              </w:rPr>
            </w:pPr>
            <w:r>
              <w:rPr>
                <w:color w:val="000000"/>
                <w:sz w:val="24"/>
              </w:rPr>
              <w:t>r0—参考位置距离声源的距离，m；</w:t>
            </w:r>
          </w:p>
          <w:p>
            <w:pPr>
              <w:spacing w:line="460" w:lineRule="exact"/>
              <w:ind w:firstLine="480" w:firstLineChars="200"/>
              <w:textAlignment w:val="baseline"/>
              <w:rPr>
                <w:color w:val="000000"/>
                <w:sz w:val="24"/>
              </w:rPr>
            </w:pPr>
            <w:r>
              <w:rPr>
                <w:color w:val="000000"/>
                <w:sz w:val="24"/>
              </w:rPr>
              <w:t>Adiv—声波几何发散引起的倍频带衰减，dB。</w:t>
            </w:r>
          </w:p>
          <w:p>
            <w:pPr>
              <w:adjustRightInd w:val="0"/>
              <w:snapToGrid w:val="0"/>
              <w:spacing w:line="460" w:lineRule="exact"/>
              <w:ind w:firstLine="482" w:firstLineChars="200"/>
              <w:jc w:val="left"/>
              <w:rPr>
                <w:b/>
                <w:bCs/>
                <w:color w:val="000000"/>
                <w:sz w:val="24"/>
              </w:rPr>
            </w:pPr>
            <w:r>
              <w:rPr>
                <w:b/>
                <w:bCs/>
                <w:color w:val="000000"/>
                <w:sz w:val="24"/>
              </w:rPr>
              <w:t>3.3预测结果</w:t>
            </w:r>
          </w:p>
          <w:p>
            <w:pPr>
              <w:spacing w:line="460" w:lineRule="exact"/>
              <w:ind w:firstLine="480" w:firstLineChars="200"/>
              <w:textAlignment w:val="baseline"/>
              <w:rPr>
                <w:color w:val="000000"/>
                <w:sz w:val="24"/>
              </w:rPr>
            </w:pPr>
            <w:r>
              <w:rPr>
                <w:color w:val="000000"/>
                <w:sz w:val="24"/>
              </w:rPr>
              <w:t>经调查，</w:t>
            </w:r>
            <w:r>
              <w:rPr>
                <w:rFonts w:hint="eastAsia"/>
                <w:color w:val="000000"/>
                <w:sz w:val="24"/>
              </w:rPr>
              <w:t>本项目夜间不生产</w:t>
            </w:r>
            <w:r>
              <w:rPr>
                <w:color w:val="000000"/>
                <w:sz w:val="24"/>
              </w:rPr>
              <w:t>，因此本评价预测昼间项目噪声源对厂址厂界噪声贡献情况。噪声预测结果见</w:t>
            </w:r>
            <w:r>
              <w:rPr>
                <w:rFonts w:hint="eastAsia"/>
                <w:color w:val="000000"/>
                <w:sz w:val="24"/>
              </w:rPr>
              <w:t>下表。</w:t>
            </w:r>
          </w:p>
          <w:p>
            <w:pPr>
              <w:pStyle w:val="5"/>
              <w:numPr>
                <w:ilvl w:val="0"/>
                <w:numId w:val="0"/>
              </w:numPr>
              <w:ind w:firstLine="482" w:firstLineChars="200"/>
            </w:pPr>
            <w:r>
              <w:t>表</w:t>
            </w:r>
            <w:r>
              <w:rPr>
                <w:rFonts w:hint="eastAsia"/>
                <w:lang w:val="en-US" w:eastAsia="zh-CN"/>
              </w:rPr>
              <w:t>23</w:t>
            </w:r>
            <w:r>
              <w:t xml:space="preserve">             各厂界</w:t>
            </w:r>
            <w:r>
              <w:rPr>
                <w:rFonts w:hint="eastAsia"/>
              </w:rPr>
              <w:t>及敏感点</w:t>
            </w:r>
            <w:r>
              <w:t>噪声预测结果          单位：dB(A)</w:t>
            </w:r>
          </w:p>
          <w:tbl>
            <w:tblPr>
              <w:tblStyle w:val="21"/>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72"/>
              <w:gridCol w:w="1024"/>
              <w:gridCol w:w="1052"/>
              <w:gridCol w:w="1023"/>
              <w:gridCol w:w="1021"/>
              <w:gridCol w:w="108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Merge w:val="restart"/>
                  <w:vAlign w:val="center"/>
                </w:tcPr>
                <w:p>
                  <w:pPr>
                    <w:spacing w:line="320" w:lineRule="exact"/>
                    <w:jc w:val="center"/>
                  </w:pPr>
                  <w:r>
                    <w:t>影响对象</w:t>
                  </w:r>
                </w:p>
              </w:tc>
              <w:tc>
                <w:tcPr>
                  <w:tcW w:w="2848" w:type="dxa"/>
                  <w:gridSpan w:val="3"/>
                  <w:vAlign w:val="center"/>
                </w:tcPr>
                <w:p>
                  <w:pPr>
                    <w:spacing w:line="320" w:lineRule="exact"/>
                    <w:jc w:val="center"/>
                  </w:pPr>
                  <w:r>
                    <w:rPr>
                      <w:rFonts w:hint="eastAsia"/>
                    </w:rPr>
                    <w:t>厂房</w:t>
                  </w:r>
                </w:p>
              </w:tc>
              <w:tc>
                <w:tcPr>
                  <w:tcW w:w="1023" w:type="dxa"/>
                  <w:vMerge w:val="restart"/>
                  <w:vAlign w:val="center"/>
                </w:tcPr>
                <w:p>
                  <w:pPr>
                    <w:spacing w:line="320" w:lineRule="exact"/>
                    <w:jc w:val="center"/>
                  </w:pPr>
                  <w:r>
                    <w:rPr>
                      <w:rFonts w:hint="eastAsia"/>
                    </w:rPr>
                    <w:t>现状值</w:t>
                  </w:r>
                </w:p>
              </w:tc>
              <w:tc>
                <w:tcPr>
                  <w:tcW w:w="1021" w:type="dxa"/>
                  <w:vMerge w:val="restart"/>
                  <w:vAlign w:val="center"/>
                </w:tcPr>
                <w:p>
                  <w:pPr>
                    <w:spacing w:line="320" w:lineRule="exact"/>
                    <w:jc w:val="center"/>
                  </w:pPr>
                  <w:r>
                    <w:rPr>
                      <w:rFonts w:hint="eastAsia"/>
                    </w:rPr>
                    <w:t>预测值</w:t>
                  </w:r>
                </w:p>
              </w:tc>
              <w:tc>
                <w:tcPr>
                  <w:tcW w:w="1086" w:type="dxa"/>
                  <w:vMerge w:val="restart"/>
                  <w:vAlign w:val="center"/>
                </w:tcPr>
                <w:p>
                  <w:pPr>
                    <w:spacing w:line="320" w:lineRule="exact"/>
                    <w:jc w:val="center"/>
                  </w:pPr>
                  <w:r>
                    <w:t>标准值</w:t>
                  </w:r>
                </w:p>
              </w:tc>
              <w:tc>
                <w:tcPr>
                  <w:tcW w:w="1129" w:type="dxa"/>
                  <w:vMerge w:val="restart"/>
                  <w:vAlign w:val="center"/>
                </w:tcPr>
                <w:p>
                  <w:pPr>
                    <w:spacing w:line="320" w:lineRule="exact"/>
                    <w:jc w:val="center"/>
                  </w:pPr>
                  <w: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1" w:type="dxa"/>
                  <w:vMerge w:val="continue"/>
                  <w:vAlign w:val="center"/>
                </w:tcPr>
                <w:p>
                  <w:pPr>
                    <w:spacing w:line="320" w:lineRule="exact"/>
                    <w:jc w:val="center"/>
                  </w:pPr>
                </w:p>
              </w:tc>
              <w:tc>
                <w:tcPr>
                  <w:tcW w:w="772" w:type="dxa"/>
                  <w:vAlign w:val="center"/>
                </w:tcPr>
                <w:p>
                  <w:pPr>
                    <w:spacing w:line="320" w:lineRule="exact"/>
                    <w:jc w:val="center"/>
                  </w:pPr>
                  <w:r>
                    <w:t>源强</w:t>
                  </w:r>
                </w:p>
              </w:tc>
              <w:tc>
                <w:tcPr>
                  <w:tcW w:w="1024" w:type="dxa"/>
                  <w:vAlign w:val="center"/>
                </w:tcPr>
                <w:p>
                  <w:pPr>
                    <w:spacing w:line="320" w:lineRule="exact"/>
                    <w:jc w:val="center"/>
                  </w:pPr>
                  <w:r>
                    <w:t>距离（m）</w:t>
                  </w:r>
                </w:p>
              </w:tc>
              <w:tc>
                <w:tcPr>
                  <w:tcW w:w="1052" w:type="dxa"/>
                  <w:vAlign w:val="center"/>
                </w:tcPr>
                <w:p>
                  <w:pPr>
                    <w:spacing w:line="320" w:lineRule="exact"/>
                    <w:jc w:val="center"/>
                  </w:pPr>
                  <w:r>
                    <w:t>贡献值</w:t>
                  </w:r>
                </w:p>
              </w:tc>
              <w:tc>
                <w:tcPr>
                  <w:tcW w:w="1023" w:type="dxa"/>
                  <w:vMerge w:val="continue"/>
                  <w:vAlign w:val="center"/>
                </w:tcPr>
                <w:p>
                  <w:pPr>
                    <w:spacing w:line="320" w:lineRule="exact"/>
                    <w:jc w:val="center"/>
                  </w:pPr>
                </w:p>
              </w:tc>
              <w:tc>
                <w:tcPr>
                  <w:tcW w:w="1021" w:type="dxa"/>
                  <w:vMerge w:val="continue"/>
                  <w:vAlign w:val="center"/>
                </w:tcPr>
                <w:p>
                  <w:pPr>
                    <w:spacing w:line="320" w:lineRule="exact"/>
                    <w:jc w:val="center"/>
                  </w:pPr>
                </w:p>
              </w:tc>
              <w:tc>
                <w:tcPr>
                  <w:tcW w:w="1086" w:type="dxa"/>
                  <w:vMerge w:val="continue"/>
                  <w:vAlign w:val="center"/>
                </w:tcPr>
                <w:p>
                  <w:pPr>
                    <w:spacing w:line="320" w:lineRule="exact"/>
                    <w:jc w:val="center"/>
                  </w:pPr>
                </w:p>
              </w:tc>
              <w:tc>
                <w:tcPr>
                  <w:tcW w:w="1129"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rPr>
                      <w:rFonts w:hint="eastAsia"/>
                      <w:lang w:val="en-US" w:eastAsia="zh-CN"/>
                    </w:rPr>
                    <w:t>东</w:t>
                  </w:r>
                  <w:r>
                    <w:t>厂界</w:t>
                  </w:r>
                </w:p>
              </w:tc>
              <w:tc>
                <w:tcPr>
                  <w:tcW w:w="772" w:type="dxa"/>
                  <w:vMerge w:val="restart"/>
                  <w:vAlign w:val="center"/>
                </w:tcPr>
                <w:p>
                  <w:pPr>
                    <w:spacing w:line="320" w:lineRule="exact"/>
                    <w:jc w:val="center"/>
                    <w:rPr>
                      <w:rFonts w:hint="default" w:eastAsia="宋体"/>
                      <w:b w:val="0"/>
                      <w:bCs w:val="0"/>
                      <w:u w:val="none"/>
                      <w:lang w:val="en-US" w:eastAsia="zh-CN"/>
                    </w:rPr>
                  </w:pPr>
                  <w:r>
                    <w:rPr>
                      <w:rFonts w:hint="eastAsia"/>
                      <w:b w:val="0"/>
                      <w:bCs w:val="0"/>
                      <w:u w:val="none"/>
                      <w:lang w:val="en-US" w:eastAsia="zh-CN"/>
                    </w:rPr>
                    <w:t>69</w:t>
                  </w:r>
                </w:p>
              </w:tc>
              <w:tc>
                <w:tcPr>
                  <w:tcW w:w="1024" w:type="dxa"/>
                  <w:vAlign w:val="center"/>
                </w:tcPr>
                <w:p>
                  <w:pPr>
                    <w:spacing w:line="320" w:lineRule="exact"/>
                    <w:jc w:val="center"/>
                    <w:rPr>
                      <w:rFonts w:hint="default" w:eastAsia="宋体"/>
                      <w:b w:val="0"/>
                      <w:bCs w:val="0"/>
                      <w:u w:val="none"/>
                      <w:lang w:val="en-US" w:eastAsia="zh-CN"/>
                    </w:rPr>
                  </w:pPr>
                  <w:r>
                    <w:rPr>
                      <w:rFonts w:hint="eastAsia"/>
                      <w:b w:val="0"/>
                      <w:bCs w:val="0"/>
                      <w:u w:val="none"/>
                      <w:lang w:val="en-US" w:eastAsia="zh-CN"/>
                    </w:rPr>
                    <w:t>40</w:t>
                  </w:r>
                </w:p>
              </w:tc>
              <w:tc>
                <w:tcPr>
                  <w:tcW w:w="1052" w:type="dxa"/>
                  <w:vAlign w:val="center"/>
                </w:tcPr>
                <w:p>
                  <w:pPr>
                    <w:spacing w:line="320" w:lineRule="exact"/>
                    <w:jc w:val="center"/>
                    <w:rPr>
                      <w:rFonts w:hint="default" w:eastAsia="宋体"/>
                      <w:b w:val="0"/>
                      <w:bCs w:val="0"/>
                      <w:u w:val="none"/>
                      <w:lang w:val="en-US" w:eastAsia="zh-CN"/>
                    </w:rPr>
                  </w:pPr>
                  <w:r>
                    <w:rPr>
                      <w:rFonts w:hint="eastAsia"/>
                      <w:b w:val="0"/>
                      <w:bCs w:val="0"/>
                      <w:u w:val="none"/>
                      <w:lang w:val="en-US" w:eastAsia="zh-CN"/>
                    </w:rPr>
                    <w:t>36.95</w:t>
                  </w:r>
                </w:p>
              </w:tc>
              <w:tc>
                <w:tcPr>
                  <w:tcW w:w="1023" w:type="dxa"/>
                  <w:vAlign w:val="center"/>
                </w:tcPr>
                <w:p>
                  <w:pPr>
                    <w:spacing w:line="320" w:lineRule="exact"/>
                    <w:jc w:val="center"/>
                    <w:rPr>
                      <w:b w:val="0"/>
                      <w:bCs w:val="0"/>
                      <w:u w:val="none"/>
                    </w:rPr>
                  </w:pPr>
                  <w:r>
                    <w:rPr>
                      <w:rFonts w:hint="eastAsia"/>
                      <w:b w:val="0"/>
                      <w:bCs w:val="0"/>
                      <w:u w:val="none"/>
                    </w:rPr>
                    <w:t>/</w:t>
                  </w:r>
                </w:p>
              </w:tc>
              <w:tc>
                <w:tcPr>
                  <w:tcW w:w="1021" w:type="dxa"/>
                  <w:vAlign w:val="center"/>
                </w:tcPr>
                <w:p>
                  <w:pPr>
                    <w:spacing w:line="320" w:lineRule="exact"/>
                    <w:jc w:val="center"/>
                    <w:rPr>
                      <w:rFonts w:hint="default"/>
                      <w:b w:val="0"/>
                      <w:bCs w:val="0"/>
                      <w:u w:val="none"/>
                      <w:lang w:val="en-US"/>
                    </w:rPr>
                  </w:pPr>
                  <w:r>
                    <w:rPr>
                      <w:rFonts w:hint="eastAsia"/>
                      <w:b w:val="0"/>
                      <w:bCs w:val="0"/>
                      <w:u w:val="none"/>
                      <w:lang w:val="en-US" w:eastAsia="zh-CN"/>
                    </w:rPr>
                    <w:t>36.95</w:t>
                  </w:r>
                </w:p>
              </w:tc>
              <w:tc>
                <w:tcPr>
                  <w:tcW w:w="1086" w:type="dxa"/>
                  <w:vMerge w:val="restart"/>
                  <w:vAlign w:val="center"/>
                </w:tcPr>
                <w:p>
                  <w:pPr>
                    <w:spacing w:line="320" w:lineRule="exact"/>
                    <w:jc w:val="center"/>
                    <w:rPr>
                      <w:rFonts w:hint="default" w:eastAsia="宋体"/>
                      <w:lang w:val="en-US" w:eastAsia="zh-CN"/>
                    </w:rPr>
                  </w:pPr>
                  <w:r>
                    <w:rPr>
                      <w:rFonts w:hint="eastAsia"/>
                      <w:lang w:val="en-US" w:eastAsia="zh-CN"/>
                    </w:rPr>
                    <w:t>60</w:t>
                  </w:r>
                </w:p>
              </w:tc>
              <w:tc>
                <w:tcPr>
                  <w:tcW w:w="1129" w:type="dxa"/>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rPr>
                      <w:rFonts w:hint="eastAsia"/>
                      <w:lang w:val="en-US" w:eastAsia="zh-CN"/>
                    </w:rPr>
                    <w:t>西</w:t>
                  </w:r>
                  <w:r>
                    <w:t>厂界</w:t>
                  </w:r>
                </w:p>
              </w:tc>
              <w:tc>
                <w:tcPr>
                  <w:tcW w:w="772" w:type="dxa"/>
                  <w:vMerge w:val="continue"/>
                  <w:vAlign w:val="center"/>
                </w:tcPr>
                <w:p>
                  <w:pPr>
                    <w:spacing w:line="320" w:lineRule="exact"/>
                    <w:jc w:val="center"/>
                    <w:rPr>
                      <w:b w:val="0"/>
                      <w:bCs w:val="0"/>
                      <w:u w:val="none"/>
                    </w:rPr>
                  </w:pPr>
                </w:p>
              </w:tc>
              <w:tc>
                <w:tcPr>
                  <w:tcW w:w="1024" w:type="dxa"/>
                  <w:vAlign w:val="center"/>
                </w:tcPr>
                <w:p>
                  <w:pPr>
                    <w:spacing w:line="320" w:lineRule="exact"/>
                    <w:jc w:val="center"/>
                    <w:rPr>
                      <w:rFonts w:hint="default" w:eastAsia="宋体"/>
                      <w:b w:val="0"/>
                      <w:bCs w:val="0"/>
                      <w:u w:val="none"/>
                      <w:lang w:val="en-US" w:eastAsia="zh-CN"/>
                    </w:rPr>
                  </w:pPr>
                  <w:r>
                    <w:rPr>
                      <w:rFonts w:hint="eastAsia"/>
                      <w:b w:val="0"/>
                      <w:bCs w:val="0"/>
                      <w:u w:val="none"/>
                      <w:lang w:val="en-US" w:eastAsia="zh-CN"/>
                    </w:rPr>
                    <w:t>117</w:t>
                  </w:r>
                </w:p>
              </w:tc>
              <w:tc>
                <w:tcPr>
                  <w:tcW w:w="1052" w:type="dxa"/>
                  <w:vAlign w:val="center"/>
                </w:tcPr>
                <w:p>
                  <w:pPr>
                    <w:spacing w:line="320" w:lineRule="exact"/>
                    <w:jc w:val="center"/>
                    <w:rPr>
                      <w:rFonts w:hint="default" w:eastAsia="宋体"/>
                      <w:b w:val="0"/>
                      <w:bCs w:val="0"/>
                      <w:u w:val="none"/>
                      <w:lang w:val="en-US" w:eastAsia="zh-CN"/>
                    </w:rPr>
                  </w:pPr>
                  <w:r>
                    <w:rPr>
                      <w:rFonts w:hint="eastAsia"/>
                      <w:b w:val="0"/>
                      <w:bCs w:val="0"/>
                      <w:u w:val="none"/>
                      <w:lang w:val="en-US" w:eastAsia="zh-CN"/>
                    </w:rPr>
                    <w:t>27.63</w:t>
                  </w:r>
                </w:p>
              </w:tc>
              <w:tc>
                <w:tcPr>
                  <w:tcW w:w="1023" w:type="dxa"/>
                  <w:vAlign w:val="center"/>
                </w:tcPr>
                <w:p>
                  <w:pPr>
                    <w:spacing w:line="320" w:lineRule="exact"/>
                    <w:jc w:val="center"/>
                    <w:rPr>
                      <w:b w:val="0"/>
                      <w:bCs w:val="0"/>
                      <w:u w:val="none"/>
                    </w:rPr>
                  </w:pPr>
                  <w:r>
                    <w:rPr>
                      <w:rFonts w:hint="eastAsia"/>
                      <w:b w:val="0"/>
                      <w:bCs w:val="0"/>
                      <w:u w:val="none"/>
                    </w:rPr>
                    <w:t>/</w:t>
                  </w:r>
                </w:p>
              </w:tc>
              <w:tc>
                <w:tcPr>
                  <w:tcW w:w="1021" w:type="dxa"/>
                  <w:vAlign w:val="center"/>
                </w:tcPr>
                <w:p>
                  <w:pPr>
                    <w:spacing w:line="320" w:lineRule="exact"/>
                    <w:jc w:val="center"/>
                    <w:rPr>
                      <w:rFonts w:hint="default"/>
                      <w:b w:val="0"/>
                      <w:bCs w:val="0"/>
                      <w:u w:val="none"/>
                      <w:lang w:val="en-US"/>
                    </w:rPr>
                  </w:pPr>
                  <w:r>
                    <w:rPr>
                      <w:rFonts w:hint="eastAsia"/>
                      <w:b w:val="0"/>
                      <w:bCs w:val="0"/>
                      <w:u w:val="none"/>
                      <w:lang w:val="en-US" w:eastAsia="zh-CN"/>
                    </w:rPr>
                    <w:t>27.63</w:t>
                  </w:r>
                </w:p>
              </w:tc>
              <w:tc>
                <w:tcPr>
                  <w:tcW w:w="1086" w:type="dxa"/>
                  <w:vMerge w:val="continue"/>
                  <w:vAlign w:val="center"/>
                </w:tcPr>
                <w:p>
                  <w:pPr>
                    <w:spacing w:line="320" w:lineRule="exact"/>
                    <w:jc w:val="center"/>
                  </w:pPr>
                </w:p>
              </w:tc>
              <w:tc>
                <w:tcPr>
                  <w:tcW w:w="1129" w:type="dxa"/>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rFonts w:hint="eastAsia"/>
                      <w:lang w:val="en-US" w:eastAsia="zh-CN"/>
                    </w:rPr>
                  </w:pPr>
                  <w:r>
                    <w:rPr>
                      <w:rFonts w:hint="eastAsia"/>
                      <w:lang w:val="en-US" w:eastAsia="zh-CN"/>
                    </w:rPr>
                    <w:t>南</w:t>
                  </w:r>
                  <w:r>
                    <w:t>厂界</w:t>
                  </w:r>
                </w:p>
              </w:tc>
              <w:tc>
                <w:tcPr>
                  <w:tcW w:w="772" w:type="dxa"/>
                  <w:vMerge w:val="continue"/>
                  <w:vAlign w:val="center"/>
                </w:tcPr>
                <w:p>
                  <w:pPr>
                    <w:spacing w:line="320" w:lineRule="exact"/>
                    <w:jc w:val="center"/>
                    <w:rPr>
                      <w:b w:val="0"/>
                      <w:bCs w:val="0"/>
                      <w:u w:val="none"/>
                    </w:rPr>
                  </w:pPr>
                </w:p>
              </w:tc>
              <w:tc>
                <w:tcPr>
                  <w:tcW w:w="1024" w:type="dxa"/>
                  <w:vAlign w:val="center"/>
                </w:tcPr>
                <w:p>
                  <w:pPr>
                    <w:spacing w:line="320" w:lineRule="exact"/>
                    <w:jc w:val="center"/>
                    <w:rPr>
                      <w:rFonts w:hint="default"/>
                      <w:b w:val="0"/>
                      <w:bCs w:val="0"/>
                      <w:u w:val="none"/>
                      <w:lang w:val="en-US" w:eastAsia="zh-CN"/>
                    </w:rPr>
                  </w:pPr>
                  <w:r>
                    <w:rPr>
                      <w:rFonts w:hint="eastAsia"/>
                      <w:b w:val="0"/>
                      <w:bCs w:val="0"/>
                      <w:u w:val="none"/>
                      <w:lang w:val="en-US" w:eastAsia="zh-CN"/>
                    </w:rPr>
                    <w:t>40</w:t>
                  </w:r>
                </w:p>
              </w:tc>
              <w:tc>
                <w:tcPr>
                  <w:tcW w:w="1052" w:type="dxa"/>
                  <w:vAlign w:val="center"/>
                </w:tcPr>
                <w:p>
                  <w:pPr>
                    <w:spacing w:line="320" w:lineRule="exact"/>
                    <w:jc w:val="center"/>
                    <w:rPr>
                      <w:rFonts w:hint="default"/>
                      <w:b w:val="0"/>
                      <w:bCs w:val="0"/>
                      <w:u w:val="none"/>
                      <w:lang w:val="en-US" w:eastAsia="zh-CN"/>
                    </w:rPr>
                  </w:pPr>
                  <w:r>
                    <w:rPr>
                      <w:rFonts w:hint="eastAsia"/>
                      <w:b w:val="0"/>
                      <w:bCs w:val="0"/>
                      <w:u w:val="none"/>
                      <w:lang w:val="en-US" w:eastAsia="zh-CN"/>
                    </w:rPr>
                    <w:t>36.95</w:t>
                  </w:r>
                </w:p>
              </w:tc>
              <w:tc>
                <w:tcPr>
                  <w:tcW w:w="1023" w:type="dxa"/>
                  <w:vAlign w:val="center"/>
                </w:tcPr>
                <w:p>
                  <w:pPr>
                    <w:spacing w:line="320" w:lineRule="exact"/>
                    <w:jc w:val="center"/>
                    <w:rPr>
                      <w:rFonts w:hint="eastAsia" w:eastAsia="宋体"/>
                      <w:b w:val="0"/>
                      <w:bCs w:val="0"/>
                      <w:u w:val="none"/>
                      <w:lang w:val="en-US" w:eastAsia="zh-CN"/>
                    </w:rPr>
                  </w:pPr>
                  <w:r>
                    <w:rPr>
                      <w:rFonts w:hint="eastAsia"/>
                      <w:b w:val="0"/>
                      <w:bCs w:val="0"/>
                      <w:u w:val="none"/>
                      <w:lang w:val="en-US" w:eastAsia="zh-CN"/>
                    </w:rPr>
                    <w:t>/</w:t>
                  </w:r>
                </w:p>
              </w:tc>
              <w:tc>
                <w:tcPr>
                  <w:tcW w:w="1021" w:type="dxa"/>
                  <w:vAlign w:val="center"/>
                </w:tcPr>
                <w:p>
                  <w:pPr>
                    <w:spacing w:line="320" w:lineRule="exact"/>
                    <w:jc w:val="center"/>
                    <w:rPr>
                      <w:rFonts w:hint="eastAsia"/>
                      <w:b w:val="0"/>
                      <w:bCs w:val="0"/>
                      <w:u w:val="none"/>
                      <w:lang w:val="en-US" w:eastAsia="zh-CN"/>
                    </w:rPr>
                  </w:pPr>
                  <w:r>
                    <w:rPr>
                      <w:rFonts w:hint="eastAsia"/>
                      <w:b w:val="0"/>
                      <w:bCs w:val="0"/>
                      <w:u w:val="none"/>
                      <w:lang w:val="en-US" w:eastAsia="zh-CN"/>
                    </w:rPr>
                    <w:t>36.95</w:t>
                  </w:r>
                </w:p>
              </w:tc>
              <w:tc>
                <w:tcPr>
                  <w:tcW w:w="1086" w:type="dxa"/>
                  <w:vMerge w:val="continue"/>
                  <w:vAlign w:val="center"/>
                </w:tcPr>
                <w:p>
                  <w:pPr>
                    <w:spacing w:line="320" w:lineRule="exact"/>
                    <w:jc w:val="center"/>
                  </w:pPr>
                </w:p>
              </w:tc>
              <w:tc>
                <w:tcPr>
                  <w:tcW w:w="1129" w:type="dxa"/>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rFonts w:hint="eastAsia"/>
                      <w:lang w:val="en-US" w:eastAsia="zh-CN"/>
                    </w:rPr>
                  </w:pPr>
                  <w:r>
                    <w:rPr>
                      <w:rFonts w:hint="eastAsia"/>
                      <w:lang w:val="en-US" w:eastAsia="zh-CN"/>
                    </w:rPr>
                    <w:t>北</w:t>
                  </w:r>
                  <w:r>
                    <w:t>厂界</w:t>
                  </w:r>
                </w:p>
              </w:tc>
              <w:tc>
                <w:tcPr>
                  <w:tcW w:w="772" w:type="dxa"/>
                  <w:vMerge w:val="continue"/>
                  <w:vAlign w:val="center"/>
                </w:tcPr>
                <w:p>
                  <w:pPr>
                    <w:spacing w:line="320" w:lineRule="exact"/>
                    <w:jc w:val="center"/>
                    <w:rPr>
                      <w:b w:val="0"/>
                      <w:bCs w:val="0"/>
                      <w:u w:val="none"/>
                    </w:rPr>
                  </w:pPr>
                </w:p>
              </w:tc>
              <w:tc>
                <w:tcPr>
                  <w:tcW w:w="1024" w:type="dxa"/>
                  <w:vAlign w:val="center"/>
                </w:tcPr>
                <w:p>
                  <w:pPr>
                    <w:spacing w:line="320" w:lineRule="exact"/>
                    <w:jc w:val="center"/>
                    <w:rPr>
                      <w:rFonts w:hint="default"/>
                      <w:b w:val="0"/>
                      <w:bCs w:val="0"/>
                      <w:u w:val="none"/>
                      <w:lang w:val="en-US" w:eastAsia="zh-CN"/>
                    </w:rPr>
                  </w:pPr>
                  <w:r>
                    <w:rPr>
                      <w:rFonts w:hint="eastAsia"/>
                      <w:b w:val="0"/>
                      <w:bCs w:val="0"/>
                      <w:u w:val="none"/>
                      <w:lang w:val="en-US" w:eastAsia="zh-CN"/>
                    </w:rPr>
                    <w:t>73</w:t>
                  </w:r>
                </w:p>
              </w:tc>
              <w:tc>
                <w:tcPr>
                  <w:tcW w:w="1052" w:type="dxa"/>
                  <w:vAlign w:val="center"/>
                </w:tcPr>
                <w:p>
                  <w:pPr>
                    <w:spacing w:line="320" w:lineRule="exact"/>
                    <w:jc w:val="center"/>
                    <w:rPr>
                      <w:rFonts w:hint="default"/>
                      <w:b w:val="0"/>
                      <w:bCs w:val="0"/>
                      <w:u w:val="none"/>
                      <w:lang w:val="en-US" w:eastAsia="zh-CN"/>
                    </w:rPr>
                  </w:pPr>
                  <w:r>
                    <w:rPr>
                      <w:rFonts w:hint="eastAsia"/>
                      <w:b w:val="0"/>
                      <w:bCs w:val="0"/>
                      <w:u w:val="none"/>
                      <w:lang w:val="en-US" w:eastAsia="zh-CN"/>
                    </w:rPr>
                    <w:t>31.73</w:t>
                  </w:r>
                </w:p>
              </w:tc>
              <w:tc>
                <w:tcPr>
                  <w:tcW w:w="1023" w:type="dxa"/>
                  <w:vAlign w:val="center"/>
                </w:tcPr>
                <w:p>
                  <w:pPr>
                    <w:spacing w:line="320" w:lineRule="exact"/>
                    <w:jc w:val="center"/>
                    <w:rPr>
                      <w:rFonts w:hint="eastAsia" w:eastAsia="宋体"/>
                      <w:b w:val="0"/>
                      <w:bCs w:val="0"/>
                      <w:u w:val="none"/>
                      <w:lang w:val="en-US" w:eastAsia="zh-CN"/>
                    </w:rPr>
                  </w:pPr>
                  <w:r>
                    <w:rPr>
                      <w:rFonts w:hint="eastAsia"/>
                      <w:b w:val="0"/>
                      <w:bCs w:val="0"/>
                      <w:u w:val="none"/>
                      <w:lang w:val="en-US" w:eastAsia="zh-CN"/>
                    </w:rPr>
                    <w:t>/</w:t>
                  </w:r>
                </w:p>
              </w:tc>
              <w:tc>
                <w:tcPr>
                  <w:tcW w:w="1021" w:type="dxa"/>
                  <w:vAlign w:val="center"/>
                </w:tcPr>
                <w:p>
                  <w:pPr>
                    <w:spacing w:line="320" w:lineRule="exact"/>
                    <w:jc w:val="center"/>
                    <w:rPr>
                      <w:rFonts w:hint="eastAsia"/>
                      <w:b w:val="0"/>
                      <w:bCs w:val="0"/>
                      <w:u w:val="none"/>
                      <w:lang w:val="en-US" w:eastAsia="zh-CN"/>
                    </w:rPr>
                  </w:pPr>
                  <w:r>
                    <w:rPr>
                      <w:rFonts w:hint="eastAsia"/>
                      <w:b w:val="0"/>
                      <w:bCs w:val="0"/>
                      <w:u w:val="none"/>
                      <w:lang w:val="en-US" w:eastAsia="zh-CN"/>
                    </w:rPr>
                    <w:t>31.73</w:t>
                  </w:r>
                </w:p>
              </w:tc>
              <w:tc>
                <w:tcPr>
                  <w:tcW w:w="1086" w:type="dxa"/>
                  <w:vMerge w:val="continue"/>
                  <w:vAlign w:val="center"/>
                </w:tcPr>
                <w:p>
                  <w:pPr>
                    <w:spacing w:line="320" w:lineRule="exact"/>
                    <w:jc w:val="center"/>
                  </w:pPr>
                </w:p>
              </w:tc>
              <w:tc>
                <w:tcPr>
                  <w:tcW w:w="1129" w:type="dxa"/>
                  <w:vAlign w:val="center"/>
                </w:tcPr>
                <w:p>
                  <w:pPr>
                    <w:spacing w:line="320" w:lineRule="exact"/>
                    <w:jc w:val="center"/>
                  </w:pPr>
                  <w:r>
                    <w:t>达标</w:t>
                  </w:r>
                </w:p>
              </w:tc>
            </w:tr>
          </w:tbl>
          <w:p>
            <w:pPr>
              <w:spacing w:line="360" w:lineRule="auto"/>
              <w:ind w:firstLine="486"/>
              <w:rPr>
                <w:color w:val="000000"/>
                <w:sz w:val="24"/>
              </w:rPr>
            </w:pPr>
            <w:r>
              <w:rPr>
                <w:color w:val="000000"/>
                <w:sz w:val="24"/>
              </w:rPr>
              <w:t>由上表可知，本项目运营期间生产设备产生的噪声经过</w:t>
            </w:r>
            <w:r>
              <w:rPr>
                <w:rFonts w:hint="eastAsia"/>
                <w:color w:val="000000"/>
                <w:sz w:val="24"/>
              </w:rPr>
              <w:t>距离衰减、厂房隔声后</w:t>
            </w:r>
            <w:r>
              <w:rPr>
                <w:color w:val="000000"/>
                <w:sz w:val="24"/>
              </w:rPr>
              <w:t>，项目厂界四周噪声贡献值均满足《工业企业厂界环境噪声排放标准》（GB12348-2008）</w:t>
            </w:r>
            <w:r>
              <w:rPr>
                <w:rFonts w:hint="eastAsia"/>
                <w:color w:val="000000"/>
                <w:sz w:val="24"/>
                <w:lang w:val="en-US" w:eastAsia="zh-CN"/>
              </w:rPr>
              <w:t>2</w:t>
            </w:r>
            <w:r>
              <w:rPr>
                <w:color w:val="000000"/>
                <w:sz w:val="24"/>
              </w:rPr>
              <w:t>类</w:t>
            </w:r>
            <w:r>
              <w:rPr>
                <w:rFonts w:hint="eastAsia"/>
                <w:color w:val="000000"/>
                <w:sz w:val="24"/>
              </w:rPr>
              <w:t>要求。</w:t>
            </w:r>
            <w:r>
              <w:rPr>
                <w:rFonts w:hint="eastAsia"/>
                <w:kern w:val="0"/>
                <w:sz w:val="24"/>
              </w:rPr>
              <w:t>因此，</w:t>
            </w:r>
            <w:r>
              <w:rPr>
                <w:color w:val="000000"/>
                <w:sz w:val="24"/>
              </w:rPr>
              <w:t>本项目营运期间生产噪声对周边声环境影响</w:t>
            </w:r>
            <w:r>
              <w:rPr>
                <w:rFonts w:hint="eastAsia"/>
                <w:color w:val="000000"/>
                <w:sz w:val="24"/>
              </w:rPr>
              <w:t>较小。</w:t>
            </w:r>
          </w:p>
          <w:p>
            <w:pPr>
              <w:adjustRightInd w:val="0"/>
              <w:snapToGrid w:val="0"/>
              <w:spacing w:line="460" w:lineRule="exact"/>
              <w:ind w:firstLine="482" w:firstLineChars="200"/>
              <w:jc w:val="left"/>
              <w:rPr>
                <w:b/>
                <w:bCs/>
                <w:color w:val="000000"/>
                <w:sz w:val="24"/>
              </w:rPr>
            </w:pPr>
            <w:r>
              <w:rPr>
                <w:rFonts w:hint="eastAsia"/>
                <w:b/>
                <w:bCs/>
                <w:color w:val="000000"/>
                <w:sz w:val="24"/>
              </w:rPr>
              <w:t>3.4噪声监测计划</w:t>
            </w:r>
          </w:p>
          <w:p>
            <w:pPr>
              <w:spacing w:line="460" w:lineRule="exact"/>
              <w:ind w:firstLine="480" w:firstLineChars="200"/>
              <w:textAlignment w:val="baseline"/>
              <w:rPr>
                <w:color w:val="000000"/>
                <w:sz w:val="24"/>
              </w:rPr>
            </w:pPr>
            <w:r>
              <w:rPr>
                <w:sz w:val="24"/>
              </w:rPr>
              <w:t>根据</w:t>
            </w:r>
            <w:r>
              <w:rPr>
                <w:rFonts w:ascii="Times New Roman" w:hAnsi="Times New Roman" w:eastAsia="宋体" w:cs="Times New Roman"/>
                <w:bCs/>
                <w:color w:val="000000"/>
                <w:sz w:val="24"/>
                <w:szCs w:val="24"/>
              </w:rPr>
              <w:t>《排污单位自行监测技术指南 总则》（HJ 819-2017）、</w:t>
            </w:r>
            <w:r>
              <w:rPr>
                <w:rFonts w:hint="eastAsia"/>
                <w:b/>
                <w:bCs/>
                <w:color w:val="000000"/>
                <w:sz w:val="24"/>
                <w:u w:val="single"/>
              </w:rPr>
              <w:t>排污单位自行监测技术指南 橡胶和塑料制品</w:t>
            </w:r>
            <w:r>
              <w:rPr>
                <w:rFonts w:hint="eastAsia"/>
                <w:b/>
                <w:bCs/>
                <w:sz w:val="24"/>
                <w:u w:val="single"/>
                <w:lang w:eastAsia="zh-CN"/>
              </w:rPr>
              <w:t>》</w:t>
            </w:r>
            <w:r>
              <w:rPr>
                <w:rFonts w:hint="eastAsia"/>
                <w:b/>
                <w:bCs/>
                <w:color w:val="000000"/>
                <w:sz w:val="24"/>
                <w:u w:val="single"/>
              </w:rPr>
              <w:t>（HJ 1207—2021）、</w:t>
            </w:r>
            <w:r>
              <w:rPr>
                <w:rFonts w:hint="eastAsia"/>
                <w:b/>
                <w:bCs/>
                <w:color w:val="000000"/>
                <w:sz w:val="24"/>
                <w:u w:val="single"/>
                <w:lang w:eastAsia="zh-CN"/>
              </w:rPr>
              <w:t>《</w:t>
            </w:r>
            <w:r>
              <w:rPr>
                <w:rFonts w:hint="eastAsia"/>
                <w:b/>
                <w:bCs/>
                <w:color w:val="000000"/>
                <w:sz w:val="24"/>
                <w:u w:val="single"/>
              </w:rPr>
              <w:t>排污单位自行监测技术指南 印刷工业</w:t>
            </w:r>
            <w:r>
              <w:rPr>
                <w:rFonts w:hint="eastAsia"/>
                <w:b/>
                <w:bCs/>
                <w:color w:val="000000"/>
                <w:sz w:val="24"/>
                <w:u w:val="single"/>
                <w:lang w:eastAsia="zh-CN"/>
              </w:rPr>
              <w:t>》</w:t>
            </w:r>
            <w:r>
              <w:rPr>
                <w:rFonts w:hint="eastAsia"/>
                <w:b/>
                <w:bCs/>
                <w:color w:val="000000"/>
                <w:sz w:val="24"/>
                <w:u w:val="single"/>
              </w:rPr>
              <w:t>（HJ 1246—2022）</w:t>
            </w:r>
            <w:r>
              <w:rPr>
                <w:sz w:val="24"/>
              </w:rPr>
              <w:t>中关于污染源监测的要求制定以下监测方案</w:t>
            </w:r>
            <w:r>
              <w:rPr>
                <w:rFonts w:hint="eastAsia"/>
                <w:color w:val="000000"/>
                <w:sz w:val="24"/>
              </w:rPr>
              <w:t>。</w:t>
            </w:r>
          </w:p>
          <w:p>
            <w:pPr>
              <w:pStyle w:val="5"/>
              <w:numPr>
                <w:ilvl w:val="0"/>
                <w:numId w:val="0"/>
              </w:numPr>
              <w:ind w:firstLine="482" w:firstLineChars="200"/>
            </w:pPr>
            <w:r>
              <w:rPr>
                <w:rFonts w:hint="eastAsia"/>
              </w:rPr>
              <w:t>表</w:t>
            </w:r>
            <w:r>
              <w:rPr>
                <w:rFonts w:hint="eastAsia"/>
                <w:lang w:val="en-US" w:eastAsia="zh-CN"/>
              </w:rPr>
              <w:t>24</w:t>
            </w:r>
            <w:r>
              <w:rPr>
                <w:rFonts w:hint="eastAsia"/>
              </w:rPr>
              <w:t xml:space="preserve">            噪声自行监测及记录信息</w:t>
            </w:r>
          </w:p>
          <w:tbl>
            <w:tblPr>
              <w:tblStyle w:val="22"/>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16"/>
              <w:gridCol w:w="1009"/>
              <w:gridCol w:w="1050"/>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320" w:lineRule="exact"/>
                    <w:jc w:val="center"/>
                    <w:rPr>
                      <w:color w:val="000000"/>
                      <w:sz w:val="24"/>
                    </w:rPr>
                  </w:pPr>
                  <w:r>
                    <w:rPr>
                      <w:szCs w:val="21"/>
                    </w:rPr>
                    <w:t>污染源类别/监测类别</w:t>
                  </w:r>
                </w:p>
              </w:tc>
              <w:tc>
                <w:tcPr>
                  <w:tcW w:w="1916" w:type="dxa"/>
                  <w:vAlign w:val="center"/>
                </w:tcPr>
                <w:p>
                  <w:pPr>
                    <w:spacing w:line="320" w:lineRule="exact"/>
                    <w:jc w:val="center"/>
                    <w:rPr>
                      <w:color w:val="000000"/>
                      <w:sz w:val="24"/>
                    </w:rPr>
                  </w:pPr>
                  <w:r>
                    <w:rPr>
                      <w:szCs w:val="21"/>
                    </w:rPr>
                    <w:t>排放口编号/监测点位</w:t>
                  </w:r>
                </w:p>
              </w:tc>
              <w:tc>
                <w:tcPr>
                  <w:tcW w:w="1009" w:type="dxa"/>
                  <w:vAlign w:val="center"/>
                </w:tcPr>
                <w:p>
                  <w:pPr>
                    <w:spacing w:line="320" w:lineRule="exact"/>
                    <w:jc w:val="center"/>
                    <w:rPr>
                      <w:szCs w:val="21"/>
                    </w:rPr>
                  </w:pPr>
                  <w:r>
                    <w:rPr>
                      <w:szCs w:val="21"/>
                    </w:rPr>
                    <w:t>监测</w:t>
                  </w:r>
                </w:p>
                <w:p>
                  <w:pPr>
                    <w:spacing w:line="320" w:lineRule="exact"/>
                    <w:jc w:val="center"/>
                    <w:rPr>
                      <w:color w:val="000000"/>
                      <w:sz w:val="24"/>
                    </w:rPr>
                  </w:pPr>
                  <w:r>
                    <w:rPr>
                      <w:szCs w:val="21"/>
                    </w:rPr>
                    <w:t>因子</w:t>
                  </w:r>
                </w:p>
              </w:tc>
              <w:tc>
                <w:tcPr>
                  <w:tcW w:w="1050" w:type="dxa"/>
                  <w:vAlign w:val="center"/>
                </w:tcPr>
                <w:p>
                  <w:pPr>
                    <w:spacing w:line="320" w:lineRule="exact"/>
                    <w:jc w:val="center"/>
                    <w:rPr>
                      <w:szCs w:val="21"/>
                    </w:rPr>
                  </w:pPr>
                  <w:r>
                    <w:rPr>
                      <w:szCs w:val="21"/>
                    </w:rPr>
                    <w:t>监测</w:t>
                  </w:r>
                </w:p>
                <w:p>
                  <w:pPr>
                    <w:spacing w:line="320" w:lineRule="exact"/>
                    <w:jc w:val="center"/>
                    <w:rPr>
                      <w:color w:val="000000"/>
                      <w:sz w:val="24"/>
                    </w:rPr>
                  </w:pPr>
                  <w:r>
                    <w:rPr>
                      <w:szCs w:val="21"/>
                    </w:rPr>
                    <w:t>频次</w:t>
                  </w:r>
                </w:p>
              </w:tc>
              <w:tc>
                <w:tcPr>
                  <w:tcW w:w="2983" w:type="dxa"/>
                  <w:vAlign w:val="center"/>
                </w:tcPr>
                <w:p>
                  <w:pPr>
                    <w:spacing w:line="320" w:lineRule="exact"/>
                    <w:jc w:val="center"/>
                    <w:rPr>
                      <w:color w:val="000000"/>
                      <w:sz w:val="24"/>
                    </w:rPr>
                  </w:pPr>
                  <w:r>
                    <w:rPr>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vAlign w:val="center"/>
                </w:tcPr>
                <w:p>
                  <w:pPr>
                    <w:spacing w:line="320" w:lineRule="exact"/>
                    <w:jc w:val="center"/>
                    <w:rPr>
                      <w:szCs w:val="21"/>
                    </w:rPr>
                  </w:pPr>
                  <w:r>
                    <w:rPr>
                      <w:rFonts w:hint="eastAsia"/>
                      <w:szCs w:val="21"/>
                    </w:rPr>
                    <w:t>噪声</w:t>
                  </w:r>
                </w:p>
              </w:tc>
              <w:tc>
                <w:tcPr>
                  <w:tcW w:w="1916" w:type="dxa"/>
                  <w:vAlign w:val="center"/>
                </w:tcPr>
                <w:p>
                  <w:pPr>
                    <w:spacing w:line="320" w:lineRule="exact"/>
                    <w:jc w:val="center"/>
                    <w:rPr>
                      <w:szCs w:val="21"/>
                    </w:rPr>
                  </w:pPr>
                  <w:r>
                    <w:rPr>
                      <w:rFonts w:hint="eastAsia"/>
                      <w:szCs w:val="21"/>
                      <w:lang w:val="en-US" w:eastAsia="zh-CN"/>
                    </w:rPr>
                    <w:t>东、西、南、北</w:t>
                  </w:r>
                  <w:r>
                    <w:rPr>
                      <w:rFonts w:hint="eastAsia"/>
                      <w:szCs w:val="21"/>
                    </w:rPr>
                    <w:t>厂界</w:t>
                  </w:r>
                </w:p>
              </w:tc>
              <w:tc>
                <w:tcPr>
                  <w:tcW w:w="1009" w:type="dxa"/>
                  <w:vAlign w:val="center"/>
                </w:tcPr>
                <w:p>
                  <w:pPr>
                    <w:spacing w:line="320" w:lineRule="exact"/>
                    <w:jc w:val="center"/>
                    <w:rPr>
                      <w:szCs w:val="21"/>
                    </w:rPr>
                  </w:pPr>
                  <w:r>
                    <w:rPr>
                      <w:szCs w:val="21"/>
                    </w:rPr>
                    <w:t>Leq（A）</w:t>
                  </w:r>
                </w:p>
              </w:tc>
              <w:tc>
                <w:tcPr>
                  <w:tcW w:w="1050" w:type="dxa"/>
                  <w:vAlign w:val="center"/>
                </w:tcPr>
                <w:p>
                  <w:pPr>
                    <w:spacing w:line="320" w:lineRule="exact"/>
                    <w:jc w:val="center"/>
                    <w:rPr>
                      <w:szCs w:val="21"/>
                    </w:rPr>
                  </w:pPr>
                  <w:r>
                    <w:rPr>
                      <w:szCs w:val="21"/>
                    </w:rPr>
                    <w:t>1次/</w:t>
                  </w:r>
                  <w:r>
                    <w:rPr>
                      <w:rFonts w:hint="eastAsia"/>
                      <w:szCs w:val="21"/>
                    </w:rPr>
                    <w:t>季度</w:t>
                  </w:r>
                </w:p>
              </w:tc>
              <w:tc>
                <w:tcPr>
                  <w:tcW w:w="2983" w:type="dxa"/>
                  <w:vAlign w:val="center"/>
                </w:tcPr>
                <w:p>
                  <w:pPr>
                    <w:spacing w:line="320" w:lineRule="exact"/>
                    <w:jc w:val="center"/>
                    <w:rPr>
                      <w:szCs w:val="21"/>
                    </w:rPr>
                  </w:pPr>
                  <w:r>
                    <w:rPr>
                      <w:szCs w:val="21"/>
                    </w:rPr>
                    <w:t>《工业企业厂界环境噪声排放标准》（GB12348-2008）</w:t>
                  </w:r>
                  <w:r>
                    <w:rPr>
                      <w:rFonts w:hint="eastAsia"/>
                      <w:szCs w:val="21"/>
                    </w:rPr>
                    <w:t>2</w:t>
                  </w:r>
                  <w:r>
                    <w:rPr>
                      <w:szCs w:val="21"/>
                    </w:rPr>
                    <w:t>类</w:t>
                  </w:r>
                </w:p>
              </w:tc>
            </w:tr>
          </w:tbl>
          <w:p>
            <w:pPr>
              <w:adjustRightInd w:val="0"/>
              <w:snapToGrid w:val="0"/>
              <w:spacing w:line="460" w:lineRule="exact"/>
              <w:ind w:firstLine="482" w:firstLineChars="200"/>
              <w:jc w:val="left"/>
              <w:rPr>
                <w:b/>
                <w:bCs/>
                <w:color w:val="000000"/>
                <w:sz w:val="24"/>
              </w:rPr>
            </w:pPr>
            <w:r>
              <w:rPr>
                <w:b/>
                <w:bCs/>
                <w:color w:val="000000"/>
                <w:sz w:val="24"/>
              </w:rPr>
              <w:t>4、固体废物影响分析</w:t>
            </w:r>
          </w:p>
          <w:p>
            <w:pPr>
              <w:spacing w:line="460" w:lineRule="exact"/>
              <w:ind w:firstLine="480" w:firstLineChars="200"/>
              <w:rPr>
                <w:color w:val="000000"/>
                <w:sz w:val="24"/>
                <w:u w:val="single"/>
              </w:rPr>
            </w:pPr>
            <w:r>
              <w:rPr>
                <w:bCs/>
                <w:sz w:val="24"/>
              </w:rPr>
              <w:t>本项目</w:t>
            </w:r>
            <w:r>
              <w:rPr>
                <w:rFonts w:hint="eastAsia"/>
                <w:bCs/>
                <w:sz w:val="24"/>
              </w:rPr>
              <w:t>营运期产生的固体废物</w:t>
            </w:r>
            <w:r>
              <w:rPr>
                <w:rFonts w:hint="eastAsia"/>
                <w:bCs/>
                <w:sz w:val="24"/>
                <w:u w:val="none"/>
              </w:rPr>
              <w:t>主要为</w:t>
            </w:r>
            <w:r>
              <w:rPr>
                <w:rFonts w:hint="eastAsia" w:cs="Times New Roman"/>
                <w:color w:val="auto"/>
                <w:kern w:val="2"/>
                <w:sz w:val="24"/>
                <w:szCs w:val="24"/>
                <w:u w:val="none"/>
                <w:lang w:val="en-US" w:eastAsia="zh-CN" w:bidi="ar-SA"/>
              </w:rPr>
              <w:t>原料包装袋</w:t>
            </w:r>
            <w:r>
              <w:rPr>
                <w:rFonts w:ascii="Times New Roman" w:hAnsi="Times New Roman" w:eastAsia="宋体" w:cs="Times New Roman"/>
                <w:color w:val="auto"/>
                <w:kern w:val="2"/>
                <w:sz w:val="24"/>
                <w:szCs w:val="24"/>
                <w:u w:val="none"/>
                <w:lang w:val="en-US" w:eastAsia="zh-CN" w:bidi="ar-SA"/>
              </w:rPr>
              <w:t>、</w:t>
            </w:r>
            <w:r>
              <w:rPr>
                <w:rFonts w:hint="eastAsia" w:cs="Times New Roman"/>
                <w:color w:val="auto"/>
                <w:kern w:val="2"/>
                <w:sz w:val="24"/>
                <w:szCs w:val="24"/>
                <w:u w:val="none"/>
                <w:lang w:val="en-US" w:eastAsia="zh-CN" w:bidi="ar-SA"/>
              </w:rPr>
              <w:t>衬布裁剪产生的废衬布边角料、鞋垫修边产生的废鞋垫边角料、大力棉布卷裁剪产生的废大力棉边角料</w:t>
            </w:r>
            <w:r>
              <w:rPr>
                <w:rFonts w:hint="eastAsia" w:ascii="Times New Roman" w:hAnsi="Times New Roman" w:eastAsia="宋体" w:cs="Times New Roman"/>
                <w:color w:val="auto"/>
                <w:kern w:val="2"/>
                <w:sz w:val="24"/>
                <w:szCs w:val="24"/>
                <w:u w:val="none"/>
                <w:lang w:val="en-US" w:eastAsia="zh-CN" w:bidi="ar-SA"/>
              </w:rPr>
              <w:t>、废UV灯管、废活性炭、</w:t>
            </w:r>
            <w:r>
              <w:rPr>
                <w:rFonts w:hint="eastAsia" w:cs="Times New Roman"/>
                <w:color w:val="auto"/>
                <w:kern w:val="2"/>
                <w:sz w:val="24"/>
                <w:szCs w:val="24"/>
                <w:highlight w:val="none"/>
                <w:u w:val="none"/>
                <w:lang w:val="en-US" w:eastAsia="zh-CN" w:bidi="ar-SA"/>
              </w:rPr>
              <w:t>废液压油、</w:t>
            </w:r>
            <w:r>
              <w:rPr>
                <w:rFonts w:hint="eastAsia" w:cs="Times New Roman"/>
                <w:b w:val="0"/>
                <w:bCs w:val="0"/>
                <w:color w:val="auto"/>
                <w:kern w:val="2"/>
                <w:sz w:val="24"/>
                <w:szCs w:val="24"/>
                <w:highlight w:val="none"/>
                <w:u w:val="none"/>
                <w:lang w:val="en-US" w:eastAsia="zh-CN" w:bidi="ar-SA"/>
              </w:rPr>
              <w:t>废水性油墨桶、</w:t>
            </w:r>
            <w:r>
              <w:rPr>
                <w:rFonts w:hint="eastAsia" w:cs="Times New Roman"/>
                <w:b/>
                <w:bCs/>
                <w:color w:val="auto"/>
                <w:kern w:val="2"/>
                <w:sz w:val="24"/>
                <w:szCs w:val="24"/>
                <w:highlight w:val="none"/>
                <w:u w:val="single"/>
                <w:lang w:val="en-US" w:eastAsia="zh-CN" w:bidi="ar-SA"/>
              </w:rPr>
              <w:t>废抹布</w:t>
            </w:r>
            <w:r>
              <w:rPr>
                <w:rFonts w:hint="eastAsia" w:ascii="Times New Roman" w:hAnsi="Times New Roman" w:eastAsia="宋体" w:cs="Times New Roman"/>
                <w:color w:val="auto"/>
                <w:kern w:val="2"/>
                <w:sz w:val="24"/>
                <w:szCs w:val="24"/>
                <w:u w:val="none"/>
                <w:lang w:val="en-US" w:eastAsia="zh-CN" w:bidi="ar-SA"/>
              </w:rPr>
              <w:t>及员工生活垃圾。</w:t>
            </w:r>
          </w:p>
          <w:p>
            <w:pPr>
              <w:adjustRightInd w:val="0"/>
              <w:snapToGrid w:val="0"/>
              <w:spacing w:line="460" w:lineRule="exact"/>
              <w:ind w:firstLine="482" w:firstLineChars="200"/>
              <w:jc w:val="left"/>
              <w:rPr>
                <w:b/>
                <w:bCs/>
                <w:color w:val="000000"/>
                <w:sz w:val="24"/>
              </w:rPr>
            </w:pPr>
            <w:r>
              <w:rPr>
                <w:rFonts w:hint="eastAsia"/>
                <w:b/>
                <w:bCs/>
                <w:color w:val="000000"/>
                <w:sz w:val="24"/>
              </w:rPr>
              <w:t>4.1 生活垃圾</w:t>
            </w:r>
          </w:p>
          <w:p>
            <w:pPr>
              <w:spacing w:line="460" w:lineRule="exact"/>
              <w:ind w:firstLine="480" w:firstLineChars="200"/>
              <w:textAlignment w:val="baseline"/>
              <w:rPr>
                <w:b/>
                <w:bCs/>
                <w:color w:val="000000"/>
                <w:sz w:val="24"/>
              </w:rPr>
            </w:pPr>
            <w:r>
              <w:rPr>
                <w:rFonts w:hint="eastAsia"/>
                <w:color w:val="000000"/>
                <w:sz w:val="24"/>
              </w:rPr>
              <w:t>本项目劳动定员</w:t>
            </w:r>
            <w:r>
              <w:rPr>
                <w:rFonts w:hint="eastAsia"/>
                <w:color w:val="000000"/>
                <w:sz w:val="24"/>
                <w:lang w:val="en-US" w:eastAsia="zh-CN"/>
              </w:rPr>
              <w:t>23</w:t>
            </w:r>
            <w:r>
              <w:rPr>
                <w:rFonts w:hint="eastAsia"/>
                <w:color w:val="000000"/>
                <w:sz w:val="24"/>
              </w:rPr>
              <w:t>人，年工作时间为300天，生活垃圾产生量按0.5kg/（人/天）计，则生活垃圾产生量为</w:t>
            </w:r>
            <w:r>
              <w:rPr>
                <w:rFonts w:hint="eastAsia"/>
                <w:color w:val="000000"/>
                <w:sz w:val="24"/>
                <w:lang w:val="en-US" w:eastAsia="zh-CN"/>
              </w:rPr>
              <w:t>3.45</w:t>
            </w:r>
            <w:r>
              <w:rPr>
                <w:rFonts w:hint="eastAsia"/>
                <w:color w:val="000000"/>
                <w:sz w:val="24"/>
              </w:rPr>
              <w:t>t/a。生活垃圾由厂区集中收集后由当地环卫部门统一清理。</w:t>
            </w:r>
          </w:p>
          <w:p>
            <w:pPr>
              <w:adjustRightInd w:val="0"/>
              <w:snapToGrid w:val="0"/>
              <w:spacing w:line="460" w:lineRule="exact"/>
              <w:ind w:firstLine="482" w:firstLineChars="200"/>
              <w:jc w:val="left"/>
              <w:rPr>
                <w:b/>
                <w:bCs/>
                <w:color w:val="000000"/>
                <w:sz w:val="24"/>
              </w:rPr>
            </w:pPr>
            <w:r>
              <w:rPr>
                <w:rFonts w:hint="eastAsia"/>
                <w:b/>
                <w:bCs/>
                <w:color w:val="000000"/>
                <w:sz w:val="24"/>
              </w:rPr>
              <w:t>4.2 一般固废</w:t>
            </w:r>
          </w:p>
          <w:p>
            <w:pPr>
              <w:spacing w:line="460" w:lineRule="exact"/>
              <w:ind w:firstLine="480" w:firstLineChars="200"/>
              <w:rPr>
                <w:sz w:val="24"/>
              </w:rPr>
            </w:pPr>
            <w:r>
              <w:rPr>
                <w:rFonts w:hint="eastAsia"/>
                <w:sz w:val="24"/>
              </w:rPr>
              <w:t>（1）</w:t>
            </w:r>
            <w:r>
              <w:rPr>
                <w:rFonts w:hint="eastAsia"/>
                <w:sz w:val="24"/>
                <w:lang w:val="en-US" w:eastAsia="zh-CN"/>
              </w:rPr>
              <w:t>废包装袋</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highlight w:val="none"/>
                <w:u w:val="single"/>
                <w:lang w:val="en-US" w:eastAsia="zh-CN" w:bidi="ar-SA"/>
              </w:rPr>
            </w:pPr>
            <w:r>
              <w:rPr>
                <w:rFonts w:hint="eastAsia" w:ascii="Times New Roman" w:hAnsi="Times New Roman" w:eastAsia="宋体" w:cs="Times New Roman"/>
                <w:color w:val="000000"/>
                <w:kern w:val="2"/>
                <w:sz w:val="24"/>
                <w:szCs w:val="24"/>
                <w:u w:val="none"/>
                <w:lang w:val="en-US" w:eastAsia="zh-CN" w:bidi="ar-SA"/>
              </w:rPr>
              <w:t>本项目</w:t>
            </w:r>
            <w:r>
              <w:rPr>
                <w:rFonts w:hint="eastAsia" w:cs="Times New Roman"/>
                <w:color w:val="000000"/>
                <w:kern w:val="2"/>
                <w:sz w:val="24"/>
                <w:szCs w:val="24"/>
                <w:u w:val="none"/>
                <w:lang w:val="en-US" w:eastAsia="zh-CN" w:bidi="ar-SA"/>
              </w:rPr>
              <w:t>原料使用过程中会产生废包装袋，</w:t>
            </w:r>
            <w:r>
              <w:rPr>
                <w:rFonts w:hint="eastAsia" w:ascii="Times New Roman" w:hAnsi="Times New Roman" w:eastAsia="宋体" w:cs="Times New Roman"/>
                <w:color w:val="000000"/>
                <w:kern w:val="2"/>
                <w:sz w:val="24"/>
                <w:szCs w:val="24"/>
                <w:u w:val="none"/>
                <w:lang w:val="en-US" w:eastAsia="zh-CN" w:bidi="ar-SA"/>
              </w:rPr>
              <w:t>产生量约</w:t>
            </w:r>
            <w:r>
              <w:rPr>
                <w:rFonts w:hint="eastAsia" w:ascii="Times New Roman" w:hAnsi="Times New Roman" w:eastAsia="宋体" w:cs="Times New Roman"/>
                <w:color w:val="000000"/>
                <w:kern w:val="2"/>
                <w:sz w:val="24"/>
                <w:szCs w:val="24"/>
                <w:highlight w:val="none"/>
                <w:u w:val="none"/>
                <w:lang w:val="en-US" w:eastAsia="zh-CN" w:bidi="ar-SA"/>
              </w:rPr>
              <w:t>为</w:t>
            </w:r>
            <w:r>
              <w:rPr>
                <w:rFonts w:hint="eastAsia" w:cs="Times New Roman"/>
                <w:color w:val="000000"/>
                <w:kern w:val="2"/>
                <w:sz w:val="24"/>
                <w:szCs w:val="24"/>
                <w:highlight w:val="none"/>
                <w:u w:val="none"/>
                <w:lang w:val="en-US" w:eastAsia="zh-CN" w:bidi="ar-SA"/>
              </w:rPr>
              <w:t>0.4</w:t>
            </w:r>
            <w:r>
              <w:rPr>
                <w:rFonts w:hint="eastAsia" w:ascii="Times New Roman" w:hAnsi="Times New Roman" w:eastAsia="宋体" w:cs="Times New Roman"/>
                <w:color w:val="000000"/>
                <w:kern w:val="2"/>
                <w:sz w:val="24"/>
                <w:szCs w:val="24"/>
                <w:highlight w:val="none"/>
                <w:u w:val="none"/>
                <w:lang w:val="en-US" w:eastAsia="zh-CN" w:bidi="ar-SA"/>
              </w:rPr>
              <w:t>t/a，</w:t>
            </w:r>
            <w:r>
              <w:rPr>
                <w:rFonts w:hint="eastAsia"/>
                <w:sz w:val="24"/>
                <w:highlight w:val="none"/>
              </w:rPr>
              <w:t>根据</w:t>
            </w:r>
            <w:r>
              <w:rPr>
                <w:rFonts w:hint="eastAsia"/>
                <w:sz w:val="24"/>
              </w:rPr>
              <w:t>《一般固体废物分类与代码》（GB/T39198-2020），本项目废包装袋固废代码</w:t>
            </w:r>
            <w:r>
              <w:rPr>
                <w:rFonts w:hint="eastAsia"/>
                <w:sz w:val="24"/>
                <w:highlight w:val="none"/>
              </w:rPr>
              <w:t>为</w:t>
            </w:r>
            <w:r>
              <w:rPr>
                <w:rFonts w:hint="eastAsia"/>
                <w:sz w:val="24"/>
                <w:highlight w:val="none"/>
                <w:lang w:val="en-US" w:eastAsia="zh-CN"/>
              </w:rPr>
              <w:t>195</w:t>
            </w:r>
            <w:r>
              <w:rPr>
                <w:rFonts w:hint="eastAsia"/>
                <w:sz w:val="24"/>
                <w:highlight w:val="none"/>
              </w:rPr>
              <w:t>-00</w:t>
            </w:r>
            <w:r>
              <w:rPr>
                <w:rFonts w:hint="eastAsia"/>
                <w:sz w:val="24"/>
                <w:highlight w:val="none"/>
                <w:lang w:val="en-US" w:eastAsia="zh-CN"/>
              </w:rPr>
              <w:t>5</w:t>
            </w:r>
            <w:r>
              <w:rPr>
                <w:rFonts w:hint="eastAsia"/>
                <w:sz w:val="24"/>
                <w:highlight w:val="none"/>
              </w:rPr>
              <w:t>-</w:t>
            </w:r>
            <w:r>
              <w:rPr>
                <w:rFonts w:hint="eastAsia" w:ascii="Times New Roman" w:hAnsi="Times New Roman" w:eastAsia="宋体" w:cs="Times New Roman"/>
                <w:sz w:val="24"/>
                <w:highlight w:val="none"/>
              </w:rPr>
              <w:t>0</w:t>
            </w:r>
            <w:r>
              <w:rPr>
                <w:rFonts w:hint="eastAsia" w:ascii="Times New Roman" w:hAnsi="Times New Roman" w:eastAsia="宋体" w:cs="Times New Roman"/>
                <w:sz w:val="24"/>
                <w:highlight w:val="none"/>
                <w:lang w:val="en-US" w:eastAsia="zh-CN"/>
              </w:rPr>
              <w:t>7</w:t>
            </w:r>
            <w:r>
              <w:rPr>
                <w:rFonts w:hint="eastAsia"/>
                <w:sz w:val="24"/>
                <w:highlight w:val="none"/>
              </w:rPr>
              <w:t>。收集后暂存固废暂存区，定期外售。</w:t>
            </w:r>
          </w:p>
          <w:p>
            <w:pPr>
              <w:widowControl/>
              <w:snapToGrid w:val="0"/>
              <w:spacing w:line="400" w:lineRule="exact"/>
              <w:ind w:firstLine="480" w:firstLineChars="200"/>
              <w:rPr>
                <w:rFonts w:hint="default" w:eastAsia="宋体"/>
                <w:color w:val="000000"/>
                <w:sz w:val="24"/>
                <w:highlight w:val="none"/>
                <w:lang w:val="en-US" w:eastAsia="zh-CN"/>
              </w:rPr>
            </w:pPr>
            <w:r>
              <w:rPr>
                <w:rFonts w:hint="eastAsia"/>
                <w:color w:val="000000"/>
                <w:sz w:val="24"/>
                <w:highlight w:val="none"/>
              </w:rPr>
              <w:t>（2）</w:t>
            </w:r>
            <w:r>
              <w:rPr>
                <w:rFonts w:hint="eastAsia"/>
                <w:color w:val="000000"/>
                <w:sz w:val="24"/>
                <w:highlight w:val="none"/>
                <w:lang w:val="en-US" w:eastAsia="zh-CN"/>
              </w:rPr>
              <w:t>废布边角料</w:t>
            </w:r>
          </w:p>
          <w:p>
            <w:pPr>
              <w:spacing w:line="460" w:lineRule="exact"/>
              <w:ind w:firstLine="480" w:firstLineChars="200"/>
              <w:rPr>
                <w:sz w:val="24"/>
                <w:highlight w:val="none"/>
              </w:rPr>
            </w:pPr>
            <w:r>
              <w:rPr>
                <w:rFonts w:hint="eastAsia"/>
                <w:sz w:val="24"/>
                <w:highlight w:val="none"/>
              </w:rPr>
              <w:t>本项</w:t>
            </w:r>
            <w:r>
              <w:rPr>
                <w:rFonts w:hint="eastAsia"/>
                <w:sz w:val="24"/>
                <w:highlight w:val="none"/>
                <w:lang w:val="en-US" w:eastAsia="zh-CN"/>
              </w:rPr>
              <w:t>生产过程中衬布裁剪产生的边角料</w:t>
            </w:r>
            <w:r>
              <w:rPr>
                <w:rFonts w:hint="eastAsia"/>
                <w:sz w:val="24"/>
                <w:highlight w:val="none"/>
              </w:rPr>
              <w:t>量约为</w:t>
            </w:r>
            <w:r>
              <w:rPr>
                <w:rFonts w:hint="eastAsia"/>
                <w:sz w:val="24"/>
                <w:highlight w:val="none"/>
                <w:lang w:val="en-US" w:eastAsia="zh-CN"/>
              </w:rPr>
              <w:t>1</w:t>
            </w:r>
            <w:r>
              <w:rPr>
                <w:rFonts w:hint="eastAsia"/>
                <w:sz w:val="24"/>
                <w:highlight w:val="none"/>
              </w:rPr>
              <w:t>t/a，根据《一般固体废物分类与代码》（GB/T39198-2020），本项目</w:t>
            </w:r>
            <w:r>
              <w:rPr>
                <w:rFonts w:hint="eastAsia"/>
                <w:color w:val="000000"/>
                <w:sz w:val="24"/>
                <w:highlight w:val="none"/>
                <w:lang w:val="en-US" w:eastAsia="zh-CN"/>
              </w:rPr>
              <w:t>废布边角料</w:t>
            </w:r>
            <w:r>
              <w:rPr>
                <w:rFonts w:hint="eastAsia"/>
                <w:sz w:val="24"/>
                <w:highlight w:val="none"/>
              </w:rPr>
              <w:t>固废代码为</w:t>
            </w:r>
            <w:r>
              <w:rPr>
                <w:rFonts w:hint="eastAsia"/>
                <w:sz w:val="24"/>
                <w:highlight w:val="none"/>
                <w:lang w:val="en-US" w:eastAsia="zh-CN"/>
              </w:rPr>
              <w:t>195</w:t>
            </w:r>
            <w:r>
              <w:rPr>
                <w:rFonts w:hint="eastAsia"/>
                <w:sz w:val="24"/>
                <w:highlight w:val="none"/>
              </w:rPr>
              <w:t>-00</w:t>
            </w:r>
            <w:r>
              <w:rPr>
                <w:rFonts w:hint="eastAsia"/>
                <w:sz w:val="24"/>
                <w:highlight w:val="none"/>
                <w:lang w:val="en-US" w:eastAsia="zh-CN"/>
              </w:rPr>
              <w:t>5</w:t>
            </w:r>
            <w:r>
              <w:rPr>
                <w:rFonts w:hint="eastAsia"/>
                <w:sz w:val="24"/>
                <w:highlight w:val="none"/>
              </w:rPr>
              <w:t>-</w:t>
            </w:r>
            <w:r>
              <w:rPr>
                <w:rFonts w:hint="eastAsia" w:ascii="Times New Roman" w:hAnsi="Times New Roman" w:eastAsia="宋体" w:cs="Times New Roman"/>
                <w:sz w:val="24"/>
                <w:highlight w:val="none"/>
              </w:rPr>
              <w:t>0</w:t>
            </w:r>
            <w:r>
              <w:rPr>
                <w:rFonts w:hint="eastAsia" w:cs="Times New Roman"/>
                <w:sz w:val="24"/>
                <w:highlight w:val="none"/>
                <w:lang w:val="en-US" w:eastAsia="zh-CN"/>
              </w:rPr>
              <w:t>1</w:t>
            </w:r>
            <w:r>
              <w:rPr>
                <w:rFonts w:hint="eastAsia"/>
                <w:sz w:val="24"/>
                <w:highlight w:val="none"/>
              </w:rPr>
              <w:t>。收集后暂存固废暂存区，定期外售。</w:t>
            </w:r>
          </w:p>
          <w:p>
            <w:pPr>
              <w:spacing w:line="460" w:lineRule="exact"/>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lang w:eastAsia="zh-CN"/>
              </w:rPr>
              <w:t>）</w:t>
            </w:r>
            <w:r>
              <w:rPr>
                <w:rFonts w:hint="eastAsia" w:cs="Times New Roman"/>
                <w:sz w:val="24"/>
                <w:highlight w:val="none"/>
                <w:lang w:val="en-US" w:eastAsia="zh-CN"/>
              </w:rPr>
              <w:t>废大力棉边角料</w:t>
            </w:r>
          </w:p>
          <w:p>
            <w:pPr>
              <w:spacing w:line="46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本项目大力棉鞋垫生产过程中大力棉裁剪会产生</w:t>
            </w:r>
            <w:r>
              <w:rPr>
                <w:rFonts w:hint="eastAsia" w:cs="Times New Roman"/>
                <w:sz w:val="24"/>
                <w:highlight w:val="none"/>
                <w:lang w:val="en-US" w:eastAsia="zh-CN"/>
              </w:rPr>
              <w:t>一定量</w:t>
            </w:r>
            <w:r>
              <w:rPr>
                <w:rFonts w:hint="eastAsia" w:ascii="Times New Roman" w:hAnsi="Times New Roman" w:eastAsia="宋体" w:cs="Times New Roman"/>
                <w:sz w:val="24"/>
                <w:highlight w:val="none"/>
                <w:lang w:val="en-US" w:eastAsia="zh-CN"/>
              </w:rPr>
              <w:t>边角料，产生量约为</w:t>
            </w:r>
            <w:r>
              <w:rPr>
                <w:rFonts w:hint="eastAsia" w:cs="Times New Roman"/>
                <w:sz w:val="24"/>
                <w:highlight w:val="none"/>
                <w:lang w:val="en-US" w:eastAsia="zh-CN"/>
              </w:rPr>
              <w:t>1.2</w:t>
            </w:r>
            <w:r>
              <w:rPr>
                <w:rFonts w:hint="eastAsia" w:ascii="Times New Roman" w:hAnsi="Times New Roman" w:eastAsia="宋体" w:cs="Times New Roman"/>
                <w:sz w:val="24"/>
                <w:highlight w:val="none"/>
                <w:lang w:val="en-US" w:eastAsia="zh-CN"/>
              </w:rPr>
              <w:t>t/a，根据《一般固体废物分类与代码》（GB/T39198-2020），本项目</w:t>
            </w:r>
            <w:r>
              <w:rPr>
                <w:rFonts w:hint="eastAsia" w:cs="Times New Roman"/>
                <w:sz w:val="24"/>
                <w:highlight w:val="none"/>
                <w:lang w:val="en-US" w:eastAsia="zh-CN"/>
              </w:rPr>
              <w:t>废大力棉边角料</w:t>
            </w:r>
            <w:r>
              <w:rPr>
                <w:rFonts w:hint="eastAsia" w:ascii="Times New Roman" w:hAnsi="Times New Roman" w:eastAsia="宋体" w:cs="Times New Roman"/>
                <w:sz w:val="24"/>
                <w:highlight w:val="none"/>
                <w:lang w:val="en-US" w:eastAsia="zh-CN"/>
              </w:rPr>
              <w:t>固废代码为195-00</w:t>
            </w:r>
            <w:r>
              <w:rPr>
                <w:rFonts w:hint="eastAsia" w:cs="Times New Roman"/>
                <w:sz w:val="24"/>
                <w:highlight w:val="none"/>
                <w:lang w:val="en-US" w:eastAsia="zh-CN"/>
              </w:rPr>
              <w:t>5</w:t>
            </w:r>
            <w:r>
              <w:rPr>
                <w:rFonts w:hint="eastAsia" w:ascii="Times New Roman" w:hAnsi="Times New Roman" w:eastAsia="宋体" w:cs="Times New Roman"/>
                <w:sz w:val="24"/>
                <w:highlight w:val="none"/>
                <w:lang w:val="en-US" w:eastAsia="zh-CN"/>
              </w:rPr>
              <w:t>-01，鞋面边角料存放于一般固废暂存间，定期外售。</w:t>
            </w:r>
          </w:p>
          <w:p>
            <w:pPr>
              <w:spacing w:line="460" w:lineRule="exact"/>
              <w:ind w:firstLine="480" w:firstLineChars="200"/>
              <w:rPr>
                <w:rFonts w:hint="default" w:ascii="Times New Roman" w:hAnsi="Times New Roman" w:eastAsia="宋体" w:cs="Times New Roman"/>
                <w:sz w:val="24"/>
                <w:highlight w:val="none"/>
                <w:lang w:val="en-US" w:eastAsia="zh-CN"/>
              </w:rPr>
            </w:pPr>
            <w:r>
              <w:rPr>
                <w:rFonts w:hint="eastAsia" w:cs="Times New Roman"/>
                <w:sz w:val="24"/>
                <w:highlight w:val="none"/>
                <w:lang w:eastAsia="zh-CN"/>
              </w:rPr>
              <w:t>（</w:t>
            </w:r>
            <w:r>
              <w:rPr>
                <w:rFonts w:hint="eastAsia" w:cs="Times New Roman"/>
                <w:sz w:val="24"/>
                <w:highlight w:val="none"/>
                <w:lang w:val="en-US" w:eastAsia="zh-CN"/>
              </w:rPr>
              <w:t>4</w:t>
            </w:r>
            <w:r>
              <w:rPr>
                <w:rFonts w:hint="eastAsia" w:cs="Times New Roman"/>
                <w:sz w:val="24"/>
                <w:highlight w:val="none"/>
                <w:lang w:eastAsia="zh-CN"/>
              </w:rPr>
              <w:t>）</w:t>
            </w:r>
            <w:r>
              <w:rPr>
                <w:rFonts w:hint="eastAsia" w:cs="Times New Roman"/>
                <w:sz w:val="24"/>
                <w:highlight w:val="none"/>
                <w:lang w:val="en-US" w:eastAsia="zh-CN"/>
              </w:rPr>
              <w:t>废鞋垫边角料</w:t>
            </w:r>
          </w:p>
          <w:p>
            <w:pPr>
              <w:spacing w:line="460" w:lineRule="exact"/>
              <w:ind w:firstLine="480" w:firstLineChars="200"/>
              <w:rPr>
                <w:rFonts w:hint="default" w:eastAsia="宋体"/>
                <w:b/>
                <w:bCs/>
                <w:color w:val="000000"/>
                <w:sz w:val="24"/>
                <w:u w:val="single"/>
                <w:lang w:val="en-US" w:eastAsia="zh-CN"/>
              </w:rPr>
            </w:pPr>
            <w:r>
              <w:rPr>
                <w:rFonts w:hint="eastAsia" w:ascii="Times New Roman" w:hAnsi="Times New Roman" w:eastAsia="宋体" w:cs="Times New Roman"/>
                <w:sz w:val="24"/>
                <w:highlight w:val="none"/>
                <w:lang w:val="en-US" w:eastAsia="zh-CN"/>
              </w:rPr>
              <w:t>本项目鞋垫修边过程产生少量鞋垫边角料，产生量约为</w:t>
            </w:r>
            <w:r>
              <w:rPr>
                <w:rFonts w:hint="eastAsia" w:cs="Times New Roman"/>
                <w:sz w:val="24"/>
                <w:highlight w:val="none"/>
                <w:lang w:val="en-US" w:eastAsia="zh-CN"/>
              </w:rPr>
              <w:t>0.8</w:t>
            </w:r>
            <w:r>
              <w:rPr>
                <w:rFonts w:hint="eastAsia" w:ascii="Times New Roman" w:hAnsi="Times New Roman" w:eastAsia="宋体" w:cs="Times New Roman"/>
                <w:sz w:val="24"/>
                <w:highlight w:val="none"/>
                <w:lang w:val="en-US" w:eastAsia="zh-CN"/>
              </w:rPr>
              <w:t>t/a，根据《一般固体废物分类与代码》（GB/T39198-2020），本项目</w:t>
            </w:r>
            <w:r>
              <w:rPr>
                <w:rFonts w:hint="eastAsia" w:cs="Times New Roman"/>
                <w:sz w:val="24"/>
                <w:highlight w:val="none"/>
                <w:lang w:val="en-US" w:eastAsia="zh-CN"/>
              </w:rPr>
              <w:t>鞋垫边角料</w:t>
            </w:r>
            <w:r>
              <w:rPr>
                <w:rFonts w:hint="eastAsia" w:ascii="Times New Roman" w:hAnsi="Times New Roman" w:eastAsia="宋体" w:cs="Times New Roman"/>
                <w:sz w:val="24"/>
                <w:highlight w:val="none"/>
                <w:lang w:val="en-US" w:eastAsia="zh-CN"/>
              </w:rPr>
              <w:t>固废代码为195-00</w:t>
            </w:r>
            <w:r>
              <w:rPr>
                <w:rFonts w:hint="eastAsia" w:cs="Times New Roman"/>
                <w:sz w:val="24"/>
                <w:highlight w:val="none"/>
                <w:lang w:val="en-US" w:eastAsia="zh-CN"/>
              </w:rPr>
              <w:t>5</w:t>
            </w:r>
            <w:r>
              <w:rPr>
                <w:rFonts w:hint="eastAsia" w:ascii="Times New Roman" w:hAnsi="Times New Roman" w:eastAsia="宋体" w:cs="Times New Roman"/>
                <w:sz w:val="24"/>
                <w:highlight w:val="none"/>
                <w:lang w:val="en-US" w:eastAsia="zh-CN"/>
              </w:rPr>
              <w:t>-01，鞋面边</w:t>
            </w:r>
            <w:r>
              <w:rPr>
                <w:rFonts w:hint="eastAsia" w:ascii="Times New Roman" w:hAnsi="Times New Roman" w:eastAsia="宋体" w:cs="Times New Roman"/>
                <w:sz w:val="24"/>
                <w:lang w:val="en-US" w:eastAsia="zh-CN"/>
              </w:rPr>
              <w:t>角料存放于一般固废暂存间，定期外售。</w:t>
            </w:r>
          </w:p>
          <w:p>
            <w:pPr>
              <w:adjustRightInd w:val="0"/>
              <w:snapToGrid w:val="0"/>
              <w:spacing w:line="460" w:lineRule="exact"/>
              <w:ind w:firstLine="482" w:firstLineChars="200"/>
              <w:jc w:val="left"/>
              <w:rPr>
                <w:b/>
                <w:bCs/>
                <w:color w:val="000000"/>
                <w:sz w:val="24"/>
              </w:rPr>
            </w:pPr>
            <w:r>
              <w:rPr>
                <w:rFonts w:hint="eastAsia"/>
                <w:b/>
                <w:bCs/>
                <w:color w:val="000000"/>
                <w:sz w:val="24"/>
              </w:rPr>
              <w:t>4.3危险废物</w:t>
            </w:r>
          </w:p>
          <w:p>
            <w:pPr>
              <w:spacing w:line="460" w:lineRule="exact"/>
              <w:ind w:firstLine="480" w:firstLineChars="200"/>
              <w:rPr>
                <w:b w:val="0"/>
                <w:bCs w:val="0"/>
                <w:sz w:val="24"/>
                <w:u w:val="none"/>
              </w:rPr>
            </w:pPr>
            <w:r>
              <w:rPr>
                <w:rFonts w:hint="eastAsia"/>
                <w:b w:val="0"/>
                <w:bCs w:val="0"/>
                <w:sz w:val="24"/>
                <w:u w:val="none"/>
                <w:lang w:eastAsia="zh-CN"/>
              </w:rPr>
              <w:t>（</w:t>
            </w:r>
            <w:r>
              <w:rPr>
                <w:rFonts w:hint="eastAsia"/>
                <w:b w:val="0"/>
                <w:bCs w:val="0"/>
                <w:sz w:val="24"/>
                <w:u w:val="none"/>
                <w:lang w:val="en-US" w:eastAsia="zh-CN"/>
              </w:rPr>
              <w:t>1</w:t>
            </w:r>
            <w:r>
              <w:rPr>
                <w:rFonts w:hint="eastAsia"/>
                <w:b w:val="0"/>
                <w:bCs w:val="0"/>
                <w:sz w:val="24"/>
                <w:u w:val="none"/>
                <w:lang w:eastAsia="zh-CN"/>
              </w:rPr>
              <w:t>）</w:t>
            </w:r>
            <w:r>
              <w:rPr>
                <w:rFonts w:hint="eastAsia"/>
                <w:b w:val="0"/>
                <w:bCs w:val="0"/>
                <w:sz w:val="24"/>
                <w:u w:val="none"/>
              </w:rPr>
              <w:t>废液压油</w:t>
            </w:r>
          </w:p>
          <w:p>
            <w:pPr>
              <w:widowControl/>
              <w:snapToGrid w:val="0"/>
              <w:spacing w:line="460" w:lineRule="exact"/>
              <w:ind w:firstLine="482" w:firstLineChars="200"/>
              <w:rPr>
                <w:rFonts w:hint="eastAsia" w:eastAsia="宋体"/>
                <w:b w:val="0"/>
                <w:bCs w:val="0"/>
                <w:sz w:val="24"/>
                <w:u w:val="none"/>
                <w:lang w:eastAsia="zh-CN"/>
              </w:rPr>
            </w:pPr>
            <w:r>
              <w:rPr>
                <w:rFonts w:hint="eastAsia"/>
                <w:b/>
                <w:bCs/>
                <w:sz w:val="24"/>
                <w:u w:val="single"/>
                <w:lang w:bidi="he-IL"/>
              </w:rPr>
              <w:t>本项目设备维护液压油长时间使用会由于高温氧化、机械零件的磨损物等因素的影响而受到污染，因此设备会定期进行维修及保养，更换液压油，每年更换一次，按各设备在同一周期内更换计算，废液压油产生</w:t>
            </w:r>
            <w:r>
              <w:rPr>
                <w:rFonts w:hint="eastAsia"/>
                <w:b/>
                <w:bCs/>
                <w:sz w:val="24"/>
                <w:highlight w:val="none"/>
                <w:u w:val="single"/>
                <w:lang w:bidi="he-IL"/>
              </w:rPr>
              <w:t>量为</w:t>
            </w:r>
            <w:r>
              <w:rPr>
                <w:rFonts w:hint="eastAsia"/>
                <w:b/>
                <w:bCs/>
                <w:sz w:val="24"/>
                <w:highlight w:val="none"/>
                <w:u w:val="single"/>
                <w:lang w:val="en-US" w:eastAsia="zh-CN" w:bidi="he-IL"/>
              </w:rPr>
              <w:t>0.1</w:t>
            </w:r>
            <w:r>
              <w:rPr>
                <w:rFonts w:hint="eastAsia"/>
                <w:b/>
                <w:bCs/>
                <w:sz w:val="24"/>
                <w:highlight w:val="none"/>
                <w:u w:val="single"/>
                <w:lang w:bidi="he-IL"/>
              </w:rPr>
              <w:t>t/a</w:t>
            </w:r>
            <w:r>
              <w:rPr>
                <w:rFonts w:hint="eastAsia"/>
                <w:b/>
                <w:bCs/>
                <w:sz w:val="24"/>
                <w:u w:val="single"/>
                <w:lang w:bidi="he-IL"/>
              </w:rPr>
              <w:t>，</w:t>
            </w:r>
            <w:r>
              <w:rPr>
                <w:rFonts w:hint="eastAsia"/>
                <w:b w:val="0"/>
                <w:bCs w:val="0"/>
                <w:sz w:val="24"/>
                <w:u w:val="none"/>
                <w:lang w:bidi="he-IL"/>
              </w:rPr>
              <w:t>经查询《国家危险废物名录》（2021年版），</w:t>
            </w:r>
            <w:r>
              <w:rPr>
                <w:rFonts w:hint="eastAsia" w:ascii="Times New Roman" w:hAnsi="Times New Roman" w:eastAsia="宋体" w:cs="Times New Roman"/>
                <w:b w:val="0"/>
                <w:bCs w:val="0"/>
                <w:sz w:val="24"/>
                <w:u w:val="none"/>
                <w:lang w:bidi="he-IL"/>
              </w:rPr>
              <w:t>项目产生的废液压油属于危险废物（HW08），危废代码为900-218-08，设置专门容器收集后，存放于危废暂存间，定期送有资质的危险废物处置单位进行处置。</w:t>
            </w:r>
          </w:p>
          <w:p>
            <w:pPr>
              <w:widowControl/>
              <w:snapToGrid w:val="0"/>
              <w:spacing w:line="460" w:lineRule="exact"/>
              <w:ind w:firstLine="480" w:firstLineChars="200"/>
              <w:rPr>
                <w:sz w:val="24"/>
              </w:rPr>
            </w:pPr>
            <w:r>
              <w:rPr>
                <w:rFonts w:hint="eastAsia"/>
                <w:sz w:val="24"/>
              </w:rPr>
              <w:t>（</w:t>
            </w:r>
            <w:r>
              <w:rPr>
                <w:rFonts w:hint="eastAsia"/>
                <w:sz w:val="24"/>
                <w:lang w:val="en-US" w:eastAsia="zh-CN"/>
              </w:rPr>
              <w:t>2</w:t>
            </w:r>
            <w:r>
              <w:rPr>
                <w:rFonts w:hint="eastAsia"/>
                <w:sz w:val="24"/>
              </w:rPr>
              <w:t>）废UV灯管</w:t>
            </w:r>
          </w:p>
          <w:p>
            <w:pPr>
              <w:widowControl/>
              <w:snapToGrid w:val="0"/>
              <w:spacing w:line="460" w:lineRule="exact"/>
              <w:ind w:firstLine="482" w:firstLineChars="200"/>
              <w:rPr>
                <w:sz w:val="24"/>
              </w:rPr>
            </w:pPr>
            <w:r>
              <w:rPr>
                <w:rFonts w:hint="eastAsia"/>
                <w:b/>
                <w:bCs/>
                <w:sz w:val="24"/>
                <w:u w:val="single"/>
              </w:rPr>
              <w:t>本项目</w:t>
            </w:r>
            <w:r>
              <w:rPr>
                <w:rFonts w:hint="eastAsia"/>
                <w:b/>
                <w:bCs/>
                <w:color w:val="000000"/>
                <w:sz w:val="24"/>
                <w:u w:val="single"/>
                <w:lang w:val="en-US" w:eastAsia="zh-CN"/>
              </w:rPr>
              <w:t>设置2套</w:t>
            </w:r>
            <w:r>
              <w:rPr>
                <w:rFonts w:hint="eastAsia"/>
                <w:b/>
                <w:bCs/>
                <w:color w:val="000000"/>
                <w:sz w:val="24"/>
                <w:u w:val="single"/>
              </w:rPr>
              <w:t>UV光氧催化+活性炭吸附装置</w:t>
            </w:r>
            <w:r>
              <w:rPr>
                <w:rFonts w:hint="eastAsia"/>
                <w:b/>
                <w:bCs/>
                <w:color w:val="000000"/>
                <w:sz w:val="24"/>
                <w:u w:val="single"/>
                <w:lang w:val="en-US" w:eastAsia="zh-CN"/>
              </w:rPr>
              <w:t>对有机废气进行处理，</w:t>
            </w:r>
            <w:r>
              <w:rPr>
                <w:rFonts w:hint="eastAsia"/>
                <w:b/>
                <w:bCs/>
                <w:sz w:val="24"/>
                <w:u w:val="single"/>
              </w:rPr>
              <w:t>有机废气处理装置UV灯管每年更换一次，废UV灯管产生量为0.0</w:t>
            </w:r>
            <w:r>
              <w:rPr>
                <w:rFonts w:hint="eastAsia"/>
                <w:b/>
                <w:bCs/>
                <w:sz w:val="24"/>
                <w:u w:val="single"/>
                <w:lang w:val="en-US" w:eastAsia="zh-CN"/>
              </w:rPr>
              <w:t>2</w:t>
            </w:r>
            <w:r>
              <w:rPr>
                <w:rFonts w:hint="eastAsia"/>
                <w:b/>
                <w:bCs/>
                <w:sz w:val="24"/>
                <w:u w:val="single"/>
              </w:rPr>
              <w:t>t/a，</w:t>
            </w:r>
            <w:r>
              <w:rPr>
                <w:rFonts w:hint="eastAsia"/>
                <w:sz w:val="24"/>
              </w:rPr>
              <w:t>经查询《国家危险废物名录》（2021年版），项目产生的废UV灯管属于危险废物（HW29），危废代码为900-023-29，设置专门容器收集后，存放于危废暂存间，定期送有资质的危险废物处置单位进行处置。</w:t>
            </w:r>
          </w:p>
          <w:p>
            <w:pPr>
              <w:widowControl/>
              <w:snapToGrid w:val="0"/>
              <w:spacing w:line="460" w:lineRule="exact"/>
              <w:ind w:firstLine="480" w:firstLineChars="200"/>
              <w:rPr>
                <w:sz w:val="24"/>
              </w:rPr>
            </w:pPr>
            <w:r>
              <w:rPr>
                <w:rFonts w:hint="eastAsia"/>
                <w:sz w:val="24"/>
              </w:rPr>
              <w:t>（</w:t>
            </w:r>
            <w:r>
              <w:rPr>
                <w:rFonts w:hint="eastAsia"/>
                <w:sz w:val="24"/>
                <w:lang w:val="en-US" w:eastAsia="zh-CN"/>
              </w:rPr>
              <w:t>3</w:t>
            </w:r>
            <w:r>
              <w:rPr>
                <w:rFonts w:hint="eastAsia"/>
                <w:sz w:val="24"/>
              </w:rPr>
              <w:t>）废活性炭</w:t>
            </w:r>
          </w:p>
          <w:p>
            <w:pPr>
              <w:widowControl/>
              <w:snapToGrid w:val="0"/>
              <w:spacing w:line="460" w:lineRule="exact"/>
              <w:ind w:firstLine="482" w:firstLineChars="200"/>
              <w:rPr>
                <w:sz w:val="24"/>
              </w:rPr>
            </w:pPr>
            <w:r>
              <w:rPr>
                <w:rFonts w:hint="eastAsia"/>
                <w:b/>
                <w:bCs/>
                <w:color w:val="000000"/>
                <w:sz w:val="24"/>
                <w:u w:val="single"/>
              </w:rPr>
              <w:t>本项目</w:t>
            </w:r>
            <w:r>
              <w:rPr>
                <w:rFonts w:hint="eastAsia"/>
                <w:b/>
                <w:bCs/>
                <w:color w:val="000000"/>
                <w:sz w:val="24"/>
                <w:u w:val="single"/>
                <w:lang w:val="en-US" w:eastAsia="zh-CN"/>
              </w:rPr>
              <w:t>设置2套</w:t>
            </w:r>
            <w:r>
              <w:rPr>
                <w:rFonts w:hint="eastAsia"/>
                <w:b/>
                <w:bCs/>
                <w:color w:val="000000"/>
                <w:sz w:val="24"/>
                <w:u w:val="single"/>
              </w:rPr>
              <w:t>UV光氧催化+活性炭吸附装置</w:t>
            </w:r>
            <w:r>
              <w:rPr>
                <w:rFonts w:hint="eastAsia"/>
                <w:b/>
                <w:bCs/>
                <w:color w:val="000000"/>
                <w:sz w:val="24"/>
                <w:u w:val="single"/>
                <w:lang w:val="en-US" w:eastAsia="zh-CN"/>
              </w:rPr>
              <w:t>对有机废气进行处理</w:t>
            </w:r>
            <w:r>
              <w:rPr>
                <w:rFonts w:hint="eastAsia"/>
                <w:b/>
                <w:bCs/>
                <w:color w:val="000000"/>
                <w:sz w:val="24"/>
                <w:u w:val="single"/>
              </w:rPr>
              <w:t>，其中活性炭吸附装置吸附到的有机废气量按有机废气处理总量的70%计</w:t>
            </w:r>
            <w:r>
              <w:rPr>
                <w:rFonts w:hint="eastAsia"/>
                <w:b/>
                <w:bCs/>
                <w:color w:val="000000"/>
                <w:sz w:val="24"/>
                <w:u w:val="single"/>
                <w:lang w:eastAsia="zh-CN"/>
              </w:rPr>
              <w:t>。</w:t>
            </w:r>
            <w:r>
              <w:rPr>
                <w:rFonts w:hint="eastAsia"/>
                <w:b/>
                <w:bCs/>
                <w:color w:val="000000"/>
                <w:sz w:val="24"/>
                <w:u w:val="single"/>
                <w:lang w:val="en-US" w:eastAsia="zh-CN"/>
              </w:rPr>
              <w:t>则本项目发泡、过胶、热压工序进入活性炭吸附的有机废气为0.286t/a，印标、转印工序进入活性炭吸附的有机废气为0.0552t/a。</w:t>
            </w:r>
            <w:r>
              <w:rPr>
                <w:rFonts w:hint="eastAsia"/>
                <w:b/>
                <w:bCs/>
                <w:color w:val="000000"/>
                <w:sz w:val="24"/>
                <w:u w:val="single"/>
                <w:lang w:eastAsia="zh-CN"/>
              </w:rPr>
              <w:t>根据《简明通风设计手册》可知，活性炭有效吸附量 Qe=0.24kg/kg活性炭，</w:t>
            </w:r>
            <w:r>
              <w:rPr>
                <w:rFonts w:hint="eastAsia"/>
                <w:b/>
                <w:bCs/>
                <w:color w:val="000000"/>
                <w:sz w:val="24"/>
                <w:u w:val="single"/>
                <w:lang w:val="en-US" w:eastAsia="zh-CN"/>
              </w:rPr>
              <w:t>则发泡、过胶、热压工序废活性炭产生量为1.1915t/a，</w:t>
            </w:r>
            <w:r>
              <w:rPr>
                <w:rFonts w:hint="eastAsia"/>
                <w:b/>
                <w:bCs/>
                <w:color w:val="000000"/>
                <w:sz w:val="24"/>
                <w:u w:val="single"/>
                <w:lang w:eastAsia="zh-CN"/>
              </w:rPr>
              <w:t>每3个月更换一次，废活性炭的产生量为</w:t>
            </w:r>
            <w:r>
              <w:rPr>
                <w:rFonts w:hint="eastAsia"/>
                <w:b/>
                <w:bCs/>
                <w:color w:val="000000"/>
                <w:sz w:val="24"/>
                <w:u w:val="single"/>
                <w:lang w:val="en-US" w:eastAsia="zh-CN"/>
              </w:rPr>
              <w:t>1.4774</w:t>
            </w:r>
            <w:r>
              <w:rPr>
                <w:rFonts w:hint="eastAsia"/>
                <w:b/>
                <w:bCs/>
                <w:color w:val="000000"/>
                <w:sz w:val="24"/>
                <w:u w:val="single"/>
                <w:lang w:eastAsia="zh-CN"/>
              </w:rPr>
              <w:t>t/a（含吸附的非甲烷总烃）</w:t>
            </w:r>
            <w:r>
              <w:rPr>
                <w:b/>
                <w:bCs/>
                <w:sz w:val="24"/>
                <w:u w:val="single"/>
              </w:rPr>
              <w:t>。</w:t>
            </w:r>
            <w:r>
              <w:rPr>
                <w:rFonts w:hint="eastAsia"/>
                <w:b/>
                <w:bCs/>
                <w:color w:val="000000"/>
                <w:sz w:val="24"/>
                <w:u w:val="single"/>
                <w:lang w:val="en-US" w:eastAsia="zh-CN"/>
              </w:rPr>
              <w:t>印标、转印工序活性炭产生量为0.2301t/a，每6个月更换一次，废活性炭产生量为0.2854</w:t>
            </w:r>
            <w:r>
              <w:rPr>
                <w:rFonts w:hint="eastAsia"/>
                <w:b/>
                <w:bCs/>
                <w:color w:val="000000"/>
                <w:sz w:val="24"/>
                <w:u w:val="single"/>
                <w:lang w:eastAsia="zh-CN"/>
              </w:rPr>
              <w:t>（含吸附的非甲烷总烃）</w:t>
            </w:r>
            <w:r>
              <w:rPr>
                <w:rFonts w:hint="eastAsia"/>
                <w:b/>
                <w:bCs/>
                <w:color w:val="000000"/>
                <w:sz w:val="24"/>
                <w:u w:val="single"/>
                <w:lang w:val="en-US" w:eastAsia="zh-CN"/>
              </w:rPr>
              <w:t>。则本项目有机废气处理装置产生废活性炭总计1.7628t/a</w:t>
            </w:r>
            <w:r>
              <w:rPr>
                <w:b w:val="0"/>
                <w:bCs w:val="0"/>
                <w:sz w:val="24"/>
                <w:u w:val="none"/>
              </w:rPr>
              <w:t>。</w:t>
            </w:r>
            <w:r>
              <w:rPr>
                <w:rFonts w:hint="eastAsia"/>
                <w:bCs/>
                <w:color w:val="000000" w:themeColor="text1"/>
                <w:sz w:val="24"/>
                <w14:textFill>
                  <w14:solidFill>
                    <w14:schemeClr w14:val="tx1"/>
                  </w14:solidFill>
                </w14:textFill>
              </w:rPr>
              <w:t>经查询《国家危险废物名</w:t>
            </w:r>
            <w:r>
              <w:rPr>
                <w:rFonts w:hint="eastAsia"/>
                <w:sz w:val="24"/>
              </w:rPr>
              <w:t>录》（2021年版），项目产生的废活性炭属于危险废物（HW49），废物代码为900-039-49，设置专门容器收集后，存放于危废暂存间，定期送有资质的危险废物处置单位进行处置。</w:t>
            </w:r>
          </w:p>
          <w:p>
            <w:pPr>
              <w:widowControl/>
              <w:snapToGrid w:val="0"/>
              <w:spacing w:line="460" w:lineRule="exact"/>
              <w:ind w:firstLine="480" w:firstLineChars="200"/>
              <w:rPr>
                <w:rFonts w:hint="eastAsia" w:eastAsia="宋体"/>
                <w:sz w:val="24"/>
                <w:lang w:eastAsia="zh-CN"/>
              </w:rPr>
            </w:pPr>
            <w:r>
              <w:rPr>
                <w:rFonts w:hint="eastAsia"/>
                <w:sz w:val="24"/>
              </w:rPr>
              <w:t>（</w:t>
            </w:r>
            <w:r>
              <w:rPr>
                <w:rFonts w:hint="eastAsia"/>
                <w:sz w:val="24"/>
                <w:lang w:val="en-US" w:eastAsia="zh-CN"/>
              </w:rPr>
              <w:t>4</w:t>
            </w:r>
            <w:r>
              <w:rPr>
                <w:rFonts w:hint="eastAsia"/>
                <w:sz w:val="24"/>
              </w:rPr>
              <w:t>）废</w:t>
            </w:r>
            <w:r>
              <w:rPr>
                <w:rFonts w:hint="eastAsia"/>
                <w:sz w:val="24"/>
                <w:lang w:val="en-US" w:eastAsia="zh-CN"/>
              </w:rPr>
              <w:t>油墨桶</w:t>
            </w:r>
          </w:p>
          <w:p>
            <w:pPr>
              <w:numPr>
                <w:ilvl w:val="0"/>
                <w:numId w:val="0"/>
              </w:numPr>
              <w:adjustRightInd w:val="0"/>
              <w:snapToGrid w:val="0"/>
              <w:spacing w:line="460" w:lineRule="exact"/>
              <w:ind w:firstLine="480" w:firstLineChars="200"/>
              <w:jc w:val="left"/>
              <w:rPr>
                <w:b/>
                <w:bCs/>
                <w:color w:val="000000"/>
                <w:sz w:val="24"/>
              </w:rPr>
            </w:pPr>
            <w:r>
              <w:rPr>
                <w:b w:val="0"/>
                <w:bCs w:val="0"/>
                <w:color w:val="000000"/>
                <w:sz w:val="24"/>
              </w:rPr>
              <w:t>本项目</w:t>
            </w:r>
            <w:r>
              <w:rPr>
                <w:rFonts w:hint="eastAsia" w:ascii="Times New Roman" w:eastAsia="宋体"/>
                <w:b w:val="0"/>
                <w:bCs w:val="0"/>
                <w:color w:val="000000"/>
                <w:sz w:val="24"/>
                <w:lang w:val="en-US" w:eastAsia="zh-CN"/>
              </w:rPr>
              <w:t>印标</w:t>
            </w:r>
            <w:r>
              <w:rPr>
                <w:b w:val="0"/>
                <w:bCs w:val="0"/>
                <w:color w:val="000000"/>
                <w:sz w:val="24"/>
              </w:rPr>
              <w:t>工序产生沾染油墨的废包装桶，</w:t>
            </w:r>
            <w:r>
              <w:rPr>
                <w:rFonts w:hint="eastAsia"/>
                <w:b w:val="0"/>
                <w:bCs w:val="0"/>
                <w:color w:val="000000"/>
                <w:sz w:val="24"/>
              </w:rPr>
              <w:t>产生量为</w:t>
            </w:r>
            <w:r>
              <w:rPr>
                <w:rFonts w:hint="eastAsia" w:ascii="Times New Roman" w:eastAsia="宋体"/>
                <w:b w:val="0"/>
                <w:bCs w:val="0"/>
                <w:color w:val="000000"/>
                <w:sz w:val="24"/>
                <w:lang w:val="en-US" w:eastAsia="zh-CN"/>
              </w:rPr>
              <w:t>20</w:t>
            </w:r>
            <w:r>
              <w:rPr>
                <w:b w:val="0"/>
                <w:bCs w:val="0"/>
                <w:color w:val="000000"/>
                <w:sz w:val="24"/>
              </w:rPr>
              <w:t>个</w:t>
            </w:r>
            <w:r>
              <w:rPr>
                <w:rFonts w:hint="eastAsia"/>
                <w:b w:val="0"/>
                <w:bCs w:val="0"/>
                <w:color w:val="000000"/>
                <w:sz w:val="24"/>
              </w:rPr>
              <w:t>/a，</w:t>
            </w:r>
            <w:r>
              <w:rPr>
                <w:b w:val="0"/>
                <w:bCs w:val="0"/>
                <w:color w:val="000000"/>
                <w:sz w:val="24"/>
              </w:rPr>
              <w:t>经查询《国家危险废物名录》（2021年版），项目产生的</w:t>
            </w:r>
            <w:r>
              <w:rPr>
                <w:rFonts w:hint="eastAsia"/>
                <w:b w:val="0"/>
                <w:bCs w:val="0"/>
                <w:color w:val="000000"/>
                <w:sz w:val="24"/>
              </w:rPr>
              <w:t>废油墨桶</w:t>
            </w:r>
            <w:r>
              <w:rPr>
                <w:b w:val="0"/>
                <w:bCs w:val="0"/>
                <w:color w:val="000000"/>
                <w:sz w:val="24"/>
              </w:rPr>
              <w:t>属于危险废物（HW49），危废代码为900-041-49，整齐存放于危废暂存间内，定期送有资质的危险废物处置单位进行处置。</w:t>
            </w:r>
          </w:p>
          <w:p>
            <w:pPr>
              <w:numPr>
                <w:ilvl w:val="0"/>
                <w:numId w:val="0"/>
              </w:numPr>
              <w:adjustRightInd w:val="0"/>
              <w:snapToGrid w:val="0"/>
              <w:spacing w:line="460" w:lineRule="exact"/>
              <w:ind w:left="630" w:leftChars="0"/>
              <w:jc w:val="left"/>
              <w:rPr>
                <w:rFonts w:hint="default" w:eastAsia="宋体"/>
                <w:b/>
                <w:bCs/>
                <w:color w:val="000000"/>
                <w:sz w:val="24"/>
                <w:u w:val="single"/>
                <w:lang w:val="en-US" w:eastAsia="zh-CN"/>
              </w:rPr>
            </w:pPr>
            <w:r>
              <w:rPr>
                <w:rFonts w:hint="eastAsia"/>
                <w:b/>
                <w:bCs/>
                <w:color w:val="000000"/>
                <w:sz w:val="24"/>
                <w:u w:val="single"/>
                <w:lang w:eastAsia="zh-CN"/>
              </w:rPr>
              <w:t>（</w:t>
            </w:r>
            <w:r>
              <w:rPr>
                <w:rFonts w:hint="eastAsia"/>
                <w:b/>
                <w:bCs/>
                <w:color w:val="000000"/>
                <w:sz w:val="24"/>
                <w:u w:val="single"/>
                <w:lang w:val="en-US" w:eastAsia="zh-CN"/>
              </w:rPr>
              <w:t>5</w:t>
            </w:r>
            <w:r>
              <w:rPr>
                <w:rFonts w:hint="eastAsia"/>
                <w:b/>
                <w:bCs/>
                <w:color w:val="000000"/>
                <w:sz w:val="24"/>
                <w:u w:val="single"/>
                <w:lang w:eastAsia="zh-CN"/>
              </w:rPr>
              <w:t>）</w:t>
            </w:r>
            <w:r>
              <w:rPr>
                <w:rFonts w:hint="eastAsia"/>
                <w:b/>
                <w:bCs/>
                <w:color w:val="000000"/>
                <w:sz w:val="24"/>
                <w:u w:val="single"/>
                <w:lang w:val="en-US" w:eastAsia="zh-CN"/>
              </w:rPr>
              <w:t>废抹布</w:t>
            </w:r>
          </w:p>
          <w:p>
            <w:pPr>
              <w:numPr>
                <w:ilvl w:val="0"/>
                <w:numId w:val="0"/>
              </w:numPr>
              <w:adjustRightInd w:val="0"/>
              <w:snapToGrid w:val="0"/>
              <w:spacing w:line="460" w:lineRule="exact"/>
              <w:ind w:firstLine="482" w:firstLineChars="200"/>
              <w:jc w:val="left"/>
              <w:rPr>
                <w:rFonts w:hint="default"/>
                <w:b/>
                <w:bCs/>
                <w:color w:val="000000"/>
                <w:sz w:val="24"/>
                <w:u w:val="single"/>
                <w:lang w:val="en-US" w:eastAsia="zh-CN"/>
              </w:rPr>
            </w:pPr>
            <w:r>
              <w:rPr>
                <w:rFonts w:hint="eastAsia"/>
                <w:b/>
                <w:bCs/>
                <w:color w:val="000000"/>
                <w:sz w:val="24"/>
                <w:u w:val="single"/>
                <w:lang w:val="en-US" w:eastAsia="zh-CN"/>
              </w:rPr>
              <w:t>本项目生产设备在每天生产结束后需使用抹布进行擦拭清理，所使用抹布每月更换两次，每次更换产生20块废抹布（约0.2kg/块），废抹布产生量为0.096t/a。经查询《国家危险废物名录》（2021年版），项目产生的废抹布属于危险废物（HW49），危废代码为900-041-49，整齐存放于危废暂存间内，定期送有资质的危险废物处置单位进行处置。</w:t>
            </w:r>
          </w:p>
          <w:p>
            <w:pPr>
              <w:numPr>
                <w:ilvl w:val="0"/>
                <w:numId w:val="5"/>
              </w:numPr>
              <w:adjustRightInd w:val="0"/>
              <w:snapToGrid w:val="0"/>
              <w:spacing w:line="460" w:lineRule="exact"/>
              <w:ind w:left="630" w:leftChars="0"/>
              <w:jc w:val="left"/>
              <w:rPr>
                <w:rFonts w:hint="eastAsia"/>
                <w:b/>
                <w:bCs/>
                <w:color w:val="000000"/>
                <w:sz w:val="24"/>
                <w:lang w:val="en-US" w:eastAsia="zh-CN"/>
              </w:rPr>
            </w:pPr>
            <w:r>
              <w:rPr>
                <w:rFonts w:hint="eastAsia"/>
                <w:b/>
                <w:bCs/>
                <w:color w:val="000000"/>
                <w:sz w:val="24"/>
                <w:lang w:val="en-US" w:eastAsia="zh-CN"/>
              </w:rPr>
              <w:t>废热转印商标纸</w:t>
            </w:r>
          </w:p>
          <w:p>
            <w:pPr>
              <w:numPr>
                <w:ilvl w:val="0"/>
                <w:numId w:val="0"/>
              </w:numPr>
              <w:adjustRightInd w:val="0"/>
              <w:snapToGrid w:val="0"/>
              <w:spacing w:line="460" w:lineRule="exact"/>
              <w:ind w:firstLine="482" w:firstLineChars="200"/>
              <w:jc w:val="left"/>
              <w:rPr>
                <w:rFonts w:hint="eastAsia" w:eastAsia="宋体"/>
                <w:b/>
                <w:bCs/>
                <w:color w:val="000000"/>
                <w:sz w:val="24"/>
                <w:lang w:eastAsia="zh-CN"/>
              </w:rPr>
            </w:pPr>
            <w:r>
              <w:rPr>
                <w:rFonts w:hint="eastAsia"/>
                <w:b/>
                <w:bCs/>
                <w:color w:val="000000"/>
                <w:sz w:val="24"/>
                <w:u w:val="single"/>
                <w:lang w:val="en-US" w:eastAsia="zh-CN"/>
              </w:rPr>
              <w:t>本项目转印工序会产生废商标纸，产生量约为1.4t/a。经查询《国家危险废物名录》（2021年版），项目产生的废热转印商标纸属于危险废物（HW49），危废代码为900-041-49，收集后存放于危废暂存间内，定期送有资质的危险废物处置单位进行处置。</w:t>
            </w:r>
          </w:p>
          <w:p>
            <w:pPr>
              <w:numPr>
                <w:ilvl w:val="0"/>
                <w:numId w:val="0"/>
              </w:numPr>
              <w:adjustRightInd w:val="0"/>
              <w:snapToGrid w:val="0"/>
              <w:spacing w:line="460" w:lineRule="exact"/>
              <w:ind w:left="630" w:leftChars="0"/>
              <w:jc w:val="left"/>
              <w:rPr>
                <w:b/>
                <w:bCs/>
                <w:color w:val="000000"/>
                <w:sz w:val="24"/>
              </w:rPr>
            </w:pPr>
            <w:r>
              <w:rPr>
                <w:b/>
                <w:bCs/>
                <w:color w:val="000000"/>
                <w:sz w:val="24"/>
              </w:rPr>
              <w:t>4.3.1危废贮存设施设置情况</w:t>
            </w:r>
          </w:p>
          <w:p>
            <w:pPr>
              <w:snapToGrid w:val="0"/>
              <w:spacing w:line="460" w:lineRule="exact"/>
              <w:ind w:firstLine="465"/>
              <w:rPr>
                <w:sz w:val="24"/>
              </w:rPr>
            </w:pPr>
            <w:r>
              <w:rPr>
                <w:sz w:val="24"/>
              </w:rPr>
              <w:t>项目在厂区按照《危险废物贮存污染控制标准》要求设置危废专用容器，危废暂存</w:t>
            </w:r>
            <w:r>
              <w:rPr>
                <w:rFonts w:hint="eastAsia"/>
                <w:sz w:val="24"/>
              </w:rPr>
              <w:t>间</w:t>
            </w:r>
            <w:r>
              <w:rPr>
                <w:sz w:val="24"/>
              </w:rPr>
              <w:t>，要求如下：</w:t>
            </w:r>
          </w:p>
          <w:p>
            <w:pPr>
              <w:snapToGrid w:val="0"/>
              <w:spacing w:line="460" w:lineRule="exact"/>
              <w:ind w:firstLine="465"/>
              <w:rPr>
                <w:sz w:val="24"/>
              </w:rPr>
            </w:pPr>
            <w:r>
              <w:rPr>
                <w:sz w:val="24"/>
              </w:rPr>
              <w:t>①厂内危废贮存设施必须按照GB18597-2001《危险废物贮存污染标准》的要求进行设计、施工，对</w:t>
            </w:r>
            <w:r>
              <w:rPr>
                <w:rFonts w:hint="eastAsia"/>
                <w:sz w:val="24"/>
                <w:lang w:val="en-US" w:eastAsia="zh-CN"/>
              </w:rPr>
              <w:t>废液压油、</w:t>
            </w:r>
            <w:r>
              <w:rPr>
                <w:rFonts w:hint="eastAsia"/>
                <w:bCs/>
                <w:sz w:val="24"/>
              </w:rPr>
              <w:t>废活性炭、废UV灯管</w:t>
            </w:r>
            <w:r>
              <w:rPr>
                <w:rFonts w:hint="eastAsia"/>
                <w:bCs/>
                <w:sz w:val="24"/>
                <w:lang w:eastAsia="zh-CN"/>
              </w:rPr>
              <w:t>、</w:t>
            </w:r>
            <w:r>
              <w:rPr>
                <w:rFonts w:hint="eastAsia"/>
                <w:bCs/>
                <w:sz w:val="24"/>
                <w:lang w:val="en-US" w:eastAsia="zh-CN"/>
              </w:rPr>
              <w:t>废油墨桶</w:t>
            </w:r>
            <w:r>
              <w:rPr>
                <w:sz w:val="24"/>
              </w:rPr>
              <w:t>定期收集后装入符合标准的容器内，容器材质要满足强度要求，应当满足防风、防雨、防晒、防渗的“四防”要求；</w:t>
            </w:r>
          </w:p>
          <w:p>
            <w:pPr>
              <w:snapToGrid w:val="0"/>
              <w:spacing w:line="460" w:lineRule="exact"/>
              <w:ind w:firstLine="465"/>
              <w:rPr>
                <w:sz w:val="24"/>
              </w:rPr>
            </w:pPr>
            <w:r>
              <w:rPr>
                <w:sz w:val="24"/>
              </w:rPr>
              <w:t>②危废贮存区地面要用坚固、防渗材料建造；危废堆放的基础必须防渗，建议铺设2mm厚高密度聚乙烯膜或至少2mm厚的其它人工材料；</w:t>
            </w:r>
          </w:p>
          <w:p>
            <w:pPr>
              <w:snapToGrid w:val="0"/>
              <w:spacing w:line="460" w:lineRule="exact"/>
              <w:ind w:firstLine="465"/>
              <w:rPr>
                <w:sz w:val="24"/>
              </w:rPr>
            </w:pPr>
            <w:r>
              <w:rPr>
                <w:sz w:val="24"/>
              </w:rPr>
              <w:t>③按照《环境保护图形标志—固体废物贮存(处置)场》（GB15562.2-1995）标准规定设置环境保护图形标准。危废品库内应注明危险废物名称、数量、特性及接受单位等。同时标明不同危险废物在泄漏、火灾及爆炸等事故情况下，紧急处理处置措施，危废品库内应配备足够的堵漏及其他消防安全器材，确保固废临时安全储存；</w:t>
            </w:r>
          </w:p>
          <w:p>
            <w:pPr>
              <w:snapToGrid w:val="0"/>
              <w:spacing w:line="460" w:lineRule="exact"/>
              <w:ind w:firstLine="465"/>
              <w:rPr>
                <w:sz w:val="24"/>
              </w:rPr>
            </w:pPr>
            <w:r>
              <w:rPr>
                <w:sz w:val="24"/>
              </w:rPr>
              <w:t>④所有的危险废物均应在专用密闭容器中储存，不得混装，废物收集和封装容积应得到接受单位及当地环保部门的认可。收集危险废物应详细列出危险废物的数量和成分，并填写有关资料，设置明显的废物名称及性质标识牌，并在库外设置明显的危险废物专用的警示标志；</w:t>
            </w:r>
          </w:p>
          <w:p>
            <w:pPr>
              <w:pStyle w:val="5"/>
              <w:numPr>
                <w:ilvl w:val="0"/>
                <w:numId w:val="0"/>
              </w:numPr>
              <w:snapToGrid w:val="0"/>
              <w:ind w:firstLine="480" w:firstLineChars="200"/>
              <w:rPr>
                <w:b w:val="0"/>
                <w:bCs/>
              </w:rPr>
            </w:pPr>
            <w:r>
              <w:rPr>
                <w:rFonts w:hint="eastAsia" w:ascii="宋体" w:hAnsi="宋体" w:cs="宋体"/>
                <w:b w:val="0"/>
                <w:bCs/>
              </w:rPr>
              <w:t>⑤</w:t>
            </w:r>
            <w:r>
              <w:rPr>
                <w:b w:val="0"/>
                <w:bCs/>
              </w:rPr>
              <w:t>建设单位应指定专人负责固废及残液的收集、贮存管理工作，明确责任人工作制度，按照管理要求，及时将危废品库的危险固废送至有资质的单位处理，不得长期储存或超容量储存。</w:t>
            </w:r>
          </w:p>
          <w:p>
            <w:pPr>
              <w:adjustRightInd w:val="0"/>
              <w:snapToGrid w:val="0"/>
              <w:spacing w:line="460" w:lineRule="exact"/>
              <w:ind w:firstLine="482" w:firstLineChars="200"/>
              <w:jc w:val="left"/>
              <w:rPr>
                <w:b/>
                <w:bCs/>
                <w:color w:val="000000"/>
                <w:sz w:val="24"/>
              </w:rPr>
            </w:pPr>
            <w:r>
              <w:rPr>
                <w:rFonts w:hint="eastAsia"/>
                <w:b/>
                <w:bCs/>
                <w:color w:val="000000"/>
                <w:sz w:val="24"/>
              </w:rPr>
              <w:t>4.3.2</w:t>
            </w:r>
            <w:r>
              <w:rPr>
                <w:b/>
                <w:bCs/>
                <w:color w:val="000000"/>
                <w:sz w:val="24"/>
              </w:rPr>
              <w:t>危险废物贮存设施的运行与管理</w:t>
            </w:r>
          </w:p>
          <w:p>
            <w:pPr>
              <w:pStyle w:val="5"/>
              <w:numPr>
                <w:ilvl w:val="0"/>
                <w:numId w:val="0"/>
              </w:numPr>
              <w:snapToGrid w:val="0"/>
              <w:ind w:firstLine="480" w:firstLineChars="200"/>
              <w:rPr>
                <w:b w:val="0"/>
                <w:bCs/>
              </w:rPr>
            </w:pPr>
            <w:r>
              <w:rPr>
                <w:rFonts w:hint="eastAsia" w:ascii="宋体" w:hAnsi="宋体" w:cs="宋体"/>
                <w:b w:val="0"/>
                <w:bCs/>
              </w:rPr>
              <w:t>①</w:t>
            </w:r>
            <w:r>
              <w:rPr>
                <w:b w:val="0"/>
                <w:bCs/>
              </w:rPr>
              <w:t>定期对所贮存的危险废物包装容器及贮存设施进行检查，发现破损，应及时采取措施清理更换。</w:t>
            </w:r>
          </w:p>
          <w:p>
            <w:pPr>
              <w:pStyle w:val="5"/>
              <w:numPr>
                <w:ilvl w:val="0"/>
                <w:numId w:val="0"/>
              </w:numPr>
              <w:snapToGrid w:val="0"/>
              <w:ind w:firstLine="480" w:firstLineChars="200"/>
              <w:rPr>
                <w:b w:val="0"/>
                <w:bCs/>
              </w:rPr>
            </w:pPr>
            <w:r>
              <w:rPr>
                <w:rFonts w:hint="eastAsia" w:ascii="宋体" w:hAnsi="宋体" w:cs="宋体"/>
                <w:b w:val="0"/>
                <w:bCs/>
              </w:rPr>
              <w:t>②</w:t>
            </w:r>
            <w:r>
              <w:rPr>
                <w:b w:val="0"/>
                <w:bCs/>
              </w:rPr>
              <w:t>不得将不相容的废物混合或合并存放。</w:t>
            </w:r>
          </w:p>
          <w:p>
            <w:pPr>
              <w:pStyle w:val="5"/>
              <w:numPr>
                <w:ilvl w:val="0"/>
                <w:numId w:val="0"/>
              </w:numPr>
              <w:snapToGrid w:val="0"/>
              <w:ind w:firstLine="480" w:firstLineChars="200"/>
              <w:rPr>
                <w:b w:val="0"/>
                <w:bCs/>
              </w:rPr>
            </w:pPr>
            <w:r>
              <w:rPr>
                <w:rFonts w:hint="eastAsia" w:ascii="宋体" w:hAnsi="宋体" w:cs="宋体"/>
                <w:b w:val="0"/>
                <w:bCs/>
              </w:rPr>
              <w:t>③</w:t>
            </w:r>
            <w:r>
              <w:rPr>
                <w:b w:val="0"/>
                <w:bCs/>
              </w:rPr>
              <w:t>危险废物产生和危险废物贮存设施管理者均须作好危险废物情况的记录，记录上须注明危险废物的名称、来源、数量、特性和包装容器的类别、入库日期、废物出库日期及接收单位名称。</w:t>
            </w:r>
          </w:p>
          <w:p>
            <w:pPr>
              <w:pStyle w:val="5"/>
              <w:numPr>
                <w:ilvl w:val="0"/>
                <w:numId w:val="0"/>
              </w:numPr>
              <w:snapToGrid w:val="0"/>
              <w:ind w:left="420" w:leftChars="200"/>
              <w:rPr>
                <w:b w:val="0"/>
                <w:bCs/>
              </w:rPr>
            </w:pPr>
            <w:r>
              <w:rPr>
                <w:rFonts w:hint="eastAsia" w:ascii="宋体" w:hAnsi="宋体" w:cs="宋体"/>
                <w:b w:val="0"/>
                <w:bCs/>
              </w:rPr>
              <w:t>④</w:t>
            </w:r>
            <w:r>
              <w:rPr>
                <w:b w:val="0"/>
                <w:bCs/>
              </w:rPr>
              <w:t>盛装在容器内的同类危险废物可以堆叠存放。</w:t>
            </w:r>
          </w:p>
          <w:p>
            <w:pPr>
              <w:pStyle w:val="5"/>
              <w:numPr>
                <w:ilvl w:val="0"/>
                <w:numId w:val="0"/>
              </w:numPr>
              <w:snapToGrid w:val="0"/>
              <w:ind w:left="420" w:leftChars="200"/>
              <w:rPr>
                <w:b w:val="0"/>
                <w:bCs/>
              </w:rPr>
            </w:pPr>
            <w:r>
              <w:rPr>
                <w:b w:val="0"/>
                <w:bCs/>
              </w:rPr>
              <w:t>废物类别及废物代码如下表所示。</w:t>
            </w:r>
          </w:p>
          <w:p>
            <w:pPr>
              <w:widowControl/>
              <w:snapToGrid w:val="0"/>
              <w:spacing w:line="400" w:lineRule="exact"/>
              <w:ind w:firstLine="482" w:firstLineChars="200"/>
              <w:rPr>
                <w:b/>
                <w:bCs/>
                <w:sz w:val="24"/>
              </w:rPr>
            </w:pPr>
            <w:r>
              <w:rPr>
                <w:b/>
                <w:bCs/>
                <w:sz w:val="24"/>
              </w:rPr>
              <w:t>表</w:t>
            </w:r>
            <w:r>
              <w:rPr>
                <w:rFonts w:hint="eastAsia"/>
                <w:b/>
                <w:bCs/>
                <w:sz w:val="24"/>
                <w:lang w:val="en-US" w:eastAsia="zh-CN"/>
              </w:rPr>
              <w:t>25</w:t>
            </w:r>
            <w:r>
              <w:rPr>
                <w:b/>
                <w:bCs/>
                <w:sz w:val="24"/>
              </w:rPr>
              <w:t xml:space="preserve">                  本项目危险废物汇总表</w:t>
            </w:r>
          </w:p>
          <w:tbl>
            <w:tblPr>
              <w:tblStyle w:val="21"/>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23"/>
              <w:gridCol w:w="800"/>
              <w:gridCol w:w="1196"/>
              <w:gridCol w:w="1004"/>
              <w:gridCol w:w="619"/>
              <w:gridCol w:w="591"/>
              <w:gridCol w:w="606"/>
              <w:gridCol w:w="631"/>
              <w:gridCol w:w="615"/>
              <w:gridCol w:w="589"/>
              <w:gridCol w:w="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26" w:type="dxa"/>
                  <w:tcBorders>
                    <w:tl2br w:val="nil"/>
                    <w:tr2bl w:val="nil"/>
                  </w:tcBorders>
                  <w:vAlign w:val="center"/>
                </w:tcPr>
                <w:p>
                  <w:pPr>
                    <w:widowControl/>
                    <w:topLinePunct/>
                    <w:adjustRightInd w:val="0"/>
                    <w:snapToGrid w:val="0"/>
                    <w:spacing w:line="320" w:lineRule="exact"/>
                    <w:jc w:val="center"/>
                    <w:rPr>
                      <w:szCs w:val="21"/>
                    </w:rPr>
                  </w:pPr>
                  <w:r>
                    <w:rPr>
                      <w:szCs w:val="21"/>
                    </w:rPr>
                    <w:t>序号</w:t>
                  </w:r>
                </w:p>
              </w:tc>
              <w:tc>
                <w:tcPr>
                  <w:tcW w:w="623" w:type="dxa"/>
                  <w:tcBorders>
                    <w:tl2br w:val="nil"/>
                    <w:tr2bl w:val="nil"/>
                  </w:tcBorders>
                  <w:vAlign w:val="center"/>
                </w:tcPr>
                <w:p>
                  <w:pPr>
                    <w:widowControl/>
                    <w:topLinePunct/>
                    <w:adjustRightInd w:val="0"/>
                    <w:snapToGrid w:val="0"/>
                    <w:spacing w:line="320" w:lineRule="exact"/>
                    <w:jc w:val="center"/>
                    <w:rPr>
                      <w:szCs w:val="21"/>
                    </w:rPr>
                  </w:pPr>
                  <w:r>
                    <w:rPr>
                      <w:szCs w:val="21"/>
                    </w:rPr>
                    <w:t>危险废物名称</w:t>
                  </w:r>
                </w:p>
              </w:tc>
              <w:tc>
                <w:tcPr>
                  <w:tcW w:w="800" w:type="dxa"/>
                  <w:tcBorders>
                    <w:tl2br w:val="nil"/>
                    <w:tr2bl w:val="nil"/>
                  </w:tcBorders>
                  <w:vAlign w:val="center"/>
                </w:tcPr>
                <w:p>
                  <w:pPr>
                    <w:widowControl/>
                    <w:topLinePunct/>
                    <w:adjustRightInd w:val="0"/>
                    <w:snapToGrid w:val="0"/>
                    <w:spacing w:line="320" w:lineRule="exact"/>
                    <w:jc w:val="center"/>
                    <w:rPr>
                      <w:szCs w:val="21"/>
                    </w:rPr>
                  </w:pPr>
                  <w:r>
                    <w:rPr>
                      <w:szCs w:val="21"/>
                    </w:rPr>
                    <w:t>危险废物类别</w:t>
                  </w:r>
                </w:p>
              </w:tc>
              <w:tc>
                <w:tcPr>
                  <w:tcW w:w="1196" w:type="dxa"/>
                  <w:tcBorders>
                    <w:tl2br w:val="nil"/>
                    <w:tr2bl w:val="nil"/>
                  </w:tcBorders>
                  <w:vAlign w:val="center"/>
                </w:tcPr>
                <w:p>
                  <w:pPr>
                    <w:widowControl/>
                    <w:topLinePunct/>
                    <w:adjustRightInd w:val="0"/>
                    <w:snapToGrid w:val="0"/>
                    <w:spacing w:line="320" w:lineRule="exact"/>
                    <w:jc w:val="center"/>
                    <w:rPr>
                      <w:szCs w:val="21"/>
                    </w:rPr>
                  </w:pPr>
                  <w:r>
                    <w:rPr>
                      <w:szCs w:val="21"/>
                    </w:rPr>
                    <w:t>危险废物代码</w:t>
                  </w:r>
                </w:p>
              </w:tc>
              <w:tc>
                <w:tcPr>
                  <w:tcW w:w="1004" w:type="dxa"/>
                  <w:tcBorders>
                    <w:tl2br w:val="nil"/>
                    <w:tr2bl w:val="nil"/>
                  </w:tcBorders>
                  <w:vAlign w:val="center"/>
                </w:tcPr>
                <w:p>
                  <w:pPr>
                    <w:widowControl/>
                    <w:topLinePunct/>
                    <w:adjustRightInd w:val="0"/>
                    <w:snapToGrid w:val="0"/>
                    <w:spacing w:line="320" w:lineRule="exact"/>
                    <w:jc w:val="center"/>
                    <w:rPr>
                      <w:szCs w:val="21"/>
                    </w:rPr>
                  </w:pPr>
                  <w:r>
                    <w:rPr>
                      <w:szCs w:val="21"/>
                    </w:rPr>
                    <w:t>产生量</w:t>
                  </w:r>
                </w:p>
              </w:tc>
              <w:tc>
                <w:tcPr>
                  <w:tcW w:w="619" w:type="dxa"/>
                  <w:tcBorders>
                    <w:tl2br w:val="nil"/>
                    <w:tr2bl w:val="nil"/>
                  </w:tcBorders>
                  <w:vAlign w:val="center"/>
                </w:tcPr>
                <w:p>
                  <w:pPr>
                    <w:widowControl/>
                    <w:topLinePunct/>
                    <w:adjustRightInd w:val="0"/>
                    <w:snapToGrid w:val="0"/>
                    <w:spacing w:line="320" w:lineRule="exact"/>
                    <w:jc w:val="center"/>
                    <w:rPr>
                      <w:szCs w:val="21"/>
                    </w:rPr>
                  </w:pPr>
                  <w:r>
                    <w:rPr>
                      <w:szCs w:val="21"/>
                    </w:rPr>
                    <w:t>产生工序及装置</w:t>
                  </w:r>
                </w:p>
              </w:tc>
              <w:tc>
                <w:tcPr>
                  <w:tcW w:w="591" w:type="dxa"/>
                  <w:tcBorders>
                    <w:tl2br w:val="nil"/>
                    <w:tr2bl w:val="nil"/>
                  </w:tcBorders>
                  <w:vAlign w:val="center"/>
                </w:tcPr>
                <w:p>
                  <w:pPr>
                    <w:widowControl/>
                    <w:topLinePunct/>
                    <w:adjustRightInd w:val="0"/>
                    <w:snapToGrid w:val="0"/>
                    <w:spacing w:line="320" w:lineRule="exact"/>
                    <w:jc w:val="center"/>
                    <w:rPr>
                      <w:szCs w:val="21"/>
                    </w:rPr>
                  </w:pPr>
                  <w:r>
                    <w:rPr>
                      <w:szCs w:val="21"/>
                    </w:rPr>
                    <w:t>形态</w:t>
                  </w:r>
                </w:p>
              </w:tc>
              <w:tc>
                <w:tcPr>
                  <w:tcW w:w="606" w:type="dxa"/>
                  <w:tcBorders>
                    <w:tl2br w:val="nil"/>
                    <w:tr2bl w:val="nil"/>
                  </w:tcBorders>
                  <w:vAlign w:val="center"/>
                </w:tcPr>
                <w:p>
                  <w:pPr>
                    <w:widowControl/>
                    <w:topLinePunct/>
                    <w:adjustRightInd w:val="0"/>
                    <w:snapToGrid w:val="0"/>
                    <w:spacing w:line="320" w:lineRule="exact"/>
                    <w:jc w:val="center"/>
                    <w:rPr>
                      <w:szCs w:val="21"/>
                    </w:rPr>
                  </w:pPr>
                  <w:r>
                    <w:rPr>
                      <w:szCs w:val="21"/>
                    </w:rPr>
                    <w:t>主要成分</w:t>
                  </w:r>
                </w:p>
              </w:tc>
              <w:tc>
                <w:tcPr>
                  <w:tcW w:w="631" w:type="dxa"/>
                  <w:tcBorders>
                    <w:tl2br w:val="nil"/>
                    <w:tr2bl w:val="nil"/>
                  </w:tcBorders>
                  <w:vAlign w:val="center"/>
                </w:tcPr>
                <w:p>
                  <w:pPr>
                    <w:widowControl/>
                    <w:topLinePunct/>
                    <w:adjustRightInd w:val="0"/>
                    <w:snapToGrid w:val="0"/>
                    <w:spacing w:line="320" w:lineRule="exact"/>
                    <w:jc w:val="center"/>
                    <w:rPr>
                      <w:szCs w:val="21"/>
                    </w:rPr>
                  </w:pPr>
                  <w:r>
                    <w:rPr>
                      <w:szCs w:val="21"/>
                    </w:rPr>
                    <w:t>有害成分</w:t>
                  </w:r>
                </w:p>
              </w:tc>
              <w:tc>
                <w:tcPr>
                  <w:tcW w:w="615" w:type="dxa"/>
                  <w:tcBorders>
                    <w:tl2br w:val="nil"/>
                    <w:tr2bl w:val="nil"/>
                  </w:tcBorders>
                  <w:vAlign w:val="center"/>
                </w:tcPr>
                <w:p>
                  <w:pPr>
                    <w:widowControl/>
                    <w:topLinePunct/>
                    <w:adjustRightInd w:val="0"/>
                    <w:snapToGrid w:val="0"/>
                    <w:spacing w:line="320" w:lineRule="exact"/>
                    <w:jc w:val="center"/>
                    <w:rPr>
                      <w:szCs w:val="21"/>
                    </w:rPr>
                  </w:pPr>
                  <w:r>
                    <w:rPr>
                      <w:szCs w:val="21"/>
                    </w:rPr>
                    <w:t>产废周期</w:t>
                  </w:r>
                </w:p>
              </w:tc>
              <w:tc>
                <w:tcPr>
                  <w:tcW w:w="589" w:type="dxa"/>
                  <w:tcBorders>
                    <w:tl2br w:val="nil"/>
                    <w:tr2bl w:val="nil"/>
                  </w:tcBorders>
                  <w:vAlign w:val="center"/>
                </w:tcPr>
                <w:p>
                  <w:pPr>
                    <w:widowControl/>
                    <w:topLinePunct/>
                    <w:adjustRightInd w:val="0"/>
                    <w:snapToGrid w:val="0"/>
                    <w:spacing w:line="320" w:lineRule="exact"/>
                    <w:jc w:val="center"/>
                    <w:rPr>
                      <w:szCs w:val="21"/>
                    </w:rPr>
                  </w:pPr>
                  <w:r>
                    <w:rPr>
                      <w:szCs w:val="21"/>
                    </w:rPr>
                    <w:t>危险</w:t>
                  </w:r>
                </w:p>
                <w:p>
                  <w:pPr>
                    <w:widowControl/>
                    <w:topLinePunct/>
                    <w:adjustRightInd w:val="0"/>
                    <w:snapToGrid w:val="0"/>
                    <w:spacing w:line="320" w:lineRule="exact"/>
                    <w:jc w:val="center"/>
                    <w:rPr>
                      <w:szCs w:val="21"/>
                    </w:rPr>
                  </w:pPr>
                  <w:r>
                    <w:rPr>
                      <w:szCs w:val="21"/>
                    </w:rPr>
                    <w:t>特性</w:t>
                  </w:r>
                </w:p>
              </w:tc>
              <w:tc>
                <w:tcPr>
                  <w:tcW w:w="656" w:type="dxa"/>
                  <w:tcBorders>
                    <w:tl2br w:val="nil"/>
                    <w:tr2bl w:val="nil"/>
                  </w:tcBorders>
                  <w:vAlign w:val="center"/>
                </w:tcPr>
                <w:p>
                  <w:pPr>
                    <w:widowControl/>
                    <w:topLinePunct/>
                    <w:adjustRightInd w:val="0"/>
                    <w:snapToGrid w:val="0"/>
                    <w:spacing w:line="320" w:lineRule="exact"/>
                    <w:jc w:val="center"/>
                    <w:rPr>
                      <w:szCs w:val="21"/>
                    </w:rPr>
                  </w:pPr>
                  <w:r>
                    <w:rPr>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426" w:type="dxa"/>
                  <w:tcBorders>
                    <w:tl2br w:val="nil"/>
                    <w:tr2bl w:val="nil"/>
                  </w:tcBorders>
                  <w:vAlign w:val="center"/>
                </w:tcPr>
                <w:p>
                  <w:pPr>
                    <w:widowControl/>
                    <w:topLinePunct/>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623"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废液压油</w:t>
                  </w:r>
                </w:p>
              </w:tc>
              <w:tc>
                <w:tcPr>
                  <w:tcW w:w="800" w:type="dxa"/>
                  <w:tcBorders>
                    <w:tl2br w:val="nil"/>
                    <w:tr2bl w:val="nil"/>
                  </w:tcBorders>
                  <w:vAlign w:val="center"/>
                </w:tcPr>
                <w:p>
                  <w:pPr>
                    <w:topLinePunct/>
                    <w:snapToGrid w:val="0"/>
                    <w:spacing w:line="360" w:lineRule="exact"/>
                    <w:jc w:val="center"/>
                    <w:rPr>
                      <w:rFonts w:hint="eastAsia"/>
                      <w:bCs/>
                      <w:color w:val="000000"/>
                      <w:szCs w:val="21"/>
                    </w:rPr>
                  </w:pPr>
                  <w:r>
                    <w:rPr>
                      <w:bCs/>
                      <w:szCs w:val="21"/>
                    </w:rPr>
                    <w:t>HW08</w:t>
                  </w:r>
                </w:p>
              </w:tc>
              <w:tc>
                <w:tcPr>
                  <w:tcW w:w="1196" w:type="dxa"/>
                  <w:tcBorders>
                    <w:tl2br w:val="nil"/>
                    <w:tr2bl w:val="nil"/>
                  </w:tcBorders>
                  <w:vAlign w:val="center"/>
                </w:tcPr>
                <w:p>
                  <w:pPr>
                    <w:topLinePunct/>
                    <w:snapToGrid w:val="0"/>
                    <w:spacing w:line="360" w:lineRule="exact"/>
                    <w:jc w:val="center"/>
                    <w:rPr>
                      <w:rFonts w:hint="eastAsia"/>
                      <w:szCs w:val="21"/>
                      <w:highlight w:val="none"/>
                    </w:rPr>
                  </w:pPr>
                  <w:r>
                    <w:rPr>
                      <w:bCs/>
                      <w:szCs w:val="21"/>
                      <w:highlight w:val="none"/>
                    </w:rPr>
                    <w:t>900-2</w:t>
                  </w:r>
                  <w:r>
                    <w:rPr>
                      <w:rFonts w:hint="eastAsia"/>
                      <w:bCs/>
                      <w:szCs w:val="21"/>
                      <w:highlight w:val="none"/>
                      <w:lang w:val="en-US" w:eastAsia="zh-CN"/>
                    </w:rPr>
                    <w:t>18</w:t>
                  </w:r>
                  <w:r>
                    <w:rPr>
                      <w:bCs/>
                      <w:szCs w:val="21"/>
                      <w:highlight w:val="none"/>
                    </w:rPr>
                    <w:t>-08</w:t>
                  </w:r>
                </w:p>
              </w:tc>
              <w:tc>
                <w:tcPr>
                  <w:tcW w:w="1004" w:type="dxa"/>
                  <w:tcBorders>
                    <w:tl2br w:val="nil"/>
                    <w:tr2bl w:val="nil"/>
                  </w:tcBorders>
                  <w:vAlign w:val="center"/>
                </w:tcPr>
                <w:p>
                  <w:pPr>
                    <w:topLinePunct/>
                    <w:snapToGrid w:val="0"/>
                    <w:spacing w:line="360" w:lineRule="exact"/>
                    <w:jc w:val="center"/>
                    <w:rPr>
                      <w:rFonts w:hint="eastAsia"/>
                      <w:szCs w:val="21"/>
                      <w:highlight w:val="none"/>
                    </w:rPr>
                  </w:pPr>
                  <w:r>
                    <w:rPr>
                      <w:rFonts w:hint="eastAsia"/>
                      <w:kern w:val="0"/>
                      <w:szCs w:val="21"/>
                      <w:highlight w:val="none"/>
                      <w:lang w:val="en-US" w:eastAsia="zh-CN"/>
                    </w:rPr>
                    <w:t>0.1</w:t>
                  </w:r>
                  <w:r>
                    <w:rPr>
                      <w:kern w:val="0"/>
                      <w:szCs w:val="21"/>
                      <w:highlight w:val="none"/>
                    </w:rPr>
                    <w:t>t/a</w:t>
                  </w:r>
                </w:p>
              </w:tc>
              <w:tc>
                <w:tcPr>
                  <w:tcW w:w="619" w:type="dxa"/>
                  <w:tcBorders>
                    <w:tl2br w:val="nil"/>
                    <w:tr2bl w:val="nil"/>
                  </w:tcBorders>
                  <w:vAlign w:val="center"/>
                </w:tcPr>
                <w:p>
                  <w:pPr>
                    <w:topLinePunct/>
                    <w:snapToGrid w:val="0"/>
                    <w:spacing w:line="360" w:lineRule="exact"/>
                    <w:jc w:val="center"/>
                    <w:rPr>
                      <w:rFonts w:hint="eastAsia"/>
                      <w:szCs w:val="21"/>
                    </w:rPr>
                  </w:pPr>
                  <w:r>
                    <w:rPr>
                      <w:rFonts w:hint="eastAsia"/>
                      <w:kern w:val="0"/>
                      <w:szCs w:val="21"/>
                    </w:rPr>
                    <w:t>设备维护更换</w:t>
                  </w:r>
                </w:p>
              </w:tc>
              <w:tc>
                <w:tcPr>
                  <w:tcW w:w="591" w:type="dxa"/>
                  <w:tcBorders>
                    <w:tl2br w:val="nil"/>
                    <w:tr2bl w:val="nil"/>
                  </w:tcBorders>
                  <w:vAlign w:val="center"/>
                </w:tcPr>
                <w:p>
                  <w:pPr>
                    <w:topLinePunct/>
                    <w:snapToGrid w:val="0"/>
                    <w:spacing w:line="360" w:lineRule="exact"/>
                    <w:jc w:val="center"/>
                    <w:rPr>
                      <w:rFonts w:hint="eastAsia"/>
                      <w:bCs/>
                      <w:szCs w:val="21"/>
                    </w:rPr>
                  </w:pPr>
                  <w:r>
                    <w:rPr>
                      <w:rFonts w:hint="eastAsia"/>
                      <w:kern w:val="0"/>
                      <w:szCs w:val="21"/>
                    </w:rPr>
                    <w:t>液态</w:t>
                  </w:r>
                </w:p>
              </w:tc>
              <w:tc>
                <w:tcPr>
                  <w:tcW w:w="606" w:type="dxa"/>
                  <w:tcBorders>
                    <w:tl2br w:val="nil"/>
                    <w:tr2bl w:val="nil"/>
                  </w:tcBorders>
                  <w:vAlign w:val="center"/>
                </w:tcPr>
                <w:p>
                  <w:pPr>
                    <w:topLinePunct/>
                    <w:snapToGrid w:val="0"/>
                    <w:spacing w:line="360" w:lineRule="exact"/>
                    <w:jc w:val="center"/>
                    <w:rPr>
                      <w:szCs w:val="21"/>
                    </w:rPr>
                  </w:pPr>
                  <w:r>
                    <w:rPr>
                      <w:rFonts w:hint="eastAsia"/>
                      <w:bCs/>
                      <w:szCs w:val="21"/>
                    </w:rPr>
                    <w:t>矿物油</w:t>
                  </w:r>
                </w:p>
              </w:tc>
              <w:tc>
                <w:tcPr>
                  <w:tcW w:w="631" w:type="dxa"/>
                  <w:tcBorders>
                    <w:tl2br w:val="nil"/>
                    <w:tr2bl w:val="nil"/>
                  </w:tcBorders>
                  <w:vAlign w:val="center"/>
                </w:tcPr>
                <w:p>
                  <w:pPr>
                    <w:topLinePunct/>
                    <w:snapToGrid w:val="0"/>
                    <w:spacing w:line="360" w:lineRule="exact"/>
                    <w:jc w:val="center"/>
                    <w:rPr>
                      <w:rFonts w:hint="default" w:eastAsia="宋体"/>
                      <w:szCs w:val="21"/>
                      <w:lang w:val="en-US" w:eastAsia="zh-CN"/>
                    </w:rPr>
                  </w:pPr>
                  <w:r>
                    <w:rPr>
                      <w:rFonts w:hint="eastAsia"/>
                      <w:szCs w:val="21"/>
                      <w:lang w:val="en-US" w:eastAsia="zh-CN"/>
                    </w:rPr>
                    <w:t>有机化合物</w:t>
                  </w:r>
                </w:p>
              </w:tc>
              <w:tc>
                <w:tcPr>
                  <w:tcW w:w="615" w:type="dxa"/>
                  <w:tcBorders>
                    <w:tl2br w:val="nil"/>
                    <w:tr2bl w:val="nil"/>
                  </w:tcBorders>
                  <w:vAlign w:val="center"/>
                </w:tcPr>
                <w:p>
                  <w:pPr>
                    <w:widowControl/>
                    <w:topLinePunct/>
                    <w:adjustRightInd w:val="0"/>
                    <w:snapToGrid w:val="0"/>
                    <w:spacing w:line="320" w:lineRule="exact"/>
                    <w:jc w:val="center"/>
                    <w:rPr>
                      <w:rFonts w:hint="default" w:eastAsia="宋体"/>
                      <w:szCs w:val="21"/>
                      <w:lang w:val="en-US" w:eastAsia="zh-CN"/>
                    </w:rPr>
                  </w:pPr>
                  <w:r>
                    <w:rPr>
                      <w:rFonts w:hint="eastAsia"/>
                      <w:szCs w:val="21"/>
                      <w:lang w:val="en-US" w:eastAsia="zh-CN"/>
                    </w:rPr>
                    <w:t xml:space="preserve">1年 </w:t>
                  </w:r>
                </w:p>
              </w:tc>
              <w:tc>
                <w:tcPr>
                  <w:tcW w:w="589" w:type="dxa"/>
                  <w:tcBorders>
                    <w:tl2br w:val="nil"/>
                    <w:tr2bl w:val="nil"/>
                  </w:tcBorders>
                  <w:vAlign w:val="center"/>
                </w:tcPr>
                <w:p>
                  <w:pPr>
                    <w:shd w:val="clear" w:color="auto" w:fill="F2F6FC"/>
                    <w:spacing w:line="320" w:lineRule="exact"/>
                    <w:jc w:val="center"/>
                    <w:rPr>
                      <w:rFonts w:hint="eastAsia"/>
                      <w:bCs/>
                      <w:szCs w:val="21"/>
                    </w:rPr>
                  </w:pPr>
                  <w:r>
                    <w:rPr>
                      <w:kern w:val="0"/>
                      <w:szCs w:val="21"/>
                    </w:rPr>
                    <w:t>T</w:t>
                  </w:r>
                  <w:r>
                    <w:rPr>
                      <w:rFonts w:hint="eastAsia"/>
                      <w:kern w:val="0"/>
                      <w:szCs w:val="21"/>
                    </w:rPr>
                    <w:t>，</w:t>
                  </w:r>
                  <w:r>
                    <w:rPr>
                      <w:kern w:val="0"/>
                      <w:szCs w:val="21"/>
                    </w:rPr>
                    <w:t>I</w:t>
                  </w:r>
                </w:p>
              </w:tc>
              <w:tc>
                <w:tcPr>
                  <w:tcW w:w="656" w:type="dxa"/>
                  <w:vMerge w:val="restart"/>
                  <w:tcBorders>
                    <w:tl2br w:val="nil"/>
                    <w:tr2bl w:val="nil"/>
                  </w:tcBorders>
                  <w:vAlign w:val="center"/>
                </w:tcPr>
                <w:p>
                  <w:pPr>
                    <w:topLinePunct/>
                    <w:adjustRightInd w:val="0"/>
                    <w:snapToGrid w:val="0"/>
                    <w:spacing w:line="320" w:lineRule="exact"/>
                    <w:jc w:val="center"/>
                    <w:rPr>
                      <w:szCs w:val="21"/>
                    </w:rPr>
                  </w:pPr>
                  <w:r>
                    <w:rPr>
                      <w:rFonts w:hint="eastAsia"/>
                      <w:b w:val="0"/>
                      <w:bCs/>
                      <w:color w:val="000000"/>
                      <w:szCs w:val="21"/>
                      <w:u w:val="none"/>
                    </w:rPr>
                    <w:t>分类收集于</w:t>
                  </w:r>
                  <w:r>
                    <w:rPr>
                      <w:b w:val="0"/>
                      <w:bCs/>
                      <w:color w:val="000000"/>
                      <w:szCs w:val="21"/>
                      <w:u w:val="none"/>
                    </w:rPr>
                    <w:t>危废暂存</w:t>
                  </w:r>
                  <w:r>
                    <w:rPr>
                      <w:rFonts w:hint="eastAsia"/>
                      <w:b w:val="0"/>
                      <w:bCs/>
                      <w:color w:val="000000"/>
                      <w:szCs w:val="21"/>
                      <w:u w:val="none"/>
                    </w:rPr>
                    <w:t>区</w:t>
                  </w:r>
                  <w:r>
                    <w:rPr>
                      <w:b w:val="0"/>
                      <w:bCs/>
                      <w:color w:val="000000"/>
                      <w:szCs w:val="21"/>
                      <w:u w:val="none"/>
                    </w:rPr>
                    <w:t>临时</w:t>
                  </w:r>
                  <w:r>
                    <w:rPr>
                      <w:rFonts w:hint="eastAsia"/>
                      <w:b w:val="0"/>
                      <w:bCs/>
                      <w:color w:val="000000"/>
                      <w:szCs w:val="21"/>
                      <w:u w:val="none"/>
                    </w:rPr>
                    <w:t>密闭</w:t>
                  </w:r>
                  <w:r>
                    <w:rPr>
                      <w:b w:val="0"/>
                      <w:bCs/>
                      <w:color w:val="000000"/>
                      <w:szCs w:val="21"/>
                      <w:u w:val="none"/>
                    </w:rPr>
                    <w:t>存储，定期委托有资质公司安全处置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426" w:type="dxa"/>
                  <w:tcBorders>
                    <w:tl2br w:val="nil"/>
                    <w:tr2bl w:val="nil"/>
                  </w:tcBorders>
                  <w:vAlign w:val="center"/>
                </w:tcPr>
                <w:p>
                  <w:pPr>
                    <w:widowControl/>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2</w:t>
                  </w:r>
                </w:p>
              </w:tc>
              <w:tc>
                <w:tcPr>
                  <w:tcW w:w="623"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废UV灯管</w:t>
                  </w:r>
                </w:p>
              </w:tc>
              <w:tc>
                <w:tcPr>
                  <w:tcW w:w="800"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bCs/>
                      <w:color w:val="000000"/>
                      <w:kern w:val="2"/>
                      <w:sz w:val="21"/>
                      <w:szCs w:val="21"/>
                      <w:lang w:val="en-US" w:eastAsia="zh-CN" w:bidi="ar-SA"/>
                    </w:rPr>
                  </w:pPr>
                  <w:r>
                    <w:rPr>
                      <w:rFonts w:hint="eastAsia"/>
                      <w:bCs/>
                      <w:color w:val="000000"/>
                      <w:szCs w:val="21"/>
                    </w:rPr>
                    <w:t>HW29</w:t>
                  </w:r>
                </w:p>
              </w:tc>
              <w:tc>
                <w:tcPr>
                  <w:tcW w:w="1196"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900-023-29</w:t>
                  </w:r>
                </w:p>
              </w:tc>
              <w:tc>
                <w:tcPr>
                  <w:tcW w:w="1004" w:type="dxa"/>
                  <w:tcBorders>
                    <w:tl2br w:val="nil"/>
                    <w:tr2bl w:val="nil"/>
                  </w:tcBorders>
                  <w:vAlign w:val="center"/>
                </w:tcPr>
                <w:p>
                  <w:pPr>
                    <w:widowControl/>
                    <w:spacing w:line="320" w:lineRule="exact"/>
                    <w:contextualSpacing/>
                    <w:jc w:val="center"/>
                    <w:rPr>
                      <w:rFonts w:ascii="Times New Roman" w:hAnsi="Times New Roman" w:eastAsia="宋体" w:cs="Times New Roman"/>
                      <w:b/>
                      <w:bCs/>
                      <w:kern w:val="2"/>
                      <w:sz w:val="21"/>
                      <w:szCs w:val="21"/>
                      <w:highlight w:val="none"/>
                      <w:lang w:val="en-US" w:eastAsia="zh-CN" w:bidi="ar-SA"/>
                    </w:rPr>
                  </w:pPr>
                  <w:r>
                    <w:rPr>
                      <w:rFonts w:hint="eastAsia"/>
                      <w:b/>
                      <w:bCs/>
                      <w:szCs w:val="21"/>
                      <w:highlight w:val="none"/>
                      <w:u w:val="single"/>
                    </w:rPr>
                    <w:t>0.0</w:t>
                  </w:r>
                  <w:r>
                    <w:rPr>
                      <w:rFonts w:hint="eastAsia"/>
                      <w:b/>
                      <w:bCs/>
                      <w:szCs w:val="21"/>
                      <w:highlight w:val="none"/>
                      <w:u w:val="single"/>
                      <w:lang w:val="en-US" w:eastAsia="zh-CN"/>
                    </w:rPr>
                    <w:t>2</w:t>
                  </w:r>
                  <w:r>
                    <w:rPr>
                      <w:rFonts w:hint="eastAsia"/>
                      <w:b/>
                      <w:bCs/>
                      <w:szCs w:val="21"/>
                      <w:highlight w:val="none"/>
                      <w:u w:val="single"/>
                    </w:rPr>
                    <w:t>t/a</w:t>
                  </w:r>
                </w:p>
              </w:tc>
              <w:tc>
                <w:tcPr>
                  <w:tcW w:w="619" w:type="dxa"/>
                  <w:vMerge w:val="restart"/>
                  <w:tcBorders>
                    <w:tl2br w:val="nil"/>
                    <w:tr2bl w:val="nil"/>
                  </w:tcBorders>
                  <w:vAlign w:val="center"/>
                </w:tcPr>
                <w:p>
                  <w:pPr>
                    <w:widowControl/>
                    <w:topLinePunct/>
                    <w:adjustRightInd w:val="0"/>
                    <w:snapToGrid w:val="0"/>
                    <w:spacing w:line="320" w:lineRule="exact"/>
                    <w:jc w:val="center"/>
                    <w:rPr>
                      <w:szCs w:val="21"/>
                    </w:rPr>
                  </w:pPr>
                  <w:r>
                    <w:rPr>
                      <w:rFonts w:hint="eastAsia"/>
                      <w:szCs w:val="21"/>
                    </w:rPr>
                    <w:t>有机废气处理装置</w:t>
                  </w:r>
                </w:p>
              </w:tc>
              <w:tc>
                <w:tcPr>
                  <w:tcW w:w="591" w:type="dxa"/>
                  <w:tcBorders>
                    <w:tl2br w:val="nil"/>
                    <w:tr2bl w:val="nil"/>
                  </w:tcBorders>
                  <w:vAlign w:val="center"/>
                </w:tcPr>
                <w:p>
                  <w:pPr>
                    <w:topLinePunct/>
                    <w:adjustRightInd w:val="0"/>
                    <w:snapToGrid w:val="0"/>
                    <w:spacing w:line="320" w:lineRule="exact"/>
                    <w:jc w:val="center"/>
                    <w:rPr>
                      <w:szCs w:val="21"/>
                    </w:rPr>
                  </w:pPr>
                  <w:r>
                    <w:rPr>
                      <w:rFonts w:hint="eastAsia"/>
                      <w:bCs/>
                      <w:szCs w:val="21"/>
                    </w:rPr>
                    <w:t>固态</w:t>
                  </w:r>
                </w:p>
              </w:tc>
              <w:tc>
                <w:tcPr>
                  <w:tcW w:w="606" w:type="dxa"/>
                  <w:vMerge w:val="restart"/>
                  <w:tcBorders>
                    <w:tl2br w:val="nil"/>
                    <w:tr2bl w:val="nil"/>
                  </w:tcBorders>
                  <w:vAlign w:val="center"/>
                </w:tcPr>
                <w:p>
                  <w:pPr>
                    <w:topLinePunct/>
                    <w:adjustRightInd w:val="0"/>
                    <w:snapToGrid w:val="0"/>
                    <w:spacing w:line="320" w:lineRule="exact"/>
                    <w:jc w:val="center"/>
                    <w:rPr>
                      <w:kern w:val="0"/>
                      <w:szCs w:val="21"/>
                    </w:rPr>
                  </w:pPr>
                  <w:r>
                    <w:rPr>
                      <w:szCs w:val="21"/>
                    </w:rPr>
                    <w:t>废活性炭及有机物</w:t>
                  </w:r>
                </w:p>
                <w:p>
                  <w:pPr>
                    <w:topLinePunct/>
                    <w:adjustRightInd w:val="0"/>
                    <w:snapToGrid w:val="0"/>
                    <w:spacing w:line="320" w:lineRule="exact"/>
                    <w:jc w:val="center"/>
                    <w:rPr>
                      <w:szCs w:val="21"/>
                    </w:rPr>
                  </w:pPr>
                  <w:r>
                    <w:rPr>
                      <w:szCs w:val="21"/>
                    </w:rPr>
                    <w:t>含汞废物</w:t>
                  </w:r>
                </w:p>
              </w:tc>
              <w:tc>
                <w:tcPr>
                  <w:tcW w:w="631"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汞</w:t>
                  </w:r>
                </w:p>
              </w:tc>
              <w:tc>
                <w:tcPr>
                  <w:tcW w:w="615" w:type="dxa"/>
                  <w:tcBorders>
                    <w:tl2br w:val="nil"/>
                    <w:tr2bl w:val="nil"/>
                  </w:tcBorders>
                  <w:vAlign w:val="center"/>
                </w:tcPr>
                <w:p>
                  <w:pPr>
                    <w:widowControl/>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1年</w:t>
                  </w:r>
                </w:p>
              </w:tc>
              <w:tc>
                <w:tcPr>
                  <w:tcW w:w="589" w:type="dxa"/>
                  <w:tcBorders>
                    <w:tl2br w:val="nil"/>
                    <w:tr2bl w:val="nil"/>
                  </w:tcBorders>
                  <w:vAlign w:val="center"/>
                </w:tcPr>
                <w:p>
                  <w:pPr>
                    <w:shd w:val="clear" w:color="auto" w:fill="F2F6FC"/>
                    <w:spacing w:line="320" w:lineRule="exact"/>
                    <w:jc w:val="center"/>
                    <w:rPr>
                      <w:rFonts w:ascii="Times New Roman" w:hAnsi="Times New Roman" w:eastAsia="宋体" w:cs="Times New Roman"/>
                      <w:bCs/>
                      <w:kern w:val="2"/>
                      <w:sz w:val="21"/>
                      <w:szCs w:val="21"/>
                      <w:lang w:val="en-US" w:eastAsia="zh-CN" w:bidi="ar-SA"/>
                    </w:rPr>
                  </w:pPr>
                  <w:r>
                    <w:rPr>
                      <w:rFonts w:hint="eastAsia"/>
                      <w:bCs/>
                      <w:szCs w:val="21"/>
                    </w:rPr>
                    <w:t>T</w:t>
                  </w:r>
                </w:p>
              </w:tc>
              <w:tc>
                <w:tcPr>
                  <w:tcW w:w="656" w:type="dxa"/>
                  <w:vMerge w:val="continue"/>
                  <w:tcBorders>
                    <w:tl2br w:val="nil"/>
                    <w:tr2bl w:val="nil"/>
                  </w:tcBorders>
                  <w:vAlign w:val="center"/>
                </w:tcPr>
                <w:p>
                  <w:pPr>
                    <w:topLinePunct/>
                    <w:adjustRightInd w:val="0"/>
                    <w:snapToGrid w:val="0"/>
                    <w:spacing w:line="32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l2br w:val="nil"/>
                    <w:tr2bl w:val="nil"/>
                  </w:tcBorders>
                  <w:vAlign w:val="center"/>
                </w:tcPr>
                <w:p>
                  <w:pPr>
                    <w:widowControl/>
                    <w:topLinePunct/>
                    <w:adjustRightInd w:val="0"/>
                    <w:snapToGrid w:val="0"/>
                    <w:spacing w:line="320" w:lineRule="exact"/>
                    <w:jc w:val="center"/>
                    <w:rPr>
                      <w:rFonts w:hint="eastAsia" w:eastAsia="宋体"/>
                      <w:szCs w:val="21"/>
                      <w:lang w:val="en-US" w:eastAsia="zh-CN"/>
                    </w:rPr>
                  </w:pPr>
                  <w:r>
                    <w:rPr>
                      <w:rFonts w:hint="eastAsia"/>
                      <w:szCs w:val="21"/>
                      <w:lang w:val="en-US" w:eastAsia="zh-CN"/>
                    </w:rPr>
                    <w:t>3</w:t>
                  </w:r>
                </w:p>
              </w:tc>
              <w:tc>
                <w:tcPr>
                  <w:tcW w:w="623"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废活性炭</w:t>
                  </w:r>
                </w:p>
              </w:tc>
              <w:tc>
                <w:tcPr>
                  <w:tcW w:w="800"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bCs/>
                      <w:color w:val="000000"/>
                      <w:szCs w:val="21"/>
                    </w:rPr>
                    <w:t>HW49</w:t>
                  </w:r>
                </w:p>
              </w:tc>
              <w:tc>
                <w:tcPr>
                  <w:tcW w:w="1196"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900-039-49</w:t>
                  </w:r>
                </w:p>
              </w:tc>
              <w:tc>
                <w:tcPr>
                  <w:tcW w:w="1004" w:type="dxa"/>
                  <w:tcBorders>
                    <w:tl2br w:val="nil"/>
                    <w:tr2bl w:val="nil"/>
                  </w:tcBorders>
                  <w:vAlign w:val="center"/>
                </w:tcPr>
                <w:p>
                  <w:pPr>
                    <w:widowControl/>
                    <w:spacing w:line="320" w:lineRule="exact"/>
                    <w:contextualSpacing/>
                    <w:jc w:val="center"/>
                    <w:rPr>
                      <w:rFonts w:ascii="Times New Roman" w:hAnsi="Times New Roman" w:eastAsia="宋体" w:cs="Times New Roman"/>
                      <w:b/>
                      <w:bCs/>
                      <w:kern w:val="2"/>
                      <w:sz w:val="21"/>
                      <w:szCs w:val="21"/>
                      <w:highlight w:val="none"/>
                      <w:lang w:val="en-US" w:eastAsia="zh-CN" w:bidi="ar-SA"/>
                    </w:rPr>
                  </w:pPr>
                  <w:r>
                    <w:rPr>
                      <w:rFonts w:hint="eastAsia"/>
                      <w:b/>
                      <w:bCs/>
                      <w:szCs w:val="21"/>
                      <w:highlight w:val="none"/>
                      <w:u w:val="single"/>
                      <w:lang w:val="en-US" w:eastAsia="zh-CN"/>
                    </w:rPr>
                    <w:t>1.7628</w:t>
                  </w:r>
                  <w:r>
                    <w:rPr>
                      <w:rFonts w:hint="eastAsia"/>
                      <w:b/>
                      <w:bCs/>
                      <w:szCs w:val="21"/>
                      <w:highlight w:val="none"/>
                      <w:u w:val="single"/>
                    </w:rPr>
                    <w:t>t/a</w:t>
                  </w:r>
                </w:p>
              </w:tc>
              <w:tc>
                <w:tcPr>
                  <w:tcW w:w="619" w:type="dxa"/>
                  <w:vMerge w:val="continue"/>
                  <w:tcBorders>
                    <w:tl2br w:val="nil"/>
                    <w:tr2bl w:val="nil"/>
                  </w:tcBorders>
                  <w:vAlign w:val="center"/>
                </w:tcPr>
                <w:p>
                  <w:pPr>
                    <w:widowControl/>
                    <w:topLinePunct/>
                    <w:adjustRightInd w:val="0"/>
                    <w:snapToGrid w:val="0"/>
                    <w:spacing w:line="320" w:lineRule="exact"/>
                    <w:jc w:val="center"/>
                    <w:rPr>
                      <w:szCs w:val="21"/>
                    </w:rPr>
                  </w:pPr>
                </w:p>
              </w:tc>
              <w:tc>
                <w:tcPr>
                  <w:tcW w:w="591" w:type="dxa"/>
                  <w:tcBorders>
                    <w:tl2br w:val="nil"/>
                    <w:tr2bl w:val="nil"/>
                  </w:tcBorders>
                  <w:vAlign w:val="center"/>
                </w:tcPr>
                <w:p>
                  <w:pPr>
                    <w:topLinePunct/>
                    <w:adjustRightInd w:val="0"/>
                    <w:snapToGrid w:val="0"/>
                    <w:spacing w:line="320" w:lineRule="exact"/>
                    <w:jc w:val="center"/>
                    <w:rPr>
                      <w:bCs/>
                      <w:szCs w:val="21"/>
                    </w:rPr>
                  </w:pPr>
                  <w:r>
                    <w:rPr>
                      <w:rFonts w:hint="eastAsia"/>
                      <w:bCs/>
                      <w:szCs w:val="21"/>
                    </w:rPr>
                    <w:t>固态</w:t>
                  </w:r>
                </w:p>
              </w:tc>
              <w:tc>
                <w:tcPr>
                  <w:tcW w:w="606" w:type="dxa"/>
                  <w:vMerge w:val="continue"/>
                  <w:tcBorders>
                    <w:tl2br w:val="nil"/>
                    <w:tr2bl w:val="nil"/>
                  </w:tcBorders>
                  <w:vAlign w:val="center"/>
                </w:tcPr>
                <w:p>
                  <w:pPr>
                    <w:topLinePunct/>
                    <w:adjustRightInd w:val="0"/>
                    <w:snapToGrid w:val="0"/>
                    <w:spacing w:line="320" w:lineRule="exact"/>
                    <w:jc w:val="center"/>
                    <w:rPr>
                      <w:bCs/>
                      <w:szCs w:val="21"/>
                    </w:rPr>
                  </w:pPr>
                </w:p>
              </w:tc>
              <w:tc>
                <w:tcPr>
                  <w:tcW w:w="631"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szCs w:val="21"/>
                    </w:rPr>
                    <w:t>挥发性有机物</w:t>
                  </w:r>
                </w:p>
              </w:tc>
              <w:tc>
                <w:tcPr>
                  <w:tcW w:w="615" w:type="dxa"/>
                  <w:tcBorders>
                    <w:tl2br w:val="nil"/>
                    <w:tr2bl w:val="nil"/>
                  </w:tcBorders>
                  <w:vAlign w:val="center"/>
                </w:tcPr>
                <w:p>
                  <w:pPr>
                    <w:widowControl/>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kern w:val="0"/>
                      <w:szCs w:val="21"/>
                      <w:lang w:val="en-US" w:eastAsia="zh-CN"/>
                    </w:rPr>
                    <w:t>3</w:t>
                  </w:r>
                  <w:r>
                    <w:rPr>
                      <w:kern w:val="0"/>
                      <w:szCs w:val="21"/>
                    </w:rPr>
                    <w:t>个月</w:t>
                  </w:r>
                </w:p>
              </w:tc>
              <w:tc>
                <w:tcPr>
                  <w:tcW w:w="589" w:type="dxa"/>
                  <w:tcBorders>
                    <w:tl2br w:val="nil"/>
                    <w:tr2bl w:val="nil"/>
                  </w:tcBorders>
                  <w:vAlign w:val="center"/>
                </w:tcPr>
                <w:p>
                  <w:pPr>
                    <w:shd w:val="clear" w:color="auto" w:fill="F2F6FC"/>
                    <w:spacing w:line="320" w:lineRule="exact"/>
                    <w:jc w:val="center"/>
                    <w:rPr>
                      <w:rFonts w:ascii="Times New Roman" w:hAnsi="Times New Roman" w:eastAsia="宋体" w:cs="Times New Roman"/>
                      <w:kern w:val="2"/>
                      <w:sz w:val="21"/>
                      <w:szCs w:val="21"/>
                      <w:lang w:val="en-US" w:eastAsia="zh-CN" w:bidi="ar-SA"/>
                    </w:rPr>
                  </w:pPr>
                  <w:r>
                    <w:rPr>
                      <w:kern w:val="0"/>
                      <w:szCs w:val="21"/>
                    </w:rPr>
                    <w:t>T/In</w:t>
                  </w:r>
                </w:p>
              </w:tc>
              <w:tc>
                <w:tcPr>
                  <w:tcW w:w="656" w:type="dxa"/>
                  <w:vMerge w:val="continue"/>
                  <w:tcBorders>
                    <w:tl2br w:val="nil"/>
                    <w:tr2bl w:val="nil"/>
                  </w:tcBorders>
                  <w:vAlign w:val="center"/>
                </w:tcPr>
                <w:p>
                  <w:pPr>
                    <w:topLinePunct/>
                    <w:adjustRightInd w:val="0"/>
                    <w:snapToGrid w:val="0"/>
                    <w:spacing w:line="320" w:lineRule="exact"/>
                    <w:jc w:val="center"/>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dxa"/>
                  <w:tcBorders>
                    <w:tl2br w:val="nil"/>
                    <w:tr2bl w:val="nil"/>
                  </w:tcBorders>
                  <w:vAlign w:val="center"/>
                </w:tcPr>
                <w:p>
                  <w:pPr>
                    <w:widowControl/>
                    <w:topLinePunct/>
                    <w:adjustRightInd w:val="0"/>
                    <w:snapToGrid w:val="0"/>
                    <w:spacing w:line="320" w:lineRule="exact"/>
                    <w:jc w:val="center"/>
                    <w:rPr>
                      <w:rFonts w:hint="eastAsia"/>
                      <w:szCs w:val="21"/>
                      <w:lang w:val="en-US" w:eastAsia="zh-CN"/>
                    </w:rPr>
                  </w:pPr>
                  <w:r>
                    <w:rPr>
                      <w:rFonts w:hint="eastAsia"/>
                      <w:b w:val="0"/>
                      <w:bCs w:val="0"/>
                      <w:szCs w:val="21"/>
                      <w:u w:val="none"/>
                      <w:lang w:val="en-US" w:eastAsia="zh-CN"/>
                    </w:rPr>
                    <w:t>4</w:t>
                  </w:r>
                </w:p>
              </w:tc>
              <w:tc>
                <w:tcPr>
                  <w:tcW w:w="623" w:type="dxa"/>
                  <w:tcBorders>
                    <w:tl2br w:val="nil"/>
                    <w:tr2bl w:val="nil"/>
                  </w:tcBorders>
                  <w:vAlign w:val="center"/>
                </w:tcPr>
                <w:p>
                  <w:pPr>
                    <w:widowControl/>
                    <w:spacing w:line="320" w:lineRule="exact"/>
                    <w:contextualSpacing/>
                    <w:jc w:val="center"/>
                    <w:rPr>
                      <w:rFonts w:hint="eastAsia"/>
                      <w:szCs w:val="21"/>
                    </w:rPr>
                  </w:pPr>
                  <w:r>
                    <w:rPr>
                      <w:rFonts w:hint="eastAsia"/>
                      <w:b w:val="0"/>
                      <w:bCs w:val="0"/>
                      <w:szCs w:val="21"/>
                      <w:u w:val="none"/>
                      <w:lang w:val="en-US" w:eastAsia="zh-CN"/>
                    </w:rPr>
                    <w:t>废油墨桶</w:t>
                  </w:r>
                </w:p>
              </w:tc>
              <w:tc>
                <w:tcPr>
                  <w:tcW w:w="800" w:type="dxa"/>
                  <w:tcBorders>
                    <w:tl2br w:val="nil"/>
                    <w:tr2bl w:val="nil"/>
                  </w:tcBorders>
                  <w:vAlign w:val="center"/>
                </w:tcPr>
                <w:p>
                  <w:pPr>
                    <w:topLinePunct/>
                    <w:adjustRightInd w:val="0"/>
                    <w:snapToGrid w:val="0"/>
                    <w:spacing w:line="320" w:lineRule="exact"/>
                    <w:jc w:val="center"/>
                    <w:rPr>
                      <w:rFonts w:hint="eastAsia"/>
                      <w:bCs/>
                      <w:color w:val="000000"/>
                      <w:szCs w:val="21"/>
                    </w:rPr>
                  </w:pPr>
                  <w:r>
                    <w:rPr>
                      <w:rFonts w:hint="eastAsia"/>
                      <w:b w:val="0"/>
                      <w:bCs w:val="0"/>
                      <w:color w:val="000000"/>
                      <w:szCs w:val="21"/>
                      <w:u w:val="none"/>
                      <w:lang w:val="en-US" w:eastAsia="zh-CN"/>
                    </w:rPr>
                    <w:t>HW49</w:t>
                  </w:r>
                </w:p>
              </w:tc>
              <w:tc>
                <w:tcPr>
                  <w:tcW w:w="1196" w:type="dxa"/>
                  <w:tcBorders>
                    <w:tl2br w:val="nil"/>
                    <w:tr2bl w:val="nil"/>
                  </w:tcBorders>
                  <w:vAlign w:val="center"/>
                </w:tcPr>
                <w:p>
                  <w:pPr>
                    <w:widowControl/>
                    <w:spacing w:line="320" w:lineRule="exact"/>
                    <w:contextualSpacing/>
                    <w:jc w:val="center"/>
                    <w:rPr>
                      <w:rFonts w:hint="eastAsia"/>
                      <w:szCs w:val="21"/>
                    </w:rPr>
                  </w:pPr>
                  <w:r>
                    <w:rPr>
                      <w:rFonts w:hint="eastAsia" w:ascii="Times New Roman" w:hAnsi="Times New Roman" w:eastAsia="宋体" w:cs="Times New Roman"/>
                      <w:b w:val="0"/>
                      <w:bCs w:val="0"/>
                      <w:szCs w:val="21"/>
                      <w:u w:val="none"/>
                    </w:rPr>
                    <w:t>900-041-49</w:t>
                  </w:r>
                </w:p>
              </w:tc>
              <w:tc>
                <w:tcPr>
                  <w:tcW w:w="1004" w:type="dxa"/>
                  <w:tcBorders>
                    <w:tl2br w:val="nil"/>
                    <w:tr2bl w:val="nil"/>
                  </w:tcBorders>
                  <w:vAlign w:val="center"/>
                </w:tcPr>
                <w:p>
                  <w:pPr>
                    <w:widowControl/>
                    <w:spacing w:line="320" w:lineRule="exact"/>
                    <w:contextualSpacing/>
                    <w:jc w:val="center"/>
                    <w:rPr>
                      <w:rFonts w:hint="eastAsia"/>
                      <w:b w:val="0"/>
                      <w:bCs w:val="0"/>
                      <w:szCs w:val="21"/>
                      <w:highlight w:val="none"/>
                      <w:u w:val="none"/>
                      <w:lang w:val="en-US" w:eastAsia="zh-CN"/>
                    </w:rPr>
                  </w:pPr>
                  <w:r>
                    <w:rPr>
                      <w:rFonts w:hint="eastAsia"/>
                      <w:b w:val="0"/>
                      <w:bCs w:val="0"/>
                      <w:szCs w:val="21"/>
                      <w:u w:val="none"/>
                      <w:lang w:val="en-US" w:eastAsia="zh-CN"/>
                    </w:rPr>
                    <w:t>20个</w:t>
                  </w:r>
                  <w:r>
                    <w:rPr>
                      <w:rFonts w:hint="eastAsia"/>
                      <w:b w:val="0"/>
                      <w:bCs w:val="0"/>
                      <w:szCs w:val="21"/>
                      <w:u w:val="none"/>
                    </w:rPr>
                    <w:t>/a</w:t>
                  </w:r>
                </w:p>
              </w:tc>
              <w:tc>
                <w:tcPr>
                  <w:tcW w:w="619" w:type="dxa"/>
                  <w:tcBorders>
                    <w:tl2br w:val="nil"/>
                    <w:tr2bl w:val="nil"/>
                  </w:tcBorders>
                  <w:vAlign w:val="center"/>
                </w:tcPr>
                <w:p>
                  <w:pPr>
                    <w:widowControl/>
                    <w:topLinePunct/>
                    <w:adjustRightInd w:val="0"/>
                    <w:snapToGrid w:val="0"/>
                    <w:spacing w:line="320" w:lineRule="exact"/>
                    <w:jc w:val="center"/>
                    <w:rPr>
                      <w:rFonts w:hint="eastAsia" w:eastAsia="宋体"/>
                      <w:szCs w:val="21"/>
                      <w:lang w:val="en-US" w:eastAsia="zh-CN"/>
                    </w:rPr>
                  </w:pPr>
                  <w:r>
                    <w:rPr>
                      <w:rFonts w:hint="eastAsia"/>
                      <w:szCs w:val="21"/>
                      <w:lang w:val="en-US" w:eastAsia="zh-CN"/>
                    </w:rPr>
                    <w:t>印标工序</w:t>
                  </w:r>
                </w:p>
              </w:tc>
              <w:tc>
                <w:tcPr>
                  <w:tcW w:w="591" w:type="dxa"/>
                  <w:tcBorders>
                    <w:tl2br w:val="nil"/>
                    <w:tr2bl w:val="nil"/>
                  </w:tcBorders>
                  <w:vAlign w:val="center"/>
                </w:tcPr>
                <w:p>
                  <w:pPr>
                    <w:topLinePunct/>
                    <w:adjustRightInd w:val="0"/>
                    <w:snapToGrid w:val="0"/>
                    <w:spacing w:line="320" w:lineRule="exact"/>
                    <w:jc w:val="center"/>
                    <w:rPr>
                      <w:rFonts w:hint="eastAsia"/>
                      <w:bCs/>
                      <w:szCs w:val="21"/>
                    </w:rPr>
                  </w:pPr>
                  <w:r>
                    <w:rPr>
                      <w:rFonts w:hint="eastAsia"/>
                      <w:b w:val="0"/>
                      <w:bCs w:val="0"/>
                      <w:szCs w:val="21"/>
                      <w:u w:val="none"/>
                      <w:lang w:val="en-US" w:eastAsia="zh-CN"/>
                    </w:rPr>
                    <w:t>固态</w:t>
                  </w:r>
                </w:p>
              </w:tc>
              <w:tc>
                <w:tcPr>
                  <w:tcW w:w="606" w:type="dxa"/>
                  <w:tcBorders>
                    <w:tl2br w:val="nil"/>
                    <w:tr2bl w:val="nil"/>
                  </w:tcBorders>
                  <w:vAlign w:val="center"/>
                </w:tcPr>
                <w:p>
                  <w:pPr>
                    <w:topLinePunct/>
                    <w:adjustRightInd w:val="0"/>
                    <w:snapToGrid w:val="0"/>
                    <w:spacing w:line="400" w:lineRule="exact"/>
                    <w:jc w:val="center"/>
                    <w:rPr>
                      <w:bCs/>
                      <w:szCs w:val="21"/>
                    </w:rPr>
                  </w:pPr>
                  <w:r>
                    <w:rPr>
                      <w:kern w:val="0"/>
                      <w:szCs w:val="21"/>
                    </w:rPr>
                    <w:t>油墨</w:t>
                  </w:r>
                </w:p>
              </w:tc>
              <w:tc>
                <w:tcPr>
                  <w:tcW w:w="631" w:type="dxa"/>
                  <w:tcBorders>
                    <w:tl2br w:val="nil"/>
                    <w:tr2bl w:val="nil"/>
                  </w:tcBorders>
                  <w:vAlign w:val="center"/>
                </w:tcPr>
                <w:p>
                  <w:pPr>
                    <w:topLinePunct/>
                    <w:adjustRightInd w:val="0"/>
                    <w:snapToGrid w:val="0"/>
                    <w:spacing w:line="320" w:lineRule="exact"/>
                    <w:jc w:val="center"/>
                    <w:rPr>
                      <w:szCs w:val="21"/>
                    </w:rPr>
                  </w:pPr>
                  <w:r>
                    <w:rPr>
                      <w:rFonts w:hint="eastAsia"/>
                      <w:b w:val="0"/>
                      <w:bCs w:val="0"/>
                      <w:szCs w:val="21"/>
                      <w:u w:val="none"/>
                    </w:rPr>
                    <w:t>有机化合物</w:t>
                  </w:r>
                </w:p>
              </w:tc>
              <w:tc>
                <w:tcPr>
                  <w:tcW w:w="615" w:type="dxa"/>
                  <w:tcBorders>
                    <w:tl2br w:val="nil"/>
                    <w:tr2bl w:val="nil"/>
                  </w:tcBorders>
                  <w:vAlign w:val="center"/>
                </w:tcPr>
                <w:p>
                  <w:pPr>
                    <w:widowControl/>
                    <w:topLinePunct/>
                    <w:adjustRightInd w:val="0"/>
                    <w:snapToGrid w:val="0"/>
                    <w:spacing w:line="320" w:lineRule="exact"/>
                    <w:jc w:val="center"/>
                    <w:rPr>
                      <w:rFonts w:hint="eastAsia"/>
                      <w:kern w:val="0"/>
                      <w:szCs w:val="21"/>
                      <w:lang w:val="en-US" w:eastAsia="zh-CN"/>
                    </w:rPr>
                  </w:pPr>
                  <w:r>
                    <w:rPr>
                      <w:rFonts w:hint="eastAsia"/>
                      <w:b w:val="0"/>
                      <w:bCs w:val="0"/>
                      <w:szCs w:val="21"/>
                      <w:u w:val="none"/>
                    </w:rPr>
                    <w:t>1</w:t>
                  </w:r>
                  <w:r>
                    <w:rPr>
                      <w:rFonts w:hint="eastAsia"/>
                      <w:b w:val="0"/>
                      <w:bCs w:val="0"/>
                      <w:szCs w:val="21"/>
                      <w:u w:val="none"/>
                      <w:lang w:val="en-US" w:eastAsia="zh-CN"/>
                    </w:rPr>
                    <w:t>个月</w:t>
                  </w:r>
                </w:p>
              </w:tc>
              <w:tc>
                <w:tcPr>
                  <w:tcW w:w="589" w:type="dxa"/>
                  <w:tcBorders>
                    <w:tl2br w:val="nil"/>
                    <w:tr2bl w:val="nil"/>
                  </w:tcBorders>
                  <w:vAlign w:val="center"/>
                </w:tcPr>
                <w:p>
                  <w:pPr>
                    <w:topLinePunct/>
                    <w:adjustRightInd w:val="0"/>
                    <w:snapToGrid w:val="0"/>
                    <w:spacing w:line="400" w:lineRule="exact"/>
                    <w:jc w:val="center"/>
                    <w:rPr>
                      <w:kern w:val="0"/>
                      <w:szCs w:val="21"/>
                    </w:rPr>
                  </w:pPr>
                  <w:r>
                    <w:rPr>
                      <w:kern w:val="0"/>
                      <w:szCs w:val="21"/>
                    </w:rPr>
                    <w:t>T/In</w:t>
                  </w:r>
                </w:p>
              </w:tc>
              <w:tc>
                <w:tcPr>
                  <w:tcW w:w="656" w:type="dxa"/>
                  <w:vMerge w:val="continue"/>
                  <w:tcBorders>
                    <w:tl2br w:val="nil"/>
                    <w:tr2bl w:val="nil"/>
                  </w:tcBorders>
                  <w:vAlign w:val="center"/>
                </w:tcPr>
                <w:p>
                  <w:pPr>
                    <w:topLinePunct/>
                    <w:adjustRightInd w:val="0"/>
                    <w:snapToGrid w:val="0"/>
                    <w:spacing w:line="320" w:lineRule="exact"/>
                    <w:jc w:val="center"/>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l2br w:val="nil"/>
                    <w:tr2bl w:val="nil"/>
                  </w:tcBorders>
                  <w:vAlign w:val="center"/>
                </w:tcPr>
                <w:p>
                  <w:pPr>
                    <w:widowControl/>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5</w:t>
                  </w:r>
                </w:p>
              </w:tc>
              <w:tc>
                <w:tcPr>
                  <w:tcW w:w="623" w:type="dxa"/>
                  <w:tcBorders>
                    <w:tl2br w:val="nil"/>
                    <w:tr2bl w:val="nil"/>
                  </w:tcBorders>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废抹布</w:t>
                  </w:r>
                </w:p>
              </w:tc>
              <w:tc>
                <w:tcPr>
                  <w:tcW w:w="800" w:type="dxa"/>
                  <w:tcBorders>
                    <w:tl2br w:val="nil"/>
                    <w:tr2bl w:val="nil"/>
                  </w:tcBorders>
                  <w:vAlign w:val="center"/>
                </w:tcPr>
                <w:p>
                  <w:pPr>
                    <w:topLinePunct/>
                    <w:adjustRightInd w:val="0"/>
                    <w:snapToGrid w:val="0"/>
                    <w:spacing w:line="320" w:lineRule="exact"/>
                    <w:jc w:val="center"/>
                    <w:rPr>
                      <w:rFonts w:hint="eastAsia"/>
                      <w:b/>
                      <w:bCs/>
                      <w:color w:val="000000"/>
                      <w:szCs w:val="21"/>
                      <w:u w:val="single"/>
                      <w:lang w:val="en-US" w:eastAsia="zh-CN"/>
                    </w:rPr>
                  </w:pPr>
                  <w:r>
                    <w:rPr>
                      <w:rFonts w:hint="eastAsia"/>
                      <w:b/>
                      <w:bCs/>
                      <w:color w:val="000000"/>
                      <w:szCs w:val="21"/>
                      <w:u w:val="single"/>
                      <w:lang w:val="en-US" w:eastAsia="zh-CN"/>
                    </w:rPr>
                    <w:t>HW49</w:t>
                  </w:r>
                </w:p>
              </w:tc>
              <w:tc>
                <w:tcPr>
                  <w:tcW w:w="1196"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900-041-49</w:t>
                  </w:r>
                </w:p>
              </w:tc>
              <w:tc>
                <w:tcPr>
                  <w:tcW w:w="1004" w:type="dxa"/>
                  <w:tcBorders>
                    <w:tl2br w:val="nil"/>
                    <w:tr2bl w:val="nil"/>
                  </w:tcBorders>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0.096t/a</w:t>
                  </w:r>
                </w:p>
              </w:tc>
              <w:tc>
                <w:tcPr>
                  <w:tcW w:w="619" w:type="dxa"/>
                  <w:tcBorders>
                    <w:tl2br w:val="nil"/>
                    <w:tr2bl w:val="nil"/>
                  </w:tcBorders>
                  <w:vAlign w:val="center"/>
                </w:tcPr>
                <w:p>
                  <w:pPr>
                    <w:widowControl/>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设备维护</w:t>
                  </w:r>
                </w:p>
              </w:tc>
              <w:tc>
                <w:tcPr>
                  <w:tcW w:w="591" w:type="dxa"/>
                  <w:tcBorders>
                    <w:tl2br w:val="nil"/>
                    <w:tr2bl w:val="nil"/>
                  </w:tcBorders>
                  <w:vAlign w:val="center"/>
                </w:tcPr>
                <w:p>
                  <w:pPr>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固态</w:t>
                  </w:r>
                </w:p>
              </w:tc>
              <w:tc>
                <w:tcPr>
                  <w:tcW w:w="606" w:type="dxa"/>
                  <w:tcBorders>
                    <w:tl2br w:val="nil"/>
                    <w:tr2bl w:val="nil"/>
                  </w:tcBorders>
                  <w:vAlign w:val="center"/>
                </w:tcPr>
                <w:p>
                  <w:pPr>
                    <w:topLinePunct/>
                    <w:adjustRightInd w:val="0"/>
                    <w:snapToGrid w:val="0"/>
                    <w:spacing w:line="400" w:lineRule="exact"/>
                    <w:jc w:val="center"/>
                    <w:rPr>
                      <w:rFonts w:hint="default" w:eastAsia="宋体"/>
                      <w:b/>
                      <w:bCs/>
                      <w:kern w:val="0"/>
                      <w:szCs w:val="21"/>
                      <w:u w:val="single"/>
                      <w:lang w:val="en-US" w:eastAsia="zh-CN"/>
                    </w:rPr>
                  </w:pPr>
                  <w:r>
                    <w:rPr>
                      <w:rFonts w:hint="eastAsia"/>
                      <w:b/>
                      <w:bCs/>
                      <w:kern w:val="0"/>
                      <w:szCs w:val="21"/>
                      <w:u w:val="single"/>
                      <w:lang w:val="en-US" w:eastAsia="zh-CN"/>
                    </w:rPr>
                    <w:t>含油、油墨</w:t>
                  </w:r>
                </w:p>
              </w:tc>
              <w:tc>
                <w:tcPr>
                  <w:tcW w:w="631" w:type="dxa"/>
                  <w:tcBorders>
                    <w:tl2br w:val="nil"/>
                    <w:tr2bl w:val="nil"/>
                  </w:tcBorders>
                  <w:vAlign w:val="center"/>
                </w:tcPr>
                <w:p>
                  <w:pPr>
                    <w:topLinePunct/>
                    <w:adjustRightInd w:val="0"/>
                    <w:snapToGrid w:val="0"/>
                    <w:spacing w:line="320" w:lineRule="exact"/>
                    <w:jc w:val="center"/>
                    <w:rPr>
                      <w:rFonts w:hint="eastAsia"/>
                      <w:b/>
                      <w:bCs/>
                      <w:szCs w:val="21"/>
                      <w:u w:val="single"/>
                    </w:rPr>
                  </w:pPr>
                  <w:r>
                    <w:rPr>
                      <w:rFonts w:hint="eastAsia"/>
                      <w:b/>
                      <w:bCs/>
                      <w:szCs w:val="21"/>
                      <w:u w:val="single"/>
                    </w:rPr>
                    <w:t>有机化合物</w:t>
                  </w:r>
                </w:p>
              </w:tc>
              <w:tc>
                <w:tcPr>
                  <w:tcW w:w="615" w:type="dxa"/>
                  <w:tcBorders>
                    <w:tl2br w:val="nil"/>
                    <w:tr2bl w:val="nil"/>
                  </w:tcBorders>
                  <w:vAlign w:val="center"/>
                </w:tcPr>
                <w:p>
                  <w:pPr>
                    <w:widowControl/>
                    <w:topLinePunct/>
                    <w:adjustRightInd w:val="0"/>
                    <w:snapToGrid w:val="0"/>
                    <w:spacing w:line="320" w:lineRule="exact"/>
                    <w:jc w:val="center"/>
                    <w:rPr>
                      <w:rFonts w:hint="eastAsia" w:eastAsia="宋体"/>
                      <w:b/>
                      <w:bCs/>
                      <w:szCs w:val="21"/>
                      <w:u w:val="single"/>
                      <w:lang w:val="en-US" w:eastAsia="zh-CN"/>
                    </w:rPr>
                  </w:pPr>
                  <w:r>
                    <w:rPr>
                      <w:rFonts w:hint="eastAsia"/>
                      <w:b/>
                      <w:bCs/>
                      <w:szCs w:val="21"/>
                      <w:u w:val="single"/>
                      <w:lang w:val="en-US" w:eastAsia="zh-CN"/>
                    </w:rPr>
                    <w:t>半个月</w:t>
                  </w:r>
                </w:p>
              </w:tc>
              <w:tc>
                <w:tcPr>
                  <w:tcW w:w="589" w:type="dxa"/>
                  <w:tcBorders>
                    <w:tl2br w:val="nil"/>
                    <w:tr2bl w:val="nil"/>
                  </w:tcBorders>
                  <w:vAlign w:val="center"/>
                </w:tcPr>
                <w:p>
                  <w:pPr>
                    <w:topLinePunct/>
                    <w:adjustRightInd w:val="0"/>
                    <w:snapToGrid w:val="0"/>
                    <w:spacing w:line="400" w:lineRule="exact"/>
                    <w:jc w:val="center"/>
                    <w:rPr>
                      <w:b/>
                      <w:bCs/>
                      <w:kern w:val="0"/>
                      <w:szCs w:val="21"/>
                      <w:u w:val="single"/>
                    </w:rPr>
                  </w:pPr>
                  <w:r>
                    <w:rPr>
                      <w:b/>
                      <w:bCs/>
                      <w:kern w:val="0"/>
                      <w:szCs w:val="21"/>
                      <w:u w:val="single"/>
                    </w:rPr>
                    <w:t>T/In</w:t>
                  </w:r>
                </w:p>
              </w:tc>
              <w:tc>
                <w:tcPr>
                  <w:tcW w:w="656" w:type="dxa"/>
                  <w:vMerge w:val="continue"/>
                  <w:tcBorders>
                    <w:tl2br w:val="nil"/>
                    <w:tr2bl w:val="nil"/>
                  </w:tcBorders>
                  <w:vAlign w:val="center"/>
                </w:tcPr>
                <w:p>
                  <w:pPr>
                    <w:topLinePunct/>
                    <w:adjustRightInd w:val="0"/>
                    <w:snapToGrid w:val="0"/>
                    <w:spacing w:line="320" w:lineRule="exact"/>
                    <w:jc w:val="center"/>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l2br w:val="nil"/>
                    <w:tr2bl w:val="nil"/>
                  </w:tcBorders>
                  <w:vAlign w:val="center"/>
                </w:tcPr>
                <w:p>
                  <w:pPr>
                    <w:widowControl/>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6</w:t>
                  </w:r>
                </w:p>
              </w:tc>
              <w:tc>
                <w:tcPr>
                  <w:tcW w:w="623" w:type="dxa"/>
                  <w:tcBorders>
                    <w:tl2br w:val="nil"/>
                    <w:tr2bl w:val="nil"/>
                  </w:tcBorders>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废热转印商标纸</w:t>
                  </w:r>
                </w:p>
              </w:tc>
              <w:tc>
                <w:tcPr>
                  <w:tcW w:w="800" w:type="dxa"/>
                  <w:tcBorders>
                    <w:tl2br w:val="nil"/>
                    <w:tr2bl w:val="nil"/>
                  </w:tcBorders>
                  <w:vAlign w:val="center"/>
                </w:tcPr>
                <w:p>
                  <w:pPr>
                    <w:topLinePunct/>
                    <w:adjustRightInd w:val="0"/>
                    <w:snapToGrid w:val="0"/>
                    <w:spacing w:line="320" w:lineRule="exact"/>
                    <w:jc w:val="center"/>
                    <w:rPr>
                      <w:rFonts w:hint="eastAsia"/>
                      <w:b/>
                      <w:bCs/>
                      <w:color w:val="000000"/>
                      <w:szCs w:val="21"/>
                      <w:u w:val="single"/>
                      <w:lang w:val="en-US" w:eastAsia="zh-CN"/>
                    </w:rPr>
                  </w:pPr>
                  <w:r>
                    <w:rPr>
                      <w:rFonts w:hint="eastAsia"/>
                      <w:b/>
                      <w:bCs/>
                      <w:color w:val="000000"/>
                      <w:szCs w:val="21"/>
                      <w:u w:val="single"/>
                      <w:lang w:val="en-US" w:eastAsia="zh-CN"/>
                    </w:rPr>
                    <w:t>HW49</w:t>
                  </w:r>
                </w:p>
              </w:tc>
              <w:tc>
                <w:tcPr>
                  <w:tcW w:w="1196"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900-041-49</w:t>
                  </w:r>
                </w:p>
              </w:tc>
              <w:tc>
                <w:tcPr>
                  <w:tcW w:w="1004" w:type="dxa"/>
                  <w:tcBorders>
                    <w:tl2br w:val="nil"/>
                    <w:tr2bl w:val="nil"/>
                  </w:tcBorders>
                  <w:vAlign w:val="center"/>
                </w:tcPr>
                <w:p>
                  <w:pPr>
                    <w:widowControl/>
                    <w:spacing w:line="320" w:lineRule="exact"/>
                    <w:contextualSpacing/>
                    <w:jc w:val="center"/>
                    <w:rPr>
                      <w:rFonts w:hint="eastAsia"/>
                      <w:b/>
                      <w:bCs/>
                      <w:szCs w:val="21"/>
                      <w:u w:val="single"/>
                      <w:lang w:val="en-US" w:eastAsia="zh-CN"/>
                    </w:rPr>
                  </w:pPr>
                  <w:r>
                    <w:rPr>
                      <w:rFonts w:hint="eastAsia"/>
                      <w:b/>
                      <w:bCs/>
                      <w:szCs w:val="21"/>
                      <w:u w:val="single"/>
                      <w:lang w:val="en-US" w:eastAsia="zh-CN"/>
                    </w:rPr>
                    <w:t>0.096t/a</w:t>
                  </w:r>
                </w:p>
              </w:tc>
              <w:tc>
                <w:tcPr>
                  <w:tcW w:w="619" w:type="dxa"/>
                  <w:tcBorders>
                    <w:tl2br w:val="nil"/>
                    <w:tr2bl w:val="nil"/>
                  </w:tcBorders>
                  <w:vAlign w:val="center"/>
                </w:tcPr>
                <w:p>
                  <w:pPr>
                    <w:widowControl/>
                    <w:topLinePunct/>
                    <w:adjustRightInd w:val="0"/>
                    <w:snapToGrid w:val="0"/>
                    <w:spacing w:line="320" w:lineRule="exact"/>
                    <w:jc w:val="center"/>
                    <w:rPr>
                      <w:rFonts w:hint="eastAsia"/>
                      <w:b/>
                      <w:bCs/>
                      <w:szCs w:val="21"/>
                      <w:u w:val="single"/>
                      <w:lang w:val="en-US" w:eastAsia="zh-CN"/>
                    </w:rPr>
                  </w:pPr>
                  <w:r>
                    <w:rPr>
                      <w:rFonts w:hint="eastAsia"/>
                      <w:b/>
                      <w:bCs/>
                      <w:szCs w:val="21"/>
                      <w:u w:val="single"/>
                      <w:lang w:val="en-US" w:eastAsia="zh-CN"/>
                    </w:rPr>
                    <w:t>转印工序</w:t>
                  </w:r>
                </w:p>
              </w:tc>
              <w:tc>
                <w:tcPr>
                  <w:tcW w:w="591" w:type="dxa"/>
                  <w:tcBorders>
                    <w:tl2br w:val="nil"/>
                    <w:tr2bl w:val="nil"/>
                  </w:tcBorders>
                  <w:vAlign w:val="center"/>
                </w:tcPr>
                <w:p>
                  <w:pPr>
                    <w:topLinePunct/>
                    <w:adjustRightInd w:val="0"/>
                    <w:snapToGrid w:val="0"/>
                    <w:spacing w:line="320" w:lineRule="exact"/>
                    <w:jc w:val="center"/>
                    <w:rPr>
                      <w:rFonts w:hint="eastAsia"/>
                      <w:b/>
                      <w:bCs/>
                      <w:szCs w:val="21"/>
                      <w:u w:val="single"/>
                      <w:lang w:val="en-US" w:eastAsia="zh-CN"/>
                    </w:rPr>
                  </w:pPr>
                  <w:r>
                    <w:rPr>
                      <w:rFonts w:hint="eastAsia"/>
                      <w:b/>
                      <w:bCs/>
                      <w:szCs w:val="21"/>
                      <w:u w:val="single"/>
                      <w:lang w:val="en-US" w:eastAsia="zh-CN"/>
                    </w:rPr>
                    <w:t>固态</w:t>
                  </w:r>
                </w:p>
              </w:tc>
              <w:tc>
                <w:tcPr>
                  <w:tcW w:w="606" w:type="dxa"/>
                  <w:tcBorders>
                    <w:tl2br w:val="nil"/>
                    <w:tr2bl w:val="nil"/>
                  </w:tcBorders>
                  <w:vAlign w:val="center"/>
                </w:tcPr>
                <w:p>
                  <w:pPr>
                    <w:topLinePunct/>
                    <w:adjustRightInd w:val="0"/>
                    <w:snapToGrid w:val="0"/>
                    <w:spacing w:line="400" w:lineRule="exact"/>
                    <w:jc w:val="center"/>
                    <w:rPr>
                      <w:rFonts w:hint="eastAsia"/>
                      <w:b/>
                      <w:bCs/>
                      <w:kern w:val="0"/>
                      <w:szCs w:val="21"/>
                      <w:u w:val="single"/>
                      <w:lang w:val="en-US" w:eastAsia="zh-CN"/>
                    </w:rPr>
                  </w:pPr>
                  <w:r>
                    <w:rPr>
                      <w:b/>
                      <w:bCs/>
                      <w:kern w:val="0"/>
                      <w:szCs w:val="21"/>
                      <w:u w:val="single"/>
                    </w:rPr>
                    <w:t>油墨</w:t>
                  </w:r>
                </w:p>
              </w:tc>
              <w:tc>
                <w:tcPr>
                  <w:tcW w:w="631" w:type="dxa"/>
                  <w:tcBorders>
                    <w:tl2br w:val="nil"/>
                    <w:tr2bl w:val="nil"/>
                  </w:tcBorders>
                  <w:vAlign w:val="center"/>
                </w:tcPr>
                <w:p>
                  <w:pPr>
                    <w:topLinePunct/>
                    <w:adjustRightInd w:val="0"/>
                    <w:snapToGrid w:val="0"/>
                    <w:spacing w:line="320" w:lineRule="exact"/>
                    <w:jc w:val="center"/>
                    <w:rPr>
                      <w:rFonts w:hint="eastAsia"/>
                      <w:b/>
                      <w:bCs/>
                      <w:szCs w:val="21"/>
                      <w:u w:val="single"/>
                    </w:rPr>
                  </w:pPr>
                  <w:r>
                    <w:rPr>
                      <w:rFonts w:hint="eastAsia"/>
                      <w:b/>
                      <w:bCs/>
                      <w:szCs w:val="21"/>
                      <w:u w:val="single"/>
                    </w:rPr>
                    <w:t>有机化合物</w:t>
                  </w:r>
                </w:p>
              </w:tc>
              <w:tc>
                <w:tcPr>
                  <w:tcW w:w="615" w:type="dxa"/>
                  <w:tcBorders>
                    <w:tl2br w:val="nil"/>
                    <w:tr2bl w:val="nil"/>
                  </w:tcBorders>
                  <w:vAlign w:val="center"/>
                </w:tcPr>
                <w:p>
                  <w:pPr>
                    <w:widowControl/>
                    <w:topLinePunct/>
                    <w:adjustRightInd w:val="0"/>
                    <w:snapToGrid w:val="0"/>
                    <w:spacing w:line="320" w:lineRule="exact"/>
                    <w:jc w:val="center"/>
                    <w:rPr>
                      <w:rFonts w:hint="eastAsia"/>
                      <w:b/>
                      <w:bCs/>
                      <w:szCs w:val="21"/>
                      <w:u w:val="single"/>
                      <w:lang w:val="en-US" w:eastAsia="zh-CN"/>
                    </w:rPr>
                  </w:pPr>
                  <w:r>
                    <w:rPr>
                      <w:rFonts w:hint="eastAsia"/>
                      <w:b/>
                      <w:bCs/>
                      <w:szCs w:val="21"/>
                      <w:u w:val="single"/>
                    </w:rPr>
                    <w:t>1</w:t>
                  </w:r>
                  <w:r>
                    <w:rPr>
                      <w:rFonts w:hint="eastAsia"/>
                      <w:b/>
                      <w:bCs/>
                      <w:szCs w:val="21"/>
                      <w:u w:val="single"/>
                      <w:lang w:val="en-US" w:eastAsia="zh-CN"/>
                    </w:rPr>
                    <w:t>个月</w:t>
                  </w:r>
                </w:p>
              </w:tc>
              <w:tc>
                <w:tcPr>
                  <w:tcW w:w="589" w:type="dxa"/>
                  <w:tcBorders>
                    <w:tl2br w:val="nil"/>
                    <w:tr2bl w:val="nil"/>
                  </w:tcBorders>
                  <w:vAlign w:val="center"/>
                </w:tcPr>
                <w:p>
                  <w:pPr>
                    <w:topLinePunct/>
                    <w:adjustRightInd w:val="0"/>
                    <w:snapToGrid w:val="0"/>
                    <w:spacing w:line="400" w:lineRule="exact"/>
                    <w:jc w:val="center"/>
                    <w:rPr>
                      <w:b/>
                      <w:bCs/>
                      <w:kern w:val="0"/>
                      <w:szCs w:val="21"/>
                      <w:u w:val="single"/>
                    </w:rPr>
                  </w:pPr>
                  <w:r>
                    <w:rPr>
                      <w:b/>
                      <w:bCs/>
                      <w:kern w:val="0"/>
                      <w:szCs w:val="21"/>
                      <w:u w:val="single"/>
                    </w:rPr>
                    <w:t>T/In</w:t>
                  </w:r>
                </w:p>
              </w:tc>
              <w:tc>
                <w:tcPr>
                  <w:tcW w:w="656" w:type="dxa"/>
                  <w:vMerge w:val="continue"/>
                  <w:tcBorders>
                    <w:tl2br w:val="nil"/>
                    <w:tr2bl w:val="nil"/>
                  </w:tcBorders>
                  <w:vAlign w:val="center"/>
                </w:tcPr>
                <w:p>
                  <w:pPr>
                    <w:topLinePunct/>
                    <w:adjustRightInd w:val="0"/>
                    <w:snapToGrid w:val="0"/>
                    <w:spacing w:line="320" w:lineRule="exact"/>
                    <w:jc w:val="center"/>
                    <w:rPr>
                      <w:bCs/>
                      <w:color w:val="000000"/>
                      <w:szCs w:val="21"/>
                    </w:rPr>
                  </w:pPr>
                </w:p>
              </w:tc>
            </w:tr>
          </w:tbl>
          <w:p>
            <w:pPr>
              <w:topLinePunct/>
              <w:spacing w:line="400" w:lineRule="exact"/>
              <w:ind w:firstLine="482" w:firstLineChars="200"/>
              <w:rPr>
                <w:rFonts w:cs="Calibri"/>
                <w:b/>
                <w:bCs/>
                <w:sz w:val="24"/>
              </w:rPr>
            </w:pPr>
            <w:r>
              <w:rPr>
                <w:rFonts w:hint="eastAsia" w:cs="Calibri"/>
                <w:b/>
                <w:bCs/>
                <w:sz w:val="24"/>
              </w:rPr>
              <w:t>表</w:t>
            </w:r>
            <w:r>
              <w:rPr>
                <w:rFonts w:hint="eastAsia"/>
                <w:b/>
                <w:bCs/>
                <w:sz w:val="24"/>
                <w:lang w:val="en-US" w:eastAsia="zh-CN"/>
              </w:rPr>
              <w:t>26</w:t>
            </w:r>
            <w:r>
              <w:rPr>
                <w:b/>
                <w:bCs/>
                <w:sz w:val="24"/>
              </w:rPr>
              <w:t xml:space="preserve"> </w:t>
            </w:r>
            <w:r>
              <w:rPr>
                <w:rFonts w:hint="eastAsia" w:cs="Calibri"/>
                <w:b/>
                <w:bCs/>
                <w:sz w:val="24"/>
              </w:rPr>
              <w:t xml:space="preserve">     建设项目危险废物贮存场所（设施）基本情况一览表</w:t>
            </w:r>
          </w:p>
          <w:tbl>
            <w:tblPr>
              <w:tblStyle w:val="21"/>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44"/>
              <w:gridCol w:w="800"/>
              <w:gridCol w:w="1220"/>
              <w:gridCol w:w="811"/>
              <w:gridCol w:w="693"/>
              <w:gridCol w:w="936"/>
              <w:gridCol w:w="900"/>
              <w:gridCol w:w="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72" w:type="dxa"/>
                  <w:tcBorders>
                    <w:tl2br w:val="nil"/>
                    <w:tr2bl w:val="nil"/>
                  </w:tcBorders>
                  <w:vAlign w:val="center"/>
                </w:tcPr>
                <w:p>
                  <w:pPr>
                    <w:topLinePunct/>
                    <w:adjustRightInd w:val="0"/>
                    <w:snapToGrid w:val="0"/>
                    <w:spacing w:line="320" w:lineRule="exact"/>
                    <w:jc w:val="center"/>
                    <w:rPr>
                      <w:bCs/>
                      <w:szCs w:val="21"/>
                    </w:rPr>
                  </w:pPr>
                  <w:r>
                    <w:rPr>
                      <w:bCs/>
                      <w:szCs w:val="21"/>
                    </w:rPr>
                    <w:t>贮存场所（设施）</w:t>
                  </w:r>
                </w:p>
                <w:p>
                  <w:pPr>
                    <w:topLinePunct/>
                    <w:adjustRightInd w:val="0"/>
                    <w:snapToGrid w:val="0"/>
                    <w:spacing w:line="320" w:lineRule="exact"/>
                    <w:jc w:val="center"/>
                    <w:rPr>
                      <w:bCs/>
                      <w:szCs w:val="21"/>
                    </w:rPr>
                  </w:pPr>
                  <w:r>
                    <w:rPr>
                      <w:bCs/>
                      <w:szCs w:val="21"/>
                    </w:rPr>
                    <w:t>名称</w:t>
                  </w:r>
                </w:p>
              </w:tc>
              <w:tc>
                <w:tcPr>
                  <w:tcW w:w="944" w:type="dxa"/>
                  <w:tcBorders>
                    <w:tl2br w:val="nil"/>
                    <w:tr2bl w:val="nil"/>
                  </w:tcBorders>
                  <w:vAlign w:val="center"/>
                </w:tcPr>
                <w:p>
                  <w:pPr>
                    <w:topLinePunct/>
                    <w:adjustRightInd w:val="0"/>
                    <w:snapToGrid w:val="0"/>
                    <w:spacing w:line="320" w:lineRule="exact"/>
                    <w:jc w:val="center"/>
                    <w:rPr>
                      <w:bCs/>
                      <w:szCs w:val="21"/>
                    </w:rPr>
                  </w:pPr>
                  <w:r>
                    <w:rPr>
                      <w:bCs/>
                      <w:szCs w:val="21"/>
                    </w:rPr>
                    <w:t>危险废物名称</w:t>
                  </w:r>
                </w:p>
              </w:tc>
              <w:tc>
                <w:tcPr>
                  <w:tcW w:w="800" w:type="dxa"/>
                  <w:tcBorders>
                    <w:tl2br w:val="nil"/>
                    <w:tr2bl w:val="nil"/>
                  </w:tcBorders>
                  <w:vAlign w:val="center"/>
                </w:tcPr>
                <w:p>
                  <w:pPr>
                    <w:topLinePunct/>
                    <w:adjustRightInd w:val="0"/>
                    <w:snapToGrid w:val="0"/>
                    <w:spacing w:line="320" w:lineRule="exact"/>
                    <w:jc w:val="center"/>
                    <w:rPr>
                      <w:bCs/>
                      <w:szCs w:val="21"/>
                    </w:rPr>
                  </w:pPr>
                  <w:r>
                    <w:rPr>
                      <w:bCs/>
                      <w:szCs w:val="21"/>
                    </w:rPr>
                    <w:t>危险废物类别</w:t>
                  </w:r>
                </w:p>
              </w:tc>
              <w:tc>
                <w:tcPr>
                  <w:tcW w:w="1220" w:type="dxa"/>
                  <w:tcBorders>
                    <w:tl2br w:val="nil"/>
                    <w:tr2bl w:val="nil"/>
                  </w:tcBorders>
                  <w:vAlign w:val="center"/>
                </w:tcPr>
                <w:p>
                  <w:pPr>
                    <w:topLinePunct/>
                    <w:adjustRightInd w:val="0"/>
                    <w:snapToGrid w:val="0"/>
                    <w:spacing w:line="320" w:lineRule="exact"/>
                    <w:jc w:val="center"/>
                    <w:rPr>
                      <w:bCs/>
                      <w:szCs w:val="21"/>
                    </w:rPr>
                  </w:pPr>
                  <w:r>
                    <w:rPr>
                      <w:bCs/>
                      <w:szCs w:val="21"/>
                    </w:rPr>
                    <w:t>危险废物代码</w:t>
                  </w:r>
                </w:p>
              </w:tc>
              <w:tc>
                <w:tcPr>
                  <w:tcW w:w="811" w:type="dxa"/>
                  <w:tcBorders>
                    <w:tl2br w:val="nil"/>
                    <w:tr2bl w:val="nil"/>
                  </w:tcBorders>
                  <w:vAlign w:val="center"/>
                </w:tcPr>
                <w:p>
                  <w:pPr>
                    <w:topLinePunct/>
                    <w:adjustRightInd w:val="0"/>
                    <w:snapToGrid w:val="0"/>
                    <w:spacing w:line="320" w:lineRule="exact"/>
                    <w:jc w:val="center"/>
                    <w:rPr>
                      <w:bCs/>
                      <w:szCs w:val="21"/>
                    </w:rPr>
                  </w:pPr>
                  <w:r>
                    <w:rPr>
                      <w:bCs/>
                      <w:szCs w:val="21"/>
                    </w:rPr>
                    <w:t>位置</w:t>
                  </w:r>
                </w:p>
              </w:tc>
              <w:tc>
                <w:tcPr>
                  <w:tcW w:w="693" w:type="dxa"/>
                  <w:tcBorders>
                    <w:tl2br w:val="nil"/>
                    <w:tr2bl w:val="nil"/>
                  </w:tcBorders>
                  <w:vAlign w:val="center"/>
                </w:tcPr>
                <w:p>
                  <w:pPr>
                    <w:topLinePunct/>
                    <w:adjustRightInd w:val="0"/>
                    <w:snapToGrid w:val="0"/>
                    <w:spacing w:line="320" w:lineRule="exact"/>
                    <w:jc w:val="center"/>
                    <w:rPr>
                      <w:bCs/>
                      <w:szCs w:val="21"/>
                    </w:rPr>
                  </w:pPr>
                  <w:r>
                    <w:rPr>
                      <w:bCs/>
                      <w:szCs w:val="21"/>
                    </w:rPr>
                    <w:t>占地</w:t>
                  </w:r>
                </w:p>
                <w:p>
                  <w:pPr>
                    <w:topLinePunct/>
                    <w:adjustRightInd w:val="0"/>
                    <w:snapToGrid w:val="0"/>
                    <w:spacing w:line="320" w:lineRule="exact"/>
                    <w:jc w:val="center"/>
                    <w:rPr>
                      <w:bCs/>
                      <w:szCs w:val="21"/>
                    </w:rPr>
                  </w:pPr>
                  <w:r>
                    <w:rPr>
                      <w:bCs/>
                      <w:szCs w:val="21"/>
                    </w:rPr>
                    <w:t>面积</w:t>
                  </w:r>
                </w:p>
              </w:tc>
              <w:tc>
                <w:tcPr>
                  <w:tcW w:w="936" w:type="dxa"/>
                  <w:tcBorders>
                    <w:tl2br w:val="nil"/>
                    <w:tr2bl w:val="nil"/>
                  </w:tcBorders>
                  <w:vAlign w:val="center"/>
                </w:tcPr>
                <w:p>
                  <w:pPr>
                    <w:topLinePunct/>
                    <w:adjustRightInd w:val="0"/>
                    <w:snapToGrid w:val="0"/>
                    <w:spacing w:line="320" w:lineRule="exact"/>
                    <w:jc w:val="center"/>
                    <w:rPr>
                      <w:bCs/>
                      <w:szCs w:val="21"/>
                    </w:rPr>
                  </w:pPr>
                  <w:r>
                    <w:rPr>
                      <w:bCs/>
                      <w:szCs w:val="21"/>
                    </w:rPr>
                    <w:t>贮存</w:t>
                  </w:r>
                </w:p>
                <w:p>
                  <w:pPr>
                    <w:topLinePunct/>
                    <w:adjustRightInd w:val="0"/>
                    <w:snapToGrid w:val="0"/>
                    <w:spacing w:line="320" w:lineRule="exact"/>
                    <w:jc w:val="center"/>
                    <w:rPr>
                      <w:bCs/>
                      <w:szCs w:val="21"/>
                    </w:rPr>
                  </w:pPr>
                  <w:r>
                    <w:rPr>
                      <w:bCs/>
                      <w:szCs w:val="21"/>
                    </w:rPr>
                    <w:t>方式</w:t>
                  </w:r>
                </w:p>
              </w:tc>
              <w:tc>
                <w:tcPr>
                  <w:tcW w:w="900" w:type="dxa"/>
                  <w:tcBorders>
                    <w:tl2br w:val="nil"/>
                    <w:tr2bl w:val="nil"/>
                  </w:tcBorders>
                  <w:vAlign w:val="center"/>
                </w:tcPr>
                <w:p>
                  <w:pPr>
                    <w:topLinePunct/>
                    <w:adjustRightInd w:val="0"/>
                    <w:snapToGrid w:val="0"/>
                    <w:spacing w:line="320" w:lineRule="exact"/>
                    <w:jc w:val="center"/>
                    <w:rPr>
                      <w:bCs/>
                      <w:szCs w:val="21"/>
                    </w:rPr>
                  </w:pPr>
                  <w:r>
                    <w:rPr>
                      <w:bCs/>
                      <w:szCs w:val="21"/>
                    </w:rPr>
                    <w:t>贮存</w:t>
                  </w:r>
                </w:p>
                <w:p>
                  <w:pPr>
                    <w:topLinePunct/>
                    <w:adjustRightInd w:val="0"/>
                    <w:snapToGrid w:val="0"/>
                    <w:spacing w:line="320" w:lineRule="exact"/>
                    <w:jc w:val="center"/>
                    <w:rPr>
                      <w:bCs/>
                      <w:szCs w:val="21"/>
                    </w:rPr>
                  </w:pPr>
                  <w:r>
                    <w:rPr>
                      <w:bCs/>
                      <w:szCs w:val="21"/>
                    </w:rPr>
                    <w:t>能力</w:t>
                  </w:r>
                </w:p>
              </w:tc>
              <w:tc>
                <w:tcPr>
                  <w:tcW w:w="880" w:type="dxa"/>
                  <w:tcBorders>
                    <w:tl2br w:val="nil"/>
                    <w:tr2bl w:val="nil"/>
                  </w:tcBorders>
                  <w:vAlign w:val="center"/>
                </w:tcPr>
                <w:p>
                  <w:pPr>
                    <w:topLinePunct/>
                    <w:adjustRightInd w:val="0"/>
                    <w:snapToGrid w:val="0"/>
                    <w:spacing w:line="320" w:lineRule="exact"/>
                    <w:jc w:val="center"/>
                    <w:rPr>
                      <w:bCs/>
                      <w:szCs w:val="21"/>
                    </w:rPr>
                  </w:pPr>
                  <w:r>
                    <w:rPr>
                      <w:bCs/>
                      <w:szCs w:val="21"/>
                    </w:rPr>
                    <w:t>贮存</w:t>
                  </w:r>
                </w:p>
                <w:p>
                  <w:pPr>
                    <w:topLinePunct/>
                    <w:adjustRightInd w:val="0"/>
                    <w:snapToGrid w:val="0"/>
                    <w:spacing w:line="320" w:lineRule="exact"/>
                    <w:jc w:val="center"/>
                    <w:rPr>
                      <w:bCs/>
                      <w:szCs w:val="21"/>
                    </w:rPr>
                  </w:pPr>
                  <w:r>
                    <w:rPr>
                      <w:bCs/>
                      <w:szCs w:val="21"/>
                    </w:rPr>
                    <w:t>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restart"/>
                  <w:tcBorders>
                    <w:tl2br w:val="nil"/>
                    <w:tr2bl w:val="nil"/>
                  </w:tcBorders>
                  <w:vAlign w:val="center"/>
                </w:tcPr>
                <w:p>
                  <w:pPr>
                    <w:topLinePunct/>
                    <w:adjustRightInd w:val="0"/>
                    <w:snapToGrid w:val="0"/>
                    <w:spacing w:line="320" w:lineRule="exact"/>
                    <w:jc w:val="center"/>
                    <w:rPr>
                      <w:bCs/>
                      <w:szCs w:val="21"/>
                    </w:rPr>
                  </w:pPr>
                  <w:r>
                    <w:rPr>
                      <w:bCs/>
                      <w:szCs w:val="21"/>
                    </w:rPr>
                    <w:t>危废</w:t>
                  </w:r>
                </w:p>
                <w:p>
                  <w:pPr>
                    <w:topLinePunct/>
                    <w:adjustRightInd w:val="0"/>
                    <w:snapToGrid w:val="0"/>
                    <w:spacing w:line="320" w:lineRule="exact"/>
                    <w:jc w:val="center"/>
                    <w:rPr>
                      <w:bCs/>
                      <w:szCs w:val="21"/>
                    </w:rPr>
                  </w:pPr>
                  <w:r>
                    <w:rPr>
                      <w:bCs/>
                      <w:szCs w:val="21"/>
                    </w:rPr>
                    <w:t>暂存</w:t>
                  </w:r>
                  <w:r>
                    <w:rPr>
                      <w:rFonts w:hint="eastAsia"/>
                      <w:bCs/>
                      <w:szCs w:val="21"/>
                    </w:rPr>
                    <w:t>间</w:t>
                  </w:r>
                </w:p>
              </w:tc>
              <w:tc>
                <w:tcPr>
                  <w:tcW w:w="944" w:type="dxa"/>
                  <w:tcBorders>
                    <w:tl2br w:val="nil"/>
                    <w:tr2bl w:val="nil"/>
                  </w:tcBorders>
                  <w:vAlign w:val="center"/>
                </w:tcPr>
                <w:p>
                  <w:pPr>
                    <w:widowControl/>
                    <w:spacing w:line="320" w:lineRule="exact"/>
                    <w:contextualSpacing/>
                    <w:jc w:val="center"/>
                    <w:rPr>
                      <w:rFonts w:hint="eastAsia"/>
                      <w:b w:val="0"/>
                      <w:bCs w:val="0"/>
                      <w:szCs w:val="21"/>
                      <w:u w:val="none"/>
                    </w:rPr>
                  </w:pPr>
                  <w:r>
                    <w:rPr>
                      <w:rFonts w:hint="eastAsia"/>
                      <w:b w:val="0"/>
                      <w:bCs w:val="0"/>
                      <w:szCs w:val="21"/>
                      <w:u w:val="none"/>
                    </w:rPr>
                    <w:t>废液压油</w:t>
                  </w:r>
                </w:p>
              </w:tc>
              <w:tc>
                <w:tcPr>
                  <w:tcW w:w="800" w:type="dxa"/>
                  <w:tcBorders>
                    <w:tl2br w:val="nil"/>
                    <w:tr2bl w:val="nil"/>
                  </w:tcBorders>
                  <w:vAlign w:val="center"/>
                </w:tcPr>
                <w:p>
                  <w:pPr>
                    <w:topLinePunct/>
                    <w:adjustRightInd w:val="0"/>
                    <w:snapToGrid w:val="0"/>
                    <w:spacing w:line="320" w:lineRule="exact"/>
                    <w:jc w:val="center"/>
                    <w:rPr>
                      <w:rFonts w:hint="eastAsia"/>
                      <w:b w:val="0"/>
                      <w:bCs w:val="0"/>
                      <w:color w:val="000000"/>
                      <w:szCs w:val="21"/>
                      <w:u w:val="none"/>
                    </w:rPr>
                  </w:pPr>
                  <w:r>
                    <w:rPr>
                      <w:rFonts w:hint="eastAsia"/>
                      <w:b w:val="0"/>
                      <w:bCs w:val="0"/>
                      <w:color w:val="000000"/>
                      <w:szCs w:val="21"/>
                      <w:u w:val="none"/>
                    </w:rPr>
                    <w:t>HW08</w:t>
                  </w:r>
                </w:p>
              </w:tc>
              <w:tc>
                <w:tcPr>
                  <w:tcW w:w="1220" w:type="dxa"/>
                  <w:tcBorders>
                    <w:tl2br w:val="nil"/>
                    <w:tr2bl w:val="nil"/>
                  </w:tcBorders>
                  <w:vAlign w:val="center"/>
                </w:tcPr>
                <w:p>
                  <w:pPr>
                    <w:widowControl/>
                    <w:spacing w:line="320" w:lineRule="exact"/>
                    <w:contextualSpacing/>
                    <w:jc w:val="center"/>
                    <w:rPr>
                      <w:rFonts w:hint="eastAsia"/>
                      <w:b w:val="0"/>
                      <w:bCs w:val="0"/>
                      <w:szCs w:val="21"/>
                      <w:u w:val="none"/>
                    </w:rPr>
                  </w:pPr>
                  <w:r>
                    <w:rPr>
                      <w:rFonts w:hint="eastAsia"/>
                      <w:b w:val="0"/>
                      <w:bCs w:val="0"/>
                      <w:szCs w:val="21"/>
                      <w:u w:val="none"/>
                    </w:rPr>
                    <w:t>900-218-08</w:t>
                  </w:r>
                </w:p>
              </w:tc>
              <w:tc>
                <w:tcPr>
                  <w:tcW w:w="811" w:type="dxa"/>
                  <w:vMerge w:val="restart"/>
                  <w:tcBorders>
                    <w:tl2br w:val="nil"/>
                    <w:tr2bl w:val="nil"/>
                  </w:tcBorders>
                  <w:vAlign w:val="center"/>
                </w:tcPr>
                <w:p>
                  <w:pPr>
                    <w:topLinePunct/>
                    <w:adjustRightInd w:val="0"/>
                    <w:snapToGrid w:val="0"/>
                    <w:spacing w:line="320" w:lineRule="exact"/>
                    <w:jc w:val="center"/>
                    <w:rPr>
                      <w:rFonts w:hint="eastAsia" w:eastAsia="宋体"/>
                      <w:b w:val="0"/>
                      <w:bCs w:val="0"/>
                      <w:szCs w:val="21"/>
                      <w:u w:val="none"/>
                      <w:lang w:eastAsia="zh-CN"/>
                    </w:rPr>
                  </w:pPr>
                  <w:r>
                    <w:rPr>
                      <w:rFonts w:hint="eastAsia"/>
                      <w:b w:val="0"/>
                      <w:bCs w:val="0"/>
                      <w:szCs w:val="21"/>
                      <w:u w:val="none"/>
                      <w:lang w:val="en-US" w:eastAsia="zh-CN"/>
                    </w:rPr>
                    <w:t>厂区内</w:t>
                  </w:r>
                </w:p>
              </w:tc>
              <w:tc>
                <w:tcPr>
                  <w:tcW w:w="693" w:type="dxa"/>
                  <w:vMerge w:val="restart"/>
                  <w:tcBorders>
                    <w:tl2br w:val="nil"/>
                    <w:tr2bl w:val="nil"/>
                  </w:tcBorders>
                  <w:vAlign w:val="center"/>
                </w:tcPr>
                <w:p>
                  <w:pPr>
                    <w:topLinePunct/>
                    <w:adjustRightInd w:val="0"/>
                    <w:snapToGrid w:val="0"/>
                    <w:spacing w:line="320" w:lineRule="exact"/>
                    <w:jc w:val="center"/>
                    <w:rPr>
                      <w:b w:val="0"/>
                      <w:bCs w:val="0"/>
                      <w:szCs w:val="21"/>
                      <w:u w:val="none"/>
                    </w:rPr>
                  </w:pPr>
                  <w:r>
                    <w:rPr>
                      <w:rFonts w:hint="eastAsia"/>
                      <w:b w:val="0"/>
                      <w:bCs w:val="0"/>
                      <w:szCs w:val="21"/>
                      <w:u w:val="none"/>
                      <w:lang w:val="en-US" w:eastAsia="zh-CN"/>
                    </w:rPr>
                    <w:t>6</w:t>
                  </w:r>
                  <w:r>
                    <w:rPr>
                      <w:b w:val="0"/>
                      <w:bCs w:val="0"/>
                      <w:szCs w:val="21"/>
                      <w:u w:val="none"/>
                    </w:rPr>
                    <w:t>m</w:t>
                  </w:r>
                  <w:r>
                    <w:rPr>
                      <w:b w:val="0"/>
                      <w:bCs w:val="0"/>
                      <w:szCs w:val="21"/>
                      <w:u w:val="none"/>
                      <w:vertAlign w:val="superscript"/>
                    </w:rPr>
                    <w:t>2</w:t>
                  </w:r>
                </w:p>
              </w:tc>
              <w:tc>
                <w:tcPr>
                  <w:tcW w:w="936" w:type="dxa"/>
                  <w:vMerge w:val="restart"/>
                  <w:tcBorders>
                    <w:tl2br w:val="nil"/>
                    <w:tr2bl w:val="nil"/>
                  </w:tcBorders>
                  <w:vAlign w:val="center"/>
                </w:tcPr>
                <w:p>
                  <w:pPr>
                    <w:topLinePunct/>
                    <w:adjustRightInd w:val="0"/>
                    <w:snapToGrid w:val="0"/>
                    <w:spacing w:line="320" w:lineRule="exact"/>
                    <w:jc w:val="center"/>
                    <w:rPr>
                      <w:b w:val="0"/>
                      <w:bCs w:val="0"/>
                      <w:szCs w:val="21"/>
                      <w:u w:val="none"/>
                    </w:rPr>
                  </w:pPr>
                  <w:r>
                    <w:rPr>
                      <w:b w:val="0"/>
                      <w:bCs w:val="0"/>
                      <w:szCs w:val="21"/>
                      <w:u w:val="none"/>
                    </w:rPr>
                    <w:t>专用储存容器</w:t>
                  </w:r>
                  <w:r>
                    <w:rPr>
                      <w:rFonts w:hint="eastAsia"/>
                      <w:b w:val="0"/>
                      <w:bCs w:val="0"/>
                      <w:szCs w:val="21"/>
                      <w:u w:val="none"/>
                    </w:rPr>
                    <w:t>，分类放置</w:t>
                  </w:r>
                </w:p>
              </w:tc>
              <w:tc>
                <w:tcPr>
                  <w:tcW w:w="900" w:type="dxa"/>
                  <w:vMerge w:val="restart"/>
                  <w:tcBorders>
                    <w:tl2br w:val="nil"/>
                    <w:tr2bl w:val="nil"/>
                  </w:tcBorders>
                  <w:vAlign w:val="center"/>
                </w:tcPr>
                <w:p>
                  <w:pPr>
                    <w:widowControl/>
                    <w:spacing w:line="320" w:lineRule="exact"/>
                    <w:contextualSpacing/>
                    <w:jc w:val="center"/>
                    <w:rPr>
                      <w:rFonts w:hint="default" w:ascii="Times New Roman" w:hAnsi="Times New Roman" w:eastAsia="宋体" w:cs="Times New Roman"/>
                      <w:kern w:val="2"/>
                      <w:sz w:val="21"/>
                      <w:szCs w:val="21"/>
                      <w:highlight w:val="none"/>
                      <w:lang w:val="en-US" w:eastAsia="zh-CN" w:bidi="ar-SA"/>
                    </w:rPr>
                  </w:pPr>
                  <w:r>
                    <w:rPr>
                      <w:rFonts w:hint="eastAsia" w:eastAsia="宋体"/>
                      <w:b w:val="0"/>
                      <w:bCs w:val="0"/>
                      <w:szCs w:val="21"/>
                      <w:highlight w:val="none"/>
                      <w:u w:val="none"/>
                      <w:lang w:val="en-US" w:eastAsia="zh-CN"/>
                    </w:rPr>
                    <w:t>3t</w:t>
                  </w:r>
                </w:p>
              </w:tc>
              <w:tc>
                <w:tcPr>
                  <w:tcW w:w="880" w:type="dxa"/>
                  <w:tcBorders>
                    <w:tl2br w:val="nil"/>
                    <w:tr2bl w:val="nil"/>
                  </w:tcBorders>
                  <w:vAlign w:val="center"/>
                </w:tcPr>
                <w:p>
                  <w:pPr>
                    <w:jc w:val="center"/>
                    <w:rPr>
                      <w:rFonts w:hint="eastAsia"/>
                      <w:b w:val="0"/>
                      <w:bCs w:val="0"/>
                      <w:szCs w:val="21"/>
                      <w:u w:val="none"/>
                    </w:rPr>
                  </w:pPr>
                  <w:r>
                    <w:rPr>
                      <w:rFonts w:hint="eastAsia"/>
                      <w:b w:val="0"/>
                      <w:bCs w:val="0"/>
                      <w:szCs w:val="21"/>
                      <w:u w:val="none"/>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continue"/>
                  <w:tcBorders>
                    <w:tl2br w:val="nil"/>
                    <w:tr2bl w:val="nil"/>
                  </w:tcBorders>
                  <w:vAlign w:val="center"/>
                </w:tcPr>
                <w:p>
                  <w:pPr>
                    <w:topLinePunct/>
                    <w:adjustRightInd w:val="0"/>
                    <w:snapToGrid w:val="0"/>
                    <w:spacing w:line="320" w:lineRule="exact"/>
                    <w:jc w:val="center"/>
                    <w:rPr>
                      <w:bCs/>
                      <w:szCs w:val="21"/>
                    </w:rPr>
                  </w:pPr>
                </w:p>
              </w:tc>
              <w:tc>
                <w:tcPr>
                  <w:tcW w:w="944" w:type="dxa"/>
                  <w:tcBorders>
                    <w:tl2br w:val="nil"/>
                    <w:tr2bl w:val="nil"/>
                  </w:tcBorders>
                  <w:vAlign w:val="center"/>
                </w:tcPr>
                <w:p>
                  <w:pPr>
                    <w:widowControl/>
                    <w:spacing w:line="320" w:lineRule="exact"/>
                    <w:contextualSpacing/>
                    <w:jc w:val="center"/>
                    <w:rPr>
                      <w:rFonts w:ascii="Times New Roman" w:hAnsi="Times New Roman" w:eastAsia="宋体" w:cs="Times New Roman"/>
                      <w:bCs/>
                      <w:kern w:val="2"/>
                      <w:sz w:val="21"/>
                      <w:szCs w:val="21"/>
                      <w:lang w:val="en-US" w:eastAsia="zh-CN" w:bidi="ar-SA"/>
                    </w:rPr>
                  </w:pPr>
                  <w:r>
                    <w:rPr>
                      <w:rFonts w:hint="eastAsia"/>
                      <w:szCs w:val="21"/>
                    </w:rPr>
                    <w:t>废UV灯管</w:t>
                  </w:r>
                </w:p>
              </w:tc>
              <w:tc>
                <w:tcPr>
                  <w:tcW w:w="800"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bCs/>
                      <w:color w:val="000000"/>
                      <w:kern w:val="2"/>
                      <w:sz w:val="21"/>
                      <w:szCs w:val="21"/>
                      <w:lang w:val="en-US" w:eastAsia="zh-CN" w:bidi="ar-SA"/>
                    </w:rPr>
                  </w:pPr>
                  <w:r>
                    <w:rPr>
                      <w:rFonts w:hint="eastAsia"/>
                      <w:bCs/>
                      <w:color w:val="000000"/>
                      <w:szCs w:val="21"/>
                    </w:rPr>
                    <w:t>HW29</w:t>
                  </w:r>
                </w:p>
              </w:tc>
              <w:tc>
                <w:tcPr>
                  <w:tcW w:w="1220"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900-023-29</w:t>
                  </w:r>
                </w:p>
              </w:tc>
              <w:tc>
                <w:tcPr>
                  <w:tcW w:w="811" w:type="dxa"/>
                  <w:vMerge w:val="continue"/>
                  <w:tcBorders>
                    <w:tl2br w:val="nil"/>
                    <w:tr2bl w:val="nil"/>
                  </w:tcBorders>
                  <w:vAlign w:val="center"/>
                </w:tcPr>
                <w:p>
                  <w:pPr>
                    <w:topLinePunct/>
                    <w:adjustRightInd w:val="0"/>
                    <w:snapToGrid w:val="0"/>
                    <w:spacing w:line="320" w:lineRule="exact"/>
                    <w:jc w:val="center"/>
                    <w:rPr>
                      <w:bCs/>
                      <w:szCs w:val="21"/>
                    </w:rPr>
                  </w:pPr>
                </w:p>
              </w:tc>
              <w:tc>
                <w:tcPr>
                  <w:tcW w:w="693" w:type="dxa"/>
                  <w:vMerge w:val="continue"/>
                  <w:tcBorders>
                    <w:tl2br w:val="nil"/>
                    <w:tr2bl w:val="nil"/>
                  </w:tcBorders>
                  <w:vAlign w:val="center"/>
                </w:tcPr>
                <w:p>
                  <w:pPr>
                    <w:topLinePunct/>
                    <w:adjustRightInd w:val="0"/>
                    <w:snapToGrid w:val="0"/>
                    <w:spacing w:line="320" w:lineRule="exact"/>
                    <w:jc w:val="center"/>
                    <w:rPr>
                      <w:szCs w:val="21"/>
                    </w:rPr>
                  </w:pPr>
                </w:p>
              </w:tc>
              <w:tc>
                <w:tcPr>
                  <w:tcW w:w="936" w:type="dxa"/>
                  <w:vMerge w:val="continue"/>
                  <w:tcBorders>
                    <w:tl2br w:val="nil"/>
                    <w:tr2bl w:val="nil"/>
                  </w:tcBorders>
                  <w:vAlign w:val="center"/>
                </w:tcPr>
                <w:p>
                  <w:pPr>
                    <w:topLinePunct/>
                    <w:adjustRightInd w:val="0"/>
                    <w:snapToGrid w:val="0"/>
                    <w:spacing w:line="320" w:lineRule="exact"/>
                    <w:jc w:val="center"/>
                    <w:rPr>
                      <w:szCs w:val="21"/>
                    </w:rPr>
                  </w:pPr>
                </w:p>
              </w:tc>
              <w:tc>
                <w:tcPr>
                  <w:tcW w:w="900" w:type="dxa"/>
                  <w:vMerge w:val="continue"/>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highlight w:val="none"/>
                      <w:lang w:val="en-US" w:eastAsia="zh-CN" w:bidi="ar-SA"/>
                    </w:rPr>
                  </w:pPr>
                </w:p>
              </w:tc>
              <w:tc>
                <w:tcPr>
                  <w:tcW w:w="880" w:type="dxa"/>
                  <w:tcBorders>
                    <w:tl2br w:val="nil"/>
                    <w:tr2bl w:val="nil"/>
                  </w:tcBorders>
                  <w:vAlign w:val="center"/>
                </w:tcPr>
                <w:p>
                  <w:pPr>
                    <w:jc w:val="center"/>
                    <w:rPr>
                      <w:rFonts w:ascii="Times New Roman" w:hAnsi="Times New Roman" w:eastAsia="宋体" w:cs="Times New Roman"/>
                      <w:bCs/>
                      <w:kern w:val="2"/>
                      <w:sz w:val="21"/>
                      <w:szCs w:val="21"/>
                      <w:lang w:val="en-US" w:eastAsia="zh-CN" w:bidi="ar-SA"/>
                    </w:rPr>
                  </w:pPr>
                  <w:r>
                    <w:rPr>
                      <w:rFonts w:hint="eastAsia"/>
                      <w:szCs w:val="21"/>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continue"/>
                  <w:tcBorders>
                    <w:tl2br w:val="nil"/>
                    <w:tr2bl w:val="nil"/>
                  </w:tcBorders>
                  <w:vAlign w:val="center"/>
                </w:tcPr>
                <w:p>
                  <w:pPr>
                    <w:topLinePunct/>
                    <w:adjustRightInd w:val="0"/>
                    <w:snapToGrid w:val="0"/>
                    <w:spacing w:line="320" w:lineRule="exact"/>
                    <w:jc w:val="center"/>
                    <w:rPr>
                      <w:bCs/>
                      <w:szCs w:val="21"/>
                    </w:rPr>
                  </w:pPr>
                </w:p>
              </w:tc>
              <w:tc>
                <w:tcPr>
                  <w:tcW w:w="944"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废活性炭</w:t>
                  </w:r>
                </w:p>
              </w:tc>
              <w:tc>
                <w:tcPr>
                  <w:tcW w:w="800"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bCs/>
                      <w:color w:val="000000"/>
                      <w:szCs w:val="21"/>
                    </w:rPr>
                    <w:t>HW49</w:t>
                  </w:r>
                </w:p>
              </w:tc>
              <w:tc>
                <w:tcPr>
                  <w:tcW w:w="1220"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900-039-49</w:t>
                  </w:r>
                </w:p>
              </w:tc>
              <w:tc>
                <w:tcPr>
                  <w:tcW w:w="811" w:type="dxa"/>
                  <w:vMerge w:val="continue"/>
                  <w:tcBorders>
                    <w:tl2br w:val="nil"/>
                    <w:tr2bl w:val="nil"/>
                  </w:tcBorders>
                  <w:vAlign w:val="center"/>
                </w:tcPr>
                <w:p>
                  <w:pPr>
                    <w:topLinePunct/>
                    <w:adjustRightInd w:val="0"/>
                    <w:snapToGrid w:val="0"/>
                    <w:spacing w:line="320" w:lineRule="exact"/>
                    <w:jc w:val="center"/>
                    <w:rPr>
                      <w:bCs/>
                      <w:szCs w:val="21"/>
                    </w:rPr>
                  </w:pPr>
                </w:p>
              </w:tc>
              <w:tc>
                <w:tcPr>
                  <w:tcW w:w="693" w:type="dxa"/>
                  <w:vMerge w:val="continue"/>
                  <w:tcBorders>
                    <w:tl2br w:val="nil"/>
                    <w:tr2bl w:val="nil"/>
                  </w:tcBorders>
                  <w:vAlign w:val="center"/>
                </w:tcPr>
                <w:p>
                  <w:pPr>
                    <w:topLinePunct/>
                    <w:adjustRightInd w:val="0"/>
                    <w:snapToGrid w:val="0"/>
                    <w:spacing w:line="320" w:lineRule="exact"/>
                    <w:jc w:val="center"/>
                    <w:rPr>
                      <w:szCs w:val="21"/>
                    </w:rPr>
                  </w:pPr>
                </w:p>
              </w:tc>
              <w:tc>
                <w:tcPr>
                  <w:tcW w:w="936" w:type="dxa"/>
                  <w:vMerge w:val="continue"/>
                  <w:tcBorders>
                    <w:tl2br w:val="nil"/>
                    <w:tr2bl w:val="nil"/>
                  </w:tcBorders>
                  <w:vAlign w:val="center"/>
                </w:tcPr>
                <w:p>
                  <w:pPr>
                    <w:topLinePunct/>
                    <w:adjustRightInd w:val="0"/>
                    <w:snapToGrid w:val="0"/>
                    <w:spacing w:line="320" w:lineRule="exact"/>
                    <w:jc w:val="center"/>
                    <w:rPr>
                      <w:szCs w:val="21"/>
                    </w:rPr>
                  </w:pPr>
                </w:p>
              </w:tc>
              <w:tc>
                <w:tcPr>
                  <w:tcW w:w="900" w:type="dxa"/>
                  <w:vMerge w:val="continue"/>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highlight w:val="none"/>
                      <w:lang w:val="en-US" w:eastAsia="zh-CN" w:bidi="ar-SA"/>
                    </w:rPr>
                  </w:pPr>
                </w:p>
              </w:tc>
              <w:tc>
                <w:tcPr>
                  <w:tcW w:w="880" w:type="dxa"/>
                  <w:tcBorders>
                    <w:tl2br w:val="nil"/>
                    <w:tr2bl w:val="nil"/>
                  </w:tcBorders>
                  <w:vAlign w:val="center"/>
                </w:tcPr>
                <w:p>
                  <w:pPr>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continue"/>
                  <w:tcBorders>
                    <w:tl2br w:val="nil"/>
                    <w:tr2bl w:val="nil"/>
                  </w:tcBorders>
                  <w:vAlign w:val="center"/>
                </w:tcPr>
                <w:p>
                  <w:pPr>
                    <w:topLinePunct/>
                    <w:adjustRightInd w:val="0"/>
                    <w:snapToGrid w:val="0"/>
                    <w:spacing w:line="320" w:lineRule="exact"/>
                    <w:jc w:val="center"/>
                    <w:rPr>
                      <w:bCs/>
                      <w:szCs w:val="21"/>
                    </w:rPr>
                  </w:pPr>
                </w:p>
              </w:tc>
              <w:tc>
                <w:tcPr>
                  <w:tcW w:w="944" w:type="dxa"/>
                  <w:tcBorders>
                    <w:tl2br w:val="nil"/>
                    <w:tr2bl w:val="nil"/>
                  </w:tcBorders>
                  <w:vAlign w:val="center"/>
                </w:tcPr>
                <w:p>
                  <w:pPr>
                    <w:widowControl/>
                    <w:spacing w:line="320" w:lineRule="exact"/>
                    <w:contextualSpacing/>
                    <w:jc w:val="center"/>
                    <w:rPr>
                      <w:rFonts w:hint="eastAsia"/>
                      <w:szCs w:val="21"/>
                    </w:rPr>
                  </w:pPr>
                  <w:r>
                    <w:rPr>
                      <w:rFonts w:hint="eastAsia"/>
                      <w:b w:val="0"/>
                      <w:bCs w:val="0"/>
                      <w:szCs w:val="21"/>
                      <w:u w:val="none"/>
                      <w:lang w:val="en-US" w:eastAsia="zh-CN"/>
                    </w:rPr>
                    <w:t>废油墨桶</w:t>
                  </w:r>
                </w:p>
              </w:tc>
              <w:tc>
                <w:tcPr>
                  <w:tcW w:w="800" w:type="dxa"/>
                  <w:tcBorders>
                    <w:tl2br w:val="nil"/>
                    <w:tr2bl w:val="nil"/>
                  </w:tcBorders>
                  <w:vAlign w:val="center"/>
                </w:tcPr>
                <w:p>
                  <w:pPr>
                    <w:topLinePunct/>
                    <w:adjustRightInd w:val="0"/>
                    <w:snapToGrid w:val="0"/>
                    <w:spacing w:line="320" w:lineRule="exact"/>
                    <w:jc w:val="center"/>
                    <w:rPr>
                      <w:rFonts w:hint="eastAsia"/>
                      <w:bCs/>
                      <w:color w:val="000000"/>
                      <w:szCs w:val="21"/>
                    </w:rPr>
                  </w:pPr>
                  <w:r>
                    <w:rPr>
                      <w:rFonts w:hint="eastAsia"/>
                      <w:b w:val="0"/>
                      <w:bCs w:val="0"/>
                      <w:color w:val="000000"/>
                      <w:szCs w:val="21"/>
                      <w:u w:val="none"/>
                      <w:lang w:val="en-US" w:eastAsia="zh-CN"/>
                    </w:rPr>
                    <w:t>HW49</w:t>
                  </w:r>
                </w:p>
              </w:tc>
              <w:tc>
                <w:tcPr>
                  <w:tcW w:w="1220" w:type="dxa"/>
                  <w:tcBorders>
                    <w:tl2br w:val="nil"/>
                    <w:tr2bl w:val="nil"/>
                  </w:tcBorders>
                  <w:vAlign w:val="center"/>
                </w:tcPr>
                <w:p>
                  <w:pPr>
                    <w:widowControl/>
                    <w:spacing w:line="320" w:lineRule="exact"/>
                    <w:contextualSpacing/>
                    <w:jc w:val="center"/>
                    <w:rPr>
                      <w:rFonts w:hint="eastAsia"/>
                      <w:szCs w:val="21"/>
                    </w:rPr>
                  </w:pPr>
                  <w:r>
                    <w:rPr>
                      <w:rFonts w:hint="eastAsia" w:ascii="Times New Roman" w:hAnsi="Times New Roman" w:eastAsia="宋体" w:cs="Times New Roman"/>
                      <w:b w:val="0"/>
                      <w:bCs w:val="0"/>
                      <w:szCs w:val="21"/>
                      <w:u w:val="none"/>
                    </w:rPr>
                    <w:t>900-041-49</w:t>
                  </w:r>
                </w:p>
              </w:tc>
              <w:tc>
                <w:tcPr>
                  <w:tcW w:w="811" w:type="dxa"/>
                  <w:vMerge w:val="continue"/>
                  <w:tcBorders>
                    <w:tl2br w:val="nil"/>
                    <w:tr2bl w:val="nil"/>
                  </w:tcBorders>
                  <w:vAlign w:val="center"/>
                </w:tcPr>
                <w:p>
                  <w:pPr>
                    <w:topLinePunct/>
                    <w:adjustRightInd w:val="0"/>
                    <w:snapToGrid w:val="0"/>
                    <w:spacing w:line="320" w:lineRule="exact"/>
                    <w:jc w:val="center"/>
                    <w:rPr>
                      <w:bCs/>
                      <w:szCs w:val="21"/>
                    </w:rPr>
                  </w:pPr>
                </w:p>
              </w:tc>
              <w:tc>
                <w:tcPr>
                  <w:tcW w:w="693" w:type="dxa"/>
                  <w:vMerge w:val="continue"/>
                  <w:tcBorders>
                    <w:tl2br w:val="nil"/>
                    <w:tr2bl w:val="nil"/>
                  </w:tcBorders>
                  <w:vAlign w:val="center"/>
                </w:tcPr>
                <w:p>
                  <w:pPr>
                    <w:topLinePunct/>
                    <w:adjustRightInd w:val="0"/>
                    <w:snapToGrid w:val="0"/>
                    <w:spacing w:line="320" w:lineRule="exact"/>
                    <w:jc w:val="center"/>
                    <w:rPr>
                      <w:szCs w:val="21"/>
                    </w:rPr>
                  </w:pPr>
                </w:p>
              </w:tc>
              <w:tc>
                <w:tcPr>
                  <w:tcW w:w="936" w:type="dxa"/>
                  <w:vMerge w:val="continue"/>
                  <w:tcBorders>
                    <w:tl2br w:val="nil"/>
                    <w:tr2bl w:val="nil"/>
                  </w:tcBorders>
                  <w:vAlign w:val="center"/>
                </w:tcPr>
                <w:p>
                  <w:pPr>
                    <w:topLinePunct/>
                    <w:adjustRightInd w:val="0"/>
                    <w:snapToGrid w:val="0"/>
                    <w:spacing w:line="320" w:lineRule="exact"/>
                    <w:jc w:val="center"/>
                    <w:rPr>
                      <w:szCs w:val="21"/>
                    </w:rPr>
                  </w:pPr>
                </w:p>
              </w:tc>
              <w:tc>
                <w:tcPr>
                  <w:tcW w:w="900" w:type="dxa"/>
                  <w:vMerge w:val="continue"/>
                  <w:tcBorders>
                    <w:tl2br w:val="nil"/>
                    <w:tr2bl w:val="nil"/>
                  </w:tcBorders>
                  <w:vAlign w:val="center"/>
                </w:tcPr>
                <w:p>
                  <w:pPr>
                    <w:widowControl/>
                    <w:spacing w:line="320" w:lineRule="exact"/>
                    <w:contextualSpacing/>
                    <w:jc w:val="center"/>
                    <w:rPr>
                      <w:rFonts w:hint="eastAsia"/>
                      <w:b w:val="0"/>
                      <w:bCs w:val="0"/>
                      <w:szCs w:val="21"/>
                      <w:highlight w:val="none"/>
                      <w:u w:val="none"/>
                      <w:lang w:val="en-US" w:eastAsia="zh-CN"/>
                    </w:rPr>
                  </w:pPr>
                </w:p>
              </w:tc>
              <w:tc>
                <w:tcPr>
                  <w:tcW w:w="880"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continue"/>
                  <w:tcBorders>
                    <w:tl2br w:val="nil"/>
                    <w:tr2bl w:val="nil"/>
                  </w:tcBorders>
                  <w:vAlign w:val="center"/>
                </w:tcPr>
                <w:p>
                  <w:pPr>
                    <w:topLinePunct/>
                    <w:adjustRightInd w:val="0"/>
                    <w:snapToGrid w:val="0"/>
                    <w:spacing w:line="320" w:lineRule="exact"/>
                    <w:jc w:val="center"/>
                    <w:rPr>
                      <w:bCs/>
                      <w:szCs w:val="21"/>
                    </w:rPr>
                  </w:pPr>
                </w:p>
              </w:tc>
              <w:tc>
                <w:tcPr>
                  <w:tcW w:w="944" w:type="dxa"/>
                  <w:tcBorders>
                    <w:tl2br w:val="nil"/>
                    <w:tr2bl w:val="nil"/>
                  </w:tcBorders>
                  <w:vAlign w:val="center"/>
                </w:tcPr>
                <w:p>
                  <w:pPr>
                    <w:widowControl/>
                    <w:spacing w:line="320" w:lineRule="exact"/>
                    <w:contextualSpacing/>
                    <w:jc w:val="center"/>
                    <w:rPr>
                      <w:rFonts w:hint="eastAsia"/>
                      <w:b w:val="0"/>
                      <w:bCs w:val="0"/>
                      <w:szCs w:val="21"/>
                      <w:u w:val="none"/>
                      <w:lang w:val="en-US" w:eastAsia="zh-CN"/>
                    </w:rPr>
                  </w:pPr>
                  <w:r>
                    <w:rPr>
                      <w:rFonts w:hint="eastAsia"/>
                      <w:b/>
                      <w:bCs/>
                      <w:szCs w:val="21"/>
                      <w:u w:val="single"/>
                      <w:lang w:val="en-US" w:eastAsia="zh-CN"/>
                    </w:rPr>
                    <w:t>废抹布</w:t>
                  </w:r>
                </w:p>
              </w:tc>
              <w:tc>
                <w:tcPr>
                  <w:tcW w:w="800" w:type="dxa"/>
                  <w:tcBorders>
                    <w:tl2br w:val="nil"/>
                    <w:tr2bl w:val="nil"/>
                  </w:tcBorders>
                  <w:vAlign w:val="center"/>
                </w:tcPr>
                <w:p>
                  <w:pPr>
                    <w:topLinePunct/>
                    <w:adjustRightInd w:val="0"/>
                    <w:snapToGrid w:val="0"/>
                    <w:spacing w:line="320" w:lineRule="exact"/>
                    <w:jc w:val="center"/>
                    <w:rPr>
                      <w:rFonts w:hint="eastAsia"/>
                      <w:b w:val="0"/>
                      <w:bCs w:val="0"/>
                      <w:color w:val="000000"/>
                      <w:szCs w:val="21"/>
                      <w:u w:val="none"/>
                      <w:lang w:val="en-US" w:eastAsia="zh-CN"/>
                    </w:rPr>
                  </w:pPr>
                  <w:r>
                    <w:rPr>
                      <w:rFonts w:hint="eastAsia"/>
                      <w:b/>
                      <w:bCs/>
                      <w:color w:val="000000"/>
                      <w:szCs w:val="21"/>
                      <w:u w:val="single"/>
                      <w:lang w:val="en-US" w:eastAsia="zh-CN"/>
                    </w:rPr>
                    <w:t>HW49</w:t>
                  </w:r>
                </w:p>
              </w:tc>
              <w:tc>
                <w:tcPr>
                  <w:tcW w:w="1220"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val="0"/>
                      <w:bCs w:val="0"/>
                      <w:szCs w:val="21"/>
                      <w:u w:val="none"/>
                    </w:rPr>
                  </w:pPr>
                  <w:r>
                    <w:rPr>
                      <w:rFonts w:hint="eastAsia" w:ascii="Times New Roman" w:hAnsi="Times New Roman" w:eastAsia="宋体" w:cs="Times New Roman"/>
                      <w:b/>
                      <w:bCs/>
                      <w:szCs w:val="21"/>
                      <w:u w:val="single"/>
                    </w:rPr>
                    <w:t>900-041-49</w:t>
                  </w:r>
                </w:p>
              </w:tc>
              <w:tc>
                <w:tcPr>
                  <w:tcW w:w="811" w:type="dxa"/>
                  <w:vMerge w:val="continue"/>
                  <w:tcBorders>
                    <w:tl2br w:val="nil"/>
                    <w:tr2bl w:val="nil"/>
                  </w:tcBorders>
                  <w:vAlign w:val="center"/>
                </w:tcPr>
                <w:p>
                  <w:pPr>
                    <w:topLinePunct/>
                    <w:adjustRightInd w:val="0"/>
                    <w:snapToGrid w:val="0"/>
                    <w:spacing w:line="320" w:lineRule="exact"/>
                    <w:jc w:val="center"/>
                    <w:rPr>
                      <w:bCs/>
                      <w:szCs w:val="21"/>
                    </w:rPr>
                  </w:pPr>
                </w:p>
              </w:tc>
              <w:tc>
                <w:tcPr>
                  <w:tcW w:w="693" w:type="dxa"/>
                  <w:vMerge w:val="continue"/>
                  <w:tcBorders>
                    <w:tl2br w:val="nil"/>
                    <w:tr2bl w:val="nil"/>
                  </w:tcBorders>
                  <w:vAlign w:val="center"/>
                </w:tcPr>
                <w:p>
                  <w:pPr>
                    <w:topLinePunct/>
                    <w:adjustRightInd w:val="0"/>
                    <w:snapToGrid w:val="0"/>
                    <w:spacing w:line="320" w:lineRule="exact"/>
                    <w:jc w:val="center"/>
                    <w:rPr>
                      <w:szCs w:val="21"/>
                    </w:rPr>
                  </w:pPr>
                </w:p>
              </w:tc>
              <w:tc>
                <w:tcPr>
                  <w:tcW w:w="936" w:type="dxa"/>
                  <w:vMerge w:val="continue"/>
                  <w:tcBorders>
                    <w:tl2br w:val="nil"/>
                    <w:tr2bl w:val="nil"/>
                  </w:tcBorders>
                  <w:vAlign w:val="center"/>
                </w:tcPr>
                <w:p>
                  <w:pPr>
                    <w:topLinePunct/>
                    <w:adjustRightInd w:val="0"/>
                    <w:snapToGrid w:val="0"/>
                    <w:spacing w:line="320" w:lineRule="exact"/>
                    <w:jc w:val="center"/>
                    <w:rPr>
                      <w:szCs w:val="21"/>
                    </w:rPr>
                  </w:pPr>
                </w:p>
              </w:tc>
              <w:tc>
                <w:tcPr>
                  <w:tcW w:w="900" w:type="dxa"/>
                  <w:vMerge w:val="continue"/>
                  <w:tcBorders>
                    <w:tl2br w:val="nil"/>
                    <w:tr2bl w:val="nil"/>
                  </w:tcBorders>
                  <w:vAlign w:val="center"/>
                </w:tcPr>
                <w:p>
                  <w:pPr>
                    <w:widowControl/>
                    <w:spacing w:line="320" w:lineRule="exact"/>
                    <w:contextualSpacing/>
                    <w:jc w:val="center"/>
                    <w:rPr>
                      <w:rFonts w:hint="eastAsia"/>
                      <w:b w:val="0"/>
                      <w:bCs w:val="0"/>
                      <w:szCs w:val="21"/>
                      <w:highlight w:val="none"/>
                      <w:u w:val="none"/>
                      <w:lang w:val="en-US" w:eastAsia="zh-CN"/>
                    </w:rPr>
                  </w:pPr>
                </w:p>
              </w:tc>
              <w:tc>
                <w:tcPr>
                  <w:tcW w:w="880" w:type="dxa"/>
                  <w:tcBorders>
                    <w:tl2br w:val="nil"/>
                    <w:tr2bl w:val="nil"/>
                  </w:tcBorders>
                  <w:vAlign w:val="center"/>
                </w:tcPr>
                <w:p>
                  <w:pPr>
                    <w:jc w:val="center"/>
                    <w:rPr>
                      <w:rFonts w:hint="default"/>
                      <w:szCs w:val="21"/>
                      <w:lang w:val="en-US" w:eastAsia="zh-CN"/>
                    </w:rPr>
                  </w:pPr>
                  <w:r>
                    <w:rPr>
                      <w:rFonts w:hint="eastAsia"/>
                      <w:b/>
                      <w:bCs/>
                      <w:szCs w:val="21"/>
                      <w:u w:val="single"/>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2" w:type="dxa"/>
                  <w:vMerge w:val="continue"/>
                  <w:tcBorders>
                    <w:tl2br w:val="nil"/>
                    <w:tr2bl w:val="nil"/>
                  </w:tcBorders>
                  <w:vAlign w:val="center"/>
                </w:tcPr>
                <w:p>
                  <w:pPr>
                    <w:topLinePunct/>
                    <w:adjustRightInd w:val="0"/>
                    <w:snapToGrid w:val="0"/>
                    <w:spacing w:line="320" w:lineRule="exact"/>
                    <w:jc w:val="center"/>
                    <w:rPr>
                      <w:bCs/>
                      <w:szCs w:val="21"/>
                    </w:rPr>
                  </w:pPr>
                </w:p>
              </w:tc>
              <w:tc>
                <w:tcPr>
                  <w:tcW w:w="944" w:type="dxa"/>
                  <w:tcBorders>
                    <w:tl2br w:val="nil"/>
                    <w:tr2bl w:val="nil"/>
                  </w:tcBorders>
                  <w:vAlign w:val="center"/>
                </w:tcPr>
                <w:p>
                  <w:pPr>
                    <w:widowControl/>
                    <w:spacing w:line="320" w:lineRule="exact"/>
                    <w:contextualSpacing/>
                    <w:jc w:val="center"/>
                    <w:rPr>
                      <w:rFonts w:hint="eastAsia"/>
                      <w:b/>
                      <w:bCs/>
                      <w:szCs w:val="21"/>
                      <w:u w:val="single"/>
                      <w:lang w:val="en-US" w:eastAsia="zh-CN"/>
                    </w:rPr>
                  </w:pPr>
                  <w:r>
                    <w:rPr>
                      <w:rFonts w:hint="eastAsia"/>
                      <w:b/>
                      <w:bCs/>
                      <w:szCs w:val="21"/>
                      <w:u w:val="single"/>
                      <w:lang w:val="en-US" w:eastAsia="zh-CN"/>
                    </w:rPr>
                    <w:t>废热转印商标纸</w:t>
                  </w:r>
                </w:p>
              </w:tc>
              <w:tc>
                <w:tcPr>
                  <w:tcW w:w="800" w:type="dxa"/>
                  <w:tcBorders>
                    <w:tl2br w:val="nil"/>
                    <w:tr2bl w:val="nil"/>
                  </w:tcBorders>
                  <w:vAlign w:val="center"/>
                </w:tcPr>
                <w:p>
                  <w:pPr>
                    <w:topLinePunct/>
                    <w:adjustRightInd w:val="0"/>
                    <w:snapToGrid w:val="0"/>
                    <w:spacing w:line="320" w:lineRule="exact"/>
                    <w:jc w:val="center"/>
                    <w:rPr>
                      <w:rFonts w:hint="eastAsia"/>
                      <w:b/>
                      <w:bCs/>
                      <w:color w:val="000000"/>
                      <w:szCs w:val="21"/>
                      <w:u w:val="single"/>
                      <w:lang w:val="en-US" w:eastAsia="zh-CN"/>
                    </w:rPr>
                  </w:pPr>
                  <w:r>
                    <w:rPr>
                      <w:rFonts w:hint="eastAsia"/>
                      <w:b/>
                      <w:bCs/>
                      <w:color w:val="000000"/>
                      <w:szCs w:val="21"/>
                      <w:u w:val="single"/>
                      <w:lang w:val="en-US" w:eastAsia="zh-CN"/>
                    </w:rPr>
                    <w:t>HW49</w:t>
                  </w:r>
                </w:p>
              </w:tc>
              <w:tc>
                <w:tcPr>
                  <w:tcW w:w="1220"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900-041-49</w:t>
                  </w:r>
                </w:p>
              </w:tc>
              <w:tc>
                <w:tcPr>
                  <w:tcW w:w="811" w:type="dxa"/>
                  <w:vMerge w:val="continue"/>
                  <w:tcBorders>
                    <w:tl2br w:val="nil"/>
                    <w:tr2bl w:val="nil"/>
                  </w:tcBorders>
                  <w:vAlign w:val="center"/>
                </w:tcPr>
                <w:p>
                  <w:pPr>
                    <w:topLinePunct/>
                    <w:adjustRightInd w:val="0"/>
                    <w:snapToGrid w:val="0"/>
                    <w:spacing w:line="320" w:lineRule="exact"/>
                    <w:jc w:val="center"/>
                    <w:rPr>
                      <w:bCs/>
                      <w:szCs w:val="21"/>
                    </w:rPr>
                  </w:pPr>
                </w:p>
              </w:tc>
              <w:tc>
                <w:tcPr>
                  <w:tcW w:w="693" w:type="dxa"/>
                  <w:vMerge w:val="continue"/>
                  <w:tcBorders>
                    <w:tl2br w:val="nil"/>
                    <w:tr2bl w:val="nil"/>
                  </w:tcBorders>
                  <w:vAlign w:val="center"/>
                </w:tcPr>
                <w:p>
                  <w:pPr>
                    <w:topLinePunct/>
                    <w:adjustRightInd w:val="0"/>
                    <w:snapToGrid w:val="0"/>
                    <w:spacing w:line="320" w:lineRule="exact"/>
                    <w:jc w:val="center"/>
                    <w:rPr>
                      <w:szCs w:val="21"/>
                    </w:rPr>
                  </w:pPr>
                </w:p>
              </w:tc>
              <w:tc>
                <w:tcPr>
                  <w:tcW w:w="936" w:type="dxa"/>
                  <w:vMerge w:val="continue"/>
                  <w:tcBorders>
                    <w:tl2br w:val="nil"/>
                    <w:tr2bl w:val="nil"/>
                  </w:tcBorders>
                  <w:vAlign w:val="center"/>
                </w:tcPr>
                <w:p>
                  <w:pPr>
                    <w:topLinePunct/>
                    <w:adjustRightInd w:val="0"/>
                    <w:snapToGrid w:val="0"/>
                    <w:spacing w:line="320" w:lineRule="exact"/>
                    <w:jc w:val="center"/>
                    <w:rPr>
                      <w:szCs w:val="21"/>
                    </w:rPr>
                  </w:pPr>
                </w:p>
              </w:tc>
              <w:tc>
                <w:tcPr>
                  <w:tcW w:w="900" w:type="dxa"/>
                  <w:vMerge w:val="continue"/>
                  <w:tcBorders>
                    <w:tl2br w:val="nil"/>
                    <w:tr2bl w:val="nil"/>
                  </w:tcBorders>
                  <w:vAlign w:val="center"/>
                </w:tcPr>
                <w:p>
                  <w:pPr>
                    <w:widowControl/>
                    <w:spacing w:line="320" w:lineRule="exact"/>
                    <w:contextualSpacing/>
                    <w:jc w:val="center"/>
                    <w:rPr>
                      <w:rFonts w:hint="eastAsia"/>
                      <w:b w:val="0"/>
                      <w:bCs w:val="0"/>
                      <w:szCs w:val="21"/>
                      <w:highlight w:val="none"/>
                      <w:u w:val="none"/>
                      <w:lang w:val="en-US" w:eastAsia="zh-CN"/>
                    </w:rPr>
                  </w:pPr>
                </w:p>
              </w:tc>
              <w:tc>
                <w:tcPr>
                  <w:tcW w:w="880" w:type="dxa"/>
                  <w:tcBorders>
                    <w:tl2br w:val="nil"/>
                    <w:tr2bl w:val="nil"/>
                  </w:tcBorders>
                  <w:vAlign w:val="center"/>
                </w:tcPr>
                <w:p>
                  <w:pPr>
                    <w:jc w:val="center"/>
                    <w:rPr>
                      <w:rFonts w:hint="default"/>
                      <w:b/>
                      <w:bCs/>
                      <w:szCs w:val="21"/>
                      <w:u w:val="single"/>
                      <w:lang w:val="en-US" w:eastAsia="zh-CN"/>
                    </w:rPr>
                  </w:pPr>
                  <w:r>
                    <w:rPr>
                      <w:rFonts w:hint="eastAsia"/>
                      <w:b/>
                      <w:bCs/>
                      <w:szCs w:val="21"/>
                      <w:u w:val="single"/>
                      <w:lang w:val="en-US" w:eastAsia="zh-CN"/>
                    </w:rPr>
                    <w:t>6个月</w:t>
                  </w:r>
                </w:p>
              </w:tc>
            </w:tr>
          </w:tbl>
          <w:p>
            <w:pPr>
              <w:widowControl/>
              <w:snapToGrid w:val="0"/>
              <w:spacing w:line="400" w:lineRule="exact"/>
              <w:ind w:firstLine="482" w:firstLineChars="200"/>
              <w:rPr>
                <w:b/>
                <w:bCs/>
                <w:sz w:val="24"/>
              </w:rPr>
            </w:pPr>
            <w:r>
              <w:rPr>
                <w:b/>
                <w:bCs/>
                <w:sz w:val="24"/>
              </w:rPr>
              <w:t>表</w:t>
            </w:r>
            <w:r>
              <w:rPr>
                <w:rFonts w:hint="eastAsia"/>
                <w:b/>
                <w:bCs/>
                <w:sz w:val="24"/>
                <w:lang w:val="en-US" w:eastAsia="zh-CN"/>
              </w:rPr>
              <w:t xml:space="preserve">27 </w:t>
            </w:r>
            <w:r>
              <w:rPr>
                <w:b/>
                <w:bCs/>
                <w:sz w:val="24"/>
              </w:rPr>
              <w:t xml:space="preserve">           本项目固体废物鉴别及处置一览表</w:t>
            </w:r>
          </w:p>
          <w:tbl>
            <w:tblPr>
              <w:tblStyle w:val="2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303"/>
              <w:gridCol w:w="1022"/>
              <w:gridCol w:w="1522"/>
              <w:gridCol w:w="1110"/>
              <w:gridCol w:w="126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1" w:type="dxa"/>
                  <w:tcBorders>
                    <w:tl2br w:val="nil"/>
                    <w:tr2bl w:val="nil"/>
                  </w:tcBorders>
                  <w:vAlign w:val="center"/>
                </w:tcPr>
                <w:p>
                  <w:pPr>
                    <w:widowControl/>
                    <w:spacing w:line="320" w:lineRule="exact"/>
                    <w:contextualSpacing/>
                    <w:jc w:val="center"/>
                    <w:rPr>
                      <w:szCs w:val="21"/>
                    </w:rPr>
                  </w:pPr>
                  <w:r>
                    <w:rPr>
                      <w:szCs w:val="21"/>
                    </w:rPr>
                    <w:t>序号</w:t>
                  </w:r>
                </w:p>
              </w:tc>
              <w:tc>
                <w:tcPr>
                  <w:tcW w:w="1303" w:type="dxa"/>
                  <w:tcBorders>
                    <w:tl2br w:val="nil"/>
                    <w:tr2bl w:val="nil"/>
                  </w:tcBorders>
                  <w:vAlign w:val="center"/>
                </w:tcPr>
                <w:p>
                  <w:pPr>
                    <w:widowControl/>
                    <w:spacing w:line="320" w:lineRule="exact"/>
                    <w:contextualSpacing/>
                    <w:jc w:val="center"/>
                    <w:rPr>
                      <w:szCs w:val="21"/>
                    </w:rPr>
                  </w:pPr>
                  <w:r>
                    <w:rPr>
                      <w:szCs w:val="21"/>
                    </w:rPr>
                    <w:t>主要成分</w:t>
                  </w:r>
                </w:p>
              </w:tc>
              <w:tc>
                <w:tcPr>
                  <w:tcW w:w="1022" w:type="dxa"/>
                  <w:tcBorders>
                    <w:tl2br w:val="nil"/>
                    <w:tr2bl w:val="nil"/>
                  </w:tcBorders>
                  <w:vAlign w:val="center"/>
                </w:tcPr>
                <w:p>
                  <w:pPr>
                    <w:widowControl/>
                    <w:spacing w:line="320" w:lineRule="exact"/>
                    <w:contextualSpacing/>
                    <w:jc w:val="center"/>
                    <w:rPr>
                      <w:szCs w:val="21"/>
                    </w:rPr>
                  </w:pPr>
                  <w:r>
                    <w:rPr>
                      <w:szCs w:val="21"/>
                    </w:rPr>
                    <w:t>数量</w:t>
                  </w:r>
                </w:p>
              </w:tc>
              <w:tc>
                <w:tcPr>
                  <w:tcW w:w="1522" w:type="dxa"/>
                  <w:tcBorders>
                    <w:tl2br w:val="nil"/>
                    <w:tr2bl w:val="nil"/>
                  </w:tcBorders>
                  <w:vAlign w:val="center"/>
                </w:tcPr>
                <w:p>
                  <w:pPr>
                    <w:widowControl/>
                    <w:spacing w:line="320" w:lineRule="exact"/>
                    <w:contextualSpacing/>
                    <w:jc w:val="center"/>
                    <w:rPr>
                      <w:szCs w:val="21"/>
                    </w:rPr>
                  </w:pPr>
                  <w:r>
                    <w:rPr>
                      <w:rFonts w:hint="eastAsia"/>
                      <w:szCs w:val="21"/>
                    </w:rPr>
                    <w:t>固体</w:t>
                  </w:r>
                  <w:r>
                    <w:rPr>
                      <w:szCs w:val="21"/>
                    </w:rPr>
                    <w:t>废物编号</w:t>
                  </w:r>
                </w:p>
              </w:tc>
              <w:tc>
                <w:tcPr>
                  <w:tcW w:w="1110" w:type="dxa"/>
                  <w:tcBorders>
                    <w:tl2br w:val="nil"/>
                    <w:tr2bl w:val="nil"/>
                  </w:tcBorders>
                  <w:vAlign w:val="center"/>
                </w:tcPr>
                <w:p>
                  <w:pPr>
                    <w:widowControl/>
                    <w:spacing w:line="320" w:lineRule="exact"/>
                    <w:contextualSpacing/>
                    <w:jc w:val="center"/>
                    <w:rPr>
                      <w:szCs w:val="21"/>
                    </w:rPr>
                  </w:pPr>
                  <w:r>
                    <w:rPr>
                      <w:szCs w:val="21"/>
                    </w:rPr>
                    <w:t>危险废物类别</w:t>
                  </w:r>
                </w:p>
              </w:tc>
              <w:tc>
                <w:tcPr>
                  <w:tcW w:w="1264" w:type="dxa"/>
                  <w:tcBorders>
                    <w:tl2br w:val="nil"/>
                    <w:tr2bl w:val="nil"/>
                  </w:tcBorders>
                  <w:vAlign w:val="center"/>
                </w:tcPr>
                <w:p>
                  <w:pPr>
                    <w:widowControl/>
                    <w:spacing w:line="320" w:lineRule="exact"/>
                    <w:contextualSpacing/>
                    <w:jc w:val="center"/>
                    <w:rPr>
                      <w:szCs w:val="21"/>
                    </w:rPr>
                  </w:pPr>
                  <w:r>
                    <w:rPr>
                      <w:szCs w:val="21"/>
                    </w:rPr>
                    <w:t>固体废物</w:t>
                  </w:r>
                </w:p>
                <w:p>
                  <w:pPr>
                    <w:widowControl/>
                    <w:spacing w:line="320" w:lineRule="exact"/>
                    <w:contextualSpacing/>
                    <w:jc w:val="center"/>
                    <w:rPr>
                      <w:szCs w:val="21"/>
                    </w:rPr>
                  </w:pPr>
                  <w:r>
                    <w:rPr>
                      <w:szCs w:val="21"/>
                    </w:rPr>
                    <w:t>类别</w:t>
                  </w:r>
                </w:p>
              </w:tc>
              <w:tc>
                <w:tcPr>
                  <w:tcW w:w="1599" w:type="dxa"/>
                  <w:tcBorders>
                    <w:tl2br w:val="nil"/>
                    <w:tr2bl w:val="nil"/>
                  </w:tcBorders>
                  <w:vAlign w:val="center"/>
                </w:tcPr>
                <w:p>
                  <w:pPr>
                    <w:widowControl/>
                    <w:spacing w:line="320" w:lineRule="exact"/>
                    <w:contextualSpacing/>
                    <w:jc w:val="center"/>
                    <w:rPr>
                      <w:szCs w:val="21"/>
                    </w:rPr>
                  </w:pPr>
                  <w:r>
                    <w:rPr>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Borders>
                    <w:tl2br w:val="nil"/>
                    <w:tr2bl w:val="nil"/>
                  </w:tcBorders>
                  <w:vAlign w:val="center"/>
                </w:tcPr>
                <w:p>
                  <w:pPr>
                    <w:widowControl/>
                    <w:spacing w:line="320" w:lineRule="exact"/>
                    <w:contextualSpacing/>
                    <w:jc w:val="center"/>
                    <w:rPr>
                      <w:szCs w:val="21"/>
                    </w:rPr>
                  </w:pPr>
                  <w:r>
                    <w:rPr>
                      <w:szCs w:val="21"/>
                    </w:rPr>
                    <w:t>1</w:t>
                  </w:r>
                </w:p>
              </w:tc>
              <w:tc>
                <w:tcPr>
                  <w:tcW w:w="1303" w:type="dxa"/>
                  <w:tcBorders>
                    <w:tl2br w:val="nil"/>
                    <w:tr2bl w:val="nil"/>
                  </w:tcBorders>
                  <w:vAlign w:val="center"/>
                </w:tcPr>
                <w:p>
                  <w:pPr>
                    <w:widowControl/>
                    <w:spacing w:line="320" w:lineRule="exact"/>
                    <w:contextualSpacing/>
                    <w:jc w:val="center"/>
                    <w:rPr>
                      <w:szCs w:val="21"/>
                    </w:rPr>
                  </w:pPr>
                  <w:r>
                    <w:rPr>
                      <w:szCs w:val="21"/>
                    </w:rPr>
                    <w:t>生活垃圾</w:t>
                  </w:r>
                </w:p>
              </w:tc>
              <w:tc>
                <w:tcPr>
                  <w:tcW w:w="1022" w:type="dxa"/>
                  <w:tcBorders>
                    <w:tl2br w:val="nil"/>
                    <w:tr2bl w:val="nil"/>
                  </w:tcBorders>
                  <w:vAlign w:val="center"/>
                </w:tcPr>
                <w:p>
                  <w:pPr>
                    <w:widowControl/>
                    <w:spacing w:line="320" w:lineRule="exact"/>
                    <w:contextualSpacing/>
                    <w:jc w:val="center"/>
                    <w:rPr>
                      <w:szCs w:val="21"/>
                      <w:highlight w:val="none"/>
                    </w:rPr>
                  </w:pPr>
                  <w:r>
                    <w:rPr>
                      <w:rFonts w:hint="eastAsia"/>
                      <w:szCs w:val="21"/>
                      <w:highlight w:val="none"/>
                      <w:lang w:val="en-US" w:eastAsia="zh-CN"/>
                    </w:rPr>
                    <w:t>3.45</w:t>
                  </w:r>
                  <w:r>
                    <w:rPr>
                      <w:szCs w:val="21"/>
                      <w:highlight w:val="none"/>
                    </w:rPr>
                    <w:t>/a</w:t>
                  </w:r>
                </w:p>
              </w:tc>
              <w:tc>
                <w:tcPr>
                  <w:tcW w:w="1522" w:type="dxa"/>
                  <w:tcBorders>
                    <w:tl2br w:val="nil"/>
                    <w:tr2bl w:val="nil"/>
                  </w:tcBorders>
                  <w:vAlign w:val="center"/>
                </w:tcPr>
                <w:p>
                  <w:pPr>
                    <w:widowControl/>
                    <w:spacing w:line="320" w:lineRule="exact"/>
                    <w:contextualSpacing/>
                    <w:jc w:val="center"/>
                    <w:rPr>
                      <w:szCs w:val="21"/>
                      <w:highlight w:val="yellow"/>
                    </w:rPr>
                  </w:pPr>
                  <w:r>
                    <w:rPr>
                      <w:szCs w:val="21"/>
                    </w:rPr>
                    <w:t>/</w:t>
                  </w:r>
                </w:p>
              </w:tc>
              <w:tc>
                <w:tcPr>
                  <w:tcW w:w="1110" w:type="dxa"/>
                  <w:tcBorders>
                    <w:tl2br w:val="nil"/>
                    <w:tr2bl w:val="nil"/>
                  </w:tcBorders>
                  <w:vAlign w:val="center"/>
                </w:tcPr>
                <w:p>
                  <w:pPr>
                    <w:widowControl/>
                    <w:spacing w:line="320" w:lineRule="exact"/>
                    <w:contextualSpacing/>
                    <w:jc w:val="center"/>
                    <w:rPr>
                      <w:szCs w:val="21"/>
                    </w:rPr>
                  </w:pPr>
                  <w:r>
                    <w:rPr>
                      <w:szCs w:val="21"/>
                    </w:rPr>
                    <w:t>/</w:t>
                  </w:r>
                </w:p>
              </w:tc>
              <w:tc>
                <w:tcPr>
                  <w:tcW w:w="1264" w:type="dxa"/>
                  <w:tcBorders>
                    <w:tl2br w:val="nil"/>
                    <w:tr2bl w:val="nil"/>
                  </w:tcBorders>
                  <w:vAlign w:val="center"/>
                </w:tcPr>
                <w:p>
                  <w:pPr>
                    <w:widowControl/>
                    <w:spacing w:line="320" w:lineRule="exact"/>
                    <w:contextualSpacing/>
                    <w:jc w:val="center"/>
                    <w:rPr>
                      <w:szCs w:val="21"/>
                    </w:rPr>
                  </w:pPr>
                  <w:r>
                    <w:rPr>
                      <w:szCs w:val="21"/>
                    </w:rPr>
                    <w:t>一般固废</w:t>
                  </w:r>
                </w:p>
              </w:tc>
              <w:tc>
                <w:tcPr>
                  <w:tcW w:w="1599" w:type="dxa"/>
                  <w:tcBorders>
                    <w:tl2br w:val="nil"/>
                    <w:tr2bl w:val="nil"/>
                  </w:tcBorders>
                  <w:vAlign w:val="center"/>
                </w:tcPr>
                <w:p>
                  <w:pPr>
                    <w:widowControl/>
                    <w:spacing w:line="320" w:lineRule="exact"/>
                    <w:contextualSpacing/>
                    <w:jc w:val="center"/>
                    <w:rPr>
                      <w:szCs w:val="21"/>
                    </w:rPr>
                  </w:pPr>
                  <w:r>
                    <w:rPr>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1" w:type="dxa"/>
                  <w:tcBorders>
                    <w:tl2br w:val="nil"/>
                    <w:tr2bl w:val="nil"/>
                  </w:tcBorders>
                  <w:vAlign w:val="center"/>
                </w:tcPr>
                <w:p>
                  <w:pPr>
                    <w:widowControl/>
                    <w:spacing w:line="320" w:lineRule="exact"/>
                    <w:contextualSpacing/>
                    <w:jc w:val="center"/>
                    <w:rPr>
                      <w:szCs w:val="21"/>
                    </w:rPr>
                  </w:pPr>
                  <w:r>
                    <w:rPr>
                      <w:rFonts w:hint="eastAsia"/>
                      <w:szCs w:val="21"/>
                    </w:rPr>
                    <w:t>2</w:t>
                  </w:r>
                </w:p>
              </w:tc>
              <w:tc>
                <w:tcPr>
                  <w:tcW w:w="1303"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废包装袋</w:t>
                  </w:r>
                </w:p>
              </w:tc>
              <w:tc>
                <w:tcPr>
                  <w:tcW w:w="1022" w:type="dxa"/>
                  <w:tcBorders>
                    <w:tl2br w:val="nil"/>
                    <w:tr2bl w:val="nil"/>
                  </w:tcBorders>
                  <w:vAlign w:val="center"/>
                </w:tcPr>
                <w:p>
                  <w:pPr>
                    <w:widowControl/>
                    <w:spacing w:line="320" w:lineRule="exact"/>
                    <w:contextualSpacing/>
                    <w:jc w:val="center"/>
                    <w:rPr>
                      <w:szCs w:val="21"/>
                      <w:highlight w:val="none"/>
                    </w:rPr>
                  </w:pPr>
                  <w:r>
                    <w:rPr>
                      <w:rFonts w:hint="eastAsia"/>
                      <w:szCs w:val="21"/>
                      <w:highlight w:val="none"/>
                      <w:lang w:val="en-US" w:eastAsia="zh-CN"/>
                    </w:rPr>
                    <w:t>0.4</w:t>
                  </w:r>
                  <w:r>
                    <w:rPr>
                      <w:rFonts w:hint="eastAsia"/>
                      <w:szCs w:val="21"/>
                      <w:highlight w:val="none"/>
                    </w:rPr>
                    <w:t>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195</w:t>
                  </w:r>
                  <w:r>
                    <w:rPr>
                      <w:rFonts w:hint="eastAsia" w:ascii="Times New Roman" w:hAnsi="Times New Roman" w:eastAsia="宋体" w:cs="Times New Roman"/>
                      <w:szCs w:val="21"/>
                    </w:rPr>
                    <w:t>-00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-0</w:t>
                  </w:r>
                  <w:r>
                    <w:rPr>
                      <w:rFonts w:hint="eastAsia" w:ascii="Times New Roman" w:hAnsi="Times New Roman" w:eastAsia="宋体" w:cs="Times New Roman"/>
                      <w:szCs w:val="21"/>
                      <w:lang w:val="en-US" w:eastAsia="zh-CN"/>
                    </w:rPr>
                    <w:t>7</w:t>
                  </w:r>
                </w:p>
              </w:tc>
              <w:tc>
                <w:tcPr>
                  <w:tcW w:w="1110" w:type="dxa"/>
                  <w:tcBorders>
                    <w:tl2br w:val="nil"/>
                    <w:tr2bl w:val="nil"/>
                  </w:tcBorders>
                  <w:vAlign w:val="center"/>
                </w:tcPr>
                <w:p>
                  <w:pPr>
                    <w:widowControl/>
                    <w:spacing w:line="320" w:lineRule="exact"/>
                    <w:contextualSpacing/>
                    <w:jc w:val="center"/>
                    <w:rPr>
                      <w:szCs w:val="21"/>
                    </w:rPr>
                  </w:pPr>
                  <w:r>
                    <w:rPr>
                      <w:rFonts w:hint="eastAsia"/>
                      <w:szCs w:val="21"/>
                    </w:rPr>
                    <w:t>/</w:t>
                  </w:r>
                </w:p>
              </w:tc>
              <w:tc>
                <w:tcPr>
                  <w:tcW w:w="1264" w:type="dxa"/>
                  <w:vMerge w:val="restart"/>
                  <w:tcBorders>
                    <w:tl2br w:val="nil"/>
                    <w:tr2bl w:val="nil"/>
                  </w:tcBorders>
                  <w:vAlign w:val="center"/>
                </w:tcPr>
                <w:p>
                  <w:pPr>
                    <w:widowControl/>
                    <w:spacing w:line="320" w:lineRule="exact"/>
                    <w:contextualSpacing/>
                    <w:jc w:val="center"/>
                    <w:rPr>
                      <w:szCs w:val="21"/>
                    </w:rPr>
                  </w:pPr>
                  <w:r>
                    <w:rPr>
                      <w:szCs w:val="21"/>
                    </w:rPr>
                    <w:t>一般固废</w:t>
                  </w:r>
                </w:p>
              </w:tc>
              <w:tc>
                <w:tcPr>
                  <w:tcW w:w="1599" w:type="dxa"/>
                  <w:vMerge w:val="restart"/>
                  <w:tcBorders>
                    <w:tl2br w:val="nil"/>
                    <w:tr2bl w:val="nil"/>
                  </w:tcBorders>
                  <w:vAlign w:val="center"/>
                </w:tcPr>
                <w:p>
                  <w:pPr>
                    <w:widowControl/>
                    <w:spacing w:line="320" w:lineRule="exact"/>
                    <w:contextualSpacing/>
                    <w:jc w:val="center"/>
                    <w:rPr>
                      <w:szCs w:val="21"/>
                    </w:rPr>
                  </w:pPr>
                  <w:r>
                    <w:rPr>
                      <w:rFonts w:hint="eastAsia"/>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1" w:type="dxa"/>
                  <w:tcBorders>
                    <w:tl2br w:val="nil"/>
                    <w:tr2bl w:val="nil"/>
                  </w:tcBorders>
                  <w:vAlign w:val="center"/>
                </w:tcPr>
                <w:p>
                  <w:pPr>
                    <w:widowControl/>
                    <w:spacing w:line="320" w:lineRule="exact"/>
                    <w:contextualSpacing/>
                    <w:jc w:val="center"/>
                    <w:rPr>
                      <w:szCs w:val="21"/>
                    </w:rPr>
                  </w:pPr>
                  <w:r>
                    <w:rPr>
                      <w:rFonts w:hint="eastAsia"/>
                      <w:szCs w:val="21"/>
                    </w:rPr>
                    <w:t>3</w:t>
                  </w:r>
                </w:p>
              </w:tc>
              <w:tc>
                <w:tcPr>
                  <w:tcW w:w="1303"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废布边角料</w:t>
                  </w:r>
                </w:p>
              </w:tc>
              <w:tc>
                <w:tcPr>
                  <w:tcW w:w="1022" w:type="dxa"/>
                  <w:tcBorders>
                    <w:tl2br w:val="nil"/>
                    <w:tr2bl w:val="nil"/>
                  </w:tcBorders>
                  <w:vAlign w:val="center"/>
                </w:tcPr>
                <w:p>
                  <w:pPr>
                    <w:widowControl/>
                    <w:spacing w:line="320" w:lineRule="exact"/>
                    <w:contextualSpacing/>
                    <w:jc w:val="center"/>
                    <w:rPr>
                      <w:szCs w:val="21"/>
                      <w:highlight w:val="none"/>
                    </w:rPr>
                  </w:pPr>
                  <w:r>
                    <w:rPr>
                      <w:rFonts w:hint="eastAsia"/>
                      <w:szCs w:val="21"/>
                      <w:highlight w:val="none"/>
                      <w:lang w:val="en-US" w:eastAsia="zh-CN"/>
                    </w:rPr>
                    <w:t>1</w:t>
                  </w:r>
                  <w:r>
                    <w:rPr>
                      <w:rFonts w:hint="eastAsia"/>
                      <w:szCs w:val="21"/>
                      <w:highlight w:val="none"/>
                    </w:rPr>
                    <w:t>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195</w:t>
                  </w:r>
                  <w:r>
                    <w:rPr>
                      <w:rFonts w:hint="eastAsia" w:ascii="Times New Roman" w:hAnsi="Times New Roman" w:eastAsia="宋体" w:cs="Times New Roman"/>
                      <w:szCs w:val="21"/>
                    </w:rPr>
                    <w:t>-00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-0</w:t>
                  </w:r>
                  <w:r>
                    <w:rPr>
                      <w:rFonts w:hint="eastAsia" w:ascii="Times New Roman" w:hAnsi="Times New Roman" w:eastAsia="宋体" w:cs="Times New Roman"/>
                      <w:szCs w:val="21"/>
                      <w:lang w:val="en-US" w:eastAsia="zh-CN"/>
                    </w:rPr>
                    <w:t>1</w:t>
                  </w:r>
                </w:p>
              </w:tc>
              <w:tc>
                <w:tcPr>
                  <w:tcW w:w="1110" w:type="dxa"/>
                  <w:tcBorders>
                    <w:tl2br w:val="nil"/>
                    <w:tr2bl w:val="nil"/>
                  </w:tcBorders>
                  <w:vAlign w:val="center"/>
                </w:tcPr>
                <w:p>
                  <w:pPr>
                    <w:widowControl/>
                    <w:spacing w:line="320" w:lineRule="exact"/>
                    <w:contextualSpacing/>
                    <w:jc w:val="center"/>
                    <w:rPr>
                      <w:szCs w:val="21"/>
                    </w:rPr>
                  </w:pPr>
                  <w:r>
                    <w:rPr>
                      <w:rFonts w:hint="eastAsia"/>
                      <w:szCs w:val="21"/>
                    </w:rPr>
                    <w:t>/</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szCs w:val="21"/>
                    </w:rPr>
                  </w:pPr>
                  <w:r>
                    <w:rPr>
                      <w:rFonts w:hint="eastAsia"/>
                      <w:szCs w:val="21"/>
                    </w:rPr>
                    <w:t>4</w:t>
                  </w:r>
                </w:p>
              </w:tc>
              <w:tc>
                <w:tcPr>
                  <w:tcW w:w="1303"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废大力棉边角料</w:t>
                  </w:r>
                </w:p>
              </w:tc>
              <w:tc>
                <w:tcPr>
                  <w:tcW w:w="1022" w:type="dxa"/>
                  <w:tcBorders>
                    <w:tl2br w:val="nil"/>
                    <w:tr2bl w:val="nil"/>
                  </w:tcBorders>
                  <w:vAlign w:val="center"/>
                </w:tcPr>
                <w:p>
                  <w:pPr>
                    <w:widowControl/>
                    <w:spacing w:line="320" w:lineRule="exact"/>
                    <w:contextualSpacing/>
                    <w:jc w:val="center"/>
                    <w:rPr>
                      <w:szCs w:val="21"/>
                      <w:highlight w:val="none"/>
                    </w:rPr>
                  </w:pPr>
                  <w:r>
                    <w:rPr>
                      <w:rFonts w:hint="eastAsia"/>
                      <w:szCs w:val="21"/>
                      <w:highlight w:val="none"/>
                      <w:lang w:val="en-US" w:eastAsia="zh-CN"/>
                    </w:rPr>
                    <w:t>1.2</w:t>
                  </w:r>
                  <w:r>
                    <w:rPr>
                      <w:rFonts w:hint="eastAsia"/>
                      <w:szCs w:val="21"/>
                      <w:highlight w:val="none"/>
                    </w:rPr>
                    <w:t>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195</w:t>
                  </w:r>
                  <w:r>
                    <w:rPr>
                      <w:rFonts w:hint="eastAsia" w:ascii="Times New Roman" w:hAnsi="Times New Roman" w:eastAsia="宋体" w:cs="Times New Roman"/>
                      <w:szCs w:val="21"/>
                    </w:rPr>
                    <w:t>-00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-0</w:t>
                  </w:r>
                  <w:r>
                    <w:rPr>
                      <w:rFonts w:hint="eastAsia" w:ascii="Times New Roman" w:hAnsi="Times New Roman" w:eastAsia="宋体" w:cs="Times New Roman"/>
                      <w:szCs w:val="21"/>
                      <w:lang w:val="en-US" w:eastAsia="zh-CN"/>
                    </w:rPr>
                    <w:t>1</w:t>
                  </w:r>
                </w:p>
              </w:tc>
              <w:tc>
                <w:tcPr>
                  <w:tcW w:w="1110" w:type="dxa"/>
                  <w:tcBorders>
                    <w:tl2br w:val="nil"/>
                    <w:tr2bl w:val="nil"/>
                  </w:tcBorders>
                  <w:vAlign w:val="center"/>
                </w:tcPr>
                <w:p>
                  <w:pPr>
                    <w:topLinePunct/>
                    <w:adjustRightInd w:val="0"/>
                    <w:snapToGrid w:val="0"/>
                    <w:spacing w:line="320" w:lineRule="exact"/>
                    <w:jc w:val="center"/>
                    <w:rPr>
                      <w:szCs w:val="21"/>
                    </w:rPr>
                  </w:pPr>
                  <w:r>
                    <w:rPr>
                      <w:rFonts w:hint="eastAsia"/>
                      <w:bCs/>
                      <w:color w:val="000000"/>
                      <w:szCs w:val="21"/>
                    </w:rPr>
                    <w:t>/</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1303" w:type="dxa"/>
                  <w:tcBorders>
                    <w:tl2br w:val="nil"/>
                    <w:tr2bl w:val="nil"/>
                  </w:tcBorders>
                  <w:vAlign w:val="center"/>
                </w:tcPr>
                <w:p>
                  <w:pPr>
                    <w:widowControl/>
                    <w:spacing w:line="320" w:lineRule="exact"/>
                    <w:contextualSpacing/>
                    <w:jc w:val="center"/>
                    <w:rPr>
                      <w:rFonts w:hint="default"/>
                      <w:szCs w:val="21"/>
                      <w:lang w:val="en-US" w:eastAsia="zh-CN"/>
                    </w:rPr>
                  </w:pPr>
                  <w:r>
                    <w:rPr>
                      <w:rFonts w:hint="eastAsia"/>
                      <w:szCs w:val="21"/>
                      <w:lang w:val="en-US" w:eastAsia="zh-CN"/>
                    </w:rPr>
                    <w:t>废鞋垫边角料</w:t>
                  </w:r>
                </w:p>
              </w:tc>
              <w:tc>
                <w:tcPr>
                  <w:tcW w:w="1022" w:type="dxa"/>
                  <w:tcBorders>
                    <w:tl2br w:val="nil"/>
                    <w:tr2bl w:val="nil"/>
                  </w:tcBorders>
                  <w:vAlign w:val="center"/>
                </w:tcPr>
                <w:p>
                  <w:pPr>
                    <w:widowControl/>
                    <w:spacing w:line="320" w:lineRule="exact"/>
                    <w:contextualSpacing/>
                    <w:jc w:val="center"/>
                    <w:rPr>
                      <w:rFonts w:hint="default" w:eastAsia="宋体"/>
                      <w:szCs w:val="21"/>
                      <w:highlight w:val="none"/>
                      <w:lang w:val="en-US" w:eastAsia="zh-CN"/>
                    </w:rPr>
                  </w:pPr>
                  <w:r>
                    <w:rPr>
                      <w:rFonts w:hint="eastAsia"/>
                      <w:szCs w:val="21"/>
                      <w:highlight w:val="none"/>
                      <w:lang w:val="en-US" w:eastAsia="zh-CN"/>
                    </w:rPr>
                    <w:t>0.8t/a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195-005-01</w:t>
                  </w:r>
                </w:p>
              </w:tc>
              <w:tc>
                <w:tcPr>
                  <w:tcW w:w="1110" w:type="dxa"/>
                  <w:tcBorders>
                    <w:tl2br w:val="nil"/>
                    <w:tr2bl w:val="nil"/>
                  </w:tcBorders>
                  <w:vAlign w:val="center"/>
                </w:tcPr>
                <w:p>
                  <w:pPr>
                    <w:topLinePunct/>
                    <w:adjustRightInd w:val="0"/>
                    <w:snapToGrid w:val="0"/>
                    <w:spacing w:line="320" w:lineRule="exact"/>
                    <w:jc w:val="center"/>
                    <w:rPr>
                      <w:rFonts w:hint="eastAsia" w:eastAsia="宋体"/>
                      <w:bCs/>
                      <w:color w:val="000000"/>
                      <w:szCs w:val="21"/>
                      <w:lang w:val="en-US" w:eastAsia="zh-CN"/>
                    </w:rPr>
                  </w:pPr>
                  <w:r>
                    <w:rPr>
                      <w:rFonts w:hint="eastAsia"/>
                      <w:bCs/>
                      <w:color w:val="000000"/>
                      <w:szCs w:val="21"/>
                      <w:lang w:val="en-US" w:eastAsia="zh-CN"/>
                    </w:rPr>
                    <w:t>/</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6</w:t>
                  </w:r>
                </w:p>
              </w:tc>
              <w:tc>
                <w:tcPr>
                  <w:tcW w:w="1303"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废液压油</w:t>
                  </w:r>
                </w:p>
              </w:tc>
              <w:tc>
                <w:tcPr>
                  <w:tcW w:w="1022" w:type="dxa"/>
                  <w:tcBorders>
                    <w:tl2br w:val="nil"/>
                    <w:tr2bl w:val="nil"/>
                  </w:tcBorders>
                  <w:vAlign w:val="center"/>
                </w:tcPr>
                <w:p>
                  <w:pPr>
                    <w:widowControl/>
                    <w:spacing w:line="320" w:lineRule="exact"/>
                    <w:contextualSpacing/>
                    <w:jc w:val="center"/>
                    <w:rPr>
                      <w:rFonts w:hint="default" w:eastAsia="宋体"/>
                      <w:szCs w:val="21"/>
                      <w:highlight w:val="yellow"/>
                      <w:lang w:val="en-US" w:eastAsia="zh-CN"/>
                    </w:rPr>
                  </w:pPr>
                  <w:r>
                    <w:rPr>
                      <w:rFonts w:hint="eastAsia"/>
                      <w:szCs w:val="21"/>
                      <w:highlight w:val="none"/>
                      <w:lang w:val="en-US" w:eastAsia="zh-CN"/>
                    </w:rPr>
                    <w:t>0.1t/a</w:t>
                  </w:r>
                </w:p>
              </w:tc>
              <w:tc>
                <w:tcPr>
                  <w:tcW w:w="1522" w:type="dxa"/>
                  <w:tcBorders>
                    <w:tl2br w:val="nil"/>
                    <w:tr2bl w:val="nil"/>
                  </w:tcBorders>
                  <w:vAlign w:val="center"/>
                </w:tcPr>
                <w:p>
                  <w:pPr>
                    <w:widowControl/>
                    <w:spacing w:line="320" w:lineRule="exact"/>
                    <w:contextualSpacing/>
                    <w:jc w:val="center"/>
                    <w:rPr>
                      <w:szCs w:val="21"/>
                    </w:rPr>
                  </w:pPr>
                  <w:r>
                    <w:rPr>
                      <w:rFonts w:hint="eastAsia"/>
                      <w:szCs w:val="21"/>
                    </w:rPr>
                    <w:t>900-218-08</w:t>
                  </w:r>
                </w:p>
              </w:tc>
              <w:tc>
                <w:tcPr>
                  <w:tcW w:w="1110" w:type="dxa"/>
                  <w:tcBorders>
                    <w:tl2br w:val="nil"/>
                    <w:tr2bl w:val="nil"/>
                  </w:tcBorders>
                  <w:vAlign w:val="center"/>
                </w:tcPr>
                <w:p>
                  <w:pPr>
                    <w:topLinePunct/>
                    <w:adjustRightInd w:val="0"/>
                    <w:snapToGrid w:val="0"/>
                    <w:spacing w:line="320" w:lineRule="exact"/>
                    <w:jc w:val="center"/>
                    <w:rPr>
                      <w:rFonts w:hint="default" w:eastAsia="宋体"/>
                      <w:szCs w:val="21"/>
                      <w:lang w:val="en-US" w:eastAsia="zh-CN"/>
                    </w:rPr>
                  </w:pPr>
                  <w:r>
                    <w:rPr>
                      <w:rFonts w:hint="eastAsia"/>
                      <w:szCs w:val="21"/>
                      <w:lang w:val="en-US" w:eastAsia="zh-CN"/>
                    </w:rPr>
                    <w:t>HW08</w:t>
                  </w:r>
                </w:p>
              </w:tc>
              <w:tc>
                <w:tcPr>
                  <w:tcW w:w="1264" w:type="dxa"/>
                  <w:vMerge w:val="restart"/>
                  <w:tcBorders>
                    <w:tl2br w:val="nil"/>
                    <w:tr2bl w:val="nil"/>
                  </w:tcBorders>
                  <w:vAlign w:val="center"/>
                </w:tcPr>
                <w:p>
                  <w:pPr>
                    <w:widowControl/>
                    <w:spacing w:line="320" w:lineRule="exact"/>
                    <w:contextualSpacing/>
                    <w:jc w:val="center"/>
                    <w:rPr>
                      <w:szCs w:val="21"/>
                    </w:rPr>
                  </w:pPr>
                  <w:r>
                    <w:rPr>
                      <w:rFonts w:hint="eastAsia"/>
                      <w:szCs w:val="21"/>
                    </w:rPr>
                    <w:t>危险废物</w:t>
                  </w:r>
                </w:p>
              </w:tc>
              <w:tc>
                <w:tcPr>
                  <w:tcW w:w="1599" w:type="dxa"/>
                  <w:vMerge w:val="restart"/>
                  <w:tcBorders>
                    <w:tl2br w:val="nil"/>
                    <w:tr2bl w:val="nil"/>
                  </w:tcBorders>
                  <w:vAlign w:val="center"/>
                </w:tcPr>
                <w:p>
                  <w:pPr>
                    <w:widowControl/>
                    <w:spacing w:line="320" w:lineRule="exact"/>
                    <w:contextualSpacing/>
                    <w:jc w:val="center"/>
                    <w:rPr>
                      <w:szCs w:val="21"/>
                    </w:rPr>
                  </w:pPr>
                  <w:r>
                    <w:rPr>
                      <w:szCs w:val="21"/>
                    </w:rPr>
                    <w:t>定期委托具有危废经营资质单位安全处置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1303"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废UV灯管</w:t>
                  </w:r>
                </w:p>
              </w:tc>
              <w:tc>
                <w:tcPr>
                  <w:tcW w:w="1022" w:type="dxa"/>
                  <w:tcBorders>
                    <w:tl2br w:val="nil"/>
                    <w:tr2bl w:val="nil"/>
                  </w:tcBorders>
                  <w:vAlign w:val="center"/>
                </w:tcPr>
                <w:p>
                  <w:pPr>
                    <w:widowControl/>
                    <w:spacing w:line="320" w:lineRule="exact"/>
                    <w:contextualSpacing/>
                    <w:jc w:val="center"/>
                    <w:rPr>
                      <w:rFonts w:hint="default" w:ascii="Times New Roman" w:hAnsi="Times New Roman" w:eastAsia="宋体" w:cs="Times New Roman"/>
                      <w:kern w:val="2"/>
                      <w:sz w:val="21"/>
                      <w:szCs w:val="21"/>
                      <w:highlight w:val="yellow"/>
                      <w:lang w:val="en-US" w:eastAsia="zh-CN" w:bidi="ar-SA"/>
                    </w:rPr>
                  </w:pPr>
                  <w:r>
                    <w:rPr>
                      <w:rFonts w:hint="eastAsia" w:cs="Times New Roman"/>
                      <w:b/>
                      <w:bCs/>
                      <w:kern w:val="2"/>
                      <w:sz w:val="21"/>
                      <w:szCs w:val="21"/>
                      <w:highlight w:val="none"/>
                      <w:u w:val="single"/>
                      <w:lang w:val="en-US" w:eastAsia="zh-CN" w:bidi="ar-SA"/>
                    </w:rPr>
                    <w:t>0.02t/a</w:t>
                  </w:r>
                </w:p>
              </w:tc>
              <w:tc>
                <w:tcPr>
                  <w:tcW w:w="1522" w:type="dxa"/>
                  <w:tcBorders>
                    <w:tl2br w:val="nil"/>
                    <w:tr2bl w:val="nil"/>
                  </w:tcBorders>
                  <w:vAlign w:val="center"/>
                </w:tcPr>
                <w:p>
                  <w:pPr>
                    <w:widowControl/>
                    <w:spacing w:line="320" w:lineRule="exact"/>
                    <w:contextualSpacing/>
                    <w:jc w:val="center"/>
                    <w:rPr>
                      <w:rFonts w:ascii="Times New Roman" w:hAnsi="Times New Roman" w:eastAsia="宋体" w:cs="Times New Roman"/>
                      <w:kern w:val="2"/>
                      <w:sz w:val="21"/>
                      <w:szCs w:val="21"/>
                      <w:lang w:val="en-US" w:eastAsia="zh-CN" w:bidi="ar-SA"/>
                    </w:rPr>
                  </w:pPr>
                  <w:r>
                    <w:rPr>
                      <w:rFonts w:hint="eastAsia"/>
                      <w:szCs w:val="21"/>
                    </w:rPr>
                    <w:t>900-039-49</w:t>
                  </w:r>
                </w:p>
              </w:tc>
              <w:tc>
                <w:tcPr>
                  <w:tcW w:w="1110" w:type="dxa"/>
                  <w:tcBorders>
                    <w:tl2br w:val="nil"/>
                    <w:tr2bl w:val="nil"/>
                  </w:tcBorders>
                  <w:vAlign w:val="center"/>
                </w:tcPr>
                <w:p>
                  <w:pPr>
                    <w:topLinePunct/>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bCs/>
                      <w:color w:val="000000"/>
                      <w:szCs w:val="21"/>
                    </w:rPr>
                    <w:t>HW49</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8</w:t>
                  </w:r>
                </w:p>
              </w:tc>
              <w:tc>
                <w:tcPr>
                  <w:tcW w:w="1303"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废活性炭</w:t>
                  </w:r>
                </w:p>
              </w:tc>
              <w:tc>
                <w:tcPr>
                  <w:tcW w:w="1022" w:type="dxa"/>
                  <w:tcBorders>
                    <w:tl2br w:val="nil"/>
                    <w:tr2bl w:val="nil"/>
                  </w:tcBorders>
                  <w:vAlign w:val="center"/>
                </w:tcPr>
                <w:p>
                  <w:pPr>
                    <w:widowControl/>
                    <w:spacing w:line="320" w:lineRule="exact"/>
                    <w:contextualSpacing/>
                    <w:jc w:val="center"/>
                    <w:rPr>
                      <w:rFonts w:hint="default" w:ascii="Times New Roman" w:hAnsi="Times New Roman" w:eastAsia="宋体" w:cs="Times New Roman"/>
                      <w:kern w:val="2"/>
                      <w:sz w:val="21"/>
                      <w:szCs w:val="21"/>
                      <w:highlight w:val="none"/>
                      <w:lang w:val="en-US" w:eastAsia="zh-CN" w:bidi="ar-SA"/>
                    </w:rPr>
                  </w:pPr>
                  <w:r>
                    <w:rPr>
                      <w:rFonts w:hint="eastAsia" w:cs="Times New Roman"/>
                      <w:b/>
                      <w:bCs/>
                      <w:kern w:val="2"/>
                      <w:sz w:val="21"/>
                      <w:szCs w:val="21"/>
                      <w:highlight w:val="none"/>
                      <w:u w:val="single"/>
                      <w:lang w:val="en-US" w:eastAsia="zh-CN" w:bidi="ar-SA"/>
                    </w:rPr>
                    <w:t>1.7628t/a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kern w:val="2"/>
                      <w:sz w:val="21"/>
                      <w:szCs w:val="21"/>
                      <w:lang w:val="en-US" w:eastAsia="zh-CN" w:bidi="ar-SA"/>
                    </w:rPr>
                  </w:pPr>
                  <w:r>
                    <w:rPr>
                      <w:rFonts w:hint="eastAsia"/>
                      <w:szCs w:val="21"/>
                    </w:rPr>
                    <w:t>900-023-29</w:t>
                  </w:r>
                </w:p>
              </w:tc>
              <w:tc>
                <w:tcPr>
                  <w:tcW w:w="1110" w:type="dxa"/>
                  <w:tcBorders>
                    <w:tl2br w:val="nil"/>
                    <w:tr2bl w:val="nil"/>
                  </w:tcBorders>
                  <w:vAlign w:val="center"/>
                </w:tcPr>
                <w:p>
                  <w:pPr>
                    <w:topLinePunct/>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bCs/>
                      <w:color w:val="000000"/>
                      <w:szCs w:val="21"/>
                    </w:rPr>
                    <w:t>HW29</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hint="default"/>
                      <w:szCs w:val="21"/>
                      <w:lang w:val="en-US" w:eastAsia="zh-CN"/>
                    </w:rPr>
                  </w:pPr>
                  <w:r>
                    <w:rPr>
                      <w:rFonts w:hint="eastAsia"/>
                      <w:szCs w:val="21"/>
                      <w:lang w:val="en-US" w:eastAsia="zh-CN"/>
                    </w:rPr>
                    <w:t>9</w:t>
                  </w:r>
                </w:p>
              </w:tc>
              <w:tc>
                <w:tcPr>
                  <w:tcW w:w="1303" w:type="dxa"/>
                  <w:tcBorders>
                    <w:tl2br w:val="nil"/>
                    <w:tr2bl w:val="nil"/>
                  </w:tcBorders>
                  <w:vAlign w:val="center"/>
                </w:tcPr>
                <w:p>
                  <w:pPr>
                    <w:widowControl/>
                    <w:spacing w:line="320" w:lineRule="exact"/>
                    <w:contextualSpacing/>
                    <w:jc w:val="center"/>
                    <w:rPr>
                      <w:rFonts w:hint="eastAsia"/>
                      <w:szCs w:val="21"/>
                      <w:highlight w:val="none"/>
                    </w:rPr>
                  </w:pPr>
                  <w:r>
                    <w:rPr>
                      <w:rFonts w:hint="eastAsia"/>
                      <w:b w:val="0"/>
                      <w:bCs w:val="0"/>
                      <w:szCs w:val="21"/>
                      <w:u w:val="none"/>
                      <w:lang w:val="en-US" w:eastAsia="zh-CN"/>
                    </w:rPr>
                    <w:t>废油墨桶</w:t>
                  </w:r>
                </w:p>
              </w:tc>
              <w:tc>
                <w:tcPr>
                  <w:tcW w:w="1022" w:type="dxa"/>
                  <w:tcBorders>
                    <w:tl2br w:val="nil"/>
                    <w:tr2bl w:val="nil"/>
                  </w:tcBorders>
                  <w:vAlign w:val="center"/>
                </w:tcPr>
                <w:p>
                  <w:pPr>
                    <w:widowControl/>
                    <w:spacing w:line="320" w:lineRule="exact"/>
                    <w:contextualSpacing/>
                    <w:jc w:val="center"/>
                    <w:rPr>
                      <w:rFonts w:hint="eastAsia" w:cs="Times New Roman"/>
                      <w:b w:val="0"/>
                      <w:bCs w:val="0"/>
                      <w:kern w:val="2"/>
                      <w:sz w:val="21"/>
                      <w:szCs w:val="21"/>
                      <w:highlight w:val="none"/>
                      <w:u w:val="none"/>
                      <w:lang w:val="en-US" w:eastAsia="zh-CN" w:bidi="ar-SA"/>
                    </w:rPr>
                  </w:pPr>
                  <w:r>
                    <w:rPr>
                      <w:rFonts w:hint="eastAsia"/>
                      <w:b w:val="0"/>
                      <w:bCs w:val="0"/>
                      <w:szCs w:val="21"/>
                      <w:u w:val="none"/>
                      <w:lang w:val="en-US" w:eastAsia="zh-CN"/>
                    </w:rPr>
                    <w:t>20个</w:t>
                  </w:r>
                  <w:r>
                    <w:rPr>
                      <w:rFonts w:hint="eastAsia"/>
                      <w:b w:val="0"/>
                      <w:bCs w:val="0"/>
                      <w:szCs w:val="21"/>
                      <w:u w:val="none"/>
                    </w:rPr>
                    <w:t>/a</w:t>
                  </w:r>
                </w:p>
              </w:tc>
              <w:tc>
                <w:tcPr>
                  <w:tcW w:w="1522" w:type="dxa"/>
                  <w:tcBorders>
                    <w:tl2br w:val="nil"/>
                    <w:tr2bl w:val="nil"/>
                  </w:tcBorders>
                  <w:vAlign w:val="center"/>
                </w:tcPr>
                <w:p>
                  <w:pPr>
                    <w:widowControl/>
                    <w:spacing w:line="320" w:lineRule="exact"/>
                    <w:contextualSpacing/>
                    <w:jc w:val="center"/>
                    <w:rPr>
                      <w:rFonts w:hint="eastAsia"/>
                      <w:szCs w:val="21"/>
                    </w:rPr>
                  </w:pPr>
                  <w:r>
                    <w:rPr>
                      <w:rFonts w:hint="eastAsia" w:ascii="Times New Roman" w:hAnsi="Times New Roman" w:eastAsia="宋体" w:cs="Times New Roman"/>
                      <w:b w:val="0"/>
                      <w:bCs w:val="0"/>
                      <w:szCs w:val="21"/>
                      <w:u w:val="none"/>
                    </w:rPr>
                    <w:t>900-041-49</w:t>
                  </w:r>
                </w:p>
              </w:tc>
              <w:tc>
                <w:tcPr>
                  <w:tcW w:w="1110" w:type="dxa"/>
                  <w:tcBorders>
                    <w:tl2br w:val="nil"/>
                    <w:tr2bl w:val="nil"/>
                  </w:tcBorders>
                  <w:vAlign w:val="center"/>
                </w:tcPr>
                <w:p>
                  <w:pPr>
                    <w:topLinePunct/>
                    <w:adjustRightInd w:val="0"/>
                    <w:snapToGrid w:val="0"/>
                    <w:spacing w:line="320" w:lineRule="exact"/>
                    <w:jc w:val="center"/>
                    <w:rPr>
                      <w:rFonts w:hint="eastAsia"/>
                      <w:bCs/>
                      <w:color w:val="000000"/>
                      <w:szCs w:val="21"/>
                    </w:rPr>
                  </w:pPr>
                  <w:r>
                    <w:rPr>
                      <w:rFonts w:hint="eastAsia"/>
                      <w:b w:val="0"/>
                      <w:bCs w:val="0"/>
                      <w:color w:val="000000"/>
                      <w:szCs w:val="21"/>
                      <w:u w:val="none"/>
                      <w:lang w:val="en-US" w:eastAsia="zh-CN"/>
                    </w:rPr>
                    <w:t>HW49</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51" w:type="dxa"/>
                  <w:tcBorders>
                    <w:tl2br w:val="nil"/>
                    <w:tr2bl w:val="nil"/>
                  </w:tcBorders>
                  <w:vAlign w:val="center"/>
                </w:tcPr>
                <w:p>
                  <w:pPr>
                    <w:widowControl/>
                    <w:spacing w:line="320" w:lineRule="exact"/>
                    <w:contextualSpacing/>
                    <w:jc w:val="center"/>
                    <w:rPr>
                      <w:rFonts w:hint="default"/>
                      <w:szCs w:val="21"/>
                      <w:lang w:val="en-US" w:eastAsia="zh-CN"/>
                    </w:rPr>
                  </w:pPr>
                  <w:r>
                    <w:rPr>
                      <w:rFonts w:hint="eastAsia"/>
                      <w:b/>
                      <w:bCs/>
                      <w:szCs w:val="21"/>
                      <w:u w:val="single"/>
                      <w:lang w:val="en-US" w:eastAsia="zh-CN"/>
                    </w:rPr>
                    <w:t>10</w:t>
                  </w:r>
                </w:p>
              </w:tc>
              <w:tc>
                <w:tcPr>
                  <w:tcW w:w="1303" w:type="dxa"/>
                  <w:tcBorders>
                    <w:tl2br w:val="nil"/>
                    <w:tr2bl w:val="nil"/>
                  </w:tcBorders>
                  <w:vAlign w:val="center"/>
                </w:tcPr>
                <w:p>
                  <w:pPr>
                    <w:widowControl/>
                    <w:spacing w:line="320" w:lineRule="exact"/>
                    <w:contextualSpacing/>
                    <w:jc w:val="center"/>
                    <w:rPr>
                      <w:rFonts w:hint="eastAsia"/>
                      <w:b w:val="0"/>
                      <w:bCs w:val="0"/>
                      <w:szCs w:val="21"/>
                      <w:u w:val="none"/>
                      <w:lang w:val="en-US" w:eastAsia="zh-CN"/>
                    </w:rPr>
                  </w:pPr>
                  <w:r>
                    <w:rPr>
                      <w:rFonts w:hint="eastAsia"/>
                      <w:b/>
                      <w:bCs/>
                      <w:szCs w:val="21"/>
                      <w:u w:val="single"/>
                      <w:lang w:val="en-US" w:eastAsia="zh-CN"/>
                    </w:rPr>
                    <w:t>废抹布</w:t>
                  </w:r>
                </w:p>
              </w:tc>
              <w:tc>
                <w:tcPr>
                  <w:tcW w:w="1022" w:type="dxa"/>
                  <w:tcBorders>
                    <w:tl2br w:val="nil"/>
                    <w:tr2bl w:val="nil"/>
                  </w:tcBorders>
                  <w:vAlign w:val="center"/>
                </w:tcPr>
                <w:p>
                  <w:pPr>
                    <w:topLinePunct/>
                    <w:adjustRightInd w:val="0"/>
                    <w:snapToGrid w:val="0"/>
                    <w:spacing w:line="320" w:lineRule="exact"/>
                    <w:jc w:val="center"/>
                    <w:rPr>
                      <w:rFonts w:hint="default"/>
                      <w:b w:val="0"/>
                      <w:bCs w:val="0"/>
                      <w:szCs w:val="21"/>
                      <w:u w:val="none"/>
                      <w:lang w:val="en-US" w:eastAsia="zh-CN"/>
                    </w:rPr>
                  </w:pPr>
                  <w:r>
                    <w:rPr>
                      <w:rFonts w:hint="eastAsia"/>
                      <w:b/>
                      <w:bCs/>
                      <w:szCs w:val="21"/>
                      <w:u w:val="single"/>
                      <w:lang w:val="en-US" w:eastAsia="zh-CN"/>
                    </w:rPr>
                    <w:t>0.096t/a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val="0"/>
                      <w:bCs w:val="0"/>
                      <w:szCs w:val="21"/>
                      <w:u w:val="none"/>
                    </w:rPr>
                  </w:pPr>
                  <w:r>
                    <w:rPr>
                      <w:rFonts w:hint="eastAsia" w:ascii="Times New Roman" w:hAnsi="Times New Roman" w:eastAsia="宋体" w:cs="Times New Roman"/>
                      <w:b/>
                      <w:bCs/>
                      <w:szCs w:val="21"/>
                      <w:u w:val="single"/>
                    </w:rPr>
                    <w:t>900-041-49</w:t>
                  </w:r>
                </w:p>
              </w:tc>
              <w:tc>
                <w:tcPr>
                  <w:tcW w:w="1110" w:type="dxa"/>
                  <w:tcBorders>
                    <w:tl2br w:val="nil"/>
                    <w:tr2bl w:val="nil"/>
                  </w:tcBorders>
                  <w:vAlign w:val="center"/>
                </w:tcPr>
                <w:p>
                  <w:pPr>
                    <w:topLinePunct/>
                    <w:adjustRightInd w:val="0"/>
                    <w:snapToGrid w:val="0"/>
                    <w:spacing w:line="320" w:lineRule="exact"/>
                    <w:jc w:val="center"/>
                    <w:rPr>
                      <w:rFonts w:hint="eastAsia"/>
                      <w:b w:val="0"/>
                      <w:bCs w:val="0"/>
                      <w:color w:val="000000"/>
                      <w:szCs w:val="21"/>
                      <w:u w:val="none"/>
                      <w:lang w:val="en-US" w:eastAsia="zh-CN"/>
                    </w:rPr>
                  </w:pPr>
                  <w:r>
                    <w:rPr>
                      <w:rFonts w:hint="eastAsia"/>
                      <w:b/>
                      <w:bCs/>
                      <w:color w:val="000000"/>
                      <w:szCs w:val="21"/>
                      <w:u w:val="single"/>
                      <w:lang w:val="en-US" w:eastAsia="zh-CN"/>
                    </w:rPr>
                    <w:t>HW49</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1" w:type="dxa"/>
                  <w:tcBorders>
                    <w:tl2br w:val="nil"/>
                    <w:tr2bl w:val="nil"/>
                  </w:tcBorders>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11</w:t>
                  </w:r>
                </w:p>
              </w:tc>
              <w:tc>
                <w:tcPr>
                  <w:tcW w:w="1303" w:type="dxa"/>
                  <w:tcBorders>
                    <w:tl2br w:val="nil"/>
                    <w:tr2bl w:val="nil"/>
                  </w:tcBorders>
                  <w:vAlign w:val="center"/>
                </w:tcPr>
                <w:p>
                  <w:pPr>
                    <w:widowControl/>
                    <w:spacing w:line="320" w:lineRule="exact"/>
                    <w:contextualSpacing/>
                    <w:jc w:val="center"/>
                    <w:rPr>
                      <w:rFonts w:hint="eastAsia"/>
                      <w:b/>
                      <w:bCs/>
                      <w:szCs w:val="21"/>
                      <w:u w:val="single"/>
                      <w:lang w:val="en-US" w:eastAsia="zh-CN"/>
                    </w:rPr>
                  </w:pPr>
                  <w:r>
                    <w:rPr>
                      <w:rFonts w:hint="eastAsia"/>
                      <w:b/>
                      <w:bCs/>
                      <w:szCs w:val="21"/>
                      <w:u w:val="single"/>
                      <w:lang w:val="en-US" w:eastAsia="zh-CN"/>
                    </w:rPr>
                    <w:t>废热转印商标纸</w:t>
                  </w:r>
                </w:p>
              </w:tc>
              <w:tc>
                <w:tcPr>
                  <w:tcW w:w="1022" w:type="dxa"/>
                  <w:tcBorders>
                    <w:tl2br w:val="nil"/>
                    <w:tr2bl w:val="nil"/>
                  </w:tcBorders>
                  <w:vAlign w:val="center"/>
                </w:tcPr>
                <w:p>
                  <w:pPr>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1.4t/a</w:t>
                  </w:r>
                </w:p>
              </w:tc>
              <w:tc>
                <w:tcPr>
                  <w:tcW w:w="1522" w:type="dxa"/>
                  <w:tcBorders>
                    <w:tl2br w:val="nil"/>
                    <w:tr2bl w:val="nil"/>
                  </w:tcBorders>
                  <w:vAlign w:val="center"/>
                </w:tcPr>
                <w:p>
                  <w:pPr>
                    <w:widowControl/>
                    <w:spacing w:line="320" w:lineRule="exact"/>
                    <w:contextualSpacing/>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900-041-49</w:t>
                  </w:r>
                </w:p>
              </w:tc>
              <w:tc>
                <w:tcPr>
                  <w:tcW w:w="1110" w:type="dxa"/>
                  <w:tcBorders>
                    <w:tl2br w:val="nil"/>
                    <w:tr2bl w:val="nil"/>
                  </w:tcBorders>
                  <w:vAlign w:val="center"/>
                </w:tcPr>
                <w:p>
                  <w:pPr>
                    <w:topLinePunct/>
                    <w:adjustRightInd w:val="0"/>
                    <w:snapToGrid w:val="0"/>
                    <w:spacing w:line="320" w:lineRule="exact"/>
                    <w:jc w:val="center"/>
                    <w:rPr>
                      <w:rFonts w:hint="eastAsia"/>
                      <w:b/>
                      <w:bCs/>
                      <w:color w:val="000000"/>
                      <w:szCs w:val="21"/>
                      <w:u w:val="single"/>
                      <w:lang w:val="en-US" w:eastAsia="zh-CN"/>
                    </w:rPr>
                  </w:pPr>
                  <w:r>
                    <w:rPr>
                      <w:rFonts w:hint="eastAsia"/>
                      <w:b/>
                      <w:bCs/>
                      <w:color w:val="000000"/>
                      <w:szCs w:val="21"/>
                      <w:u w:val="single"/>
                      <w:lang w:val="en-US" w:eastAsia="zh-CN"/>
                    </w:rPr>
                    <w:t>HW49</w:t>
                  </w:r>
                </w:p>
              </w:tc>
              <w:tc>
                <w:tcPr>
                  <w:tcW w:w="1264" w:type="dxa"/>
                  <w:vMerge w:val="continue"/>
                  <w:tcBorders>
                    <w:tl2br w:val="nil"/>
                    <w:tr2bl w:val="nil"/>
                  </w:tcBorders>
                  <w:vAlign w:val="center"/>
                </w:tcPr>
                <w:p>
                  <w:pPr>
                    <w:widowControl/>
                    <w:spacing w:line="320" w:lineRule="exact"/>
                    <w:contextualSpacing/>
                    <w:jc w:val="center"/>
                    <w:rPr>
                      <w:szCs w:val="21"/>
                    </w:rPr>
                  </w:pPr>
                </w:p>
              </w:tc>
              <w:tc>
                <w:tcPr>
                  <w:tcW w:w="1599" w:type="dxa"/>
                  <w:vMerge w:val="continue"/>
                  <w:tcBorders>
                    <w:tl2br w:val="nil"/>
                    <w:tr2bl w:val="nil"/>
                  </w:tcBorders>
                  <w:vAlign w:val="center"/>
                </w:tcPr>
                <w:p>
                  <w:pPr>
                    <w:widowControl/>
                    <w:spacing w:line="320" w:lineRule="exact"/>
                    <w:contextualSpacing/>
                    <w:jc w:val="center"/>
                    <w:rPr>
                      <w:szCs w:val="21"/>
                    </w:rPr>
                  </w:pPr>
                </w:p>
              </w:tc>
            </w:tr>
          </w:tbl>
          <w:p>
            <w:pPr>
              <w:adjustRightInd w:val="0"/>
              <w:snapToGrid w:val="0"/>
              <w:spacing w:line="460" w:lineRule="exact"/>
              <w:ind w:firstLine="482" w:firstLineChars="200"/>
              <w:jc w:val="left"/>
              <w:rPr>
                <w:b/>
                <w:bCs/>
                <w:color w:val="000000"/>
                <w:sz w:val="24"/>
              </w:rPr>
            </w:pPr>
            <w:r>
              <w:rPr>
                <w:b/>
                <w:bCs/>
                <w:color w:val="000000"/>
                <w:sz w:val="24"/>
              </w:rPr>
              <w:t>5、地下水及土壤环境</w:t>
            </w:r>
          </w:p>
          <w:p>
            <w:pPr>
              <w:spacing w:line="460" w:lineRule="exact"/>
              <w:ind w:firstLine="480" w:firstLineChars="200"/>
              <w:rPr>
                <w:b w:val="0"/>
                <w:bCs/>
                <w:sz w:val="24"/>
                <w:u w:val="none"/>
              </w:rPr>
            </w:pPr>
            <w:r>
              <w:rPr>
                <w:b w:val="0"/>
                <w:bCs/>
                <w:sz w:val="24"/>
                <w:u w:val="none"/>
              </w:rPr>
              <w:t>本项目</w:t>
            </w:r>
            <w:r>
              <w:rPr>
                <w:rFonts w:hint="eastAsia"/>
                <w:b w:val="0"/>
                <w:bCs/>
                <w:sz w:val="24"/>
                <w:u w:val="none"/>
              </w:rPr>
              <w:t>在现有厂房内进行建设，无生产废水排放，</w:t>
            </w:r>
            <w:r>
              <w:rPr>
                <w:b w:val="0"/>
                <w:bCs/>
                <w:sz w:val="24"/>
                <w:u w:val="none"/>
              </w:rPr>
              <w:t>生活污水经化粪池预处理后</w:t>
            </w:r>
            <w:r>
              <w:rPr>
                <w:rFonts w:hint="eastAsia" w:ascii="Times New Roman" w:hAnsi="Times New Roman" w:eastAsia="宋体" w:cs="Times New Roman"/>
                <w:color w:val="000000"/>
                <w:sz w:val="24"/>
                <w:szCs w:val="24"/>
              </w:rPr>
              <w:t>通过东屯村污水管网排入中州渠人工湿地进一步处理</w:t>
            </w:r>
            <w:r>
              <w:rPr>
                <w:rFonts w:hint="eastAsia"/>
                <w:b w:val="0"/>
                <w:bCs/>
                <w:color w:val="000000"/>
                <w:sz w:val="24"/>
                <w:u w:val="none"/>
              </w:rPr>
              <w:t>，</w:t>
            </w:r>
            <w:r>
              <w:rPr>
                <w:rFonts w:hint="eastAsia"/>
                <w:b w:val="0"/>
                <w:bCs/>
                <w:sz w:val="24"/>
                <w:u w:val="none"/>
              </w:rPr>
              <w:t>原料密闭储存，</w:t>
            </w:r>
            <w:r>
              <w:rPr>
                <w:rFonts w:hint="eastAsia"/>
                <w:b w:val="0"/>
                <w:bCs/>
                <w:sz w:val="24"/>
                <w:u w:val="none"/>
                <w:lang w:val="en-US" w:eastAsia="zh-CN"/>
              </w:rPr>
              <w:t>可能</w:t>
            </w:r>
            <w:r>
              <w:rPr>
                <w:rFonts w:hint="eastAsia"/>
                <w:b w:val="0"/>
                <w:bCs/>
                <w:sz w:val="24"/>
                <w:u w:val="none"/>
              </w:rPr>
              <w:t>对地下水及土壤环境造成影响的途径主要为危废暂存间。</w:t>
            </w:r>
          </w:p>
          <w:p>
            <w:pPr>
              <w:spacing w:line="460" w:lineRule="exact"/>
              <w:ind w:firstLine="480" w:firstLineChars="200"/>
              <w:rPr>
                <w:bCs/>
                <w:sz w:val="24"/>
              </w:rPr>
            </w:pPr>
            <w:r>
              <w:rPr>
                <w:rFonts w:hint="eastAsia"/>
                <w:b w:val="0"/>
                <w:bCs/>
                <w:sz w:val="24"/>
                <w:u w:val="none"/>
              </w:rPr>
              <w:t>本项目油墨采用密闭桶装储存，</w:t>
            </w:r>
            <w:r>
              <w:rPr>
                <w:rFonts w:hint="eastAsia"/>
                <w:b w:val="0"/>
                <w:bCs/>
                <w:sz w:val="24"/>
                <w:u w:val="none"/>
                <w:lang w:val="en-US" w:eastAsia="zh-CN"/>
              </w:rPr>
              <w:t>储存区地面需采用2毫米厚高密度聚乙烯做防渗（K≤10</w:t>
            </w:r>
            <w:r>
              <w:rPr>
                <w:rFonts w:hint="eastAsia"/>
                <w:b w:val="0"/>
                <w:bCs/>
                <w:sz w:val="24"/>
                <w:u w:val="none"/>
                <w:vertAlign w:val="superscript"/>
                <w:lang w:val="en-US" w:eastAsia="zh-CN"/>
              </w:rPr>
              <w:t>-10</w:t>
            </w:r>
            <w:r>
              <w:rPr>
                <w:rFonts w:hint="eastAsia"/>
                <w:b w:val="0"/>
                <w:bCs/>
                <w:sz w:val="24"/>
                <w:u w:val="none"/>
                <w:lang w:val="en-US" w:eastAsia="zh-CN"/>
              </w:rPr>
              <w:t>cm/s）；</w:t>
            </w:r>
            <w:r>
              <w:rPr>
                <w:rFonts w:hint="eastAsia"/>
                <w:b w:val="0"/>
                <w:bCs/>
                <w:sz w:val="24"/>
                <w:u w:val="none"/>
              </w:rPr>
              <w:t>本项目厂区危废暂存间严格按照《危险废物贮存 污染控制标准》（GB18597-2001）及修改单中的“四防”（防风、防雨、防晒、防渗漏）等要求进行建设：基础必须防渗，防渗层为至少1米厚粘土层（渗透系数≤10</w:t>
            </w:r>
            <w:r>
              <w:rPr>
                <w:rFonts w:hint="eastAsia"/>
                <w:b w:val="0"/>
                <w:bCs/>
                <w:sz w:val="24"/>
                <w:u w:val="none"/>
                <w:vertAlign w:val="superscript"/>
              </w:rPr>
              <w:t>-7</w:t>
            </w:r>
            <w:r>
              <w:rPr>
                <w:rFonts w:hint="eastAsia"/>
                <w:b w:val="0"/>
                <w:bCs/>
                <w:sz w:val="24"/>
                <w:u w:val="none"/>
              </w:rPr>
              <w:t>厘米/秒），或2毫米厚高密度聚乙烯，或至少2毫米厚的其它人工材料，渗透系数≤10</w:t>
            </w:r>
            <w:r>
              <w:rPr>
                <w:rFonts w:hint="eastAsia"/>
                <w:b w:val="0"/>
                <w:bCs/>
                <w:sz w:val="24"/>
                <w:u w:val="none"/>
                <w:vertAlign w:val="superscript"/>
              </w:rPr>
              <w:t>-10</w:t>
            </w:r>
            <w:r>
              <w:rPr>
                <w:rFonts w:hint="eastAsia"/>
                <w:b w:val="0"/>
                <w:bCs/>
                <w:sz w:val="24"/>
                <w:u w:val="none"/>
              </w:rPr>
              <w:t>厘米/秒。定期进行检查和维护，定期维护防渗层正常工作，加强员工管理，避免非正常泄露的产生，因此不会对土壤及地下水造成影响。</w:t>
            </w:r>
          </w:p>
          <w:p>
            <w:pPr>
              <w:adjustRightInd w:val="0"/>
              <w:snapToGrid w:val="0"/>
              <w:spacing w:line="460" w:lineRule="exact"/>
              <w:ind w:firstLine="482" w:firstLineChars="200"/>
              <w:jc w:val="left"/>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6、环境风险</w:t>
            </w:r>
          </w:p>
          <w:p>
            <w:pPr>
              <w:adjustRightInd w:val="0"/>
              <w:snapToGrid w:val="0"/>
              <w:spacing w:line="460" w:lineRule="exact"/>
              <w:ind w:firstLine="482" w:firstLineChars="200"/>
              <w:jc w:val="left"/>
              <w:rPr>
                <w:rFonts w:ascii="Times New Roman" w:hAnsi="Times New Roman" w:eastAsia="宋体" w:cs="Times New Roman"/>
                <w:b/>
                <w:bCs/>
                <w:color w:val="000000"/>
                <w:sz w:val="24"/>
              </w:rPr>
            </w:pPr>
            <w:r>
              <w:rPr>
                <w:rFonts w:ascii="Times New Roman" w:hAnsi="Times New Roman" w:eastAsia="宋体" w:cs="Times New Roman"/>
                <w:b/>
                <w:bCs/>
                <w:color w:val="000000"/>
                <w:sz w:val="24"/>
              </w:rPr>
              <w:t>6.1主要危险物质及分布</w:t>
            </w:r>
          </w:p>
          <w:p>
            <w:pPr>
              <w:widowControl/>
              <w:spacing w:line="460" w:lineRule="exact"/>
              <w:ind w:firstLine="480" w:firstLineChars="200"/>
              <w:textAlignment w:val="baseline"/>
              <w:rPr>
                <w:rFonts w:hint="default" w:eastAsia="宋体"/>
                <w:color w:val="000000"/>
                <w:sz w:val="24"/>
                <w:lang w:val="en-US" w:eastAsia="zh-CN"/>
              </w:rPr>
            </w:pPr>
            <w:r>
              <w:rPr>
                <w:color w:val="000000"/>
                <w:sz w:val="24"/>
              </w:rPr>
              <w:t>根据《建设项目环境风险评价技术导则》（HJ/T169-2018）</w:t>
            </w:r>
            <w:r>
              <w:rPr>
                <w:rFonts w:hint="eastAsia"/>
                <w:color w:val="000000"/>
                <w:sz w:val="24"/>
              </w:rPr>
              <w:t>中的相关数据</w:t>
            </w:r>
            <w:r>
              <w:rPr>
                <w:color w:val="000000"/>
                <w:sz w:val="24"/>
              </w:rPr>
              <w:t>，</w:t>
            </w:r>
            <w:r>
              <w:rPr>
                <w:b w:val="0"/>
                <w:bCs w:val="0"/>
                <w:color w:val="000000"/>
                <w:sz w:val="24"/>
                <w:u w:val="none"/>
              </w:rPr>
              <w:t>本项目</w:t>
            </w:r>
            <w:r>
              <w:rPr>
                <w:rFonts w:hint="eastAsia"/>
                <w:b w:val="0"/>
                <w:bCs w:val="0"/>
                <w:color w:val="000000"/>
                <w:sz w:val="24"/>
                <w:u w:val="none"/>
              </w:rPr>
              <w:t>涉及的</w:t>
            </w:r>
            <w:r>
              <w:rPr>
                <w:b w:val="0"/>
                <w:bCs w:val="0"/>
                <w:color w:val="000000"/>
                <w:sz w:val="24"/>
                <w:u w:val="none"/>
              </w:rPr>
              <w:t>主要危险物质为</w:t>
            </w:r>
            <w:r>
              <w:rPr>
                <w:b/>
                <w:bCs/>
                <w:color w:val="000000"/>
                <w:sz w:val="24"/>
                <w:u w:val="single"/>
              </w:rPr>
              <w:t>水性油墨</w:t>
            </w:r>
            <w:r>
              <w:rPr>
                <w:rFonts w:hint="eastAsia"/>
                <w:b/>
                <w:bCs/>
                <w:color w:val="000000"/>
                <w:sz w:val="24"/>
                <w:u w:val="single"/>
              </w:rPr>
              <w:t>中的</w:t>
            </w:r>
            <w:r>
              <w:rPr>
                <w:rFonts w:hint="eastAsia"/>
                <w:b/>
                <w:bCs/>
                <w:color w:val="000000"/>
                <w:sz w:val="24"/>
                <w:u w:val="single"/>
                <w:lang w:val="en-US" w:eastAsia="zh-CN"/>
              </w:rPr>
              <w:t>丙二醇丁醚、丙烯酸树脂等</w:t>
            </w:r>
            <w:r>
              <w:rPr>
                <w:rFonts w:hint="eastAsia"/>
                <w:b w:val="0"/>
                <w:bCs w:val="0"/>
                <w:color w:val="000000"/>
                <w:sz w:val="24"/>
                <w:u w:val="none"/>
                <w:lang w:val="en-US" w:eastAsia="zh-CN"/>
              </w:rPr>
              <w:t>及设备更换产生的废</w:t>
            </w:r>
            <w:r>
              <w:rPr>
                <w:rFonts w:hint="eastAsia"/>
                <w:b w:val="0"/>
                <w:bCs w:val="0"/>
                <w:color w:val="000000"/>
                <w:sz w:val="24"/>
                <w:u w:val="none"/>
              </w:rPr>
              <w:t>液压油。</w:t>
            </w:r>
            <w:r>
              <w:rPr>
                <w:rFonts w:hint="eastAsia"/>
                <w:b w:val="0"/>
                <w:bCs w:val="0"/>
                <w:color w:val="000000"/>
                <w:sz w:val="24"/>
                <w:u w:val="none"/>
                <w:lang w:val="en-US" w:eastAsia="zh-CN"/>
              </w:rPr>
              <w:t>本项目水性油墨主要分布于生产车间内，废液压油分布在危废暂存间内。</w:t>
            </w:r>
          </w:p>
          <w:p>
            <w:pPr>
              <w:adjustRightInd w:val="0"/>
              <w:snapToGrid w:val="0"/>
              <w:spacing w:line="460" w:lineRule="exact"/>
              <w:ind w:firstLine="482" w:firstLineChars="200"/>
              <w:jc w:val="left"/>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6.</w:t>
            </w:r>
            <w:r>
              <w:rPr>
                <w:rFonts w:hint="eastAsia" w:ascii="Times New Roman" w:hAnsi="Times New Roman" w:eastAsia="宋体" w:cs="Times New Roman"/>
                <w:b/>
                <w:bCs/>
                <w:color w:val="000000"/>
                <w:sz w:val="24"/>
                <w:lang w:val="en-US" w:eastAsia="zh-CN"/>
              </w:rPr>
              <w:t>2</w:t>
            </w:r>
            <w:r>
              <w:rPr>
                <w:rFonts w:hint="eastAsia" w:ascii="Times New Roman" w:hAnsi="Times New Roman" w:eastAsia="宋体" w:cs="Times New Roman"/>
                <w:b/>
                <w:bCs/>
                <w:color w:val="000000"/>
                <w:sz w:val="24"/>
              </w:rPr>
              <w:t>危险物质数量与临界量比值（Q）</w:t>
            </w:r>
          </w:p>
          <w:p>
            <w:pPr>
              <w:pStyle w:val="5"/>
              <w:numPr>
                <w:ilvl w:val="0"/>
                <w:numId w:val="0"/>
              </w:numPr>
              <w:ind w:leftChars="200"/>
              <w:rPr>
                <w:b w:val="0"/>
                <w:bCs/>
                <w:color w:val="000000"/>
                <w:u w:val="none"/>
              </w:rPr>
            </w:pPr>
            <w:r>
              <w:rPr>
                <w:b w:val="0"/>
                <w:bCs/>
                <w:sz w:val="24"/>
                <w:u w:val="none"/>
                <w:lang w:bidi="ar"/>
              </w:rPr>
              <w:t>本项目涉及危险物质的Q值计算情况见</w:t>
            </w:r>
            <w:r>
              <w:rPr>
                <w:rFonts w:hint="eastAsia"/>
                <w:b w:val="0"/>
                <w:bCs/>
                <w:sz w:val="24"/>
                <w:u w:val="none"/>
                <w:lang w:val="en-US" w:eastAsia="zh-CN" w:bidi="ar"/>
              </w:rPr>
              <w:t>下</w:t>
            </w:r>
            <w:r>
              <w:rPr>
                <w:b w:val="0"/>
                <w:bCs/>
                <w:sz w:val="24"/>
                <w:u w:val="none"/>
                <w:lang w:bidi="ar"/>
              </w:rPr>
              <w:t>表。</w:t>
            </w:r>
            <w:r>
              <w:rPr>
                <w:b w:val="0"/>
                <w:bCs/>
                <w:color w:val="000000"/>
                <w:u w:val="none"/>
              </w:rPr>
              <w:t xml:space="preserve"> </w:t>
            </w:r>
          </w:p>
          <w:p>
            <w:pPr>
              <w:pStyle w:val="5"/>
              <w:numPr>
                <w:ilvl w:val="0"/>
                <w:numId w:val="0"/>
              </w:numPr>
              <w:ind w:leftChars="200"/>
              <w:rPr>
                <w:color w:val="000000"/>
                <w:u w:val="none"/>
              </w:rPr>
            </w:pPr>
            <w:r>
              <w:rPr>
                <w:rFonts w:hint="eastAsia"/>
                <w:color w:val="000000"/>
                <w:u w:val="none"/>
                <w:lang w:val="en-US" w:eastAsia="zh-CN"/>
              </w:rPr>
              <w:t>表28</w:t>
            </w:r>
            <w:r>
              <w:rPr>
                <w:rFonts w:hint="eastAsia"/>
                <w:color w:val="000000"/>
                <w:u w:val="none"/>
              </w:rPr>
              <w:t xml:space="preserve">               </w:t>
            </w:r>
            <w:r>
              <w:rPr>
                <w:color w:val="000000"/>
                <w:u w:val="none"/>
              </w:rPr>
              <w:t>本项目Q值确定表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7"/>
              <w:gridCol w:w="1182"/>
              <w:gridCol w:w="1772"/>
              <w:gridCol w:w="1913"/>
              <w:gridCol w:w="14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215" w:type="pct"/>
                  <w:noWrap w:val="0"/>
                  <w:tcMar>
                    <w:top w:w="28" w:type="dxa"/>
                    <w:bottom w:w="28" w:type="dxa"/>
                  </w:tcMar>
                  <w:vAlign w:val="center"/>
                </w:tcPr>
                <w:p>
                  <w:pPr>
                    <w:jc w:val="center"/>
                    <w:rPr>
                      <w:b w:val="0"/>
                      <w:bCs/>
                      <w:szCs w:val="21"/>
                      <w:u w:val="none"/>
                    </w:rPr>
                  </w:pPr>
                  <w:r>
                    <w:rPr>
                      <w:b w:val="0"/>
                      <w:bCs/>
                      <w:szCs w:val="21"/>
                      <w:u w:val="none"/>
                    </w:rPr>
                    <w:t>物质名称</w:t>
                  </w:r>
                </w:p>
              </w:tc>
              <w:tc>
                <w:tcPr>
                  <w:tcW w:w="705" w:type="pct"/>
                  <w:noWrap w:val="0"/>
                  <w:tcMar>
                    <w:top w:w="28" w:type="dxa"/>
                    <w:bottom w:w="28" w:type="dxa"/>
                  </w:tcMar>
                  <w:vAlign w:val="center"/>
                </w:tcPr>
                <w:p>
                  <w:pPr>
                    <w:jc w:val="center"/>
                    <w:rPr>
                      <w:b w:val="0"/>
                      <w:bCs/>
                      <w:szCs w:val="21"/>
                      <w:u w:val="none"/>
                    </w:rPr>
                  </w:pPr>
                  <w:r>
                    <w:rPr>
                      <w:b w:val="0"/>
                      <w:bCs/>
                      <w:szCs w:val="21"/>
                      <w:u w:val="none"/>
                    </w:rPr>
                    <w:t>CAS号</w:t>
                  </w:r>
                </w:p>
              </w:tc>
              <w:tc>
                <w:tcPr>
                  <w:tcW w:w="1057" w:type="pct"/>
                  <w:noWrap w:val="0"/>
                  <w:tcMar>
                    <w:top w:w="28" w:type="dxa"/>
                    <w:bottom w:w="28" w:type="dxa"/>
                  </w:tcMar>
                  <w:vAlign w:val="center"/>
                </w:tcPr>
                <w:p>
                  <w:pPr>
                    <w:jc w:val="center"/>
                    <w:rPr>
                      <w:b w:val="0"/>
                      <w:bCs/>
                      <w:szCs w:val="21"/>
                      <w:u w:val="none"/>
                    </w:rPr>
                  </w:pPr>
                  <w:r>
                    <w:rPr>
                      <w:b w:val="0"/>
                      <w:bCs/>
                      <w:szCs w:val="21"/>
                      <w:u w:val="none"/>
                    </w:rPr>
                    <w:t>临界量（Q</w:t>
                  </w:r>
                  <w:r>
                    <w:rPr>
                      <w:b w:val="0"/>
                      <w:bCs/>
                      <w:szCs w:val="21"/>
                      <w:u w:val="none"/>
                      <w:vertAlign w:val="subscript"/>
                    </w:rPr>
                    <w:t>n</w:t>
                  </w:r>
                  <w:r>
                    <w:rPr>
                      <w:b w:val="0"/>
                      <w:bCs/>
                      <w:szCs w:val="21"/>
                      <w:u w:val="none"/>
                    </w:rPr>
                    <w:t>）t</w:t>
                  </w:r>
                </w:p>
              </w:tc>
              <w:tc>
                <w:tcPr>
                  <w:tcW w:w="1141" w:type="pct"/>
                  <w:noWrap w:val="0"/>
                  <w:tcMar>
                    <w:top w:w="28" w:type="dxa"/>
                    <w:bottom w:w="28" w:type="dxa"/>
                  </w:tcMar>
                  <w:vAlign w:val="center"/>
                </w:tcPr>
                <w:p>
                  <w:pPr>
                    <w:jc w:val="center"/>
                    <w:rPr>
                      <w:b w:val="0"/>
                      <w:bCs/>
                      <w:szCs w:val="21"/>
                      <w:u w:val="none"/>
                    </w:rPr>
                  </w:pPr>
                  <w:r>
                    <w:rPr>
                      <w:b w:val="0"/>
                      <w:bCs/>
                      <w:szCs w:val="21"/>
                      <w:u w:val="none"/>
                    </w:rPr>
                    <w:t>实际量（q</w:t>
                  </w:r>
                  <w:r>
                    <w:rPr>
                      <w:b w:val="0"/>
                      <w:bCs/>
                      <w:szCs w:val="21"/>
                      <w:u w:val="none"/>
                      <w:vertAlign w:val="subscript"/>
                    </w:rPr>
                    <w:t>n</w:t>
                  </w:r>
                  <w:r>
                    <w:rPr>
                      <w:b w:val="0"/>
                      <w:bCs/>
                      <w:szCs w:val="21"/>
                      <w:u w:val="none"/>
                    </w:rPr>
                    <w:t>）t</w:t>
                  </w:r>
                </w:p>
              </w:tc>
              <w:tc>
                <w:tcPr>
                  <w:tcW w:w="880" w:type="pct"/>
                  <w:noWrap w:val="0"/>
                  <w:tcMar>
                    <w:top w:w="28" w:type="dxa"/>
                    <w:bottom w:w="28" w:type="dxa"/>
                  </w:tcMar>
                  <w:vAlign w:val="center"/>
                </w:tcPr>
                <w:p>
                  <w:pPr>
                    <w:jc w:val="center"/>
                    <w:rPr>
                      <w:b w:val="0"/>
                      <w:bCs/>
                      <w:szCs w:val="21"/>
                      <w:u w:val="none"/>
                    </w:rPr>
                  </w:pPr>
                  <w:r>
                    <w:rPr>
                      <w:b w:val="0"/>
                      <w:bCs/>
                      <w:szCs w:val="21"/>
                      <w:u w:val="none"/>
                    </w:rPr>
                    <w:t>∑q</w:t>
                  </w:r>
                  <w:r>
                    <w:rPr>
                      <w:b w:val="0"/>
                      <w:bCs/>
                      <w:szCs w:val="21"/>
                      <w:u w:val="none"/>
                      <w:vertAlign w:val="subscript"/>
                    </w:rPr>
                    <w:t>n</w:t>
                  </w:r>
                  <w:r>
                    <w:rPr>
                      <w:b w:val="0"/>
                      <w:bCs/>
                      <w:szCs w:val="21"/>
                      <w:u w:val="none"/>
                    </w:rPr>
                    <w:t>/Q</w:t>
                  </w:r>
                  <w:r>
                    <w:rPr>
                      <w:b w:val="0"/>
                      <w:bCs/>
                      <w:szCs w:val="21"/>
                      <w:u w:val="none"/>
                      <w:vertAlign w:val="subscript"/>
                    </w:rPr>
                    <w:t>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15" w:type="pct"/>
                  <w:noWrap w:val="0"/>
                  <w:tcMar>
                    <w:top w:w="28" w:type="dxa"/>
                    <w:bottom w:w="28" w:type="dxa"/>
                  </w:tcMar>
                  <w:vAlign w:val="center"/>
                </w:tcPr>
                <w:p>
                  <w:pPr>
                    <w:jc w:val="center"/>
                    <w:rPr>
                      <w:rFonts w:hint="default"/>
                      <w:b/>
                      <w:bCs w:val="0"/>
                      <w:szCs w:val="21"/>
                      <w:u w:val="single"/>
                      <w:lang w:val="en-US" w:eastAsia="zh-CN"/>
                    </w:rPr>
                  </w:pPr>
                  <w:r>
                    <w:rPr>
                      <w:rFonts w:hint="eastAsia"/>
                      <w:b/>
                      <w:bCs w:val="0"/>
                      <w:szCs w:val="21"/>
                      <w:u w:val="single"/>
                      <w:lang w:val="en-US" w:eastAsia="zh-CN"/>
                    </w:rPr>
                    <w:t>水性油墨</w:t>
                  </w:r>
                </w:p>
              </w:tc>
              <w:tc>
                <w:tcPr>
                  <w:tcW w:w="705" w:type="pct"/>
                  <w:noWrap w:val="0"/>
                  <w:tcMar>
                    <w:top w:w="28" w:type="dxa"/>
                    <w:bottom w:w="28" w:type="dxa"/>
                  </w:tcMar>
                  <w:vAlign w:val="center"/>
                </w:tcPr>
                <w:p>
                  <w:pPr>
                    <w:jc w:val="center"/>
                    <w:rPr>
                      <w:rFonts w:hint="default"/>
                      <w:b/>
                      <w:bCs w:val="0"/>
                      <w:szCs w:val="21"/>
                      <w:u w:val="single"/>
                      <w:lang w:val="en-US" w:eastAsia="zh-CN"/>
                    </w:rPr>
                  </w:pPr>
                  <w:r>
                    <w:rPr>
                      <w:rFonts w:hint="eastAsia"/>
                      <w:b/>
                      <w:bCs w:val="0"/>
                      <w:szCs w:val="21"/>
                      <w:u w:val="single"/>
                      <w:lang w:val="en-US" w:eastAsia="zh-CN"/>
                    </w:rPr>
                    <w:t>/</w:t>
                  </w:r>
                </w:p>
              </w:tc>
              <w:tc>
                <w:tcPr>
                  <w:tcW w:w="1057" w:type="pct"/>
                  <w:noWrap w:val="0"/>
                  <w:tcMar>
                    <w:top w:w="28" w:type="dxa"/>
                    <w:bottom w:w="28" w:type="dxa"/>
                  </w:tcMar>
                  <w:vAlign w:val="center"/>
                </w:tcPr>
                <w:p>
                  <w:pPr>
                    <w:jc w:val="center"/>
                    <w:rPr>
                      <w:rFonts w:hint="default"/>
                      <w:b/>
                      <w:bCs w:val="0"/>
                      <w:szCs w:val="21"/>
                      <w:u w:val="single"/>
                      <w:lang w:val="en-US" w:eastAsia="zh-CN"/>
                    </w:rPr>
                  </w:pPr>
                  <w:r>
                    <w:rPr>
                      <w:rFonts w:hint="eastAsia"/>
                      <w:b/>
                      <w:bCs w:val="0"/>
                      <w:szCs w:val="21"/>
                      <w:u w:val="single"/>
                      <w:lang w:val="en-US" w:eastAsia="zh-CN"/>
                    </w:rPr>
                    <w:t>/</w:t>
                  </w:r>
                </w:p>
              </w:tc>
              <w:tc>
                <w:tcPr>
                  <w:tcW w:w="1141" w:type="pct"/>
                  <w:noWrap w:val="0"/>
                  <w:tcMar>
                    <w:top w:w="28" w:type="dxa"/>
                    <w:bottom w:w="28" w:type="dxa"/>
                  </w:tcMar>
                  <w:vAlign w:val="center"/>
                </w:tcPr>
                <w:p>
                  <w:pPr>
                    <w:jc w:val="center"/>
                    <w:rPr>
                      <w:rFonts w:hint="default"/>
                      <w:b/>
                      <w:bCs w:val="0"/>
                      <w:szCs w:val="21"/>
                      <w:u w:val="single"/>
                      <w:lang w:val="en-US" w:eastAsia="zh-CN"/>
                    </w:rPr>
                  </w:pPr>
                  <w:r>
                    <w:rPr>
                      <w:rFonts w:hint="eastAsia"/>
                      <w:b/>
                      <w:bCs w:val="0"/>
                      <w:szCs w:val="21"/>
                      <w:u w:val="single"/>
                      <w:lang w:val="en-US" w:eastAsia="zh-CN"/>
                    </w:rPr>
                    <w:t>0.02</w:t>
                  </w:r>
                </w:p>
              </w:tc>
              <w:tc>
                <w:tcPr>
                  <w:tcW w:w="880" w:type="pct"/>
                  <w:noWrap w:val="0"/>
                  <w:tcMar>
                    <w:top w:w="28" w:type="dxa"/>
                    <w:bottom w:w="28" w:type="dxa"/>
                  </w:tcMar>
                  <w:vAlign w:val="center"/>
                </w:tcPr>
                <w:p>
                  <w:pPr>
                    <w:ind w:firstLine="200" w:firstLineChars="95"/>
                    <w:jc w:val="center"/>
                    <w:rPr>
                      <w:rFonts w:hint="default"/>
                      <w:b/>
                      <w:bCs w:val="0"/>
                      <w:szCs w:val="21"/>
                      <w:u w:val="single"/>
                      <w:lang w:val="en-US" w:eastAsia="zh-CN"/>
                    </w:rPr>
                  </w:pPr>
                  <w:r>
                    <w:rPr>
                      <w:rFonts w:hint="eastAsia"/>
                      <w:b/>
                      <w:bCs w:val="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15" w:type="pct"/>
                  <w:noWrap w:val="0"/>
                  <w:tcMar>
                    <w:top w:w="28" w:type="dxa"/>
                    <w:bottom w:w="28" w:type="dxa"/>
                  </w:tcMar>
                  <w:vAlign w:val="center"/>
                </w:tcPr>
                <w:p>
                  <w:pPr>
                    <w:jc w:val="center"/>
                    <w:rPr>
                      <w:rFonts w:hint="default" w:eastAsia="宋体"/>
                      <w:b w:val="0"/>
                      <w:bCs/>
                      <w:szCs w:val="21"/>
                      <w:u w:val="none"/>
                      <w:lang w:val="en-US" w:eastAsia="zh-CN"/>
                    </w:rPr>
                  </w:pPr>
                  <w:r>
                    <w:rPr>
                      <w:rFonts w:hint="eastAsia"/>
                      <w:b w:val="0"/>
                      <w:bCs/>
                      <w:szCs w:val="21"/>
                      <w:u w:val="none"/>
                      <w:lang w:val="en-US" w:eastAsia="zh-CN"/>
                    </w:rPr>
                    <w:t>液压油</w:t>
                  </w:r>
                </w:p>
              </w:tc>
              <w:tc>
                <w:tcPr>
                  <w:tcW w:w="705" w:type="pct"/>
                  <w:noWrap w:val="0"/>
                  <w:tcMar>
                    <w:top w:w="28" w:type="dxa"/>
                    <w:bottom w:w="28" w:type="dxa"/>
                  </w:tcMar>
                  <w:vAlign w:val="center"/>
                </w:tcPr>
                <w:p>
                  <w:pPr>
                    <w:jc w:val="center"/>
                    <w:rPr>
                      <w:b w:val="0"/>
                      <w:bCs/>
                      <w:szCs w:val="21"/>
                      <w:u w:val="none"/>
                    </w:rPr>
                  </w:pPr>
                  <w:r>
                    <w:rPr>
                      <w:rFonts w:hint="eastAsia"/>
                      <w:b w:val="0"/>
                      <w:bCs/>
                      <w:szCs w:val="21"/>
                      <w:u w:val="none"/>
                    </w:rPr>
                    <w:t>/</w:t>
                  </w:r>
                </w:p>
              </w:tc>
              <w:tc>
                <w:tcPr>
                  <w:tcW w:w="1057" w:type="pct"/>
                  <w:noWrap w:val="0"/>
                  <w:tcMar>
                    <w:top w:w="28" w:type="dxa"/>
                    <w:bottom w:w="28" w:type="dxa"/>
                  </w:tcMar>
                  <w:vAlign w:val="center"/>
                </w:tcPr>
                <w:p>
                  <w:pPr>
                    <w:jc w:val="center"/>
                    <w:rPr>
                      <w:b w:val="0"/>
                      <w:bCs/>
                      <w:szCs w:val="21"/>
                      <w:u w:val="none"/>
                    </w:rPr>
                  </w:pPr>
                  <w:r>
                    <w:rPr>
                      <w:rFonts w:hint="eastAsia"/>
                      <w:b w:val="0"/>
                      <w:bCs/>
                      <w:szCs w:val="21"/>
                      <w:u w:val="none"/>
                    </w:rPr>
                    <w:t>2500</w:t>
                  </w:r>
                </w:p>
              </w:tc>
              <w:tc>
                <w:tcPr>
                  <w:tcW w:w="1141" w:type="pct"/>
                  <w:noWrap w:val="0"/>
                  <w:tcMar>
                    <w:top w:w="28" w:type="dxa"/>
                    <w:bottom w:w="28" w:type="dxa"/>
                  </w:tcMar>
                  <w:vAlign w:val="center"/>
                </w:tcPr>
                <w:p>
                  <w:pPr>
                    <w:jc w:val="center"/>
                    <w:rPr>
                      <w:rFonts w:hint="default" w:eastAsia="宋体"/>
                      <w:b w:val="0"/>
                      <w:bCs/>
                      <w:szCs w:val="21"/>
                      <w:u w:val="none"/>
                      <w:lang w:val="en-US" w:eastAsia="zh-CN"/>
                    </w:rPr>
                  </w:pPr>
                  <w:r>
                    <w:rPr>
                      <w:rFonts w:hint="eastAsia"/>
                      <w:b w:val="0"/>
                      <w:bCs/>
                      <w:szCs w:val="21"/>
                      <w:u w:val="none"/>
                      <w:lang w:val="en-US" w:eastAsia="zh-CN"/>
                    </w:rPr>
                    <w:t>0.1</w:t>
                  </w:r>
                </w:p>
              </w:tc>
              <w:tc>
                <w:tcPr>
                  <w:tcW w:w="880" w:type="pct"/>
                  <w:noWrap w:val="0"/>
                  <w:tcMar>
                    <w:top w:w="28" w:type="dxa"/>
                    <w:bottom w:w="28" w:type="dxa"/>
                  </w:tcMar>
                  <w:vAlign w:val="center"/>
                </w:tcPr>
                <w:p>
                  <w:pPr>
                    <w:ind w:firstLine="199" w:firstLineChars="95"/>
                    <w:jc w:val="center"/>
                    <w:rPr>
                      <w:rFonts w:hint="default" w:eastAsia="宋体"/>
                      <w:b w:val="0"/>
                      <w:bCs/>
                      <w:szCs w:val="21"/>
                      <w:u w:val="none"/>
                      <w:lang w:val="en-US" w:eastAsia="zh-CN"/>
                    </w:rPr>
                  </w:pPr>
                  <w:r>
                    <w:rPr>
                      <w:rFonts w:hint="eastAsia"/>
                      <w:b w:val="0"/>
                      <w:bCs/>
                      <w:szCs w:val="21"/>
                      <w:u w:val="none"/>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119" w:type="pct"/>
                  <w:gridSpan w:val="4"/>
                  <w:noWrap w:val="0"/>
                  <w:tcMar>
                    <w:top w:w="28" w:type="dxa"/>
                    <w:bottom w:w="28" w:type="dxa"/>
                  </w:tcMar>
                  <w:vAlign w:val="center"/>
                </w:tcPr>
                <w:p>
                  <w:pPr>
                    <w:jc w:val="center"/>
                    <w:rPr>
                      <w:b w:val="0"/>
                      <w:bCs/>
                      <w:snapToGrid w:val="0"/>
                      <w:szCs w:val="21"/>
                      <w:u w:val="none"/>
                    </w:rPr>
                  </w:pPr>
                  <w:r>
                    <w:rPr>
                      <w:b w:val="0"/>
                      <w:bCs/>
                      <w:snapToGrid w:val="0"/>
                      <w:szCs w:val="21"/>
                      <w:u w:val="none"/>
                    </w:rPr>
                    <w:t>项目Q值</w:t>
                  </w:r>
                  <w:r>
                    <w:rPr>
                      <w:b w:val="0"/>
                      <w:bCs/>
                      <w:szCs w:val="21"/>
                      <w:u w:val="none"/>
                    </w:rPr>
                    <w:t>∑</w:t>
                  </w:r>
                </w:p>
              </w:tc>
              <w:tc>
                <w:tcPr>
                  <w:tcW w:w="880" w:type="pct"/>
                  <w:noWrap w:val="0"/>
                  <w:tcMar>
                    <w:top w:w="28" w:type="dxa"/>
                    <w:bottom w:w="28" w:type="dxa"/>
                  </w:tcMar>
                  <w:vAlign w:val="center"/>
                </w:tcPr>
                <w:p>
                  <w:pPr>
                    <w:ind w:firstLine="199" w:firstLineChars="95"/>
                    <w:jc w:val="center"/>
                    <w:rPr>
                      <w:rFonts w:hint="default" w:eastAsia="宋体"/>
                      <w:b w:val="0"/>
                      <w:bCs/>
                      <w:szCs w:val="21"/>
                      <w:u w:val="none"/>
                      <w:lang w:val="en-US" w:eastAsia="zh-CN"/>
                    </w:rPr>
                  </w:pPr>
                  <w:r>
                    <w:rPr>
                      <w:rFonts w:hint="eastAsia"/>
                      <w:b w:val="0"/>
                      <w:bCs/>
                      <w:szCs w:val="21"/>
                      <w:u w:val="none"/>
                      <w:lang w:val="en-US" w:eastAsia="zh-CN"/>
                    </w:rPr>
                    <w:t>0.00004</w:t>
                  </w:r>
                </w:p>
              </w:tc>
            </w:tr>
          </w:tbl>
          <w:p>
            <w:pPr>
              <w:spacing w:line="460" w:lineRule="exact"/>
              <w:ind w:firstLine="480" w:firstLineChars="200"/>
              <w:textAlignment w:val="baseline"/>
              <w:rPr>
                <w:rFonts w:hint="eastAsia"/>
                <w:b w:val="0"/>
                <w:bCs/>
                <w:sz w:val="24"/>
                <w:u w:val="none"/>
              </w:rPr>
            </w:pPr>
            <w:r>
              <w:rPr>
                <w:b w:val="0"/>
                <w:bCs/>
                <w:sz w:val="24"/>
                <w:u w:val="none"/>
              </w:rPr>
              <w:t>由上表可知，本项目涉及危险物质的Q值为</w:t>
            </w:r>
            <w:r>
              <w:rPr>
                <w:rFonts w:hint="eastAsia"/>
                <w:b w:val="0"/>
                <w:bCs/>
                <w:sz w:val="24"/>
                <w:u w:val="none"/>
                <w:lang w:val="en-US" w:eastAsia="zh-CN"/>
              </w:rPr>
              <w:t>0.00004</w:t>
            </w:r>
            <w:r>
              <w:rPr>
                <w:b w:val="0"/>
                <w:bCs/>
                <w:sz w:val="24"/>
                <w:u w:val="none"/>
              </w:rPr>
              <w:t>＜1</w:t>
            </w:r>
            <w:r>
              <w:rPr>
                <w:rFonts w:hint="eastAsia"/>
                <w:b w:val="0"/>
                <w:bCs/>
                <w:sz w:val="24"/>
                <w:u w:val="none"/>
              </w:rPr>
              <w:t>，因此本项目无需开展环境风险专项评价。</w:t>
            </w:r>
          </w:p>
          <w:p>
            <w:pPr>
              <w:adjustRightInd w:val="0"/>
              <w:snapToGrid w:val="0"/>
              <w:spacing w:line="460" w:lineRule="exact"/>
              <w:ind w:firstLine="482" w:firstLineChars="200"/>
              <w:jc w:val="left"/>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lang w:val="en-US" w:eastAsia="zh-CN"/>
              </w:rPr>
              <w:t>6.3</w:t>
            </w:r>
            <w:r>
              <w:rPr>
                <w:rFonts w:ascii="Times New Roman" w:hAnsi="Times New Roman" w:eastAsia="宋体" w:cs="Times New Roman"/>
                <w:b/>
                <w:bCs/>
                <w:color w:val="000000"/>
                <w:sz w:val="24"/>
              </w:rPr>
              <w:t xml:space="preserve">环境风险识别 </w:t>
            </w:r>
          </w:p>
          <w:p>
            <w:pPr>
              <w:widowControl/>
              <w:spacing w:line="460" w:lineRule="exact"/>
              <w:ind w:firstLine="480" w:firstLineChars="200"/>
              <w:textAlignment w:val="baseline"/>
              <w:rPr>
                <w:color w:val="000000"/>
                <w:sz w:val="24"/>
              </w:rPr>
            </w:pPr>
            <w:r>
              <w:rPr>
                <w:b w:val="0"/>
                <w:bCs w:val="0"/>
                <w:color w:val="000000"/>
                <w:sz w:val="24"/>
                <w:u w:val="none"/>
              </w:rPr>
              <w:t>项目涉及的风险物质为</w:t>
            </w:r>
            <w:r>
              <w:rPr>
                <w:b/>
                <w:bCs/>
                <w:color w:val="000000"/>
                <w:sz w:val="24"/>
                <w:u w:val="single"/>
              </w:rPr>
              <w:t>水性油墨</w:t>
            </w:r>
            <w:r>
              <w:rPr>
                <w:rFonts w:hint="eastAsia"/>
                <w:b/>
                <w:bCs/>
                <w:color w:val="000000"/>
                <w:sz w:val="24"/>
                <w:u w:val="single"/>
              </w:rPr>
              <w:t>中的</w:t>
            </w:r>
            <w:r>
              <w:rPr>
                <w:rFonts w:hint="eastAsia"/>
                <w:b/>
                <w:bCs/>
                <w:color w:val="000000"/>
                <w:sz w:val="24"/>
                <w:u w:val="single"/>
                <w:lang w:val="en-US" w:eastAsia="zh-CN"/>
              </w:rPr>
              <w:t>丙二醇丁醚、丙烯酸树脂等</w:t>
            </w:r>
            <w:r>
              <w:rPr>
                <w:rFonts w:hint="eastAsia"/>
                <w:b w:val="0"/>
                <w:bCs w:val="0"/>
                <w:color w:val="000000"/>
                <w:sz w:val="24"/>
                <w:u w:val="none"/>
              </w:rPr>
              <w:t>及</w:t>
            </w:r>
            <w:r>
              <w:rPr>
                <w:rFonts w:hint="eastAsia"/>
                <w:b w:val="0"/>
                <w:bCs w:val="0"/>
                <w:color w:val="000000"/>
                <w:sz w:val="24"/>
                <w:u w:val="none"/>
                <w:lang w:val="en-US" w:eastAsia="zh-CN"/>
              </w:rPr>
              <w:t>设备更换产生的废</w:t>
            </w:r>
            <w:r>
              <w:rPr>
                <w:rFonts w:hint="eastAsia"/>
                <w:b w:val="0"/>
                <w:bCs w:val="0"/>
                <w:color w:val="000000"/>
                <w:sz w:val="24"/>
                <w:u w:val="none"/>
              </w:rPr>
              <w:t>液压油。</w:t>
            </w:r>
            <w:r>
              <w:rPr>
                <w:color w:val="000000"/>
                <w:sz w:val="24"/>
              </w:rPr>
              <w:t>生产过程中存在的主要风险为在储存和使用过程中</w:t>
            </w:r>
            <w:r>
              <w:rPr>
                <w:rFonts w:hint="eastAsia"/>
                <w:color w:val="000000"/>
                <w:sz w:val="24"/>
              </w:rPr>
              <w:t>发生</w:t>
            </w:r>
            <w:r>
              <w:rPr>
                <w:color w:val="000000"/>
                <w:sz w:val="24"/>
              </w:rPr>
              <w:t>泄漏和火灾。</w:t>
            </w:r>
          </w:p>
          <w:p>
            <w:pPr>
              <w:adjustRightInd w:val="0"/>
              <w:snapToGrid w:val="0"/>
              <w:spacing w:line="460" w:lineRule="exact"/>
              <w:ind w:firstLine="482" w:firstLineChars="200"/>
              <w:jc w:val="left"/>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lang w:val="en-US" w:eastAsia="zh-CN"/>
              </w:rPr>
              <w:t>6.4</w:t>
            </w:r>
            <w:r>
              <w:rPr>
                <w:rFonts w:ascii="Times New Roman" w:hAnsi="Times New Roman" w:eastAsia="宋体" w:cs="Times New Roman"/>
                <w:b/>
                <w:bCs/>
                <w:color w:val="000000"/>
                <w:sz w:val="24"/>
              </w:rPr>
              <w:t xml:space="preserve">环境风险防范措施 </w:t>
            </w:r>
          </w:p>
          <w:p>
            <w:pPr>
              <w:spacing w:line="460" w:lineRule="exact"/>
              <w:ind w:firstLine="480" w:firstLineChars="200"/>
              <w:textAlignment w:val="baseline"/>
              <w:rPr>
                <w:rFonts w:hint="eastAsia"/>
                <w:b w:val="0"/>
                <w:bCs w:val="0"/>
                <w:color w:val="000000"/>
                <w:sz w:val="24"/>
                <w:u w:val="none"/>
              </w:rPr>
            </w:pPr>
            <w:r>
              <w:rPr>
                <w:rFonts w:hint="eastAsia"/>
                <w:b w:val="0"/>
                <w:bCs w:val="0"/>
                <w:color w:val="000000"/>
                <w:sz w:val="24"/>
                <w:u w:val="none"/>
              </w:rPr>
              <w:t>①</w:t>
            </w:r>
            <w:r>
              <w:rPr>
                <w:rFonts w:hint="eastAsia"/>
                <w:b w:val="0"/>
                <w:bCs w:val="0"/>
                <w:color w:val="000000"/>
                <w:sz w:val="24"/>
                <w:u w:val="none"/>
                <w:lang w:val="en-US" w:eastAsia="zh-CN"/>
              </w:rPr>
              <w:t>水性油墨</w:t>
            </w:r>
            <w:r>
              <w:rPr>
                <w:rFonts w:hint="eastAsia"/>
                <w:b w:val="0"/>
                <w:bCs w:val="0"/>
                <w:color w:val="000000"/>
                <w:sz w:val="24"/>
                <w:u w:val="none"/>
                <w:lang w:eastAsia="zh-CN"/>
              </w:rPr>
              <w:t>存放区（生产区域、原料区）应做好地面防渗措施，设置围堰或下设托盘，防止物料泄漏时扩延污染范围。并且设专人负责存放区的管理，物料加盖密封存放，定期巡查，发生泄漏时及时发现及时处理；</w:t>
            </w:r>
          </w:p>
          <w:p>
            <w:pPr>
              <w:spacing w:line="460" w:lineRule="exact"/>
              <w:ind w:firstLine="480" w:firstLineChars="200"/>
              <w:textAlignment w:val="baseline"/>
              <w:rPr>
                <w:rFonts w:hint="eastAsia" w:eastAsia="宋体"/>
                <w:b w:val="0"/>
                <w:bCs w:val="0"/>
                <w:color w:val="000000"/>
                <w:sz w:val="24"/>
                <w:u w:val="none"/>
                <w:lang w:eastAsia="zh-CN"/>
              </w:rPr>
            </w:pPr>
            <w:r>
              <w:rPr>
                <w:rFonts w:hint="eastAsia"/>
                <w:b w:val="0"/>
                <w:bCs w:val="0"/>
                <w:color w:val="000000"/>
                <w:sz w:val="24"/>
                <w:u w:val="none"/>
                <w:lang w:val="en-US" w:eastAsia="zh-CN"/>
              </w:rPr>
              <w:t>②</w:t>
            </w:r>
            <w:r>
              <w:rPr>
                <w:b w:val="0"/>
                <w:bCs w:val="0"/>
                <w:color w:val="000000"/>
                <w:sz w:val="24"/>
                <w:u w:val="none"/>
              </w:rPr>
              <w:t>设置规范化的危废暂存间</w:t>
            </w:r>
            <w:r>
              <w:rPr>
                <w:rFonts w:hint="eastAsia"/>
                <w:b w:val="0"/>
                <w:bCs w:val="0"/>
                <w:color w:val="000000"/>
                <w:sz w:val="24"/>
                <w:u w:val="none"/>
              </w:rPr>
              <w:t>，储存区设置围堰</w:t>
            </w:r>
            <w:r>
              <w:rPr>
                <w:rFonts w:hint="eastAsia"/>
                <w:b w:val="0"/>
                <w:bCs w:val="0"/>
                <w:color w:val="000000"/>
                <w:sz w:val="24"/>
                <w:u w:val="none"/>
                <w:lang w:eastAsia="zh-CN"/>
              </w:rPr>
              <w:t>，</w:t>
            </w:r>
            <w:r>
              <w:rPr>
                <w:rFonts w:hint="eastAsia"/>
                <w:b w:val="0"/>
                <w:bCs w:val="0"/>
                <w:color w:val="000000"/>
                <w:sz w:val="24"/>
                <w:u w:val="none"/>
              </w:rPr>
              <w:t>配备灭火器等消防物资</w:t>
            </w:r>
            <w:r>
              <w:rPr>
                <w:rFonts w:hint="eastAsia"/>
                <w:b w:val="0"/>
                <w:bCs w:val="0"/>
                <w:color w:val="000000"/>
                <w:sz w:val="24"/>
                <w:u w:val="none"/>
                <w:lang w:eastAsia="zh-CN"/>
              </w:rPr>
              <w:t>，</w:t>
            </w:r>
            <w:r>
              <w:rPr>
                <w:rFonts w:hint="eastAsia"/>
                <w:b w:val="0"/>
                <w:bCs w:val="0"/>
                <w:color w:val="000000"/>
                <w:sz w:val="24"/>
                <w:u w:val="none"/>
              </w:rPr>
              <w:t>危废暂存间内、外设置危废标识、禁烟防火标识、危险废物特性等标识牌</w:t>
            </w:r>
            <w:r>
              <w:rPr>
                <w:rFonts w:hint="eastAsia"/>
                <w:b w:val="0"/>
                <w:bCs w:val="0"/>
                <w:color w:val="000000"/>
                <w:sz w:val="24"/>
                <w:u w:val="none"/>
                <w:lang w:eastAsia="zh-CN"/>
              </w:rPr>
              <w:t>，</w:t>
            </w:r>
            <w:r>
              <w:rPr>
                <w:rFonts w:hint="eastAsia"/>
                <w:b w:val="0"/>
                <w:bCs w:val="0"/>
                <w:color w:val="000000"/>
                <w:sz w:val="24"/>
                <w:u w:val="none"/>
              </w:rPr>
              <w:t>设置专人负责，定期巡检</w:t>
            </w:r>
            <w:r>
              <w:rPr>
                <w:rFonts w:hint="eastAsia"/>
                <w:b w:val="0"/>
                <w:bCs w:val="0"/>
                <w:sz w:val="24"/>
                <w:u w:val="none"/>
                <w:lang w:eastAsia="zh-CN"/>
              </w:rPr>
              <w:t>。</w:t>
            </w:r>
          </w:p>
          <w:p>
            <w:pPr>
              <w:spacing w:line="460" w:lineRule="exact"/>
              <w:ind w:firstLine="480" w:firstLineChars="200"/>
              <w:textAlignment w:val="baseline"/>
              <w:rPr>
                <w:color w:val="000000"/>
                <w:sz w:val="24"/>
              </w:rPr>
            </w:pPr>
            <w:r>
              <w:rPr>
                <w:rFonts w:hint="eastAsia"/>
                <w:color w:val="000000"/>
                <w:sz w:val="24"/>
              </w:rPr>
              <w:t>②危险化学品贮存场所需保持干燥、阴凉、通风，禁止明火，并设防火禁烟标识牌；加强职工防火安全教育，配备足够的消防设施。</w:t>
            </w:r>
          </w:p>
          <w:p>
            <w:pPr>
              <w:spacing w:line="460" w:lineRule="exact"/>
              <w:ind w:firstLine="480" w:firstLineChars="200"/>
              <w:textAlignment w:val="baseline"/>
              <w:rPr>
                <w:color w:val="000000"/>
                <w:sz w:val="24"/>
              </w:rPr>
            </w:pPr>
            <w:r>
              <w:rPr>
                <w:rFonts w:hint="eastAsia"/>
                <w:color w:val="000000"/>
                <w:sz w:val="24"/>
              </w:rPr>
              <w:t>③建立安</w:t>
            </w:r>
            <w:r>
              <w:rPr>
                <w:color w:val="000000"/>
                <w:sz w:val="24"/>
              </w:rPr>
              <w:t xml:space="preserve">全生产岗位责任制，制定安全生产规章制度、安全操作规程，落实安全管理责任。严格岗位操作规程，加强操作人员的岗位培训和职业素质教育。 </w:t>
            </w:r>
          </w:p>
          <w:p>
            <w:pPr>
              <w:adjustRightInd w:val="0"/>
              <w:snapToGrid w:val="0"/>
              <w:spacing w:line="460" w:lineRule="exact"/>
              <w:ind w:firstLine="480" w:firstLineChars="200"/>
              <w:jc w:val="left"/>
              <w:rPr>
                <w:color w:val="000000"/>
                <w:sz w:val="24"/>
              </w:rPr>
            </w:pPr>
            <w:r>
              <w:rPr>
                <w:color w:val="000000"/>
                <w:sz w:val="24"/>
              </w:rPr>
              <w:t>本项目设计中采取了相应的风险防范措施，有效地减少了风险事故发生的 概率。通过加强管理、严格执行风险防范措施等，可有效避免事故发生，减轻事故的危害，环境风险可以接受。</w:t>
            </w:r>
          </w:p>
          <w:p>
            <w:pPr>
              <w:adjustRightInd w:val="0"/>
              <w:snapToGrid w:val="0"/>
              <w:spacing w:line="460" w:lineRule="exact"/>
              <w:ind w:firstLine="482" w:firstLineChars="200"/>
              <w:jc w:val="left"/>
              <w:rPr>
                <w:b/>
                <w:bCs/>
                <w:color w:val="000000"/>
                <w:sz w:val="24"/>
              </w:rPr>
            </w:pPr>
            <w:r>
              <w:rPr>
                <w:rFonts w:hint="eastAsia"/>
                <w:b/>
                <w:bCs/>
                <w:color w:val="000000"/>
                <w:sz w:val="24"/>
              </w:rPr>
              <w:t>7、污染物产排汇总</w:t>
            </w:r>
          </w:p>
          <w:p>
            <w:pPr>
              <w:spacing w:line="460" w:lineRule="exact"/>
              <w:ind w:firstLine="480" w:firstLineChars="200"/>
              <w:textAlignment w:val="baseline"/>
              <w:rPr>
                <w:color w:val="000000"/>
                <w:sz w:val="24"/>
              </w:rPr>
            </w:pPr>
            <w:r>
              <w:rPr>
                <w:rFonts w:hint="eastAsia"/>
                <w:color w:val="000000"/>
                <w:sz w:val="24"/>
              </w:rPr>
              <w:t>本项目</w:t>
            </w:r>
            <w:r>
              <w:rPr>
                <w:color w:val="000000"/>
                <w:sz w:val="24"/>
              </w:rPr>
              <w:t>污染物产排情况汇总见表</w:t>
            </w:r>
            <w:r>
              <w:rPr>
                <w:rFonts w:hint="eastAsia"/>
                <w:color w:val="000000"/>
                <w:sz w:val="24"/>
                <w:lang w:val="en-US" w:eastAsia="zh-CN"/>
              </w:rPr>
              <w:t>29</w:t>
            </w:r>
            <w:r>
              <w:rPr>
                <w:color w:val="000000"/>
                <w:sz w:val="24"/>
              </w:rPr>
              <w:t>。</w:t>
            </w:r>
          </w:p>
          <w:p>
            <w:pPr>
              <w:pStyle w:val="5"/>
              <w:numPr>
                <w:ilvl w:val="0"/>
                <w:numId w:val="0"/>
              </w:numPr>
              <w:ind w:firstLine="482" w:firstLineChars="200"/>
            </w:pPr>
            <w:r>
              <w:rPr>
                <w:rFonts w:hint="eastAsia"/>
              </w:rPr>
              <w:t>表</w:t>
            </w:r>
            <w:r>
              <w:rPr>
                <w:rFonts w:hint="eastAsia"/>
                <w:lang w:val="en-US" w:eastAsia="zh-CN"/>
              </w:rPr>
              <w:t>29</w:t>
            </w:r>
            <w:r>
              <w:t xml:space="preserve">    </w:t>
            </w:r>
            <w:r>
              <w:rPr>
                <w:rFonts w:hint="eastAsia"/>
              </w:rPr>
              <w:t xml:space="preserve"> </w:t>
            </w:r>
            <w:r>
              <w:t xml:space="preserve">     </w:t>
            </w:r>
            <w:r>
              <w:rPr>
                <w:rFonts w:hint="eastAsia"/>
              </w:rPr>
              <w:t>本项目</w:t>
            </w:r>
            <w:r>
              <w:t xml:space="preserve">污染物产排情况汇总一览表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76"/>
              <w:gridCol w:w="2864"/>
              <w:gridCol w:w="1285"/>
              <w:gridCol w:w="156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r>
                    <w:rPr>
                      <w:color w:val="000000"/>
                      <w:szCs w:val="21"/>
                    </w:rPr>
                    <w:t>类别</w:t>
                  </w:r>
                </w:p>
              </w:tc>
              <w:tc>
                <w:tcPr>
                  <w:tcW w:w="3640" w:type="dxa"/>
                  <w:gridSpan w:val="2"/>
                  <w:vAlign w:val="center"/>
                </w:tcPr>
                <w:p>
                  <w:pPr>
                    <w:spacing w:line="320" w:lineRule="exact"/>
                    <w:jc w:val="center"/>
                    <w:rPr>
                      <w:color w:val="000000"/>
                      <w:szCs w:val="21"/>
                    </w:rPr>
                  </w:pPr>
                  <w:r>
                    <w:rPr>
                      <w:color w:val="000000"/>
                      <w:szCs w:val="21"/>
                    </w:rPr>
                    <w:t>污染物名称</w:t>
                  </w:r>
                </w:p>
              </w:tc>
              <w:tc>
                <w:tcPr>
                  <w:tcW w:w="1285" w:type="dxa"/>
                  <w:vAlign w:val="center"/>
                </w:tcPr>
                <w:p>
                  <w:pPr>
                    <w:spacing w:line="320" w:lineRule="exact"/>
                    <w:jc w:val="center"/>
                    <w:rPr>
                      <w:color w:val="000000"/>
                      <w:szCs w:val="21"/>
                    </w:rPr>
                  </w:pPr>
                  <w:r>
                    <w:rPr>
                      <w:color w:val="000000"/>
                      <w:szCs w:val="21"/>
                    </w:rPr>
                    <w:t>产生量</w:t>
                  </w:r>
                </w:p>
              </w:tc>
              <w:tc>
                <w:tcPr>
                  <w:tcW w:w="1569" w:type="dxa"/>
                  <w:vAlign w:val="center"/>
                </w:tcPr>
                <w:p>
                  <w:pPr>
                    <w:spacing w:line="320" w:lineRule="exact"/>
                    <w:jc w:val="center"/>
                    <w:rPr>
                      <w:color w:val="000000"/>
                      <w:szCs w:val="21"/>
                    </w:rPr>
                  </w:pPr>
                  <w:r>
                    <w:rPr>
                      <w:color w:val="000000"/>
                      <w:szCs w:val="21"/>
                    </w:rPr>
                    <w:t>削减量</w:t>
                  </w:r>
                </w:p>
              </w:tc>
              <w:tc>
                <w:tcPr>
                  <w:tcW w:w="1215" w:type="dxa"/>
                  <w:vAlign w:val="center"/>
                </w:tcPr>
                <w:p>
                  <w:pPr>
                    <w:spacing w:line="320" w:lineRule="exact"/>
                    <w:jc w:val="center"/>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r>
                    <w:rPr>
                      <w:color w:val="000000"/>
                      <w:szCs w:val="21"/>
                    </w:rPr>
                    <w:t>废气</w:t>
                  </w:r>
                </w:p>
              </w:tc>
              <w:tc>
                <w:tcPr>
                  <w:tcW w:w="3640" w:type="dxa"/>
                  <w:gridSpan w:val="2"/>
                  <w:vAlign w:val="center"/>
                </w:tcPr>
                <w:p>
                  <w:pPr>
                    <w:spacing w:line="320" w:lineRule="exact"/>
                    <w:jc w:val="center"/>
                    <w:rPr>
                      <w:color w:val="000000"/>
                      <w:szCs w:val="21"/>
                    </w:rPr>
                  </w:pPr>
                  <w:r>
                    <w:rPr>
                      <w:rFonts w:hint="eastAsia"/>
                      <w:color w:val="000000"/>
                      <w:szCs w:val="21"/>
                    </w:rPr>
                    <w:t>非甲烷总烃</w:t>
                  </w:r>
                  <w:r>
                    <w:rPr>
                      <w:color w:val="000000"/>
                      <w:szCs w:val="21"/>
                    </w:rPr>
                    <w:t>（t/a）</w:t>
                  </w:r>
                </w:p>
              </w:tc>
              <w:tc>
                <w:tcPr>
                  <w:tcW w:w="1285" w:type="dxa"/>
                  <w:vAlign w:val="center"/>
                </w:tcPr>
                <w:p>
                  <w:pPr>
                    <w:widowControl/>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0.593</w:t>
                  </w:r>
                </w:p>
              </w:tc>
              <w:tc>
                <w:tcPr>
                  <w:tcW w:w="1569" w:type="dxa"/>
                  <w:vAlign w:val="center"/>
                </w:tcPr>
                <w:p>
                  <w:pPr>
                    <w:spacing w:line="320" w:lineRule="exact"/>
                    <w:jc w:val="center"/>
                    <w:rPr>
                      <w:rFonts w:hint="default" w:eastAsia="宋体"/>
                      <w:b/>
                      <w:bCs/>
                      <w:color w:val="000000"/>
                      <w:szCs w:val="21"/>
                      <w:u w:val="single"/>
                      <w:lang w:val="en-US" w:eastAsia="zh-CN"/>
                    </w:rPr>
                  </w:pPr>
                  <w:r>
                    <w:rPr>
                      <w:rFonts w:hint="eastAsia"/>
                      <w:b/>
                      <w:bCs/>
                      <w:color w:val="000000"/>
                      <w:szCs w:val="21"/>
                      <w:u w:val="single"/>
                      <w:lang w:val="en-US" w:eastAsia="zh-CN"/>
                    </w:rPr>
                    <w:t>0.4838</w:t>
                  </w:r>
                </w:p>
              </w:tc>
              <w:tc>
                <w:tcPr>
                  <w:tcW w:w="1215" w:type="dxa"/>
                  <w:vAlign w:val="center"/>
                </w:tcPr>
                <w:p>
                  <w:pPr>
                    <w:spacing w:line="320" w:lineRule="exact"/>
                    <w:jc w:val="center"/>
                    <w:rPr>
                      <w:rFonts w:hint="default" w:eastAsia="宋体"/>
                      <w:b/>
                      <w:bCs/>
                      <w:color w:val="000000"/>
                      <w:szCs w:val="21"/>
                      <w:u w:val="single"/>
                      <w:lang w:val="en-US" w:eastAsia="zh-CN"/>
                    </w:rPr>
                  </w:pPr>
                  <w:r>
                    <w:rPr>
                      <w:rFonts w:hint="eastAsia"/>
                      <w:b/>
                      <w:bCs/>
                      <w:color w:val="000000"/>
                      <w:szCs w:val="21"/>
                      <w:u w:val="single"/>
                      <w:lang w:val="en-US" w:eastAsia="zh-CN"/>
                    </w:rPr>
                    <w:t>0.1092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spacing w:line="320" w:lineRule="exact"/>
                    <w:jc w:val="center"/>
                    <w:rPr>
                      <w:color w:val="000000"/>
                      <w:szCs w:val="21"/>
                    </w:rPr>
                  </w:pPr>
                  <w:r>
                    <w:rPr>
                      <w:color w:val="000000"/>
                      <w:szCs w:val="21"/>
                    </w:rPr>
                    <w:t>废水</w:t>
                  </w:r>
                </w:p>
              </w:tc>
              <w:tc>
                <w:tcPr>
                  <w:tcW w:w="3640" w:type="dxa"/>
                  <w:gridSpan w:val="2"/>
                  <w:vAlign w:val="center"/>
                </w:tcPr>
                <w:p>
                  <w:pPr>
                    <w:spacing w:line="320" w:lineRule="exact"/>
                    <w:jc w:val="center"/>
                    <w:rPr>
                      <w:color w:val="000000"/>
                      <w:szCs w:val="21"/>
                    </w:rPr>
                  </w:pPr>
                  <w:r>
                    <w:rPr>
                      <w:color w:val="000000"/>
                      <w:szCs w:val="21"/>
                    </w:rPr>
                    <w:t>废水量（m</w:t>
                  </w:r>
                  <w:r>
                    <w:rPr>
                      <w:color w:val="000000"/>
                      <w:szCs w:val="21"/>
                      <w:vertAlign w:val="superscript"/>
                    </w:rPr>
                    <w:t>3</w:t>
                  </w:r>
                  <w:r>
                    <w:rPr>
                      <w:color w:val="000000"/>
                      <w:szCs w:val="21"/>
                    </w:rPr>
                    <w:t>/a）</w:t>
                  </w:r>
                </w:p>
              </w:tc>
              <w:tc>
                <w:tcPr>
                  <w:tcW w:w="1285" w:type="dxa"/>
                  <w:vAlign w:val="center"/>
                </w:tcPr>
                <w:p>
                  <w:pPr>
                    <w:widowControl/>
                    <w:spacing w:line="320" w:lineRule="exact"/>
                    <w:jc w:val="center"/>
                    <w:rPr>
                      <w:rFonts w:hint="default" w:eastAsia="宋体"/>
                      <w:color w:val="000000"/>
                      <w:szCs w:val="21"/>
                      <w:lang w:val="en-US" w:eastAsia="zh-CN"/>
                    </w:rPr>
                  </w:pPr>
                  <w:r>
                    <w:rPr>
                      <w:rFonts w:hint="eastAsia"/>
                      <w:color w:val="000000"/>
                      <w:szCs w:val="21"/>
                      <w:lang w:val="en-US" w:eastAsia="zh-CN"/>
                    </w:rPr>
                    <w:t>220.8</w:t>
                  </w:r>
                </w:p>
              </w:tc>
              <w:tc>
                <w:tcPr>
                  <w:tcW w:w="1569" w:type="dxa"/>
                  <w:vAlign w:val="center"/>
                </w:tcPr>
                <w:p>
                  <w:pPr>
                    <w:widowControl/>
                    <w:spacing w:line="320" w:lineRule="exact"/>
                    <w:jc w:val="center"/>
                    <w:rPr>
                      <w:rFonts w:hint="eastAsia" w:eastAsia="宋体"/>
                      <w:color w:val="000000"/>
                      <w:szCs w:val="21"/>
                      <w:lang w:val="en-US" w:eastAsia="zh-CN"/>
                    </w:rPr>
                  </w:pPr>
                  <w:r>
                    <w:rPr>
                      <w:rFonts w:hint="eastAsia"/>
                      <w:color w:val="000000"/>
                      <w:szCs w:val="21"/>
                      <w:lang w:val="en-US" w:eastAsia="zh-CN"/>
                    </w:rPr>
                    <w:t>0</w:t>
                  </w:r>
                </w:p>
              </w:tc>
              <w:tc>
                <w:tcPr>
                  <w:tcW w:w="1215" w:type="dxa"/>
                  <w:vAlign w:val="center"/>
                </w:tcPr>
                <w:p>
                  <w:pPr>
                    <w:widowControl/>
                    <w:spacing w:line="320" w:lineRule="exact"/>
                    <w:jc w:val="center"/>
                    <w:rPr>
                      <w:rFonts w:hint="default" w:eastAsia="宋体"/>
                      <w:color w:val="000000"/>
                      <w:szCs w:val="21"/>
                      <w:lang w:val="en-US" w:eastAsia="zh-CN"/>
                    </w:rPr>
                  </w:pPr>
                  <w:r>
                    <w:rPr>
                      <w:rFonts w:hint="eastAsia"/>
                      <w:color w:val="000000"/>
                      <w:szCs w:val="21"/>
                      <w:lang w:val="en-US" w:eastAsia="zh-CN"/>
                    </w:rPr>
                    <w:t>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67" w:type="dxa"/>
                  <w:vMerge w:val="continue"/>
                </w:tcPr>
                <w:p>
                  <w:pPr>
                    <w:spacing w:line="320" w:lineRule="exact"/>
                    <w:jc w:val="center"/>
                    <w:rPr>
                      <w:color w:val="000000"/>
                      <w:szCs w:val="21"/>
                    </w:rPr>
                  </w:pPr>
                </w:p>
              </w:tc>
              <w:tc>
                <w:tcPr>
                  <w:tcW w:w="3640" w:type="dxa"/>
                  <w:gridSpan w:val="2"/>
                  <w:vAlign w:val="center"/>
                </w:tcPr>
                <w:p>
                  <w:pPr>
                    <w:spacing w:line="320" w:lineRule="exact"/>
                    <w:jc w:val="center"/>
                    <w:rPr>
                      <w:color w:val="000000"/>
                      <w:szCs w:val="21"/>
                    </w:rPr>
                  </w:pPr>
                  <w:r>
                    <w:rPr>
                      <w:color w:val="000000"/>
                      <w:szCs w:val="21"/>
                    </w:rPr>
                    <w:t>COD（t/a）</w:t>
                  </w:r>
                </w:p>
              </w:tc>
              <w:tc>
                <w:tcPr>
                  <w:tcW w:w="1285"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0.0773</w:t>
                  </w:r>
                </w:p>
              </w:tc>
              <w:tc>
                <w:tcPr>
                  <w:tcW w:w="1569"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0.0155</w:t>
                  </w:r>
                </w:p>
              </w:tc>
              <w:tc>
                <w:tcPr>
                  <w:tcW w:w="1215"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3640" w:type="dxa"/>
                  <w:gridSpan w:val="2"/>
                  <w:vAlign w:val="center"/>
                </w:tcPr>
                <w:p>
                  <w:pPr>
                    <w:spacing w:line="320" w:lineRule="exact"/>
                    <w:jc w:val="center"/>
                    <w:rPr>
                      <w:color w:val="000000"/>
                      <w:szCs w:val="21"/>
                    </w:rPr>
                  </w:pPr>
                  <w:r>
                    <w:rPr>
                      <w:color w:val="000000"/>
                      <w:szCs w:val="21"/>
                    </w:rPr>
                    <w:t>氨氮（t/a）</w:t>
                  </w:r>
                </w:p>
              </w:tc>
              <w:tc>
                <w:tcPr>
                  <w:tcW w:w="1285"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0.0442</w:t>
                  </w:r>
                </w:p>
              </w:tc>
              <w:tc>
                <w:tcPr>
                  <w:tcW w:w="1569"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0.0221</w:t>
                  </w:r>
                </w:p>
              </w:tc>
              <w:tc>
                <w:tcPr>
                  <w:tcW w:w="1215" w:type="dxa"/>
                  <w:vAlign w:val="center"/>
                </w:tcPr>
                <w:p>
                  <w:pPr>
                    <w:spacing w:line="320" w:lineRule="exact"/>
                    <w:jc w:val="center"/>
                    <w:rPr>
                      <w:rFonts w:hint="default" w:eastAsia="宋体"/>
                      <w:color w:val="000000"/>
                      <w:szCs w:val="21"/>
                      <w:lang w:val="en-US" w:eastAsia="zh-CN"/>
                    </w:rPr>
                  </w:pPr>
                  <w:r>
                    <w:rPr>
                      <w:rFonts w:hint="eastAsia"/>
                      <w:color w:val="000000"/>
                      <w:szCs w:val="21"/>
                      <w:lang w:val="en-US" w:eastAsia="zh-CN"/>
                    </w:rPr>
                    <w:t>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spacing w:line="320" w:lineRule="exact"/>
                    <w:jc w:val="center"/>
                    <w:rPr>
                      <w:color w:val="000000"/>
                      <w:szCs w:val="21"/>
                    </w:rPr>
                  </w:pPr>
                  <w:r>
                    <w:rPr>
                      <w:rFonts w:hint="eastAsia"/>
                      <w:color w:val="000000"/>
                      <w:szCs w:val="21"/>
                    </w:rPr>
                    <w:t>固体废物</w:t>
                  </w:r>
                </w:p>
              </w:tc>
              <w:tc>
                <w:tcPr>
                  <w:tcW w:w="3640" w:type="dxa"/>
                  <w:gridSpan w:val="2"/>
                  <w:vAlign w:val="center"/>
                </w:tcPr>
                <w:p>
                  <w:pPr>
                    <w:spacing w:line="320" w:lineRule="exact"/>
                    <w:jc w:val="center"/>
                    <w:rPr>
                      <w:color w:val="000000"/>
                      <w:szCs w:val="21"/>
                    </w:rPr>
                  </w:pPr>
                  <w:r>
                    <w:rPr>
                      <w:color w:val="000000"/>
                      <w:szCs w:val="21"/>
                    </w:rPr>
                    <w:t>生活垃圾（t/a）</w:t>
                  </w:r>
                </w:p>
              </w:tc>
              <w:tc>
                <w:tcPr>
                  <w:tcW w:w="1285" w:type="dxa"/>
                  <w:vAlign w:val="center"/>
                </w:tcPr>
                <w:p>
                  <w:pPr>
                    <w:widowControl/>
                    <w:spacing w:line="320" w:lineRule="exact"/>
                    <w:contextualSpacing/>
                    <w:jc w:val="center"/>
                    <w:rPr>
                      <w:rFonts w:hint="default" w:eastAsia="宋体"/>
                      <w:color w:val="000000"/>
                      <w:szCs w:val="21"/>
                      <w:lang w:val="en-US" w:eastAsia="zh-CN"/>
                    </w:rPr>
                  </w:pPr>
                  <w:r>
                    <w:rPr>
                      <w:rFonts w:hint="eastAsia"/>
                      <w:color w:val="000000"/>
                      <w:szCs w:val="21"/>
                      <w:lang w:val="en-US" w:eastAsia="zh-CN"/>
                    </w:rPr>
                    <w:t>3.45</w:t>
                  </w:r>
                </w:p>
              </w:tc>
              <w:tc>
                <w:tcPr>
                  <w:tcW w:w="1569" w:type="dxa"/>
                  <w:vAlign w:val="center"/>
                </w:tcPr>
                <w:p>
                  <w:pPr>
                    <w:widowControl/>
                    <w:spacing w:line="320" w:lineRule="exact"/>
                    <w:contextualSpacing/>
                    <w:jc w:val="center"/>
                    <w:rPr>
                      <w:rFonts w:hint="default" w:eastAsia="宋体"/>
                      <w:color w:val="000000"/>
                      <w:szCs w:val="21"/>
                      <w:lang w:val="en-US" w:eastAsia="zh-CN"/>
                    </w:rPr>
                  </w:pPr>
                  <w:r>
                    <w:rPr>
                      <w:rFonts w:hint="eastAsia"/>
                      <w:color w:val="000000"/>
                      <w:szCs w:val="21"/>
                      <w:lang w:val="en-US" w:eastAsia="zh-CN"/>
                    </w:rPr>
                    <w:t>3.45</w:t>
                  </w:r>
                </w:p>
              </w:tc>
              <w:tc>
                <w:tcPr>
                  <w:tcW w:w="1215" w:type="dxa"/>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7" w:type="dxa"/>
                  <w:vMerge w:val="continue"/>
                </w:tcPr>
                <w:p>
                  <w:pPr>
                    <w:spacing w:line="320" w:lineRule="exact"/>
                    <w:jc w:val="center"/>
                    <w:rPr>
                      <w:color w:val="000000"/>
                      <w:szCs w:val="21"/>
                    </w:rPr>
                  </w:pPr>
                </w:p>
              </w:tc>
              <w:tc>
                <w:tcPr>
                  <w:tcW w:w="776" w:type="dxa"/>
                  <w:vMerge w:val="restart"/>
                  <w:vAlign w:val="center"/>
                </w:tcPr>
                <w:p>
                  <w:pPr>
                    <w:spacing w:line="320" w:lineRule="exact"/>
                    <w:jc w:val="center"/>
                    <w:rPr>
                      <w:color w:val="000000"/>
                      <w:szCs w:val="21"/>
                    </w:rPr>
                  </w:pPr>
                  <w:r>
                    <w:rPr>
                      <w:rFonts w:hint="eastAsia"/>
                      <w:color w:val="000000"/>
                      <w:szCs w:val="21"/>
                    </w:rPr>
                    <w:t>一般固废</w:t>
                  </w:r>
                </w:p>
              </w:tc>
              <w:tc>
                <w:tcPr>
                  <w:tcW w:w="2864" w:type="dxa"/>
                  <w:vAlign w:val="center"/>
                </w:tcPr>
                <w:p>
                  <w:pPr>
                    <w:widowControl/>
                    <w:spacing w:line="320" w:lineRule="exact"/>
                    <w:contextualSpacing/>
                    <w:jc w:val="center"/>
                    <w:rPr>
                      <w:rFonts w:hint="eastAsia" w:eastAsia="宋体"/>
                      <w:color w:val="000000"/>
                      <w:szCs w:val="21"/>
                      <w:lang w:eastAsia="zh-CN"/>
                    </w:rPr>
                  </w:pPr>
                  <w:r>
                    <w:rPr>
                      <w:rFonts w:hint="eastAsia"/>
                      <w:szCs w:val="21"/>
                      <w:lang w:val="en-US" w:eastAsia="zh-CN"/>
                    </w:rPr>
                    <w:t>废包装袋</w:t>
                  </w:r>
                  <w:r>
                    <w:rPr>
                      <w:color w:val="000000"/>
                      <w:szCs w:val="21"/>
                    </w:rPr>
                    <w:t>（t/a）</w:t>
                  </w:r>
                </w:p>
              </w:tc>
              <w:tc>
                <w:tcPr>
                  <w:tcW w:w="1285" w:type="dxa"/>
                  <w:vAlign w:val="center"/>
                </w:tcPr>
                <w:p>
                  <w:pPr>
                    <w:widowControl/>
                    <w:spacing w:line="320" w:lineRule="exact"/>
                    <w:contextualSpacing/>
                    <w:jc w:val="center"/>
                    <w:rPr>
                      <w:rFonts w:hint="default" w:eastAsia="宋体"/>
                      <w:color w:val="000000"/>
                      <w:szCs w:val="21"/>
                      <w:lang w:val="en-US" w:eastAsia="zh-CN"/>
                    </w:rPr>
                  </w:pPr>
                  <w:r>
                    <w:rPr>
                      <w:rFonts w:hint="eastAsia"/>
                      <w:color w:val="000000"/>
                      <w:szCs w:val="21"/>
                      <w:lang w:val="en-US" w:eastAsia="zh-CN"/>
                    </w:rPr>
                    <w:t>0.4</w:t>
                  </w:r>
                </w:p>
              </w:tc>
              <w:tc>
                <w:tcPr>
                  <w:tcW w:w="1569" w:type="dxa"/>
                  <w:vAlign w:val="center"/>
                </w:tcPr>
                <w:p>
                  <w:pPr>
                    <w:widowControl/>
                    <w:spacing w:line="320" w:lineRule="exact"/>
                    <w:contextualSpacing/>
                    <w:jc w:val="center"/>
                    <w:rPr>
                      <w:rFonts w:hint="default" w:eastAsia="宋体"/>
                      <w:color w:val="000000"/>
                      <w:szCs w:val="21"/>
                      <w:lang w:val="en-US" w:eastAsia="zh-CN"/>
                    </w:rPr>
                  </w:pPr>
                  <w:r>
                    <w:rPr>
                      <w:rFonts w:hint="eastAsia"/>
                      <w:color w:val="000000"/>
                      <w:szCs w:val="21"/>
                      <w:lang w:val="en-US" w:eastAsia="zh-CN"/>
                    </w:rPr>
                    <w:t>0.4</w:t>
                  </w:r>
                </w:p>
              </w:tc>
              <w:tc>
                <w:tcPr>
                  <w:tcW w:w="1215" w:type="dxa"/>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7" w:type="dxa"/>
                  <w:vMerge w:val="continue"/>
                </w:tcPr>
                <w:p>
                  <w:pPr>
                    <w:spacing w:line="320" w:lineRule="exact"/>
                    <w:jc w:val="center"/>
                  </w:pPr>
                </w:p>
              </w:tc>
              <w:tc>
                <w:tcPr>
                  <w:tcW w:w="776" w:type="dxa"/>
                  <w:vMerge w:val="continue"/>
                  <w:vAlign w:val="center"/>
                </w:tcPr>
                <w:p>
                  <w:pPr>
                    <w:spacing w:line="320" w:lineRule="exact"/>
                    <w:jc w:val="center"/>
                  </w:pPr>
                </w:p>
              </w:tc>
              <w:tc>
                <w:tcPr>
                  <w:tcW w:w="2864" w:type="dxa"/>
                  <w:vAlign w:val="center"/>
                </w:tcPr>
                <w:p>
                  <w:pPr>
                    <w:spacing w:line="320" w:lineRule="exact"/>
                    <w:jc w:val="center"/>
                    <w:rPr>
                      <w:szCs w:val="21"/>
                    </w:rPr>
                  </w:pPr>
                  <w:r>
                    <w:rPr>
                      <w:rFonts w:hint="eastAsia"/>
                      <w:szCs w:val="21"/>
                      <w:lang w:val="en-US" w:eastAsia="zh-CN"/>
                    </w:rPr>
                    <w:t>废衬布边角料</w:t>
                  </w:r>
                  <w:r>
                    <w:rPr>
                      <w:color w:val="000000"/>
                      <w:szCs w:val="21"/>
                    </w:rPr>
                    <w:t>（t/a）</w:t>
                  </w:r>
                </w:p>
              </w:tc>
              <w:tc>
                <w:tcPr>
                  <w:tcW w:w="1285" w:type="dxa"/>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1.0</w:t>
                  </w:r>
                </w:p>
              </w:tc>
              <w:tc>
                <w:tcPr>
                  <w:tcW w:w="1569" w:type="dxa"/>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1.0</w:t>
                  </w:r>
                </w:p>
              </w:tc>
              <w:tc>
                <w:tcPr>
                  <w:tcW w:w="1215" w:type="dxa"/>
                  <w:vAlign w:val="center"/>
                </w:tcPr>
                <w:p>
                  <w:pPr>
                    <w:spacing w:line="320" w:lineRule="exact"/>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7" w:type="dxa"/>
                  <w:vMerge w:val="continue"/>
                </w:tcPr>
                <w:p>
                  <w:pPr>
                    <w:spacing w:line="320" w:lineRule="exact"/>
                    <w:jc w:val="center"/>
                  </w:pPr>
                </w:p>
              </w:tc>
              <w:tc>
                <w:tcPr>
                  <w:tcW w:w="776" w:type="dxa"/>
                  <w:vMerge w:val="continue"/>
                  <w:vAlign w:val="center"/>
                </w:tcPr>
                <w:p>
                  <w:pPr>
                    <w:spacing w:line="320" w:lineRule="exact"/>
                    <w:jc w:val="center"/>
                  </w:pPr>
                </w:p>
              </w:tc>
              <w:tc>
                <w:tcPr>
                  <w:tcW w:w="2864" w:type="dxa"/>
                  <w:vAlign w:val="center"/>
                </w:tcPr>
                <w:p>
                  <w:pPr>
                    <w:spacing w:line="320" w:lineRule="exact"/>
                    <w:jc w:val="center"/>
                    <w:rPr>
                      <w:rFonts w:hint="default" w:eastAsia="宋体"/>
                      <w:szCs w:val="21"/>
                      <w:lang w:val="en-US" w:eastAsia="zh-CN"/>
                    </w:rPr>
                  </w:pPr>
                  <w:r>
                    <w:rPr>
                      <w:rFonts w:hint="eastAsia"/>
                      <w:szCs w:val="21"/>
                      <w:lang w:val="en-US" w:eastAsia="zh-CN"/>
                    </w:rPr>
                    <w:t>废大力棉边角料</w:t>
                  </w:r>
                  <w:r>
                    <w:rPr>
                      <w:color w:val="000000"/>
                      <w:szCs w:val="21"/>
                    </w:rPr>
                    <w:t>（t/a）</w:t>
                  </w:r>
                </w:p>
              </w:tc>
              <w:tc>
                <w:tcPr>
                  <w:tcW w:w="1285" w:type="dxa"/>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1.2</w:t>
                  </w:r>
                </w:p>
              </w:tc>
              <w:tc>
                <w:tcPr>
                  <w:tcW w:w="1569" w:type="dxa"/>
                  <w:vAlign w:val="center"/>
                </w:tcPr>
                <w:p>
                  <w:pPr>
                    <w:widowControl/>
                    <w:spacing w:line="320" w:lineRule="exact"/>
                    <w:contextualSpacing/>
                    <w:jc w:val="center"/>
                    <w:rPr>
                      <w:rFonts w:hint="default" w:eastAsia="宋体"/>
                      <w:szCs w:val="21"/>
                      <w:lang w:val="en-US" w:eastAsia="zh-CN"/>
                    </w:rPr>
                  </w:pPr>
                  <w:r>
                    <w:rPr>
                      <w:rFonts w:hint="eastAsia"/>
                      <w:szCs w:val="21"/>
                      <w:lang w:val="en-US" w:eastAsia="zh-CN"/>
                    </w:rPr>
                    <w:t>1.2</w:t>
                  </w:r>
                </w:p>
              </w:tc>
              <w:tc>
                <w:tcPr>
                  <w:tcW w:w="1215" w:type="dxa"/>
                  <w:vAlign w:val="center"/>
                </w:tcPr>
                <w:p>
                  <w:pPr>
                    <w:spacing w:line="320" w:lineRule="exact"/>
                    <w:jc w:val="center"/>
                    <w:rPr>
                      <w:rFonts w:hint="default"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7" w:type="dxa"/>
                  <w:vMerge w:val="continue"/>
                </w:tcPr>
                <w:p>
                  <w:pPr>
                    <w:spacing w:line="320" w:lineRule="exact"/>
                    <w:jc w:val="center"/>
                  </w:pPr>
                </w:p>
              </w:tc>
              <w:tc>
                <w:tcPr>
                  <w:tcW w:w="776" w:type="dxa"/>
                  <w:vMerge w:val="continue"/>
                  <w:vAlign w:val="center"/>
                </w:tcPr>
                <w:p>
                  <w:pPr>
                    <w:spacing w:line="320" w:lineRule="exact"/>
                    <w:jc w:val="center"/>
                  </w:pPr>
                </w:p>
              </w:tc>
              <w:tc>
                <w:tcPr>
                  <w:tcW w:w="2864" w:type="dxa"/>
                  <w:vAlign w:val="center"/>
                </w:tcPr>
                <w:p>
                  <w:pPr>
                    <w:spacing w:line="320" w:lineRule="exact"/>
                    <w:jc w:val="center"/>
                    <w:rPr>
                      <w:rFonts w:hint="default"/>
                      <w:szCs w:val="21"/>
                      <w:lang w:val="en-US" w:eastAsia="zh-CN"/>
                    </w:rPr>
                  </w:pPr>
                  <w:r>
                    <w:rPr>
                      <w:rFonts w:hint="eastAsia"/>
                      <w:szCs w:val="21"/>
                      <w:lang w:val="en-US" w:eastAsia="zh-CN"/>
                    </w:rPr>
                    <w:t>废鞋垫边角料</w:t>
                  </w:r>
                  <w:r>
                    <w:rPr>
                      <w:color w:val="000000"/>
                      <w:szCs w:val="21"/>
                    </w:rPr>
                    <w:t>（t/a）</w:t>
                  </w:r>
                </w:p>
              </w:tc>
              <w:tc>
                <w:tcPr>
                  <w:tcW w:w="1285" w:type="dxa"/>
                  <w:vAlign w:val="center"/>
                </w:tcPr>
                <w:p>
                  <w:pPr>
                    <w:widowControl/>
                    <w:spacing w:line="320" w:lineRule="exact"/>
                    <w:contextualSpacing/>
                    <w:jc w:val="center"/>
                    <w:rPr>
                      <w:rFonts w:hint="default"/>
                      <w:szCs w:val="21"/>
                      <w:lang w:val="en-US" w:eastAsia="zh-CN"/>
                    </w:rPr>
                  </w:pPr>
                  <w:r>
                    <w:rPr>
                      <w:rFonts w:hint="eastAsia"/>
                      <w:szCs w:val="21"/>
                      <w:lang w:val="en-US" w:eastAsia="zh-CN"/>
                    </w:rPr>
                    <w:t>0.8</w:t>
                  </w:r>
                </w:p>
              </w:tc>
              <w:tc>
                <w:tcPr>
                  <w:tcW w:w="1569" w:type="dxa"/>
                  <w:vAlign w:val="center"/>
                </w:tcPr>
                <w:p>
                  <w:pPr>
                    <w:widowControl/>
                    <w:spacing w:line="320" w:lineRule="exact"/>
                    <w:contextualSpacing/>
                    <w:jc w:val="center"/>
                    <w:rPr>
                      <w:rFonts w:hint="eastAsia"/>
                      <w:szCs w:val="21"/>
                      <w:lang w:val="en-US" w:eastAsia="zh-CN"/>
                    </w:rPr>
                  </w:pPr>
                  <w:r>
                    <w:rPr>
                      <w:rFonts w:hint="eastAsia"/>
                      <w:szCs w:val="21"/>
                      <w:lang w:val="en-US" w:eastAsia="zh-CN"/>
                    </w:rPr>
                    <w:t>0.8</w:t>
                  </w:r>
                </w:p>
              </w:tc>
              <w:tc>
                <w:tcPr>
                  <w:tcW w:w="1215" w:type="dxa"/>
                  <w:vAlign w:val="center"/>
                </w:tcPr>
                <w:p>
                  <w:pPr>
                    <w:spacing w:line="320" w:lineRule="exact"/>
                    <w:jc w:val="center"/>
                    <w:rPr>
                      <w:rFonts w:hint="default"/>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restart"/>
                  <w:vAlign w:val="center"/>
                </w:tcPr>
                <w:p>
                  <w:pPr>
                    <w:spacing w:line="320" w:lineRule="exact"/>
                    <w:jc w:val="center"/>
                    <w:rPr>
                      <w:color w:val="000000"/>
                      <w:szCs w:val="21"/>
                    </w:rPr>
                  </w:pPr>
                  <w:r>
                    <w:rPr>
                      <w:rFonts w:hint="eastAsia"/>
                      <w:color w:val="000000"/>
                      <w:szCs w:val="21"/>
                    </w:rPr>
                    <w:t>危险废物</w:t>
                  </w:r>
                </w:p>
              </w:tc>
              <w:tc>
                <w:tcPr>
                  <w:tcW w:w="2864" w:type="dxa"/>
                  <w:vAlign w:val="center"/>
                </w:tcPr>
                <w:p>
                  <w:pPr>
                    <w:widowControl/>
                    <w:spacing w:line="320" w:lineRule="exact"/>
                    <w:contextualSpacing/>
                    <w:jc w:val="center"/>
                    <w:rPr>
                      <w:rFonts w:hint="default" w:eastAsia="宋体"/>
                      <w:b/>
                      <w:bCs/>
                      <w:szCs w:val="21"/>
                      <w:u w:val="single"/>
                      <w:lang w:val="en-US" w:eastAsia="zh-CN"/>
                    </w:rPr>
                  </w:pPr>
                  <w:r>
                    <w:rPr>
                      <w:rFonts w:hint="eastAsia"/>
                      <w:b w:val="0"/>
                      <w:bCs w:val="0"/>
                      <w:szCs w:val="21"/>
                      <w:u w:val="none"/>
                      <w:lang w:val="en-US" w:eastAsia="zh-CN"/>
                    </w:rPr>
                    <w:t>废液压油（t/a）</w:t>
                  </w:r>
                </w:p>
              </w:tc>
              <w:tc>
                <w:tcPr>
                  <w:tcW w:w="1285" w:type="dxa"/>
                  <w:vAlign w:val="center"/>
                </w:tcPr>
                <w:p>
                  <w:pPr>
                    <w:widowControl/>
                    <w:spacing w:line="320" w:lineRule="exact"/>
                    <w:contextualSpacing/>
                    <w:jc w:val="center"/>
                    <w:rPr>
                      <w:rFonts w:hint="default" w:eastAsia="宋体"/>
                      <w:b w:val="0"/>
                      <w:bCs w:val="0"/>
                      <w:szCs w:val="21"/>
                      <w:u w:val="none"/>
                      <w:lang w:val="en-US" w:eastAsia="zh-CN"/>
                    </w:rPr>
                  </w:pPr>
                  <w:r>
                    <w:rPr>
                      <w:rFonts w:hint="eastAsia"/>
                      <w:b w:val="0"/>
                      <w:bCs w:val="0"/>
                      <w:szCs w:val="21"/>
                      <w:u w:val="none"/>
                      <w:lang w:val="en-US" w:eastAsia="zh-CN"/>
                    </w:rPr>
                    <w:t>0.1</w:t>
                  </w:r>
                </w:p>
              </w:tc>
              <w:tc>
                <w:tcPr>
                  <w:tcW w:w="1569" w:type="dxa"/>
                  <w:vAlign w:val="center"/>
                </w:tcPr>
                <w:p>
                  <w:pPr>
                    <w:widowControl/>
                    <w:spacing w:line="320" w:lineRule="exact"/>
                    <w:contextualSpacing/>
                    <w:jc w:val="center"/>
                    <w:rPr>
                      <w:rFonts w:hint="default" w:eastAsia="宋体"/>
                      <w:b w:val="0"/>
                      <w:bCs w:val="0"/>
                      <w:szCs w:val="21"/>
                      <w:u w:val="none"/>
                      <w:lang w:val="en-US" w:eastAsia="zh-CN"/>
                    </w:rPr>
                  </w:pPr>
                  <w:r>
                    <w:rPr>
                      <w:rFonts w:hint="eastAsia"/>
                      <w:b w:val="0"/>
                      <w:bCs w:val="0"/>
                      <w:szCs w:val="21"/>
                      <w:u w:val="none"/>
                      <w:lang w:val="en-US" w:eastAsia="zh-CN"/>
                    </w:rPr>
                    <w:t>0.1</w:t>
                  </w:r>
                </w:p>
              </w:tc>
              <w:tc>
                <w:tcPr>
                  <w:tcW w:w="1215" w:type="dxa"/>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continue"/>
                  <w:vAlign w:val="center"/>
                </w:tcPr>
                <w:p>
                  <w:pPr>
                    <w:spacing w:line="320" w:lineRule="exact"/>
                    <w:jc w:val="center"/>
                    <w:rPr>
                      <w:color w:val="000000"/>
                      <w:szCs w:val="21"/>
                    </w:rPr>
                  </w:pPr>
                </w:p>
              </w:tc>
              <w:tc>
                <w:tcPr>
                  <w:tcW w:w="2864" w:type="dxa"/>
                  <w:vAlign w:val="center"/>
                </w:tcPr>
                <w:p>
                  <w:pPr>
                    <w:widowControl/>
                    <w:spacing w:line="320" w:lineRule="exact"/>
                    <w:contextualSpacing/>
                    <w:jc w:val="center"/>
                    <w:rPr>
                      <w:rFonts w:hint="eastAsia" w:ascii="Times New Roman" w:hAnsi="Times New Roman" w:eastAsia="宋体" w:cs="Times New Roman"/>
                      <w:b/>
                      <w:bCs/>
                      <w:kern w:val="2"/>
                      <w:sz w:val="21"/>
                      <w:szCs w:val="21"/>
                      <w:u w:val="single"/>
                      <w:lang w:val="en-US" w:eastAsia="zh-CN" w:bidi="ar-SA"/>
                    </w:rPr>
                  </w:pPr>
                  <w:r>
                    <w:rPr>
                      <w:rFonts w:hint="eastAsia"/>
                      <w:szCs w:val="21"/>
                    </w:rPr>
                    <w:t>废UV灯管</w:t>
                  </w:r>
                  <w:r>
                    <w:rPr>
                      <w:color w:val="000000"/>
                      <w:szCs w:val="21"/>
                    </w:rPr>
                    <w:t>（t/a）</w:t>
                  </w:r>
                </w:p>
              </w:tc>
              <w:tc>
                <w:tcPr>
                  <w:tcW w:w="1285" w:type="dxa"/>
                  <w:vAlign w:val="center"/>
                </w:tcPr>
                <w:p>
                  <w:pPr>
                    <w:widowControl/>
                    <w:spacing w:line="320" w:lineRule="exact"/>
                    <w:contextualSpacing/>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0.02</w:t>
                  </w:r>
                </w:p>
              </w:tc>
              <w:tc>
                <w:tcPr>
                  <w:tcW w:w="1569" w:type="dxa"/>
                  <w:vAlign w:val="center"/>
                </w:tcPr>
                <w:p>
                  <w:pPr>
                    <w:widowControl/>
                    <w:spacing w:line="320" w:lineRule="exact"/>
                    <w:contextualSpacing/>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0.02</w:t>
                  </w:r>
                </w:p>
              </w:tc>
              <w:tc>
                <w:tcPr>
                  <w:tcW w:w="1215" w:type="dxa"/>
                  <w:vAlign w:val="center"/>
                </w:tcPr>
                <w:p>
                  <w:pPr>
                    <w:spacing w:line="320" w:lineRule="exact"/>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continue"/>
                  <w:vAlign w:val="center"/>
                </w:tcPr>
                <w:p>
                  <w:pPr>
                    <w:spacing w:line="320" w:lineRule="exact"/>
                    <w:jc w:val="center"/>
                    <w:rPr>
                      <w:color w:val="000000"/>
                      <w:szCs w:val="21"/>
                    </w:rPr>
                  </w:pPr>
                </w:p>
              </w:tc>
              <w:tc>
                <w:tcPr>
                  <w:tcW w:w="2864" w:type="dxa"/>
                  <w:vAlign w:val="center"/>
                </w:tcPr>
                <w:p>
                  <w:pPr>
                    <w:widowControl/>
                    <w:spacing w:line="320" w:lineRule="exact"/>
                    <w:contextualSpacing/>
                    <w:jc w:val="center"/>
                    <w:rPr>
                      <w:szCs w:val="21"/>
                    </w:rPr>
                  </w:pPr>
                  <w:r>
                    <w:rPr>
                      <w:rFonts w:hint="eastAsia"/>
                      <w:szCs w:val="21"/>
                    </w:rPr>
                    <w:t>废活性炭</w:t>
                  </w:r>
                  <w:r>
                    <w:rPr>
                      <w:color w:val="000000"/>
                      <w:szCs w:val="21"/>
                    </w:rPr>
                    <w:t>（t/a）</w:t>
                  </w:r>
                </w:p>
              </w:tc>
              <w:tc>
                <w:tcPr>
                  <w:tcW w:w="1285" w:type="dxa"/>
                  <w:vAlign w:val="center"/>
                </w:tcPr>
                <w:p>
                  <w:pPr>
                    <w:widowControl/>
                    <w:spacing w:line="320" w:lineRule="exact"/>
                    <w:contextualSpacing/>
                    <w:jc w:val="center"/>
                    <w:rPr>
                      <w:rFonts w:hint="default" w:eastAsia="宋体"/>
                      <w:b/>
                      <w:bCs/>
                      <w:szCs w:val="21"/>
                      <w:u w:val="single"/>
                      <w:lang w:val="en-US" w:eastAsia="zh-CN"/>
                    </w:rPr>
                  </w:pPr>
                  <w:r>
                    <w:rPr>
                      <w:rFonts w:hint="default" w:eastAsia="宋体"/>
                      <w:b/>
                      <w:bCs/>
                      <w:szCs w:val="21"/>
                      <w:u w:val="single"/>
                      <w:lang w:val="en-US" w:eastAsia="zh-CN"/>
                    </w:rPr>
                    <w:t>1.7628</w:t>
                  </w:r>
                </w:p>
              </w:tc>
              <w:tc>
                <w:tcPr>
                  <w:tcW w:w="1569" w:type="dxa"/>
                  <w:vAlign w:val="center"/>
                </w:tcPr>
                <w:p>
                  <w:pPr>
                    <w:widowControl/>
                    <w:spacing w:line="320" w:lineRule="exact"/>
                    <w:contextualSpacing/>
                    <w:jc w:val="center"/>
                    <w:rPr>
                      <w:rFonts w:hint="default" w:eastAsia="宋体"/>
                      <w:b/>
                      <w:bCs/>
                      <w:szCs w:val="21"/>
                      <w:u w:val="single"/>
                      <w:lang w:val="en-US" w:eastAsia="zh-CN"/>
                    </w:rPr>
                  </w:pPr>
                  <w:r>
                    <w:rPr>
                      <w:rFonts w:hint="default" w:eastAsia="宋体"/>
                      <w:b/>
                      <w:bCs/>
                      <w:szCs w:val="21"/>
                      <w:u w:val="single"/>
                      <w:lang w:val="en-US" w:eastAsia="zh-CN"/>
                    </w:rPr>
                    <w:t>1.7628</w:t>
                  </w:r>
                </w:p>
              </w:tc>
              <w:tc>
                <w:tcPr>
                  <w:tcW w:w="1215" w:type="dxa"/>
                  <w:vAlign w:val="center"/>
                </w:tcPr>
                <w:p>
                  <w:pPr>
                    <w:spacing w:line="320" w:lineRule="exact"/>
                    <w:jc w:val="center"/>
                    <w:rPr>
                      <w:rFonts w:hint="eastAsia" w:eastAsia="宋体"/>
                      <w:color w:val="000000"/>
                      <w:szCs w:val="21"/>
                      <w:lang w:val="en-US"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continue"/>
                  <w:vAlign w:val="center"/>
                </w:tcPr>
                <w:p>
                  <w:pPr>
                    <w:spacing w:line="320" w:lineRule="exact"/>
                    <w:jc w:val="center"/>
                    <w:rPr>
                      <w:color w:val="000000"/>
                      <w:szCs w:val="21"/>
                    </w:rPr>
                  </w:pPr>
                </w:p>
              </w:tc>
              <w:tc>
                <w:tcPr>
                  <w:tcW w:w="2864" w:type="dxa"/>
                  <w:vAlign w:val="center"/>
                </w:tcPr>
                <w:p>
                  <w:pPr>
                    <w:widowControl/>
                    <w:spacing w:line="320" w:lineRule="exact"/>
                    <w:contextualSpacing/>
                    <w:jc w:val="center"/>
                    <w:rPr>
                      <w:rFonts w:hint="eastAsia"/>
                      <w:szCs w:val="21"/>
                    </w:rPr>
                  </w:pPr>
                  <w:r>
                    <w:rPr>
                      <w:rFonts w:hint="eastAsia"/>
                      <w:b w:val="0"/>
                      <w:bCs w:val="0"/>
                      <w:szCs w:val="21"/>
                      <w:u w:val="none"/>
                      <w:lang w:val="en-US" w:eastAsia="zh-CN"/>
                    </w:rPr>
                    <w:t>废油墨桶（个</w:t>
                  </w:r>
                  <w:r>
                    <w:rPr>
                      <w:rFonts w:hint="eastAsia"/>
                      <w:b w:val="0"/>
                      <w:bCs w:val="0"/>
                      <w:szCs w:val="21"/>
                      <w:u w:val="none"/>
                    </w:rPr>
                    <w:t>/a</w:t>
                  </w:r>
                  <w:r>
                    <w:rPr>
                      <w:rFonts w:hint="eastAsia"/>
                      <w:b w:val="0"/>
                      <w:bCs w:val="0"/>
                      <w:szCs w:val="21"/>
                      <w:u w:val="none"/>
                      <w:lang w:val="en-US" w:eastAsia="zh-CN"/>
                    </w:rPr>
                    <w:t>）</w:t>
                  </w:r>
                </w:p>
              </w:tc>
              <w:tc>
                <w:tcPr>
                  <w:tcW w:w="1285" w:type="dxa"/>
                  <w:vAlign w:val="center"/>
                </w:tcPr>
                <w:p>
                  <w:pPr>
                    <w:widowControl/>
                    <w:spacing w:line="320" w:lineRule="exact"/>
                    <w:contextualSpacing/>
                    <w:jc w:val="center"/>
                    <w:rPr>
                      <w:rFonts w:hint="eastAsia"/>
                      <w:b w:val="0"/>
                      <w:bCs w:val="0"/>
                      <w:szCs w:val="21"/>
                      <w:u w:val="none"/>
                      <w:lang w:val="en-US" w:eastAsia="zh-CN"/>
                    </w:rPr>
                  </w:pPr>
                  <w:r>
                    <w:rPr>
                      <w:rFonts w:hint="eastAsia"/>
                      <w:b w:val="0"/>
                      <w:bCs w:val="0"/>
                      <w:szCs w:val="21"/>
                      <w:u w:val="none"/>
                      <w:lang w:val="en-US" w:eastAsia="zh-CN"/>
                    </w:rPr>
                    <w:t>20</w:t>
                  </w:r>
                </w:p>
              </w:tc>
              <w:tc>
                <w:tcPr>
                  <w:tcW w:w="1569" w:type="dxa"/>
                  <w:vAlign w:val="center"/>
                </w:tcPr>
                <w:p>
                  <w:pPr>
                    <w:widowControl/>
                    <w:spacing w:line="320" w:lineRule="exact"/>
                    <w:contextualSpacing/>
                    <w:jc w:val="center"/>
                    <w:rPr>
                      <w:rFonts w:hint="eastAsia"/>
                      <w:b w:val="0"/>
                      <w:bCs w:val="0"/>
                      <w:szCs w:val="21"/>
                      <w:u w:val="none"/>
                      <w:lang w:val="en-US" w:eastAsia="zh-CN"/>
                    </w:rPr>
                  </w:pPr>
                  <w:r>
                    <w:rPr>
                      <w:rFonts w:hint="eastAsia"/>
                      <w:b w:val="0"/>
                      <w:bCs w:val="0"/>
                      <w:szCs w:val="21"/>
                      <w:u w:val="none"/>
                      <w:lang w:val="en-US" w:eastAsia="zh-CN"/>
                    </w:rPr>
                    <w:t>20</w:t>
                  </w:r>
                </w:p>
              </w:tc>
              <w:tc>
                <w:tcPr>
                  <w:tcW w:w="1215" w:type="dxa"/>
                  <w:vAlign w:val="center"/>
                </w:tcPr>
                <w:p>
                  <w:pPr>
                    <w:spacing w:line="320" w:lineRule="exact"/>
                    <w:jc w:val="center"/>
                    <w:rPr>
                      <w:rFonts w:hint="eastAsia"/>
                      <w:color w:val="000000"/>
                      <w:szCs w:val="21"/>
                      <w:lang w:val="en-US" w:eastAsia="zh-CN"/>
                    </w:rPr>
                  </w:pPr>
                  <w:r>
                    <w:rPr>
                      <w:rFonts w:hint="eastAsia"/>
                      <w:b w:val="0"/>
                      <w:bCs w:val="0"/>
                      <w:color w:val="00000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continue"/>
                  <w:vAlign w:val="center"/>
                </w:tcPr>
                <w:p>
                  <w:pPr>
                    <w:spacing w:line="320" w:lineRule="exact"/>
                    <w:jc w:val="center"/>
                    <w:rPr>
                      <w:color w:val="000000"/>
                      <w:szCs w:val="21"/>
                    </w:rPr>
                  </w:pPr>
                </w:p>
              </w:tc>
              <w:tc>
                <w:tcPr>
                  <w:tcW w:w="2864" w:type="dxa"/>
                  <w:vAlign w:val="center"/>
                </w:tcPr>
                <w:p>
                  <w:pPr>
                    <w:widowControl/>
                    <w:spacing w:line="320" w:lineRule="exact"/>
                    <w:contextualSpacing/>
                    <w:jc w:val="center"/>
                    <w:rPr>
                      <w:rFonts w:hint="eastAsia"/>
                      <w:b/>
                      <w:bCs/>
                      <w:szCs w:val="21"/>
                      <w:u w:val="none"/>
                      <w:lang w:val="en-US" w:eastAsia="zh-CN"/>
                    </w:rPr>
                  </w:pPr>
                  <w:r>
                    <w:rPr>
                      <w:rFonts w:hint="eastAsia"/>
                      <w:b/>
                      <w:bCs/>
                      <w:szCs w:val="21"/>
                      <w:u w:val="single"/>
                      <w:lang w:val="en-US" w:eastAsia="zh-CN"/>
                    </w:rPr>
                    <w:t>废抹布（t/a）</w:t>
                  </w:r>
                </w:p>
              </w:tc>
              <w:tc>
                <w:tcPr>
                  <w:tcW w:w="1285" w:type="dxa"/>
                  <w:vAlign w:val="center"/>
                </w:tcPr>
                <w:p>
                  <w:pPr>
                    <w:topLinePunct/>
                    <w:adjustRightInd w:val="0"/>
                    <w:snapToGrid w:val="0"/>
                    <w:spacing w:line="320" w:lineRule="exact"/>
                    <w:jc w:val="center"/>
                    <w:rPr>
                      <w:rFonts w:hint="eastAsia"/>
                      <w:b/>
                      <w:bCs/>
                      <w:szCs w:val="21"/>
                      <w:u w:val="single"/>
                      <w:lang w:val="en-US" w:eastAsia="zh-CN"/>
                    </w:rPr>
                  </w:pPr>
                  <w:r>
                    <w:rPr>
                      <w:rFonts w:hint="eastAsia"/>
                      <w:b/>
                      <w:bCs/>
                      <w:szCs w:val="21"/>
                      <w:u w:val="single"/>
                      <w:lang w:val="en-US" w:eastAsia="zh-CN"/>
                    </w:rPr>
                    <w:t>0.096</w:t>
                  </w:r>
                </w:p>
              </w:tc>
              <w:tc>
                <w:tcPr>
                  <w:tcW w:w="1569" w:type="dxa"/>
                  <w:vAlign w:val="center"/>
                </w:tcPr>
                <w:p>
                  <w:pPr>
                    <w:widowControl/>
                    <w:spacing w:line="320" w:lineRule="exact"/>
                    <w:contextualSpacing/>
                    <w:jc w:val="center"/>
                    <w:rPr>
                      <w:rFonts w:hint="eastAsia"/>
                      <w:b/>
                      <w:bCs/>
                      <w:szCs w:val="21"/>
                      <w:u w:val="single"/>
                      <w:lang w:val="en-US" w:eastAsia="zh-CN"/>
                    </w:rPr>
                  </w:pPr>
                  <w:r>
                    <w:rPr>
                      <w:rFonts w:hint="eastAsia"/>
                      <w:b/>
                      <w:bCs/>
                      <w:szCs w:val="21"/>
                      <w:u w:val="single"/>
                      <w:lang w:val="en-US" w:eastAsia="zh-CN"/>
                    </w:rPr>
                    <w:t>0.096</w:t>
                  </w:r>
                </w:p>
              </w:tc>
              <w:tc>
                <w:tcPr>
                  <w:tcW w:w="1215" w:type="dxa"/>
                  <w:vAlign w:val="center"/>
                </w:tcPr>
                <w:p>
                  <w:pPr>
                    <w:spacing w:line="320" w:lineRule="exact"/>
                    <w:jc w:val="center"/>
                    <w:rPr>
                      <w:rFonts w:hint="default"/>
                      <w:b/>
                      <w:bCs/>
                      <w:color w:val="000000"/>
                      <w:szCs w:val="21"/>
                      <w:u w:val="single"/>
                      <w:lang w:val="en-US" w:eastAsia="zh-CN"/>
                    </w:rPr>
                  </w:pPr>
                  <w:r>
                    <w:rPr>
                      <w:rFonts w:hint="eastAsia"/>
                      <w:b/>
                      <w:bCs/>
                      <w:color w:val="000000"/>
                      <w:szCs w:val="21"/>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tcPr>
                <w:p>
                  <w:pPr>
                    <w:spacing w:line="320" w:lineRule="exact"/>
                    <w:jc w:val="center"/>
                    <w:rPr>
                      <w:color w:val="000000"/>
                      <w:szCs w:val="21"/>
                    </w:rPr>
                  </w:pPr>
                </w:p>
              </w:tc>
              <w:tc>
                <w:tcPr>
                  <w:tcW w:w="776" w:type="dxa"/>
                  <w:vMerge w:val="continue"/>
                  <w:vAlign w:val="center"/>
                </w:tcPr>
                <w:p>
                  <w:pPr>
                    <w:spacing w:line="320" w:lineRule="exact"/>
                    <w:jc w:val="center"/>
                    <w:rPr>
                      <w:color w:val="000000"/>
                      <w:szCs w:val="21"/>
                    </w:rPr>
                  </w:pPr>
                </w:p>
              </w:tc>
              <w:tc>
                <w:tcPr>
                  <w:tcW w:w="2864" w:type="dxa"/>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废热转印商标纸（t/a）</w:t>
                  </w:r>
                </w:p>
              </w:tc>
              <w:tc>
                <w:tcPr>
                  <w:tcW w:w="1285" w:type="dxa"/>
                  <w:vAlign w:val="center"/>
                </w:tcPr>
                <w:p>
                  <w:pPr>
                    <w:topLinePunct/>
                    <w:adjustRightInd w:val="0"/>
                    <w:snapToGrid w:val="0"/>
                    <w:spacing w:line="320" w:lineRule="exact"/>
                    <w:jc w:val="center"/>
                    <w:rPr>
                      <w:rFonts w:hint="default"/>
                      <w:b/>
                      <w:bCs/>
                      <w:szCs w:val="21"/>
                      <w:u w:val="single"/>
                      <w:lang w:val="en-US" w:eastAsia="zh-CN"/>
                    </w:rPr>
                  </w:pPr>
                  <w:r>
                    <w:rPr>
                      <w:rFonts w:hint="eastAsia"/>
                      <w:b/>
                      <w:bCs/>
                      <w:szCs w:val="21"/>
                      <w:u w:val="single"/>
                      <w:lang w:val="en-US" w:eastAsia="zh-CN"/>
                    </w:rPr>
                    <w:t>1.4</w:t>
                  </w:r>
                </w:p>
              </w:tc>
              <w:tc>
                <w:tcPr>
                  <w:tcW w:w="1569" w:type="dxa"/>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1.4</w:t>
                  </w:r>
                </w:p>
              </w:tc>
              <w:tc>
                <w:tcPr>
                  <w:tcW w:w="1215" w:type="dxa"/>
                  <w:vAlign w:val="center"/>
                </w:tcPr>
                <w:p>
                  <w:pPr>
                    <w:spacing w:line="320" w:lineRule="exact"/>
                    <w:jc w:val="center"/>
                    <w:rPr>
                      <w:rFonts w:hint="default"/>
                      <w:b/>
                      <w:bCs/>
                      <w:color w:val="000000"/>
                      <w:szCs w:val="21"/>
                      <w:u w:val="single"/>
                      <w:lang w:val="en-US" w:eastAsia="zh-CN"/>
                    </w:rPr>
                  </w:pPr>
                  <w:r>
                    <w:rPr>
                      <w:rFonts w:hint="eastAsia"/>
                      <w:b/>
                      <w:bCs/>
                      <w:color w:val="000000"/>
                      <w:szCs w:val="21"/>
                      <w:u w:val="single"/>
                      <w:lang w:val="en-US" w:eastAsia="zh-CN"/>
                    </w:rPr>
                    <w:t>0</w:t>
                  </w:r>
                </w:p>
              </w:tc>
            </w:tr>
          </w:tbl>
          <w:p>
            <w:pPr>
              <w:adjustRightInd w:val="0"/>
              <w:snapToGrid w:val="0"/>
              <w:spacing w:line="460" w:lineRule="exact"/>
              <w:ind w:firstLine="482" w:firstLineChars="200"/>
              <w:jc w:val="left"/>
              <w:rPr>
                <w:b/>
                <w:bCs/>
                <w:color w:val="000000"/>
                <w:sz w:val="24"/>
              </w:rPr>
            </w:pPr>
            <w:r>
              <w:rPr>
                <w:rFonts w:hint="eastAsia"/>
                <w:b/>
                <w:bCs/>
                <w:color w:val="000000"/>
                <w:sz w:val="24"/>
              </w:rPr>
              <w:t>8</w:t>
            </w:r>
            <w:r>
              <w:rPr>
                <w:b/>
                <w:bCs/>
                <w:color w:val="000000"/>
                <w:sz w:val="24"/>
              </w:rPr>
              <w:t>、环保投资及环保验收</w:t>
            </w:r>
          </w:p>
          <w:p>
            <w:pPr>
              <w:spacing w:line="460" w:lineRule="exact"/>
              <w:ind w:firstLine="480" w:firstLineChars="200"/>
              <w:textAlignment w:val="baseline"/>
              <w:rPr>
                <w:color w:val="000000"/>
                <w:sz w:val="24"/>
              </w:rPr>
            </w:pPr>
            <w:r>
              <w:rPr>
                <w:color w:val="000000"/>
                <w:sz w:val="24"/>
              </w:rPr>
              <w:t>项目</w:t>
            </w:r>
            <w:r>
              <w:rPr>
                <w:rFonts w:hint="eastAsia"/>
                <w:color w:val="000000"/>
                <w:sz w:val="24"/>
              </w:rPr>
              <w:t>建设</w:t>
            </w:r>
            <w:r>
              <w:rPr>
                <w:color w:val="000000"/>
                <w:sz w:val="24"/>
              </w:rPr>
              <w:t>总投资</w:t>
            </w:r>
            <w:r>
              <w:rPr>
                <w:rFonts w:hint="eastAsia"/>
                <w:color w:val="000000"/>
                <w:sz w:val="24"/>
                <w:lang w:val="en-US" w:eastAsia="zh-CN"/>
              </w:rPr>
              <w:t>60</w:t>
            </w:r>
            <w:r>
              <w:rPr>
                <w:color w:val="000000"/>
                <w:sz w:val="24"/>
              </w:rPr>
              <w:t>万元，</w:t>
            </w:r>
            <w:r>
              <w:rPr>
                <w:b/>
                <w:bCs/>
                <w:color w:val="000000"/>
                <w:sz w:val="24"/>
                <w:u w:val="single"/>
              </w:rPr>
              <w:t>其中环保投资为</w:t>
            </w:r>
            <w:r>
              <w:rPr>
                <w:rFonts w:hint="eastAsia"/>
                <w:b/>
                <w:bCs/>
                <w:color w:val="000000"/>
                <w:sz w:val="24"/>
                <w:u w:val="single"/>
                <w:lang w:val="en-US" w:eastAsia="zh-CN"/>
              </w:rPr>
              <w:t>9.4</w:t>
            </w:r>
            <w:r>
              <w:rPr>
                <w:b/>
                <w:bCs/>
                <w:color w:val="000000"/>
                <w:sz w:val="24"/>
                <w:u w:val="single"/>
              </w:rPr>
              <w:t>万元，约占总投资的</w:t>
            </w:r>
            <w:r>
              <w:rPr>
                <w:rFonts w:hint="eastAsia"/>
                <w:b/>
                <w:bCs/>
                <w:color w:val="000000"/>
                <w:sz w:val="24"/>
                <w:u w:val="single"/>
                <w:lang w:val="en-US" w:eastAsia="zh-CN"/>
              </w:rPr>
              <w:t>15.7</w:t>
            </w:r>
            <w:r>
              <w:rPr>
                <w:b/>
                <w:bCs/>
                <w:color w:val="000000"/>
                <w:sz w:val="24"/>
                <w:u w:val="single"/>
              </w:rPr>
              <w:t>%</w:t>
            </w:r>
            <w:r>
              <w:rPr>
                <w:color w:val="000000"/>
                <w:sz w:val="24"/>
              </w:rPr>
              <w:t>，具体内容见下表</w:t>
            </w:r>
            <w:r>
              <w:rPr>
                <w:rFonts w:hint="eastAsia"/>
                <w:color w:val="000000"/>
                <w:sz w:val="24"/>
                <w:lang w:val="en-US" w:eastAsia="zh-CN"/>
              </w:rPr>
              <w:t>30</w:t>
            </w:r>
            <w:r>
              <w:rPr>
                <w:rFonts w:hint="eastAsia"/>
                <w:color w:val="000000"/>
                <w:sz w:val="24"/>
              </w:rPr>
              <w:t>。</w:t>
            </w:r>
          </w:p>
          <w:p>
            <w:pPr>
              <w:pStyle w:val="5"/>
              <w:numPr>
                <w:ilvl w:val="0"/>
                <w:numId w:val="0"/>
              </w:numPr>
              <w:ind w:firstLine="482" w:firstLineChars="200"/>
            </w:pPr>
            <w:r>
              <w:rPr>
                <w:rFonts w:hint="eastAsia"/>
              </w:rPr>
              <w:t>表</w:t>
            </w:r>
            <w:r>
              <w:rPr>
                <w:rFonts w:hint="eastAsia"/>
                <w:lang w:val="en-US" w:eastAsia="zh-CN"/>
              </w:rPr>
              <w:t>30</w:t>
            </w:r>
            <w:r>
              <w:t xml:space="preserve">      </w:t>
            </w:r>
            <w:r>
              <w:rPr>
                <w:rFonts w:hint="eastAsia"/>
              </w:rPr>
              <w:t xml:space="preserve">  </w:t>
            </w:r>
            <w:r>
              <w:t xml:space="preserve"> 工程环保分项投资</w:t>
            </w:r>
            <w:r>
              <w:rPr>
                <w:rFonts w:hint="eastAsia"/>
              </w:rPr>
              <w:t>及“三同时”验收</w:t>
            </w:r>
            <w:r>
              <w:t>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81"/>
              <w:gridCol w:w="2256"/>
              <w:gridCol w:w="1147"/>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6" w:type="dxa"/>
                  <w:vAlign w:val="center"/>
                </w:tcPr>
                <w:p>
                  <w:pPr>
                    <w:spacing w:line="320" w:lineRule="exact"/>
                    <w:jc w:val="center"/>
                  </w:pPr>
                  <w:r>
                    <w:t>项目</w:t>
                  </w:r>
                </w:p>
                <w:p>
                  <w:pPr>
                    <w:spacing w:line="320" w:lineRule="exact"/>
                    <w:jc w:val="center"/>
                  </w:pPr>
                  <w:r>
                    <w:t>名称</w:t>
                  </w:r>
                </w:p>
              </w:tc>
              <w:tc>
                <w:tcPr>
                  <w:tcW w:w="1281" w:type="dxa"/>
                  <w:vAlign w:val="center"/>
                </w:tcPr>
                <w:p>
                  <w:pPr>
                    <w:spacing w:line="320" w:lineRule="exact"/>
                    <w:jc w:val="center"/>
                  </w:pPr>
                  <w:r>
                    <w:t>污染</w:t>
                  </w:r>
                  <w:r>
                    <w:rPr>
                      <w:rFonts w:hint="eastAsia"/>
                    </w:rPr>
                    <w:t>物</w:t>
                  </w:r>
                </w:p>
              </w:tc>
              <w:tc>
                <w:tcPr>
                  <w:tcW w:w="2256" w:type="dxa"/>
                  <w:vAlign w:val="center"/>
                </w:tcPr>
                <w:p>
                  <w:pPr>
                    <w:spacing w:line="320" w:lineRule="exact"/>
                    <w:jc w:val="center"/>
                  </w:pPr>
                  <w:r>
                    <w:rPr>
                      <w:rFonts w:hint="eastAsia"/>
                    </w:rPr>
                    <w:t>主要环保措施</w:t>
                  </w:r>
                </w:p>
              </w:tc>
              <w:tc>
                <w:tcPr>
                  <w:tcW w:w="1147" w:type="dxa"/>
                  <w:vAlign w:val="center"/>
                </w:tcPr>
                <w:p>
                  <w:pPr>
                    <w:spacing w:line="320" w:lineRule="exact"/>
                    <w:jc w:val="center"/>
                  </w:pPr>
                  <w:r>
                    <w:t>环保投资</w:t>
                  </w:r>
                </w:p>
                <w:p>
                  <w:pPr>
                    <w:spacing w:line="320" w:lineRule="exact"/>
                    <w:jc w:val="center"/>
                  </w:pPr>
                  <w:r>
                    <w:t>（万元）</w:t>
                  </w:r>
                </w:p>
              </w:tc>
              <w:tc>
                <w:tcPr>
                  <w:tcW w:w="2816" w:type="dxa"/>
                  <w:vAlign w:val="center"/>
                </w:tcPr>
                <w:p>
                  <w:pPr>
                    <w:spacing w:line="320" w:lineRule="exact"/>
                    <w:jc w:val="center"/>
                  </w:pPr>
                  <w:r>
                    <w:rPr>
                      <w:rFonts w:hint="eastAsia"/>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76" w:type="dxa"/>
                  <w:vMerge w:val="restart"/>
                  <w:vAlign w:val="center"/>
                </w:tcPr>
                <w:p>
                  <w:pPr>
                    <w:spacing w:line="320" w:lineRule="exact"/>
                    <w:jc w:val="center"/>
                  </w:pPr>
                  <w:r>
                    <w:rPr>
                      <w:rFonts w:hint="eastAsia"/>
                    </w:rPr>
                    <w:t>废气</w:t>
                  </w:r>
                </w:p>
                <w:p>
                  <w:pPr>
                    <w:spacing w:line="320" w:lineRule="exact"/>
                    <w:jc w:val="center"/>
                  </w:pPr>
                  <w:r>
                    <w:rPr>
                      <w:rFonts w:hint="eastAsia"/>
                    </w:rPr>
                    <w:t>控制</w:t>
                  </w:r>
                </w:p>
              </w:tc>
              <w:tc>
                <w:tcPr>
                  <w:tcW w:w="1281" w:type="dxa"/>
                  <w:vAlign w:val="center"/>
                </w:tcPr>
                <w:p>
                  <w:pPr>
                    <w:spacing w:line="320" w:lineRule="exact"/>
                    <w:jc w:val="center"/>
                    <w:rPr>
                      <w:rFonts w:hint="eastAsia"/>
                      <w:lang w:eastAsia="zh-CN"/>
                    </w:rPr>
                  </w:pPr>
                  <w:r>
                    <w:rPr>
                      <w:rFonts w:hint="eastAsia"/>
                      <w:lang w:val="en-US" w:eastAsia="zh-CN"/>
                    </w:rPr>
                    <w:t xml:space="preserve">发泡、过胶、 </w:t>
                  </w:r>
                </w:p>
                <w:p>
                  <w:pPr>
                    <w:spacing w:line="320" w:lineRule="exact"/>
                    <w:jc w:val="center"/>
                    <w:rPr>
                      <w:rFonts w:hint="eastAsia" w:eastAsia="宋体"/>
                      <w:highlight w:val="yellow"/>
                      <w:lang w:eastAsia="zh-CN"/>
                    </w:rPr>
                  </w:pPr>
                  <w:r>
                    <w:rPr>
                      <w:rFonts w:hint="eastAsia"/>
                      <w:lang w:val="en-US" w:eastAsia="zh-CN"/>
                    </w:rPr>
                    <w:t>热压废气</w:t>
                  </w:r>
                </w:p>
              </w:tc>
              <w:tc>
                <w:tcPr>
                  <w:tcW w:w="2256" w:type="dxa"/>
                  <w:vAlign w:val="center"/>
                </w:tcPr>
                <w:p>
                  <w:pPr>
                    <w:spacing w:line="320" w:lineRule="exact"/>
                    <w:jc w:val="center"/>
                  </w:pPr>
                  <w:r>
                    <w:rPr>
                      <w:rFonts w:hint="eastAsia"/>
                      <w:b/>
                      <w:bCs/>
                      <w:u w:val="single"/>
                      <w:lang w:val="en-US" w:eastAsia="zh-CN"/>
                    </w:rPr>
                    <w:t>车间内二次密闭</w:t>
                  </w:r>
                  <w:r>
                    <w:rPr>
                      <w:rFonts w:hint="eastAsia"/>
                      <w:b/>
                      <w:bCs/>
                      <w:u w:val="single"/>
                    </w:rPr>
                    <w:t>集</w:t>
                  </w:r>
                  <w:r>
                    <w:rPr>
                      <w:rFonts w:hint="eastAsia"/>
                      <w:lang w:val="en-US" w:eastAsia="zh-CN"/>
                    </w:rPr>
                    <w:t>+</w:t>
                  </w:r>
                  <w:r>
                    <w:rPr>
                      <w:rFonts w:hint="eastAsia"/>
                    </w:rPr>
                    <w:t>气罩</w:t>
                  </w:r>
                  <w:r>
                    <w:rPr>
                      <w:rFonts w:hint="eastAsia"/>
                      <w:lang w:eastAsia="zh-CN"/>
                    </w:rPr>
                    <w:t>（</w:t>
                  </w:r>
                  <w:r>
                    <w:rPr>
                      <w:rFonts w:hint="eastAsia"/>
                      <w:lang w:val="en-US" w:eastAsia="zh-CN"/>
                    </w:rPr>
                    <w:t>加装软帘</w:t>
                  </w:r>
                  <w:r>
                    <w:rPr>
                      <w:rFonts w:hint="eastAsia"/>
                      <w:lang w:eastAsia="zh-CN"/>
                    </w:rPr>
                    <w:t>）</w:t>
                  </w:r>
                  <w:r>
                    <w:rPr>
                      <w:rFonts w:hint="eastAsia"/>
                    </w:rPr>
                    <w:t>+UV光氧+活性炭吸附装置</w:t>
                  </w:r>
                  <w:r>
                    <w:rPr>
                      <w:rFonts w:hint="eastAsia"/>
                      <w:lang w:val="en-US" w:eastAsia="zh-CN"/>
                    </w:rPr>
                    <w:t>+</w:t>
                  </w:r>
                  <w:r>
                    <w:rPr>
                      <w:rFonts w:hint="eastAsia"/>
                    </w:rPr>
                    <w:t>15m高排气筒</w:t>
                  </w:r>
                </w:p>
              </w:tc>
              <w:tc>
                <w:tcPr>
                  <w:tcW w:w="1147" w:type="dxa"/>
                  <w:vAlign w:val="center"/>
                </w:tcPr>
                <w:p>
                  <w:pPr>
                    <w:spacing w:line="320" w:lineRule="exact"/>
                    <w:jc w:val="center"/>
                    <w:rPr>
                      <w:rFonts w:hint="default" w:eastAsia="宋体"/>
                      <w:lang w:val="en-US" w:eastAsia="zh-CN"/>
                    </w:rPr>
                  </w:pPr>
                  <w:r>
                    <w:rPr>
                      <w:rFonts w:hint="eastAsia"/>
                      <w:lang w:val="en-US" w:eastAsia="zh-CN"/>
                    </w:rPr>
                    <w:t>5</w:t>
                  </w:r>
                </w:p>
              </w:tc>
              <w:tc>
                <w:tcPr>
                  <w:tcW w:w="2816" w:type="dxa"/>
                  <w:vAlign w:val="center"/>
                </w:tcPr>
                <w:p>
                  <w:pPr>
                    <w:spacing w:line="320" w:lineRule="exact"/>
                    <w:jc w:val="center"/>
                    <w:rPr>
                      <w:rFonts w:hint="eastAsia" w:eastAsia="宋体"/>
                      <w:highlight w:val="yellow"/>
                      <w:lang w:eastAsia="zh-CN"/>
                    </w:rPr>
                  </w:pPr>
                  <w:r>
                    <w:rPr>
                      <w:rFonts w:hint="eastAsia"/>
                      <w:szCs w:val="21"/>
                    </w:rPr>
                    <w:t>《合成树脂工业污染物排放标准》（GB31572-2015）；《关于全省开展工业企业挥发性有机物专项治理工作中排放建议值的通知》（豫环攻坚办〔2017〕162 号文）</w:t>
                  </w:r>
                  <w:r>
                    <w:rPr>
                      <w:rFonts w:hint="eastAsia"/>
                      <w:szCs w:val="21"/>
                      <w:lang w:eastAsia="zh-CN"/>
                    </w:rPr>
                    <w:t>；</w:t>
                  </w:r>
                  <w:r>
                    <w:rPr>
                      <w:rFonts w:hint="eastAsia"/>
                      <w:b/>
                      <w:bCs/>
                      <w:szCs w:val="21"/>
                      <w:u w:val="single"/>
                      <w:lang w:eastAsia="zh-CN"/>
                    </w:rPr>
                    <w:t>《重污染天气重点行业应急减排措施制定技术指南（2020年修订版）》塑料制品</w:t>
                  </w:r>
                  <w:r>
                    <w:rPr>
                      <w:rFonts w:hint="eastAsia"/>
                      <w:b/>
                      <w:bCs/>
                      <w:szCs w:val="21"/>
                      <w:u w:val="single"/>
                      <w:lang w:val="en-US" w:eastAsia="zh-CN"/>
                    </w:rPr>
                    <w:t>行业</w:t>
                  </w:r>
                  <w:r>
                    <w:rPr>
                      <w:rFonts w:hint="eastAsia"/>
                      <w:b/>
                      <w:bCs/>
                      <w:szCs w:val="21"/>
                      <w:u w:val="single"/>
                      <w:lang w:eastAsia="zh-CN"/>
                    </w:rPr>
                    <w:t>绩效分级指标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76" w:type="dxa"/>
                  <w:vMerge w:val="continue"/>
                  <w:vAlign w:val="center"/>
                </w:tcPr>
                <w:p>
                  <w:pPr>
                    <w:spacing w:line="320" w:lineRule="exact"/>
                    <w:jc w:val="center"/>
                  </w:pPr>
                </w:p>
              </w:tc>
              <w:tc>
                <w:tcPr>
                  <w:tcW w:w="1281" w:type="dxa"/>
                  <w:vAlign w:val="center"/>
                </w:tcPr>
                <w:p>
                  <w:pPr>
                    <w:spacing w:line="320" w:lineRule="exact"/>
                    <w:jc w:val="center"/>
                    <w:rPr>
                      <w:rFonts w:hint="default"/>
                      <w:b/>
                      <w:bCs/>
                      <w:u w:val="single"/>
                      <w:lang w:val="en-US" w:eastAsia="zh-CN"/>
                    </w:rPr>
                  </w:pPr>
                  <w:r>
                    <w:rPr>
                      <w:rFonts w:hint="eastAsia"/>
                      <w:b/>
                      <w:bCs/>
                      <w:u w:val="single"/>
                      <w:lang w:val="en-US" w:eastAsia="zh-CN"/>
                    </w:rPr>
                    <w:t>印标、转印废气</w:t>
                  </w:r>
                </w:p>
              </w:tc>
              <w:tc>
                <w:tcPr>
                  <w:tcW w:w="2256" w:type="dxa"/>
                  <w:vAlign w:val="center"/>
                </w:tcPr>
                <w:p>
                  <w:pPr>
                    <w:spacing w:line="320" w:lineRule="exact"/>
                    <w:jc w:val="center"/>
                    <w:rPr>
                      <w:rFonts w:hint="eastAsia"/>
                      <w:b/>
                      <w:bCs/>
                      <w:u w:val="single"/>
                      <w:lang w:val="en-US" w:eastAsia="zh-CN"/>
                    </w:rPr>
                  </w:pPr>
                  <w:r>
                    <w:rPr>
                      <w:rFonts w:hint="eastAsia"/>
                      <w:b/>
                      <w:bCs/>
                      <w:u w:val="single"/>
                    </w:rPr>
                    <w:t>集气罩</w:t>
                  </w:r>
                  <w:r>
                    <w:rPr>
                      <w:rFonts w:hint="eastAsia"/>
                      <w:b/>
                      <w:bCs/>
                      <w:u w:val="single"/>
                      <w:lang w:eastAsia="zh-CN"/>
                    </w:rPr>
                    <w:t>（</w:t>
                  </w:r>
                  <w:r>
                    <w:rPr>
                      <w:rFonts w:hint="eastAsia"/>
                      <w:b/>
                      <w:bCs/>
                      <w:u w:val="single"/>
                      <w:lang w:val="en-US" w:eastAsia="zh-CN"/>
                    </w:rPr>
                    <w:t>加装软帘</w:t>
                  </w:r>
                  <w:r>
                    <w:rPr>
                      <w:rFonts w:hint="eastAsia"/>
                      <w:b/>
                      <w:bCs/>
                      <w:u w:val="single"/>
                      <w:lang w:eastAsia="zh-CN"/>
                    </w:rPr>
                    <w:t>）</w:t>
                  </w:r>
                  <w:r>
                    <w:rPr>
                      <w:rFonts w:hint="eastAsia"/>
                      <w:b/>
                      <w:bCs/>
                      <w:u w:val="single"/>
                    </w:rPr>
                    <w:t>+UV光氧+活性炭吸附装置</w:t>
                  </w:r>
                  <w:r>
                    <w:rPr>
                      <w:rFonts w:hint="eastAsia"/>
                      <w:b/>
                      <w:bCs/>
                      <w:u w:val="single"/>
                      <w:lang w:val="en-US" w:eastAsia="zh-CN"/>
                    </w:rPr>
                    <w:t>+</w:t>
                  </w:r>
                  <w:r>
                    <w:rPr>
                      <w:rFonts w:hint="eastAsia"/>
                      <w:b/>
                      <w:bCs/>
                      <w:u w:val="single"/>
                    </w:rPr>
                    <w:t>15m高排气筒</w:t>
                  </w:r>
                </w:p>
              </w:tc>
              <w:tc>
                <w:tcPr>
                  <w:tcW w:w="1147" w:type="dxa"/>
                  <w:vAlign w:val="center"/>
                </w:tcPr>
                <w:p>
                  <w:pPr>
                    <w:spacing w:line="320" w:lineRule="exact"/>
                    <w:jc w:val="center"/>
                    <w:rPr>
                      <w:rFonts w:hint="default"/>
                      <w:b/>
                      <w:bCs/>
                      <w:u w:val="single"/>
                      <w:lang w:val="en-US" w:eastAsia="zh-CN"/>
                    </w:rPr>
                  </w:pPr>
                  <w:r>
                    <w:rPr>
                      <w:rFonts w:hint="eastAsia"/>
                      <w:b/>
                      <w:bCs/>
                      <w:u w:val="single"/>
                      <w:lang w:val="en-US" w:eastAsia="zh-CN"/>
                    </w:rPr>
                    <w:t>4</w:t>
                  </w:r>
                </w:p>
              </w:tc>
              <w:tc>
                <w:tcPr>
                  <w:tcW w:w="2816" w:type="dxa"/>
                  <w:vAlign w:val="center"/>
                </w:tcPr>
                <w:p>
                  <w:pPr>
                    <w:spacing w:line="320" w:lineRule="exact"/>
                    <w:jc w:val="center"/>
                    <w:rPr>
                      <w:rFonts w:hint="eastAsia"/>
                      <w:lang w:val="en-US" w:eastAsia="zh-CN"/>
                    </w:rPr>
                  </w:pPr>
                  <w:r>
                    <w:rPr>
                      <w:rFonts w:hint="eastAsia"/>
                      <w:b/>
                      <w:bCs/>
                      <w:szCs w:val="21"/>
                      <w:u w:val="single"/>
                    </w:rPr>
                    <w:t>《河南省印刷工业挥发性有机物排放标准》（DB41/1956-2020）</w:t>
                  </w:r>
                  <w:r>
                    <w:rPr>
                      <w:rFonts w:hint="eastAsia"/>
                      <w:b/>
                      <w:bCs/>
                      <w:szCs w:val="21"/>
                      <w:u w:val="single"/>
                      <w:lang w:eastAsia="zh-CN"/>
                    </w:rPr>
                    <w:t>；</w:t>
                  </w:r>
                  <w:r>
                    <w:rPr>
                      <w:rFonts w:hint="eastAsia"/>
                      <w:b/>
                      <w:bCs/>
                      <w:szCs w:val="21"/>
                      <w:u w:val="single"/>
                    </w:rPr>
                    <w:t>《关于全省开展工业企业挥发性有机物专项治理工作中排放建议值的通知》（豫环攻坚办〔2017〕162 号文）</w:t>
                  </w:r>
                  <w:r>
                    <w:rPr>
                      <w:rFonts w:hint="eastAsia"/>
                      <w:b/>
                      <w:bCs/>
                      <w:szCs w:val="21"/>
                      <w:u w:val="single"/>
                      <w:lang w:eastAsia="zh-CN"/>
                    </w:rPr>
                    <w:t>；《重污染天气重点行业应急减排措施制定技术指南（2020年修订版）》包装印刷行业绩效分级指标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76" w:type="dxa"/>
                  <w:vAlign w:val="center"/>
                </w:tcPr>
                <w:p>
                  <w:pPr>
                    <w:spacing w:line="320" w:lineRule="exact"/>
                    <w:jc w:val="center"/>
                    <w:rPr>
                      <w:rFonts w:hint="eastAsia" w:eastAsia="宋体"/>
                      <w:lang w:val="en-US" w:eastAsia="zh-CN"/>
                    </w:rPr>
                  </w:pPr>
                  <w:r>
                    <w:rPr>
                      <w:rFonts w:hint="eastAsia"/>
                      <w:lang w:val="en-US" w:eastAsia="zh-CN"/>
                    </w:rPr>
                    <w:t>废水</w:t>
                  </w:r>
                </w:p>
              </w:tc>
              <w:tc>
                <w:tcPr>
                  <w:tcW w:w="1281" w:type="dxa"/>
                  <w:vAlign w:val="center"/>
                </w:tcPr>
                <w:p>
                  <w:pPr>
                    <w:spacing w:line="320" w:lineRule="exact"/>
                    <w:jc w:val="center"/>
                    <w:rPr>
                      <w:rFonts w:hint="eastAsia" w:eastAsia="宋体"/>
                      <w:lang w:val="en-US" w:eastAsia="zh-CN"/>
                    </w:rPr>
                  </w:pPr>
                  <w:r>
                    <w:rPr>
                      <w:rFonts w:hint="eastAsia"/>
                      <w:lang w:val="en-US" w:eastAsia="zh-CN"/>
                    </w:rPr>
                    <w:t>生活污水</w:t>
                  </w:r>
                </w:p>
              </w:tc>
              <w:tc>
                <w:tcPr>
                  <w:tcW w:w="2256" w:type="dxa"/>
                  <w:vAlign w:val="center"/>
                </w:tcPr>
                <w:p>
                  <w:pPr>
                    <w:spacing w:line="320" w:lineRule="exact"/>
                    <w:jc w:val="center"/>
                    <w:rPr>
                      <w:rFonts w:hint="default" w:eastAsia="宋体"/>
                      <w:lang w:val="en-US" w:eastAsia="zh-CN"/>
                    </w:rPr>
                  </w:pPr>
                  <w:r>
                    <w:rPr>
                      <w:rFonts w:hint="eastAsia"/>
                      <w:lang w:val="en-US" w:eastAsia="zh-CN"/>
                    </w:rPr>
                    <w:t>厂区化粪池</w:t>
                  </w:r>
                </w:p>
              </w:tc>
              <w:tc>
                <w:tcPr>
                  <w:tcW w:w="1147" w:type="dxa"/>
                  <w:vAlign w:val="center"/>
                </w:tcPr>
                <w:p>
                  <w:pPr>
                    <w:spacing w:line="320" w:lineRule="exact"/>
                    <w:jc w:val="center"/>
                    <w:rPr>
                      <w:rFonts w:hint="default" w:eastAsia="宋体"/>
                      <w:lang w:val="en-US" w:eastAsia="zh-CN"/>
                    </w:rPr>
                  </w:pPr>
                  <w:r>
                    <w:rPr>
                      <w:rFonts w:hint="eastAsia"/>
                      <w:lang w:val="en-US" w:eastAsia="zh-CN"/>
                    </w:rPr>
                    <w:t>/</w:t>
                  </w:r>
                </w:p>
              </w:tc>
              <w:tc>
                <w:tcPr>
                  <w:tcW w:w="2816" w:type="dxa"/>
                  <w:vAlign w:val="center"/>
                </w:tcPr>
                <w:p>
                  <w:pPr>
                    <w:spacing w:line="320" w:lineRule="exact"/>
                    <w:jc w:val="center"/>
                  </w:pPr>
                  <w:r>
                    <w:rPr>
                      <w:rFonts w:ascii="Times New Roman" w:hAnsi="Times New Roman" w:eastAsia="宋体" w:cs="Times New Roman"/>
                      <w:color w:val="000000"/>
                      <w:kern w:val="2"/>
                      <w:sz w:val="21"/>
                      <w:szCs w:val="21"/>
                      <w:u w:val="none"/>
                      <w:lang w:val="en-US" w:eastAsia="zh-CN" w:bidi="ar-SA"/>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76" w:type="dxa"/>
                  <w:vAlign w:val="center"/>
                </w:tcPr>
                <w:p>
                  <w:pPr>
                    <w:spacing w:line="320" w:lineRule="exact"/>
                    <w:jc w:val="center"/>
                  </w:pPr>
                  <w:r>
                    <w:t>噪声</w:t>
                  </w:r>
                </w:p>
                <w:p>
                  <w:pPr>
                    <w:spacing w:line="320" w:lineRule="exact"/>
                    <w:jc w:val="center"/>
                  </w:pPr>
                  <w:r>
                    <w:t>控制</w:t>
                  </w:r>
                </w:p>
              </w:tc>
              <w:tc>
                <w:tcPr>
                  <w:tcW w:w="1281" w:type="dxa"/>
                  <w:vAlign w:val="center"/>
                </w:tcPr>
                <w:p>
                  <w:pPr>
                    <w:spacing w:line="320" w:lineRule="exact"/>
                    <w:jc w:val="center"/>
                  </w:pPr>
                  <w:r>
                    <w:rPr>
                      <w:rFonts w:hint="eastAsia"/>
                    </w:rPr>
                    <w:t>设备噪声</w:t>
                  </w:r>
                </w:p>
              </w:tc>
              <w:tc>
                <w:tcPr>
                  <w:tcW w:w="2256" w:type="dxa"/>
                  <w:vAlign w:val="center"/>
                </w:tcPr>
                <w:p>
                  <w:pPr>
                    <w:spacing w:line="320" w:lineRule="exact"/>
                    <w:jc w:val="center"/>
                  </w:pPr>
                  <w:r>
                    <w:rPr>
                      <w:rFonts w:hint="eastAsia"/>
                    </w:rPr>
                    <w:t>距离衰减，厂房隔声</w:t>
                  </w:r>
                </w:p>
              </w:tc>
              <w:tc>
                <w:tcPr>
                  <w:tcW w:w="1147" w:type="dxa"/>
                  <w:vAlign w:val="center"/>
                </w:tcPr>
                <w:p>
                  <w:pPr>
                    <w:spacing w:line="320" w:lineRule="exact"/>
                    <w:jc w:val="center"/>
                    <w:rPr>
                      <w:rFonts w:hint="eastAsia" w:eastAsia="宋体"/>
                      <w:lang w:val="en-US" w:eastAsia="zh-CN"/>
                    </w:rPr>
                  </w:pPr>
                  <w:r>
                    <w:rPr>
                      <w:rFonts w:hint="eastAsia"/>
                      <w:lang w:val="en-US" w:eastAsia="zh-CN"/>
                    </w:rPr>
                    <w:t>/</w:t>
                  </w:r>
                </w:p>
              </w:tc>
              <w:tc>
                <w:tcPr>
                  <w:tcW w:w="2816" w:type="dxa"/>
                  <w:vAlign w:val="center"/>
                </w:tcPr>
                <w:p>
                  <w:pPr>
                    <w:spacing w:line="320" w:lineRule="exact"/>
                    <w:jc w:val="center"/>
                  </w:pPr>
                  <w:r>
                    <w:t>《工业企业厂界环境</w:t>
                  </w:r>
                  <w:r>
                    <w:rPr>
                      <w:rFonts w:hint="eastAsia"/>
                    </w:rPr>
                    <w:t>噪</w:t>
                  </w:r>
                  <w:r>
                    <w:t>声</w:t>
                  </w:r>
                  <w:r>
                    <w:rPr>
                      <w:rFonts w:hint="eastAsia"/>
                    </w:rPr>
                    <w:t>排放</w:t>
                  </w:r>
                  <w:r>
                    <w:t>标准》（</w:t>
                  </w:r>
                  <w:r>
                    <w:rPr>
                      <w:rFonts w:hint="eastAsia"/>
                    </w:rPr>
                    <w:t>GB</w:t>
                  </w:r>
                  <w:r>
                    <w:t>12348-2008）</w:t>
                  </w:r>
                  <w:r>
                    <w:rPr>
                      <w:rFonts w:hint="eastAsia"/>
                      <w:lang w:val="en-US" w:eastAsia="zh-CN"/>
                    </w:rPr>
                    <w:t>2</w:t>
                  </w:r>
                  <w:r>
                    <w:rPr>
                      <w:rFonts w:hint="eastAsia"/>
                    </w:rPr>
                    <w:t>类</w:t>
                  </w:r>
                  <w: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6" w:type="dxa"/>
                  <w:vMerge w:val="restart"/>
                  <w:vAlign w:val="center"/>
                </w:tcPr>
                <w:p>
                  <w:pPr>
                    <w:spacing w:line="320" w:lineRule="exact"/>
                    <w:jc w:val="center"/>
                  </w:pPr>
                  <w:r>
                    <w:t>固废</w:t>
                  </w:r>
                </w:p>
                <w:p>
                  <w:pPr>
                    <w:spacing w:line="320" w:lineRule="exact"/>
                    <w:jc w:val="center"/>
                  </w:pPr>
                  <w:r>
                    <w:t>控制</w:t>
                  </w:r>
                </w:p>
              </w:tc>
              <w:tc>
                <w:tcPr>
                  <w:tcW w:w="1281" w:type="dxa"/>
                  <w:vAlign w:val="center"/>
                </w:tcPr>
                <w:p>
                  <w:pPr>
                    <w:spacing w:line="320" w:lineRule="exact"/>
                    <w:jc w:val="center"/>
                  </w:pPr>
                  <w:r>
                    <w:t>生活垃圾</w:t>
                  </w:r>
                </w:p>
              </w:tc>
              <w:tc>
                <w:tcPr>
                  <w:tcW w:w="2256" w:type="dxa"/>
                  <w:vAlign w:val="center"/>
                </w:tcPr>
                <w:p>
                  <w:pPr>
                    <w:spacing w:line="320" w:lineRule="exact"/>
                    <w:jc w:val="center"/>
                  </w:pPr>
                  <w:r>
                    <w:rPr>
                      <w:rFonts w:hint="eastAsia"/>
                    </w:rPr>
                    <w:t>垃圾桶若干</w:t>
                  </w:r>
                </w:p>
              </w:tc>
              <w:tc>
                <w:tcPr>
                  <w:tcW w:w="1147" w:type="dxa"/>
                  <w:vAlign w:val="center"/>
                </w:tcPr>
                <w:p>
                  <w:pPr>
                    <w:spacing w:line="320" w:lineRule="exact"/>
                    <w:jc w:val="center"/>
                    <w:rPr>
                      <w:rFonts w:hint="eastAsia" w:eastAsia="宋体"/>
                      <w:lang w:val="en-US" w:eastAsia="zh-CN"/>
                    </w:rPr>
                  </w:pPr>
                  <w:r>
                    <w:rPr>
                      <w:rFonts w:hint="eastAsia"/>
                      <w:lang w:val="en-US" w:eastAsia="zh-CN"/>
                    </w:rPr>
                    <w:t>/</w:t>
                  </w:r>
                </w:p>
              </w:tc>
              <w:tc>
                <w:tcPr>
                  <w:tcW w:w="2816" w:type="dxa"/>
                  <w:vAlign w:val="center"/>
                </w:tcPr>
                <w:p>
                  <w:pPr>
                    <w:spacing w:line="320" w:lineRule="exact"/>
                    <w:jc w:val="center"/>
                  </w:pPr>
                  <w:r>
                    <w:rPr>
                      <w:rFonts w:hint="eastAsia"/>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6" w:type="dxa"/>
                  <w:vMerge w:val="continue"/>
                  <w:vAlign w:val="center"/>
                </w:tcPr>
                <w:p>
                  <w:pPr>
                    <w:spacing w:line="320" w:lineRule="exact"/>
                    <w:jc w:val="center"/>
                  </w:pPr>
                </w:p>
              </w:tc>
              <w:tc>
                <w:tcPr>
                  <w:tcW w:w="1281" w:type="dxa"/>
                  <w:vAlign w:val="center"/>
                </w:tcPr>
                <w:p>
                  <w:pPr>
                    <w:spacing w:line="320" w:lineRule="exact"/>
                    <w:jc w:val="center"/>
                  </w:pPr>
                  <w:r>
                    <w:rPr>
                      <w:rFonts w:hint="eastAsia"/>
                    </w:rPr>
                    <w:t>一般固废</w:t>
                  </w:r>
                </w:p>
              </w:tc>
              <w:tc>
                <w:tcPr>
                  <w:tcW w:w="2256" w:type="dxa"/>
                  <w:vAlign w:val="center"/>
                </w:tcPr>
                <w:p>
                  <w:pPr>
                    <w:spacing w:line="320" w:lineRule="exact"/>
                    <w:jc w:val="center"/>
                  </w:pPr>
                  <w:r>
                    <w:t>一般固废暂存间</w:t>
                  </w:r>
                  <w:r>
                    <w:rPr>
                      <w:rFonts w:hint="eastAsia"/>
                    </w:rPr>
                    <w:t>(</w:t>
                  </w:r>
                  <w:r>
                    <w:rPr>
                      <w:rFonts w:hint="eastAsia"/>
                      <w:lang w:val="en-US" w:eastAsia="zh-CN"/>
                    </w:rPr>
                    <w:t>10</w:t>
                  </w:r>
                  <w:r>
                    <w:rPr>
                      <w:rFonts w:hint="eastAsia"/>
                    </w:rPr>
                    <w:t>m</w:t>
                  </w:r>
                  <w:r>
                    <w:rPr>
                      <w:rFonts w:hint="eastAsia"/>
                      <w:sz w:val="24"/>
                      <w:vertAlign w:val="superscript"/>
                    </w:rPr>
                    <w:t>2</w:t>
                  </w:r>
                  <w:r>
                    <w:rPr>
                      <w:rFonts w:hint="eastAsia"/>
                    </w:rPr>
                    <w:t>)</w:t>
                  </w:r>
                </w:p>
              </w:tc>
              <w:tc>
                <w:tcPr>
                  <w:tcW w:w="1147" w:type="dxa"/>
                  <w:vAlign w:val="center"/>
                </w:tcPr>
                <w:p>
                  <w:pPr>
                    <w:spacing w:line="320" w:lineRule="exact"/>
                    <w:jc w:val="center"/>
                    <w:rPr>
                      <w:rFonts w:hint="default" w:eastAsia="宋体"/>
                      <w:lang w:val="en-US" w:eastAsia="zh-CN"/>
                    </w:rPr>
                  </w:pPr>
                  <w:r>
                    <w:rPr>
                      <w:rFonts w:hint="eastAsia"/>
                      <w:lang w:val="en-US" w:eastAsia="zh-CN"/>
                    </w:rPr>
                    <w:t>0.1</w:t>
                  </w:r>
                </w:p>
              </w:tc>
              <w:tc>
                <w:tcPr>
                  <w:tcW w:w="2816" w:type="dxa"/>
                  <w:vAlign w:val="center"/>
                </w:tcPr>
                <w:p>
                  <w:pPr>
                    <w:spacing w:line="320" w:lineRule="exact"/>
                    <w:jc w:val="center"/>
                  </w:pPr>
                  <w:r>
                    <w:rPr>
                      <w:rFonts w:hint="eastAsia"/>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6" w:type="dxa"/>
                  <w:vMerge w:val="continue"/>
                  <w:vAlign w:val="center"/>
                </w:tcPr>
                <w:p>
                  <w:pPr>
                    <w:spacing w:line="320" w:lineRule="exact"/>
                    <w:jc w:val="center"/>
                  </w:pPr>
                </w:p>
              </w:tc>
              <w:tc>
                <w:tcPr>
                  <w:tcW w:w="1281" w:type="dxa"/>
                  <w:vAlign w:val="center"/>
                </w:tcPr>
                <w:p>
                  <w:pPr>
                    <w:spacing w:line="320" w:lineRule="exact"/>
                    <w:jc w:val="center"/>
                  </w:pPr>
                  <w:r>
                    <w:rPr>
                      <w:rFonts w:hint="eastAsia"/>
                    </w:rPr>
                    <w:t>危险废物</w:t>
                  </w:r>
                </w:p>
              </w:tc>
              <w:tc>
                <w:tcPr>
                  <w:tcW w:w="2256" w:type="dxa"/>
                  <w:vAlign w:val="center"/>
                </w:tcPr>
                <w:p>
                  <w:pPr>
                    <w:spacing w:line="320" w:lineRule="exact"/>
                    <w:jc w:val="center"/>
                  </w:pPr>
                  <w:r>
                    <w:rPr>
                      <w:snapToGrid w:val="0"/>
                      <w:color w:val="000000"/>
                      <w:szCs w:val="21"/>
                    </w:rPr>
                    <w:t>危废暂存间</w:t>
                  </w:r>
                  <w:r>
                    <w:rPr>
                      <w:rFonts w:hint="eastAsia"/>
                      <w:snapToGrid w:val="0"/>
                      <w:color w:val="000000"/>
                      <w:szCs w:val="21"/>
                    </w:rPr>
                    <w:t>（</w:t>
                  </w:r>
                  <w:r>
                    <w:rPr>
                      <w:rFonts w:hint="eastAsia"/>
                      <w:snapToGrid w:val="0"/>
                      <w:color w:val="000000"/>
                      <w:szCs w:val="21"/>
                      <w:lang w:val="en-US" w:eastAsia="zh-CN"/>
                    </w:rPr>
                    <w:t>6</w:t>
                  </w:r>
                  <w:r>
                    <w:rPr>
                      <w:rFonts w:hint="eastAsia"/>
                      <w:snapToGrid w:val="0"/>
                      <w:color w:val="000000"/>
                      <w:szCs w:val="21"/>
                    </w:rPr>
                    <w:t>m</w:t>
                  </w:r>
                  <w:r>
                    <w:rPr>
                      <w:rFonts w:hint="eastAsia"/>
                      <w:snapToGrid w:val="0"/>
                      <w:color w:val="000000"/>
                      <w:szCs w:val="21"/>
                      <w:vertAlign w:val="superscript"/>
                    </w:rPr>
                    <w:t>2</w:t>
                  </w:r>
                  <w:r>
                    <w:rPr>
                      <w:rFonts w:hint="eastAsia"/>
                      <w:snapToGrid w:val="0"/>
                      <w:color w:val="000000"/>
                      <w:szCs w:val="21"/>
                    </w:rPr>
                    <w:t>）</w:t>
                  </w:r>
                </w:p>
              </w:tc>
              <w:tc>
                <w:tcPr>
                  <w:tcW w:w="1147" w:type="dxa"/>
                  <w:vAlign w:val="center"/>
                </w:tcPr>
                <w:p>
                  <w:pPr>
                    <w:spacing w:line="320" w:lineRule="exact"/>
                    <w:jc w:val="center"/>
                    <w:rPr>
                      <w:rFonts w:hint="default" w:eastAsia="宋体"/>
                      <w:lang w:val="en-US" w:eastAsia="zh-CN"/>
                    </w:rPr>
                  </w:pPr>
                  <w:r>
                    <w:rPr>
                      <w:rFonts w:hint="eastAsia"/>
                      <w:lang w:val="en-US" w:eastAsia="zh-CN"/>
                    </w:rPr>
                    <w:t>0.3</w:t>
                  </w:r>
                </w:p>
              </w:tc>
              <w:tc>
                <w:tcPr>
                  <w:tcW w:w="2816" w:type="dxa"/>
                  <w:vAlign w:val="center"/>
                </w:tcPr>
                <w:p>
                  <w:pPr>
                    <w:spacing w:line="320" w:lineRule="exact"/>
                    <w:jc w:val="center"/>
                  </w:pPr>
                  <w:r>
                    <w:rPr>
                      <w:rFonts w:hint="eastAsia"/>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13" w:type="dxa"/>
                  <w:gridSpan w:val="3"/>
                  <w:vAlign w:val="center"/>
                </w:tcPr>
                <w:p>
                  <w:pPr>
                    <w:spacing w:line="320" w:lineRule="exact"/>
                    <w:jc w:val="center"/>
                  </w:pPr>
                  <w:r>
                    <w:t>投资估算合计</w:t>
                  </w:r>
                </w:p>
              </w:tc>
              <w:tc>
                <w:tcPr>
                  <w:tcW w:w="1147" w:type="dxa"/>
                  <w:vAlign w:val="center"/>
                </w:tcPr>
                <w:p>
                  <w:pPr>
                    <w:spacing w:line="320" w:lineRule="exact"/>
                    <w:jc w:val="center"/>
                    <w:rPr>
                      <w:rFonts w:hint="default" w:eastAsia="宋体"/>
                      <w:lang w:val="en-US" w:eastAsia="zh-CN"/>
                    </w:rPr>
                  </w:pPr>
                  <w:r>
                    <w:rPr>
                      <w:rFonts w:hint="eastAsia"/>
                      <w:b/>
                      <w:bCs/>
                      <w:u w:val="single"/>
                      <w:lang w:val="en-US" w:eastAsia="zh-CN"/>
                    </w:rPr>
                    <w:t>9.4</w:t>
                  </w:r>
                </w:p>
              </w:tc>
              <w:tc>
                <w:tcPr>
                  <w:tcW w:w="2816" w:type="dxa"/>
                  <w:vAlign w:val="center"/>
                </w:tcPr>
                <w:p>
                  <w:pPr>
                    <w:spacing w:line="320" w:lineRule="exact"/>
                    <w:jc w:val="center"/>
                  </w:pPr>
                  <w:r>
                    <w:rPr>
                      <w:rFonts w:hint="eastAsia"/>
                    </w:rPr>
                    <w:t>/</w:t>
                  </w:r>
                </w:p>
              </w:tc>
            </w:tr>
          </w:tbl>
          <w:p>
            <w:pPr>
              <w:adjustRightInd w:val="0"/>
              <w:snapToGrid w:val="0"/>
              <w:spacing w:line="460" w:lineRule="exact"/>
              <w:rPr>
                <w:bCs/>
                <w:spacing w:val="-10"/>
                <w:szCs w:val="21"/>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60"/>
        <w:gridCol w:w="1478"/>
        <w:gridCol w:w="2407"/>
        <w:gridCol w:w="2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tcBorders>
              <w:tl2br w:val="single" w:color="auto" w:sz="4" w:space="0"/>
            </w:tcBorders>
            <w:vAlign w:val="center"/>
          </w:tcPr>
          <w:p>
            <w:pPr>
              <w:adjustRightInd w:val="0"/>
              <w:snapToGrid w:val="0"/>
              <w:spacing w:line="320" w:lineRule="exact"/>
              <w:jc w:val="center"/>
              <w:rPr>
                <w:b/>
                <w:bCs/>
                <w:sz w:val="24"/>
              </w:rPr>
            </w:pPr>
            <w:r>
              <w:rPr>
                <w:b/>
                <w:bCs/>
                <w:sz w:val="24"/>
              </w:rPr>
              <w:t>内容</w:t>
            </w:r>
          </w:p>
          <w:p>
            <w:pPr>
              <w:adjustRightInd w:val="0"/>
              <w:snapToGrid w:val="0"/>
              <w:spacing w:line="320" w:lineRule="exact"/>
              <w:jc w:val="center"/>
              <w:rPr>
                <w:b/>
                <w:bCs/>
                <w:sz w:val="24"/>
              </w:rPr>
            </w:pPr>
            <w:r>
              <w:rPr>
                <w:b/>
                <w:bCs/>
                <w:sz w:val="24"/>
              </w:rPr>
              <w:t>要素</w:t>
            </w:r>
          </w:p>
        </w:tc>
        <w:tc>
          <w:tcPr>
            <w:tcW w:w="1560" w:type="dxa"/>
            <w:vAlign w:val="center"/>
          </w:tcPr>
          <w:p>
            <w:pPr>
              <w:adjustRightInd w:val="0"/>
              <w:snapToGrid w:val="0"/>
              <w:spacing w:line="320" w:lineRule="exact"/>
              <w:jc w:val="center"/>
              <w:rPr>
                <w:b/>
                <w:bCs/>
                <w:sz w:val="24"/>
              </w:rPr>
            </w:pPr>
            <w:r>
              <w:rPr>
                <w:b/>
                <w:bCs/>
                <w:sz w:val="24"/>
              </w:rPr>
              <w:t>排放口(编号、名称)/污染源</w:t>
            </w:r>
          </w:p>
        </w:tc>
        <w:tc>
          <w:tcPr>
            <w:tcW w:w="1478" w:type="dxa"/>
            <w:vAlign w:val="center"/>
          </w:tcPr>
          <w:p>
            <w:pPr>
              <w:adjustRightInd w:val="0"/>
              <w:snapToGrid w:val="0"/>
              <w:spacing w:line="320" w:lineRule="exact"/>
              <w:jc w:val="center"/>
              <w:rPr>
                <w:b/>
                <w:bCs/>
                <w:sz w:val="24"/>
              </w:rPr>
            </w:pPr>
            <w:r>
              <w:rPr>
                <w:b/>
                <w:bCs/>
                <w:sz w:val="24"/>
              </w:rPr>
              <w:t>污染物</w:t>
            </w:r>
          </w:p>
          <w:p>
            <w:pPr>
              <w:adjustRightInd w:val="0"/>
              <w:snapToGrid w:val="0"/>
              <w:spacing w:line="320" w:lineRule="exact"/>
              <w:jc w:val="center"/>
              <w:rPr>
                <w:b/>
                <w:bCs/>
                <w:sz w:val="24"/>
              </w:rPr>
            </w:pPr>
            <w:r>
              <w:rPr>
                <w:rFonts w:hint="eastAsia"/>
                <w:b/>
                <w:bCs/>
                <w:sz w:val="24"/>
              </w:rPr>
              <w:t>名称</w:t>
            </w:r>
          </w:p>
        </w:tc>
        <w:tc>
          <w:tcPr>
            <w:tcW w:w="2407" w:type="dxa"/>
            <w:vAlign w:val="center"/>
          </w:tcPr>
          <w:p>
            <w:pPr>
              <w:adjustRightInd w:val="0"/>
              <w:snapToGrid w:val="0"/>
              <w:spacing w:line="320" w:lineRule="exact"/>
              <w:jc w:val="center"/>
              <w:rPr>
                <w:b/>
                <w:bCs/>
                <w:sz w:val="24"/>
              </w:rPr>
            </w:pPr>
            <w:r>
              <w:rPr>
                <w:b/>
                <w:bCs/>
                <w:sz w:val="24"/>
              </w:rPr>
              <w:t>环境保护措施</w:t>
            </w:r>
          </w:p>
        </w:tc>
        <w:tc>
          <w:tcPr>
            <w:tcW w:w="2682" w:type="dxa"/>
            <w:vAlign w:val="center"/>
          </w:tcPr>
          <w:p>
            <w:pPr>
              <w:adjustRightInd w:val="0"/>
              <w:snapToGrid w:val="0"/>
              <w:spacing w:line="320" w:lineRule="exact"/>
              <w:jc w:val="center"/>
              <w:rPr>
                <w:b/>
                <w:bCs/>
                <w:sz w:val="24"/>
              </w:rPr>
            </w:pPr>
            <w:r>
              <w:rPr>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54" w:type="dxa"/>
            <w:vMerge w:val="restart"/>
            <w:vAlign w:val="center"/>
          </w:tcPr>
          <w:p>
            <w:pPr>
              <w:adjustRightInd w:val="0"/>
              <w:snapToGrid w:val="0"/>
              <w:spacing w:line="320" w:lineRule="exact"/>
              <w:jc w:val="center"/>
              <w:rPr>
                <w:b/>
                <w:bCs/>
                <w:sz w:val="24"/>
              </w:rPr>
            </w:pPr>
            <w:r>
              <w:rPr>
                <w:b/>
                <w:bCs/>
                <w:sz w:val="24"/>
              </w:rPr>
              <w:t>大气</w:t>
            </w:r>
          </w:p>
          <w:p>
            <w:pPr>
              <w:adjustRightInd w:val="0"/>
              <w:snapToGrid w:val="0"/>
              <w:spacing w:line="320" w:lineRule="exact"/>
              <w:jc w:val="center"/>
              <w:rPr>
                <w:b/>
                <w:bCs/>
                <w:sz w:val="24"/>
              </w:rPr>
            </w:pPr>
            <w:r>
              <w:rPr>
                <w:b/>
                <w:bCs/>
                <w:sz w:val="24"/>
              </w:rPr>
              <w:t>环境</w:t>
            </w:r>
          </w:p>
        </w:tc>
        <w:tc>
          <w:tcPr>
            <w:tcW w:w="1560" w:type="dxa"/>
            <w:vAlign w:val="center"/>
          </w:tcPr>
          <w:p>
            <w:pPr>
              <w:spacing w:line="320" w:lineRule="exact"/>
              <w:jc w:val="center"/>
              <w:rPr>
                <w:sz w:val="24"/>
              </w:rPr>
            </w:pPr>
            <w:r>
              <w:rPr>
                <w:rFonts w:hint="eastAsia"/>
                <w:sz w:val="24"/>
              </w:rPr>
              <w:t>废气排气筒（DA001）</w:t>
            </w:r>
          </w:p>
        </w:tc>
        <w:tc>
          <w:tcPr>
            <w:tcW w:w="1478" w:type="dxa"/>
            <w:vAlign w:val="center"/>
          </w:tcPr>
          <w:p>
            <w:pPr>
              <w:spacing w:line="320" w:lineRule="exact"/>
              <w:jc w:val="center"/>
              <w:rPr>
                <w:rFonts w:hint="eastAsia" w:eastAsia="宋体"/>
                <w:sz w:val="24"/>
                <w:lang w:eastAsia="zh-CN"/>
              </w:rPr>
            </w:pPr>
            <w:r>
              <w:rPr>
                <w:rFonts w:hint="eastAsia"/>
                <w:sz w:val="24"/>
                <w:lang w:val="en-US" w:eastAsia="zh-CN"/>
              </w:rPr>
              <w:t>非甲烷总烃</w:t>
            </w:r>
          </w:p>
        </w:tc>
        <w:tc>
          <w:tcPr>
            <w:tcW w:w="2407" w:type="dxa"/>
            <w:vAlign w:val="center"/>
          </w:tcPr>
          <w:p>
            <w:pPr>
              <w:spacing w:line="320" w:lineRule="exact"/>
              <w:jc w:val="center"/>
              <w:rPr>
                <w:sz w:val="24"/>
              </w:rPr>
            </w:pPr>
            <w:r>
              <w:rPr>
                <w:rFonts w:hint="eastAsia"/>
                <w:b/>
                <w:bCs/>
                <w:sz w:val="24"/>
                <w:u w:val="single"/>
                <w:lang w:val="en-US" w:eastAsia="zh-CN"/>
              </w:rPr>
              <w:t>二次密闭+</w:t>
            </w:r>
            <w:r>
              <w:rPr>
                <w:rFonts w:hint="eastAsia"/>
                <w:sz w:val="24"/>
              </w:rPr>
              <w:t>集气罩</w:t>
            </w:r>
            <w:r>
              <w:rPr>
                <w:rFonts w:hint="eastAsia"/>
                <w:sz w:val="24"/>
                <w:lang w:eastAsia="zh-CN"/>
              </w:rPr>
              <w:t>（</w:t>
            </w:r>
            <w:r>
              <w:rPr>
                <w:rFonts w:hint="eastAsia"/>
                <w:sz w:val="24"/>
                <w:lang w:val="en-US" w:eastAsia="zh-CN"/>
              </w:rPr>
              <w:t>加装软帘</w:t>
            </w:r>
            <w:r>
              <w:rPr>
                <w:rFonts w:hint="eastAsia"/>
                <w:sz w:val="24"/>
                <w:lang w:eastAsia="zh-CN"/>
              </w:rPr>
              <w:t>）</w:t>
            </w:r>
            <w:r>
              <w:rPr>
                <w:rFonts w:hint="eastAsia"/>
                <w:sz w:val="24"/>
              </w:rPr>
              <w:t>+UV光氧+活性炭吸附装置</w:t>
            </w:r>
            <w:r>
              <w:rPr>
                <w:rFonts w:hint="eastAsia"/>
                <w:sz w:val="24"/>
                <w:lang w:val="en-US" w:eastAsia="zh-CN"/>
              </w:rPr>
              <w:t>+</w:t>
            </w:r>
            <w:r>
              <w:rPr>
                <w:rFonts w:hint="eastAsia"/>
                <w:sz w:val="24"/>
              </w:rPr>
              <w:t>15m高排气筒</w:t>
            </w:r>
          </w:p>
        </w:tc>
        <w:tc>
          <w:tcPr>
            <w:tcW w:w="2682" w:type="dxa"/>
            <w:vAlign w:val="center"/>
          </w:tcPr>
          <w:p>
            <w:pPr>
              <w:spacing w:line="320" w:lineRule="exact"/>
              <w:jc w:val="center"/>
              <w:rPr>
                <w:rFonts w:hint="eastAsia"/>
                <w:b w:val="0"/>
                <w:bCs w:val="0"/>
                <w:sz w:val="24"/>
                <w:szCs w:val="24"/>
                <w:u w:val="none"/>
                <w:lang w:eastAsia="zh-CN"/>
              </w:rPr>
            </w:pPr>
            <w:r>
              <w:rPr>
                <w:rFonts w:hint="eastAsia" w:ascii="Times New Roman" w:hAnsi="Times New Roman" w:eastAsia="宋体" w:cs="Times New Roman"/>
                <w:b w:val="0"/>
                <w:bCs w:val="0"/>
                <w:color w:val="000000"/>
                <w:sz w:val="24"/>
                <w:u w:val="none"/>
              </w:rPr>
              <w:t>《合成树脂工业污染物排放标准》（GB31572-2015）；《关于全省开展工业企业挥发性有机物专项治理工作中排放建议值的通知》（豫环攻坚办〔2017〕162 号文）</w:t>
            </w:r>
            <w:r>
              <w:rPr>
                <w:rFonts w:hint="eastAsia"/>
                <w:b w:val="0"/>
                <w:bCs w:val="0"/>
                <w:sz w:val="24"/>
                <w:szCs w:val="24"/>
                <w:u w:val="none"/>
                <w:lang w:eastAsia="zh-CN"/>
              </w:rPr>
              <w:t>；</w:t>
            </w:r>
          </w:p>
          <w:p>
            <w:pPr>
              <w:spacing w:line="320" w:lineRule="exact"/>
              <w:jc w:val="center"/>
              <w:rPr>
                <w:sz w:val="24"/>
              </w:rPr>
            </w:pPr>
            <w:r>
              <w:rPr>
                <w:rFonts w:hint="eastAsia"/>
                <w:b/>
                <w:bCs/>
                <w:sz w:val="24"/>
                <w:u w:val="none"/>
              </w:rPr>
              <w:t>《</w:t>
            </w:r>
            <w:r>
              <w:rPr>
                <w:rFonts w:hint="eastAsia"/>
                <w:b/>
                <w:bCs/>
                <w:sz w:val="24"/>
                <w:u w:val="single"/>
              </w:rPr>
              <w:t>重污染天气重点行业应急减排措施制定技术指南（2020年修订版）》塑料制品</w:t>
            </w:r>
            <w:r>
              <w:rPr>
                <w:rFonts w:hint="eastAsia"/>
                <w:b/>
                <w:bCs/>
                <w:sz w:val="24"/>
                <w:u w:val="single"/>
                <w:lang w:val="en-US" w:eastAsia="zh-CN"/>
              </w:rPr>
              <w:t>行业</w:t>
            </w:r>
            <w:r>
              <w:rPr>
                <w:b/>
                <w:bCs/>
                <w:sz w:val="24"/>
                <w:u w:val="single"/>
              </w:rPr>
              <w:t>绩效分级指标</w:t>
            </w:r>
            <w:r>
              <w:rPr>
                <w:rFonts w:hint="eastAsia"/>
                <w:b/>
                <w:bCs/>
                <w:sz w:val="24"/>
                <w:u w:val="single"/>
                <w:lang w:eastAsia="zh-CN"/>
              </w:rPr>
              <w:t>（</w:t>
            </w:r>
            <w:r>
              <w:rPr>
                <w:rFonts w:hint="eastAsia"/>
                <w:b/>
                <w:bCs/>
                <w:sz w:val="24"/>
                <w:u w:val="single"/>
                <w:lang w:val="en-US" w:eastAsia="zh-CN"/>
              </w:rPr>
              <w:t>A级企业</w:t>
            </w:r>
            <w:r>
              <w:rPr>
                <w:rFonts w:hint="eastAsia"/>
                <w:b/>
                <w:bCs/>
                <w:sz w:val="24"/>
                <w:u w:val="single"/>
                <w:lang w:eastAsia="zh-CN"/>
              </w:rPr>
              <w:t>）</w:t>
            </w:r>
            <w:r>
              <w:rPr>
                <w:rFonts w:hint="eastAsia"/>
                <w:b/>
                <w:bCs/>
                <w:sz w:val="24"/>
                <w:u w:val="singl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54" w:type="dxa"/>
            <w:vMerge w:val="continue"/>
            <w:vAlign w:val="center"/>
          </w:tcPr>
          <w:p>
            <w:pPr>
              <w:adjustRightInd w:val="0"/>
              <w:snapToGrid w:val="0"/>
              <w:spacing w:line="320" w:lineRule="exact"/>
              <w:jc w:val="center"/>
              <w:rPr>
                <w:b/>
                <w:bCs/>
                <w:sz w:val="24"/>
              </w:rPr>
            </w:pPr>
          </w:p>
        </w:tc>
        <w:tc>
          <w:tcPr>
            <w:tcW w:w="1560" w:type="dxa"/>
            <w:vAlign w:val="center"/>
          </w:tcPr>
          <w:p>
            <w:pPr>
              <w:spacing w:line="320" w:lineRule="exact"/>
              <w:jc w:val="center"/>
              <w:rPr>
                <w:rFonts w:hint="eastAsia"/>
                <w:b/>
                <w:bCs/>
                <w:sz w:val="24"/>
                <w:u w:val="single"/>
              </w:rPr>
            </w:pPr>
            <w:r>
              <w:rPr>
                <w:rFonts w:hint="eastAsia"/>
                <w:b/>
                <w:bCs/>
                <w:sz w:val="24"/>
                <w:u w:val="single"/>
              </w:rPr>
              <w:t>废气排气筒（DA00</w:t>
            </w:r>
            <w:r>
              <w:rPr>
                <w:rFonts w:hint="eastAsia"/>
                <w:b/>
                <w:bCs/>
                <w:sz w:val="24"/>
                <w:u w:val="single"/>
                <w:lang w:val="en-US" w:eastAsia="zh-CN"/>
              </w:rPr>
              <w:t>2</w:t>
            </w:r>
            <w:r>
              <w:rPr>
                <w:rFonts w:hint="eastAsia"/>
                <w:b/>
                <w:bCs/>
                <w:sz w:val="24"/>
                <w:u w:val="single"/>
              </w:rPr>
              <w:t>）</w:t>
            </w:r>
          </w:p>
        </w:tc>
        <w:tc>
          <w:tcPr>
            <w:tcW w:w="1478" w:type="dxa"/>
            <w:vAlign w:val="center"/>
          </w:tcPr>
          <w:p>
            <w:pPr>
              <w:spacing w:line="320" w:lineRule="exact"/>
              <w:jc w:val="center"/>
              <w:rPr>
                <w:rFonts w:hint="eastAsia"/>
                <w:b/>
                <w:bCs/>
                <w:sz w:val="24"/>
                <w:u w:val="single"/>
                <w:lang w:val="en-US" w:eastAsia="zh-CN"/>
              </w:rPr>
            </w:pPr>
            <w:r>
              <w:rPr>
                <w:rFonts w:hint="eastAsia"/>
                <w:b/>
                <w:bCs/>
                <w:sz w:val="24"/>
                <w:u w:val="single"/>
                <w:lang w:val="en-US" w:eastAsia="zh-CN"/>
              </w:rPr>
              <w:t>非甲烷总烃</w:t>
            </w:r>
          </w:p>
        </w:tc>
        <w:tc>
          <w:tcPr>
            <w:tcW w:w="2407" w:type="dxa"/>
            <w:vAlign w:val="center"/>
          </w:tcPr>
          <w:p>
            <w:pPr>
              <w:spacing w:line="320" w:lineRule="exact"/>
              <w:jc w:val="center"/>
              <w:rPr>
                <w:rFonts w:hint="eastAsia" w:ascii="Times New Roman" w:hAnsi="Times New Roman" w:eastAsia="宋体" w:cs="Times New Roman"/>
                <w:b/>
                <w:bCs/>
                <w:kern w:val="2"/>
                <w:sz w:val="24"/>
                <w:szCs w:val="24"/>
                <w:u w:val="single"/>
                <w:lang w:val="en-US" w:eastAsia="zh-CN" w:bidi="ar-SA"/>
              </w:rPr>
            </w:pPr>
            <w:r>
              <w:rPr>
                <w:rFonts w:hint="eastAsia"/>
                <w:b/>
                <w:bCs/>
                <w:sz w:val="24"/>
                <w:u w:val="single"/>
              </w:rPr>
              <w:t>集气罩</w:t>
            </w:r>
            <w:r>
              <w:rPr>
                <w:rFonts w:hint="eastAsia"/>
                <w:b/>
                <w:bCs/>
                <w:sz w:val="24"/>
                <w:u w:val="single"/>
                <w:lang w:eastAsia="zh-CN"/>
              </w:rPr>
              <w:t>（</w:t>
            </w:r>
            <w:r>
              <w:rPr>
                <w:rFonts w:hint="eastAsia"/>
                <w:b/>
                <w:bCs/>
                <w:sz w:val="24"/>
                <w:u w:val="single"/>
                <w:lang w:val="en-US" w:eastAsia="zh-CN"/>
              </w:rPr>
              <w:t>加装软帘</w:t>
            </w:r>
            <w:r>
              <w:rPr>
                <w:rFonts w:hint="eastAsia"/>
                <w:b/>
                <w:bCs/>
                <w:sz w:val="24"/>
                <w:u w:val="single"/>
                <w:lang w:eastAsia="zh-CN"/>
              </w:rPr>
              <w:t>）</w:t>
            </w:r>
            <w:r>
              <w:rPr>
                <w:rFonts w:hint="eastAsia"/>
                <w:b/>
                <w:bCs/>
                <w:sz w:val="24"/>
                <w:u w:val="single"/>
              </w:rPr>
              <w:t>+UV光氧+活性炭吸附装置</w:t>
            </w:r>
            <w:r>
              <w:rPr>
                <w:rFonts w:hint="eastAsia"/>
                <w:b/>
                <w:bCs/>
                <w:sz w:val="24"/>
                <w:u w:val="single"/>
                <w:lang w:val="en-US" w:eastAsia="zh-CN"/>
              </w:rPr>
              <w:t>+</w:t>
            </w:r>
            <w:r>
              <w:rPr>
                <w:rFonts w:hint="eastAsia"/>
                <w:b/>
                <w:bCs/>
                <w:sz w:val="24"/>
                <w:u w:val="single"/>
              </w:rPr>
              <w:t>15m高排气筒</w:t>
            </w:r>
          </w:p>
        </w:tc>
        <w:tc>
          <w:tcPr>
            <w:tcW w:w="2682" w:type="dxa"/>
            <w:vAlign w:val="center"/>
          </w:tcPr>
          <w:p>
            <w:pPr>
              <w:spacing w:line="320" w:lineRule="exact"/>
              <w:jc w:val="center"/>
              <w:rPr>
                <w:rFonts w:hint="eastAsia"/>
                <w:b/>
                <w:bCs/>
                <w:sz w:val="24"/>
                <w:szCs w:val="24"/>
                <w:u w:val="single"/>
                <w:lang w:eastAsia="zh-CN"/>
              </w:rPr>
            </w:pPr>
            <w:r>
              <w:rPr>
                <w:rFonts w:hint="eastAsia"/>
                <w:b/>
                <w:bCs/>
                <w:sz w:val="24"/>
                <w:szCs w:val="24"/>
                <w:u w:val="single"/>
                <w:lang w:eastAsia="zh-CN"/>
              </w:rPr>
              <w:t>《河南省印刷工业挥发性有机物排放标准》（DB41/1956-2020）；《关于全省开展工业企业挥发性有机物专项治理工作中排放建议值的通知》（豫环攻坚办〔2017〕162 号文）；《重污染天气重点行业应急减排措施制定技术指南（2020年修订版）》包装印刷行业绩效分级指标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54" w:type="dxa"/>
            <w:vAlign w:val="center"/>
          </w:tcPr>
          <w:p>
            <w:pPr>
              <w:adjustRightInd w:val="0"/>
              <w:snapToGrid w:val="0"/>
              <w:spacing w:line="320" w:lineRule="exact"/>
              <w:jc w:val="center"/>
              <w:rPr>
                <w:b/>
                <w:bCs/>
                <w:sz w:val="24"/>
              </w:rPr>
            </w:pPr>
            <w:r>
              <w:rPr>
                <w:b/>
                <w:bCs/>
                <w:sz w:val="24"/>
              </w:rPr>
              <w:t>地表水环境</w:t>
            </w:r>
          </w:p>
        </w:tc>
        <w:tc>
          <w:tcPr>
            <w:tcW w:w="1560" w:type="dxa"/>
            <w:vAlign w:val="center"/>
          </w:tcPr>
          <w:p>
            <w:pPr>
              <w:adjustRightInd w:val="0"/>
              <w:snapToGrid w:val="0"/>
              <w:spacing w:line="320" w:lineRule="exact"/>
              <w:jc w:val="center"/>
              <w:rPr>
                <w:sz w:val="24"/>
              </w:rPr>
            </w:pPr>
            <w:r>
              <w:rPr>
                <w:rFonts w:hint="eastAsia"/>
                <w:sz w:val="24"/>
              </w:rPr>
              <w:t>生活污水</w:t>
            </w:r>
          </w:p>
        </w:tc>
        <w:tc>
          <w:tcPr>
            <w:tcW w:w="1478" w:type="dxa"/>
            <w:vAlign w:val="center"/>
          </w:tcPr>
          <w:p>
            <w:pPr>
              <w:adjustRightInd w:val="0"/>
              <w:snapToGrid w:val="0"/>
              <w:spacing w:line="320" w:lineRule="exact"/>
              <w:jc w:val="center"/>
              <w:rPr>
                <w:sz w:val="24"/>
              </w:rPr>
            </w:pPr>
            <w:r>
              <w:rPr>
                <w:sz w:val="24"/>
              </w:rPr>
              <w:t>COD、NH</w:t>
            </w:r>
            <w:r>
              <w:rPr>
                <w:sz w:val="24"/>
                <w:vertAlign w:val="subscript"/>
              </w:rPr>
              <w:t>3</w:t>
            </w:r>
            <w:r>
              <w:rPr>
                <w:sz w:val="24"/>
              </w:rPr>
              <w:t>-N</w:t>
            </w:r>
          </w:p>
        </w:tc>
        <w:tc>
          <w:tcPr>
            <w:tcW w:w="2407" w:type="dxa"/>
            <w:vAlign w:val="center"/>
          </w:tcPr>
          <w:p>
            <w:pPr>
              <w:adjustRightInd w:val="0"/>
              <w:snapToGrid w:val="0"/>
              <w:spacing w:line="320" w:lineRule="exact"/>
              <w:jc w:val="center"/>
              <w:rPr>
                <w:rFonts w:hint="eastAsia" w:eastAsia="宋体"/>
                <w:sz w:val="24"/>
                <w:lang w:eastAsia="zh-CN"/>
              </w:rPr>
            </w:pPr>
            <w:r>
              <w:rPr>
                <w:rFonts w:hint="default"/>
                <w:b w:val="0"/>
                <w:bCs w:val="0"/>
                <w:sz w:val="24"/>
                <w:u w:val="none"/>
              </w:rPr>
              <w:t>经依托化粪池处理后排入</w:t>
            </w:r>
            <w:r>
              <w:rPr>
                <w:rFonts w:hint="eastAsia" w:eastAsia="宋体"/>
                <w:color w:val="auto"/>
                <w:sz w:val="24"/>
                <w:szCs w:val="24"/>
              </w:rPr>
              <w:t>中州渠人工湿地</w:t>
            </w:r>
          </w:p>
        </w:tc>
        <w:tc>
          <w:tcPr>
            <w:tcW w:w="2682" w:type="dxa"/>
            <w:vAlign w:val="center"/>
          </w:tcPr>
          <w:p>
            <w:pPr>
              <w:adjustRightInd w:val="0"/>
              <w:snapToGrid w:val="0"/>
              <w:spacing w:line="320" w:lineRule="exact"/>
              <w:jc w:val="center"/>
              <w:rPr>
                <w:sz w:val="24"/>
              </w:rPr>
            </w:pPr>
            <w:r>
              <w:rPr>
                <w:sz w:val="24"/>
              </w:rPr>
              <w:t>《污水综合排放标准》（GB</w:t>
            </w:r>
            <w:r>
              <w:rPr>
                <w:rFonts w:hint="eastAsia"/>
                <w:sz w:val="24"/>
              </w:rPr>
              <w:t>8978</w:t>
            </w:r>
            <w:r>
              <w:rPr>
                <w:sz w:val="24"/>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z w:val="24"/>
              </w:rPr>
            </w:pPr>
            <w:r>
              <w:rPr>
                <w:b/>
                <w:bCs/>
                <w:sz w:val="24"/>
              </w:rPr>
              <w:t>声环境</w:t>
            </w:r>
          </w:p>
        </w:tc>
        <w:tc>
          <w:tcPr>
            <w:tcW w:w="3038" w:type="dxa"/>
            <w:gridSpan w:val="2"/>
            <w:vAlign w:val="center"/>
          </w:tcPr>
          <w:p>
            <w:pPr>
              <w:adjustRightInd w:val="0"/>
              <w:snapToGrid w:val="0"/>
              <w:spacing w:line="320" w:lineRule="exact"/>
              <w:jc w:val="center"/>
              <w:rPr>
                <w:sz w:val="24"/>
              </w:rPr>
            </w:pPr>
            <w:r>
              <w:rPr>
                <w:color w:val="000000"/>
                <w:sz w:val="24"/>
              </w:rPr>
              <w:t>高噪声设备工作时的机械噪声</w:t>
            </w:r>
          </w:p>
        </w:tc>
        <w:tc>
          <w:tcPr>
            <w:tcW w:w="2407" w:type="dxa"/>
            <w:vAlign w:val="center"/>
          </w:tcPr>
          <w:p>
            <w:pPr>
              <w:adjustRightInd w:val="0"/>
              <w:snapToGrid w:val="0"/>
              <w:spacing w:line="320" w:lineRule="exact"/>
              <w:jc w:val="center"/>
              <w:rPr>
                <w:sz w:val="24"/>
              </w:rPr>
            </w:pPr>
            <w:r>
              <w:rPr>
                <w:color w:val="000000"/>
                <w:sz w:val="24"/>
              </w:rPr>
              <w:t>采用</w:t>
            </w:r>
            <w:r>
              <w:rPr>
                <w:rFonts w:hint="eastAsia"/>
                <w:color w:val="000000"/>
                <w:sz w:val="24"/>
              </w:rPr>
              <w:t>距离衰减，厂房隔声</w:t>
            </w:r>
            <w:r>
              <w:rPr>
                <w:color w:val="000000"/>
                <w:sz w:val="24"/>
              </w:rPr>
              <w:t>等措施</w:t>
            </w:r>
          </w:p>
        </w:tc>
        <w:tc>
          <w:tcPr>
            <w:tcW w:w="2682" w:type="dxa"/>
            <w:vAlign w:val="center"/>
          </w:tcPr>
          <w:p>
            <w:pPr>
              <w:adjustRightInd w:val="0"/>
              <w:snapToGrid w:val="0"/>
              <w:spacing w:line="320" w:lineRule="exact"/>
              <w:jc w:val="center"/>
              <w:rPr>
                <w:sz w:val="24"/>
              </w:rPr>
            </w:pPr>
            <w:r>
              <w:rPr>
                <w:color w:val="000000"/>
                <w:sz w:val="24"/>
              </w:rPr>
              <w:t>《工业企业厂界环境噪声排放标准》（GB12348-2008）</w:t>
            </w:r>
            <w:r>
              <w:rPr>
                <w:rFonts w:hint="eastAsia"/>
                <w:color w:val="000000"/>
                <w:sz w:val="24"/>
                <w:lang w:val="en-US" w:eastAsia="zh-CN"/>
              </w:rPr>
              <w:t>2</w:t>
            </w:r>
            <w:r>
              <w:rPr>
                <w:color w:val="000000"/>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z w:val="24"/>
              </w:rPr>
            </w:pPr>
            <w:r>
              <w:rPr>
                <w:b/>
                <w:bCs/>
                <w:sz w:val="24"/>
              </w:rPr>
              <w:t>电磁</w:t>
            </w:r>
          </w:p>
          <w:p>
            <w:pPr>
              <w:adjustRightInd w:val="0"/>
              <w:snapToGrid w:val="0"/>
              <w:spacing w:line="320" w:lineRule="exact"/>
              <w:jc w:val="center"/>
              <w:rPr>
                <w:b/>
                <w:bCs/>
                <w:sz w:val="24"/>
              </w:rPr>
            </w:pPr>
            <w:r>
              <w:rPr>
                <w:b/>
                <w:bCs/>
                <w:sz w:val="24"/>
              </w:rPr>
              <w:t>辐射</w:t>
            </w:r>
          </w:p>
        </w:tc>
        <w:tc>
          <w:tcPr>
            <w:tcW w:w="1560" w:type="dxa"/>
            <w:vAlign w:val="center"/>
          </w:tcPr>
          <w:p>
            <w:pPr>
              <w:adjustRightInd w:val="0"/>
              <w:snapToGrid w:val="0"/>
              <w:spacing w:line="320" w:lineRule="exact"/>
              <w:jc w:val="center"/>
              <w:rPr>
                <w:sz w:val="24"/>
              </w:rPr>
            </w:pPr>
            <w:r>
              <w:rPr>
                <w:sz w:val="24"/>
              </w:rPr>
              <w:t>/</w:t>
            </w:r>
          </w:p>
        </w:tc>
        <w:tc>
          <w:tcPr>
            <w:tcW w:w="1478" w:type="dxa"/>
            <w:vAlign w:val="center"/>
          </w:tcPr>
          <w:p>
            <w:pPr>
              <w:adjustRightInd w:val="0"/>
              <w:snapToGrid w:val="0"/>
              <w:spacing w:line="320" w:lineRule="exact"/>
              <w:jc w:val="center"/>
              <w:rPr>
                <w:sz w:val="24"/>
              </w:rPr>
            </w:pPr>
            <w:r>
              <w:rPr>
                <w:sz w:val="24"/>
              </w:rPr>
              <w:t>/</w:t>
            </w:r>
          </w:p>
        </w:tc>
        <w:tc>
          <w:tcPr>
            <w:tcW w:w="2407" w:type="dxa"/>
            <w:vAlign w:val="center"/>
          </w:tcPr>
          <w:p>
            <w:pPr>
              <w:adjustRightInd w:val="0"/>
              <w:snapToGrid w:val="0"/>
              <w:spacing w:line="320" w:lineRule="exact"/>
              <w:jc w:val="center"/>
              <w:rPr>
                <w:sz w:val="24"/>
              </w:rPr>
            </w:pPr>
            <w:r>
              <w:rPr>
                <w:sz w:val="24"/>
              </w:rPr>
              <w:t>/</w:t>
            </w:r>
          </w:p>
        </w:tc>
        <w:tc>
          <w:tcPr>
            <w:tcW w:w="2682" w:type="dxa"/>
            <w:vAlign w:val="center"/>
          </w:tcPr>
          <w:p>
            <w:pPr>
              <w:adjustRightInd w:val="0"/>
              <w:snapToGrid w:val="0"/>
              <w:spacing w:line="320" w:lineRule="exact"/>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54" w:type="dxa"/>
            <w:vMerge w:val="restart"/>
            <w:vAlign w:val="center"/>
          </w:tcPr>
          <w:p>
            <w:pPr>
              <w:adjustRightInd w:val="0"/>
              <w:snapToGrid w:val="0"/>
              <w:spacing w:line="320" w:lineRule="exact"/>
              <w:jc w:val="center"/>
              <w:rPr>
                <w:b/>
                <w:bCs/>
                <w:sz w:val="24"/>
              </w:rPr>
            </w:pPr>
            <w:r>
              <w:rPr>
                <w:b/>
                <w:bCs/>
                <w:sz w:val="24"/>
              </w:rPr>
              <w:t>固体</w:t>
            </w:r>
          </w:p>
          <w:p>
            <w:pPr>
              <w:adjustRightInd w:val="0"/>
              <w:snapToGrid w:val="0"/>
              <w:spacing w:line="320" w:lineRule="exact"/>
              <w:jc w:val="center"/>
              <w:rPr>
                <w:b/>
                <w:bCs/>
                <w:sz w:val="24"/>
              </w:rPr>
            </w:pPr>
            <w:r>
              <w:rPr>
                <w:b/>
                <w:bCs/>
                <w:sz w:val="24"/>
              </w:rPr>
              <w:t>废物</w:t>
            </w:r>
          </w:p>
        </w:tc>
        <w:tc>
          <w:tcPr>
            <w:tcW w:w="1560" w:type="dxa"/>
            <w:vAlign w:val="center"/>
          </w:tcPr>
          <w:p>
            <w:pPr>
              <w:adjustRightInd w:val="0"/>
              <w:snapToGrid w:val="0"/>
              <w:spacing w:line="320" w:lineRule="exact"/>
              <w:jc w:val="center"/>
              <w:rPr>
                <w:sz w:val="24"/>
              </w:rPr>
            </w:pPr>
            <w:r>
              <w:rPr>
                <w:rFonts w:hint="eastAsia"/>
                <w:sz w:val="24"/>
              </w:rPr>
              <w:t>员工生活</w:t>
            </w:r>
          </w:p>
        </w:tc>
        <w:tc>
          <w:tcPr>
            <w:tcW w:w="1478" w:type="dxa"/>
            <w:vAlign w:val="center"/>
          </w:tcPr>
          <w:p>
            <w:pPr>
              <w:adjustRightInd w:val="0"/>
              <w:snapToGrid w:val="0"/>
              <w:spacing w:line="320" w:lineRule="exact"/>
              <w:jc w:val="center"/>
              <w:rPr>
                <w:sz w:val="24"/>
              </w:rPr>
            </w:pPr>
            <w:r>
              <w:rPr>
                <w:rFonts w:hint="eastAsia"/>
                <w:sz w:val="24"/>
              </w:rPr>
              <w:t>生活垃圾</w:t>
            </w:r>
          </w:p>
        </w:tc>
        <w:tc>
          <w:tcPr>
            <w:tcW w:w="2407" w:type="dxa"/>
            <w:vAlign w:val="center"/>
          </w:tcPr>
          <w:p>
            <w:pPr>
              <w:adjustRightInd w:val="0"/>
              <w:snapToGrid w:val="0"/>
              <w:spacing w:line="320" w:lineRule="exact"/>
              <w:jc w:val="center"/>
              <w:rPr>
                <w:sz w:val="24"/>
              </w:rPr>
            </w:pPr>
            <w:r>
              <w:rPr>
                <w:sz w:val="24"/>
              </w:rPr>
              <w:t>厂区集中收集后由当地环卫部门统一清理</w:t>
            </w:r>
          </w:p>
        </w:tc>
        <w:tc>
          <w:tcPr>
            <w:tcW w:w="2682" w:type="dxa"/>
            <w:vMerge w:val="restart"/>
            <w:vAlign w:val="center"/>
          </w:tcPr>
          <w:p>
            <w:pPr>
              <w:adjustRightInd w:val="0"/>
              <w:snapToGrid w:val="0"/>
              <w:spacing w:line="320" w:lineRule="exact"/>
              <w:jc w:val="center"/>
              <w:rPr>
                <w:sz w:val="24"/>
              </w:rPr>
            </w:pPr>
            <w:r>
              <w:rPr>
                <w:rFonts w:hint="eastAsia"/>
                <w:sz w:val="24"/>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rPr>
                <w:b/>
                <w:bCs/>
                <w:sz w:val="24"/>
              </w:rPr>
            </w:pPr>
          </w:p>
        </w:tc>
        <w:tc>
          <w:tcPr>
            <w:tcW w:w="1560" w:type="dxa"/>
            <w:vMerge w:val="restart"/>
            <w:vAlign w:val="center"/>
          </w:tcPr>
          <w:p>
            <w:pPr>
              <w:adjustRightInd w:val="0"/>
              <w:snapToGrid w:val="0"/>
              <w:spacing w:line="320" w:lineRule="exact"/>
              <w:jc w:val="center"/>
              <w:rPr>
                <w:sz w:val="24"/>
              </w:rPr>
            </w:pPr>
            <w:r>
              <w:rPr>
                <w:rFonts w:hint="eastAsia"/>
                <w:sz w:val="24"/>
              </w:rPr>
              <w:t>生产过程</w:t>
            </w:r>
          </w:p>
        </w:tc>
        <w:tc>
          <w:tcPr>
            <w:tcW w:w="1478" w:type="dxa"/>
            <w:vAlign w:val="center"/>
          </w:tcPr>
          <w:p>
            <w:pPr>
              <w:pStyle w:val="11"/>
              <w:spacing w:line="320" w:lineRule="exact"/>
              <w:rPr>
                <w:rFonts w:hint="eastAsia" w:ascii="宋体" w:eastAsia="宋体" w:cs="Times New Roman"/>
                <w:color w:val="000000"/>
                <w:lang w:eastAsia="zh-CN"/>
              </w:rPr>
            </w:pPr>
            <w:r>
              <w:rPr>
                <w:rFonts w:hint="eastAsia" w:ascii="宋体" w:eastAsia="宋体" w:cs="Times New Roman"/>
                <w:color w:val="000000"/>
                <w:lang w:val="en-US" w:eastAsia="zh-CN"/>
              </w:rPr>
              <w:t>废包装袋</w:t>
            </w:r>
          </w:p>
        </w:tc>
        <w:tc>
          <w:tcPr>
            <w:tcW w:w="2407" w:type="dxa"/>
            <w:vMerge w:val="restart"/>
            <w:vAlign w:val="center"/>
          </w:tcPr>
          <w:p>
            <w:pPr>
              <w:pStyle w:val="11"/>
              <w:spacing w:line="320" w:lineRule="exact"/>
            </w:pPr>
            <w:r>
              <w:rPr>
                <w:rFonts w:hint="eastAsia"/>
                <w:color w:val="000000"/>
              </w:rPr>
              <w:t>收集后定期外售</w:t>
            </w:r>
          </w:p>
        </w:tc>
        <w:tc>
          <w:tcPr>
            <w:tcW w:w="2682" w:type="dxa"/>
            <w:vMerge w:val="continue"/>
            <w:vAlign w:val="center"/>
          </w:tcPr>
          <w:p>
            <w:pPr>
              <w:adjustRightInd w:val="0"/>
              <w:snapToGrid w:val="0"/>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rPr>
                <w:b/>
                <w:bCs/>
                <w:sz w:val="24"/>
              </w:rPr>
            </w:pPr>
          </w:p>
        </w:tc>
        <w:tc>
          <w:tcPr>
            <w:tcW w:w="1560" w:type="dxa"/>
            <w:vMerge w:val="continue"/>
            <w:vAlign w:val="center"/>
          </w:tcPr>
          <w:p>
            <w:pPr>
              <w:adjustRightInd w:val="0"/>
              <w:snapToGrid w:val="0"/>
              <w:spacing w:line="320" w:lineRule="exact"/>
              <w:jc w:val="center"/>
              <w:rPr>
                <w:sz w:val="24"/>
              </w:rPr>
            </w:pPr>
          </w:p>
        </w:tc>
        <w:tc>
          <w:tcPr>
            <w:tcW w:w="1478" w:type="dxa"/>
            <w:vAlign w:val="center"/>
          </w:tcPr>
          <w:p>
            <w:pPr>
              <w:pStyle w:val="11"/>
              <w:spacing w:line="320" w:lineRule="exact"/>
              <w:rPr>
                <w:rFonts w:hint="eastAsia" w:ascii="宋体" w:eastAsia="宋体" w:cs="Times New Roman"/>
                <w:color w:val="000000"/>
                <w:lang w:eastAsia="zh-CN"/>
              </w:rPr>
            </w:pPr>
            <w:r>
              <w:rPr>
                <w:rFonts w:hint="eastAsia" w:ascii="宋体" w:eastAsia="宋体" w:cs="Times New Roman"/>
                <w:color w:val="000000"/>
                <w:lang w:val="en-US" w:eastAsia="zh-CN"/>
              </w:rPr>
              <w:t>废布边角料</w:t>
            </w:r>
          </w:p>
        </w:tc>
        <w:tc>
          <w:tcPr>
            <w:tcW w:w="2407" w:type="dxa"/>
            <w:vMerge w:val="continue"/>
            <w:vAlign w:val="center"/>
          </w:tcPr>
          <w:p>
            <w:pPr>
              <w:pStyle w:val="11"/>
              <w:spacing w:line="320" w:lineRule="exact"/>
            </w:pPr>
          </w:p>
        </w:tc>
        <w:tc>
          <w:tcPr>
            <w:tcW w:w="2682" w:type="dxa"/>
            <w:vMerge w:val="continue"/>
            <w:vAlign w:val="center"/>
          </w:tcPr>
          <w:p>
            <w:pPr>
              <w:adjustRightInd w:val="0"/>
              <w:snapToGrid w:val="0"/>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rPr>
                <w:b/>
                <w:bCs/>
                <w:sz w:val="24"/>
              </w:rPr>
            </w:pPr>
          </w:p>
        </w:tc>
        <w:tc>
          <w:tcPr>
            <w:tcW w:w="1560" w:type="dxa"/>
            <w:vMerge w:val="continue"/>
            <w:vAlign w:val="center"/>
          </w:tcPr>
          <w:p>
            <w:pPr>
              <w:adjustRightInd w:val="0"/>
              <w:snapToGrid w:val="0"/>
              <w:spacing w:line="320" w:lineRule="exact"/>
              <w:jc w:val="center"/>
              <w:rPr>
                <w:sz w:val="24"/>
              </w:rPr>
            </w:pPr>
          </w:p>
        </w:tc>
        <w:tc>
          <w:tcPr>
            <w:tcW w:w="1478" w:type="dxa"/>
            <w:vAlign w:val="center"/>
          </w:tcPr>
          <w:p>
            <w:pPr>
              <w:pStyle w:val="11"/>
              <w:spacing w:line="320" w:lineRule="exact"/>
              <w:rPr>
                <w:rFonts w:hint="eastAsia" w:ascii="宋体" w:eastAsia="宋体" w:cs="Times New Roman"/>
                <w:color w:val="000000"/>
                <w:lang w:val="en-US" w:eastAsia="zh-CN"/>
              </w:rPr>
            </w:pPr>
            <w:r>
              <w:rPr>
                <w:rFonts w:hint="eastAsia" w:ascii="宋体" w:eastAsia="宋体" w:cs="Times New Roman"/>
                <w:color w:val="000000"/>
                <w:lang w:val="en-US" w:eastAsia="zh-CN"/>
              </w:rPr>
              <w:t>废大力棉边角料</w:t>
            </w:r>
          </w:p>
        </w:tc>
        <w:tc>
          <w:tcPr>
            <w:tcW w:w="2407" w:type="dxa"/>
            <w:vMerge w:val="continue"/>
            <w:vAlign w:val="center"/>
          </w:tcPr>
          <w:p>
            <w:pPr>
              <w:pStyle w:val="11"/>
              <w:spacing w:line="320" w:lineRule="exact"/>
              <w:rPr>
                <w:rFonts w:hint="eastAsia"/>
                <w:color w:val="000000"/>
              </w:rPr>
            </w:pPr>
          </w:p>
        </w:tc>
        <w:tc>
          <w:tcPr>
            <w:tcW w:w="2682" w:type="dxa"/>
            <w:vMerge w:val="continue"/>
            <w:vAlign w:val="center"/>
          </w:tcPr>
          <w:p>
            <w:pPr>
              <w:adjustRightInd w:val="0"/>
              <w:snapToGrid w:val="0"/>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pStyle w:val="11"/>
              <w:spacing w:line="320" w:lineRule="exact"/>
            </w:pPr>
          </w:p>
        </w:tc>
        <w:tc>
          <w:tcPr>
            <w:tcW w:w="1560" w:type="dxa"/>
            <w:vMerge w:val="continue"/>
            <w:vAlign w:val="center"/>
          </w:tcPr>
          <w:p>
            <w:pPr>
              <w:pStyle w:val="11"/>
              <w:spacing w:line="320" w:lineRule="exact"/>
            </w:pPr>
          </w:p>
        </w:tc>
        <w:tc>
          <w:tcPr>
            <w:tcW w:w="1478" w:type="dxa"/>
            <w:vAlign w:val="center"/>
          </w:tcPr>
          <w:p>
            <w:pPr>
              <w:pStyle w:val="11"/>
              <w:spacing w:line="320" w:lineRule="exact"/>
              <w:rPr>
                <w:rFonts w:hint="eastAsia" w:ascii="宋体" w:eastAsia="宋体" w:cs="Times New Roman"/>
                <w:color w:val="000000"/>
                <w:lang w:eastAsia="zh-CN"/>
              </w:rPr>
            </w:pPr>
            <w:r>
              <w:rPr>
                <w:rFonts w:hint="eastAsia" w:ascii="宋体" w:eastAsia="宋体" w:cs="Times New Roman"/>
                <w:color w:val="000000"/>
                <w:lang w:val="en-US" w:eastAsia="zh-CN"/>
              </w:rPr>
              <w:t>废鞋垫边角料</w:t>
            </w:r>
          </w:p>
        </w:tc>
        <w:tc>
          <w:tcPr>
            <w:tcW w:w="2407" w:type="dxa"/>
            <w:vMerge w:val="continue"/>
            <w:vAlign w:val="center"/>
          </w:tcPr>
          <w:p>
            <w:pPr>
              <w:pStyle w:val="11"/>
              <w:spacing w:line="320" w:lineRule="exact"/>
            </w:pPr>
          </w:p>
        </w:tc>
        <w:tc>
          <w:tcPr>
            <w:tcW w:w="2682" w:type="dxa"/>
            <w:vMerge w:val="continue"/>
            <w:vAlign w:val="center"/>
          </w:tcPr>
          <w:p>
            <w:pPr>
              <w:pStyle w:val="11"/>
              <w:spacing w:line="32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pPr>
          </w:p>
        </w:tc>
        <w:tc>
          <w:tcPr>
            <w:tcW w:w="1560" w:type="dxa"/>
            <w:vAlign w:val="center"/>
          </w:tcPr>
          <w:p>
            <w:pPr>
              <w:adjustRightInd w:val="0"/>
              <w:snapToGrid w:val="0"/>
              <w:spacing w:line="320" w:lineRule="exact"/>
              <w:jc w:val="center"/>
              <w:rPr>
                <w:rFonts w:hint="eastAsia" w:eastAsia="宋体"/>
                <w:lang w:val="en-US" w:eastAsia="zh-CN"/>
              </w:rPr>
            </w:pPr>
            <w:r>
              <w:rPr>
                <w:rFonts w:hint="eastAsia" w:ascii="Times New Roman" w:hAnsi="Times New Roman" w:eastAsia="宋体" w:cs="Times New Roman"/>
                <w:sz w:val="24"/>
                <w:lang w:val="en-US" w:eastAsia="zh-CN"/>
              </w:rPr>
              <w:t>设备维护</w:t>
            </w:r>
          </w:p>
        </w:tc>
        <w:tc>
          <w:tcPr>
            <w:tcW w:w="1478" w:type="dxa"/>
            <w:vAlign w:val="center"/>
          </w:tcPr>
          <w:p>
            <w:pPr>
              <w:autoSpaceDE w:val="0"/>
              <w:autoSpaceDN w:val="0"/>
              <w:adjustRightInd w:val="0"/>
              <w:snapToGrid w:val="0"/>
              <w:spacing w:line="320" w:lineRule="exact"/>
              <w:jc w:val="center"/>
              <w:rPr>
                <w:rFonts w:hint="default" w:eastAsia="宋体"/>
                <w:sz w:val="24"/>
                <w:lang w:val="en-US" w:eastAsia="zh-CN"/>
              </w:rPr>
            </w:pPr>
            <w:r>
              <w:rPr>
                <w:rFonts w:hint="eastAsia"/>
                <w:sz w:val="24"/>
                <w:lang w:val="en-US" w:eastAsia="zh-CN"/>
              </w:rPr>
              <w:t>废液压油、</w:t>
            </w:r>
            <w:r>
              <w:rPr>
                <w:rFonts w:hint="eastAsia"/>
                <w:b/>
                <w:bCs/>
                <w:sz w:val="24"/>
                <w:u w:val="single"/>
                <w:lang w:val="en-US" w:eastAsia="zh-CN"/>
              </w:rPr>
              <w:t>废抹布</w:t>
            </w:r>
          </w:p>
        </w:tc>
        <w:tc>
          <w:tcPr>
            <w:tcW w:w="2407" w:type="dxa"/>
            <w:vMerge w:val="restart"/>
            <w:vAlign w:val="center"/>
          </w:tcPr>
          <w:p>
            <w:pPr>
              <w:adjustRightInd w:val="0"/>
              <w:snapToGrid w:val="0"/>
              <w:spacing w:line="320" w:lineRule="exact"/>
              <w:jc w:val="center"/>
              <w:rPr>
                <w:sz w:val="24"/>
              </w:rPr>
            </w:pPr>
            <w:r>
              <w:rPr>
                <w:rFonts w:hint="eastAsia"/>
                <w:sz w:val="24"/>
              </w:rPr>
              <w:t>危废暂存间（</w:t>
            </w:r>
            <w:r>
              <w:rPr>
                <w:rFonts w:hint="eastAsia"/>
                <w:sz w:val="24"/>
                <w:lang w:val="en-US" w:eastAsia="zh-CN"/>
              </w:rPr>
              <w:t>6</w:t>
            </w:r>
            <w:r>
              <w:rPr>
                <w:rFonts w:hint="eastAsia"/>
                <w:sz w:val="24"/>
              </w:rPr>
              <w:t>m</w:t>
            </w:r>
            <w:r>
              <w:rPr>
                <w:rFonts w:hint="eastAsia"/>
                <w:sz w:val="24"/>
                <w:vertAlign w:val="superscript"/>
              </w:rPr>
              <w:t>2</w:t>
            </w:r>
            <w:r>
              <w:rPr>
                <w:rFonts w:hint="eastAsia"/>
                <w:sz w:val="24"/>
              </w:rPr>
              <w:t>）暂存后交由资质单位处置</w:t>
            </w:r>
          </w:p>
        </w:tc>
        <w:tc>
          <w:tcPr>
            <w:tcW w:w="2682" w:type="dxa"/>
            <w:vMerge w:val="continue"/>
            <w:vAlign w:val="center"/>
          </w:tcPr>
          <w:p>
            <w:pPr>
              <w:adjustRightInd w:val="0"/>
              <w:snapToGrid w:val="0"/>
              <w:spacing w:line="320" w:lineRule="exact"/>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pPr>
          </w:p>
        </w:tc>
        <w:tc>
          <w:tcPr>
            <w:tcW w:w="1560" w:type="dxa"/>
            <w:vAlign w:val="center"/>
          </w:tcPr>
          <w:p>
            <w:pPr>
              <w:adjustRightInd w:val="0"/>
              <w:snapToGrid w:val="0"/>
              <w:spacing w:line="320" w:lineRule="exact"/>
              <w:jc w:val="center"/>
              <w:rPr>
                <w:rFonts w:hint="eastAsia"/>
                <w:sz w:val="24"/>
              </w:rPr>
            </w:pPr>
            <w:r>
              <w:rPr>
                <w:rFonts w:hint="eastAsia"/>
                <w:sz w:val="24"/>
              </w:rPr>
              <w:t>废气处理装置</w:t>
            </w:r>
          </w:p>
        </w:tc>
        <w:tc>
          <w:tcPr>
            <w:tcW w:w="1478" w:type="dxa"/>
            <w:vAlign w:val="center"/>
          </w:tcPr>
          <w:p>
            <w:pPr>
              <w:adjustRightInd w:val="0"/>
              <w:snapToGrid w:val="0"/>
              <w:spacing w:line="320" w:lineRule="exact"/>
              <w:jc w:val="center"/>
              <w:rPr>
                <w:rFonts w:hint="eastAsia"/>
                <w:sz w:val="24"/>
              </w:rPr>
            </w:pPr>
            <w:r>
              <w:rPr>
                <w:rFonts w:hint="eastAsia"/>
                <w:bCs/>
                <w:sz w:val="24"/>
              </w:rPr>
              <w:t>废活性炭、</w:t>
            </w:r>
            <w:r>
              <w:rPr>
                <w:bCs/>
                <w:sz w:val="24"/>
              </w:rPr>
              <w:t>废UV灯管</w:t>
            </w:r>
          </w:p>
        </w:tc>
        <w:tc>
          <w:tcPr>
            <w:tcW w:w="2407" w:type="dxa"/>
            <w:vMerge w:val="continue"/>
            <w:vAlign w:val="center"/>
          </w:tcPr>
          <w:p>
            <w:pPr>
              <w:adjustRightInd w:val="0"/>
              <w:snapToGrid w:val="0"/>
              <w:spacing w:line="320" w:lineRule="exact"/>
              <w:jc w:val="center"/>
              <w:rPr>
                <w:rFonts w:hint="eastAsia"/>
                <w:sz w:val="24"/>
              </w:rPr>
            </w:pPr>
          </w:p>
        </w:tc>
        <w:tc>
          <w:tcPr>
            <w:tcW w:w="2682" w:type="dxa"/>
            <w:vMerge w:val="continue"/>
            <w:vAlign w:val="center"/>
          </w:tcPr>
          <w:p>
            <w:pPr>
              <w:adjustRightInd w:val="0"/>
              <w:snapToGrid w:val="0"/>
              <w:spacing w:line="320" w:lineRule="exact"/>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54" w:type="dxa"/>
            <w:vMerge w:val="continue"/>
            <w:vAlign w:val="center"/>
          </w:tcPr>
          <w:p>
            <w:pPr>
              <w:adjustRightInd w:val="0"/>
              <w:snapToGrid w:val="0"/>
              <w:spacing w:line="320" w:lineRule="exact"/>
              <w:jc w:val="center"/>
            </w:pPr>
          </w:p>
        </w:tc>
        <w:tc>
          <w:tcPr>
            <w:tcW w:w="1560" w:type="dxa"/>
            <w:vAlign w:val="center"/>
          </w:tcPr>
          <w:p>
            <w:pPr>
              <w:adjustRightInd w:val="0"/>
              <w:snapToGrid w:val="0"/>
              <w:spacing w:line="320" w:lineRule="exact"/>
              <w:jc w:val="center"/>
              <w:rPr>
                <w:rFonts w:hint="default" w:eastAsia="宋体"/>
                <w:sz w:val="24"/>
                <w:lang w:val="en-US" w:eastAsia="zh-CN"/>
              </w:rPr>
            </w:pPr>
            <w:r>
              <w:rPr>
                <w:rFonts w:hint="eastAsia"/>
                <w:sz w:val="24"/>
                <w:lang w:val="en-US" w:eastAsia="zh-CN"/>
              </w:rPr>
              <w:t>印标工序</w:t>
            </w:r>
          </w:p>
        </w:tc>
        <w:tc>
          <w:tcPr>
            <w:tcW w:w="1478" w:type="dxa"/>
            <w:vAlign w:val="center"/>
          </w:tcPr>
          <w:p>
            <w:pPr>
              <w:adjustRightInd w:val="0"/>
              <w:snapToGrid w:val="0"/>
              <w:spacing w:line="320" w:lineRule="exact"/>
              <w:jc w:val="center"/>
              <w:rPr>
                <w:rFonts w:hint="eastAsia" w:eastAsia="宋体"/>
                <w:bCs/>
                <w:sz w:val="24"/>
                <w:lang w:val="en-US" w:eastAsia="zh-CN"/>
              </w:rPr>
            </w:pPr>
            <w:r>
              <w:rPr>
                <w:rFonts w:hint="eastAsia"/>
                <w:bCs/>
                <w:sz w:val="24"/>
                <w:lang w:val="en-US" w:eastAsia="zh-CN"/>
              </w:rPr>
              <w:t>废油墨桶</w:t>
            </w:r>
          </w:p>
        </w:tc>
        <w:tc>
          <w:tcPr>
            <w:tcW w:w="2407" w:type="dxa"/>
            <w:vMerge w:val="continue"/>
            <w:vAlign w:val="center"/>
          </w:tcPr>
          <w:p>
            <w:pPr>
              <w:adjustRightInd w:val="0"/>
              <w:snapToGrid w:val="0"/>
              <w:spacing w:line="320" w:lineRule="exact"/>
              <w:jc w:val="center"/>
              <w:rPr>
                <w:rFonts w:hint="eastAsia"/>
                <w:sz w:val="24"/>
              </w:rPr>
            </w:pPr>
          </w:p>
        </w:tc>
        <w:tc>
          <w:tcPr>
            <w:tcW w:w="2682" w:type="dxa"/>
            <w:vMerge w:val="continue"/>
            <w:vAlign w:val="center"/>
          </w:tcPr>
          <w:p>
            <w:pPr>
              <w:adjustRightInd w:val="0"/>
              <w:snapToGrid w:val="0"/>
              <w:spacing w:line="320" w:lineRule="exact"/>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z w:val="24"/>
              </w:rPr>
            </w:pPr>
            <w:r>
              <w:rPr>
                <w:b/>
                <w:bCs/>
                <w:sz w:val="24"/>
              </w:rPr>
              <w:t>土壤及地下水污染防治措施</w:t>
            </w:r>
          </w:p>
        </w:tc>
        <w:tc>
          <w:tcPr>
            <w:tcW w:w="8127" w:type="dxa"/>
            <w:gridSpan w:val="4"/>
            <w:vAlign w:val="center"/>
          </w:tcPr>
          <w:p>
            <w:pPr>
              <w:adjustRightInd w:val="0"/>
              <w:snapToGrid w:val="0"/>
              <w:spacing w:line="320" w:lineRule="exact"/>
              <w:jc w:val="left"/>
              <w:rPr>
                <w:sz w:val="24"/>
              </w:rPr>
            </w:pPr>
            <w:r>
              <w:rPr>
                <w:sz w:val="24"/>
              </w:rPr>
              <w:t>厂区危废暂存间严格按照《危险废物贮存污染控制标准》（GB18597-2001）及修改单中的“四防”等要求进行建设。定期进行检查和维护，定期维护防渗层正常工作，加强员工管理</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z w:val="24"/>
              </w:rPr>
            </w:pPr>
            <w:r>
              <w:rPr>
                <w:b/>
                <w:bCs/>
                <w:sz w:val="24"/>
              </w:rPr>
              <w:t>生态保护措施</w:t>
            </w:r>
          </w:p>
        </w:tc>
        <w:tc>
          <w:tcPr>
            <w:tcW w:w="8127" w:type="dxa"/>
            <w:gridSpan w:val="4"/>
            <w:vAlign w:val="center"/>
          </w:tcPr>
          <w:p>
            <w:pPr>
              <w:adjustRightInd w:val="0"/>
              <w:snapToGrid w:val="0"/>
              <w:spacing w:line="320" w:lineRule="exact"/>
              <w:jc w:val="center"/>
              <w:rPr>
                <w:sz w:val="24"/>
              </w:rPr>
            </w:pPr>
            <w:r>
              <w:rPr>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pacing w:val="-8"/>
                <w:sz w:val="24"/>
              </w:rPr>
            </w:pPr>
            <w:r>
              <w:rPr>
                <w:b/>
                <w:bCs/>
                <w:spacing w:val="-8"/>
                <w:sz w:val="24"/>
              </w:rPr>
              <w:t>环境风险</w:t>
            </w:r>
          </w:p>
          <w:p>
            <w:pPr>
              <w:adjustRightInd w:val="0"/>
              <w:snapToGrid w:val="0"/>
              <w:spacing w:line="320" w:lineRule="exact"/>
              <w:jc w:val="center"/>
              <w:rPr>
                <w:b/>
                <w:bCs/>
                <w:spacing w:val="-8"/>
                <w:sz w:val="24"/>
              </w:rPr>
            </w:pPr>
            <w:r>
              <w:rPr>
                <w:b/>
                <w:bCs/>
                <w:spacing w:val="-8"/>
                <w:sz w:val="24"/>
              </w:rPr>
              <w:t>防范措施</w:t>
            </w:r>
          </w:p>
        </w:tc>
        <w:tc>
          <w:tcPr>
            <w:tcW w:w="8127" w:type="dxa"/>
            <w:gridSpan w:val="4"/>
            <w:vAlign w:val="center"/>
          </w:tcPr>
          <w:p>
            <w:pPr>
              <w:adjustRightInd w:val="0"/>
              <w:snapToGrid w:val="0"/>
              <w:spacing w:line="320" w:lineRule="exact"/>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对厂区内</w:t>
            </w:r>
            <w:r>
              <w:rPr>
                <w:rFonts w:hint="eastAsia"/>
                <w:sz w:val="24"/>
              </w:rPr>
              <w:t>水性油墨</w:t>
            </w:r>
            <w:r>
              <w:rPr>
                <w:sz w:val="24"/>
              </w:rPr>
              <w:t>放置地点设置钢制托盘进行防渗</w:t>
            </w:r>
            <w:r>
              <w:rPr>
                <w:rFonts w:hint="eastAsia"/>
                <w:sz w:val="24"/>
              </w:rPr>
              <w:t>；</w:t>
            </w:r>
            <w:r>
              <w:rPr>
                <w:sz w:val="24"/>
              </w:rPr>
              <w:t>设置规范化的危废暂存间</w:t>
            </w:r>
            <w:r>
              <w:rPr>
                <w:rFonts w:hint="eastAsia"/>
                <w:sz w:val="24"/>
              </w:rPr>
              <w:t>，在危废暂存间做好“四防”，</w:t>
            </w:r>
            <w:r>
              <w:rPr>
                <w:sz w:val="24"/>
              </w:rPr>
              <w:t>危险废物分类堆存，分别采用专用容器装盛</w:t>
            </w:r>
            <w:r>
              <w:rPr>
                <w:rFonts w:hint="eastAsia"/>
                <w:sz w:val="24"/>
              </w:rPr>
              <w:t>，</w:t>
            </w:r>
            <w:r>
              <w:rPr>
                <w:sz w:val="24"/>
              </w:rPr>
              <w:t>配备灭火器等消防物资</w:t>
            </w:r>
            <w:r>
              <w:rPr>
                <w:rFonts w:hint="eastAsia"/>
                <w:sz w:val="24"/>
              </w:rPr>
              <w:t>；</w:t>
            </w:r>
          </w:p>
          <w:p>
            <w:pPr>
              <w:adjustRightInd w:val="0"/>
              <w:snapToGrid w:val="0"/>
              <w:spacing w:line="320" w:lineRule="exact"/>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危险化学品贮存场所需保持干燥、阴凉、通风，禁止明火，并设防火禁烟标识牌；加强职工防火安全教育，配备足够的消防设施。</w:t>
            </w:r>
          </w:p>
          <w:p>
            <w:pPr>
              <w:adjustRightInd w:val="0"/>
              <w:snapToGrid w:val="0"/>
              <w:spacing w:line="320" w:lineRule="exact"/>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建立安</w:t>
            </w:r>
            <w:r>
              <w:rPr>
                <w:sz w:val="24"/>
              </w:rPr>
              <w:t>全生产岗位责任制，制定安全生产规章制度、安全操作规程，落实安全管理责任。严格岗位操作规程，加强操作人员的岗位培训和职业素质教育。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4" w:type="dxa"/>
            <w:vAlign w:val="center"/>
          </w:tcPr>
          <w:p>
            <w:pPr>
              <w:adjustRightInd w:val="0"/>
              <w:snapToGrid w:val="0"/>
              <w:spacing w:line="320" w:lineRule="exact"/>
              <w:jc w:val="center"/>
              <w:rPr>
                <w:b/>
                <w:bCs/>
                <w:spacing w:val="-8"/>
                <w:sz w:val="24"/>
              </w:rPr>
            </w:pPr>
            <w:r>
              <w:rPr>
                <w:b/>
                <w:bCs/>
                <w:spacing w:val="-8"/>
                <w:sz w:val="24"/>
              </w:rPr>
              <w:t>其他环境</w:t>
            </w:r>
          </w:p>
          <w:p>
            <w:pPr>
              <w:adjustRightInd w:val="0"/>
              <w:snapToGrid w:val="0"/>
              <w:spacing w:line="320" w:lineRule="exact"/>
              <w:jc w:val="center"/>
              <w:rPr>
                <w:spacing w:val="-8"/>
                <w:sz w:val="24"/>
              </w:rPr>
            </w:pPr>
            <w:r>
              <w:rPr>
                <w:b/>
                <w:bCs/>
                <w:spacing w:val="-8"/>
                <w:sz w:val="24"/>
              </w:rPr>
              <w:t>管理要求</w:t>
            </w:r>
          </w:p>
        </w:tc>
        <w:tc>
          <w:tcPr>
            <w:tcW w:w="8127" w:type="dxa"/>
            <w:gridSpan w:val="4"/>
            <w:vAlign w:val="center"/>
          </w:tcPr>
          <w:p>
            <w:pPr>
              <w:adjustRightInd w:val="0"/>
              <w:snapToGrid w:val="0"/>
              <w:jc w:val="left"/>
              <w:rPr>
                <w:b w:val="0"/>
                <w:bCs w:val="0"/>
                <w:sz w:val="24"/>
                <w:u w:val="none"/>
              </w:rPr>
            </w:pPr>
            <w:r>
              <w:rPr>
                <w:rFonts w:hint="eastAsia"/>
                <w:b w:val="0"/>
                <w:bCs w:val="0"/>
                <w:sz w:val="24"/>
                <w:u w:val="none"/>
              </w:rPr>
              <w:t>（1）项目建设过程中主体工程、环保设施应同时设计、同时施工、同时投产运行；项目建成后按照《建设项目竣工环境保护验收暂行办法》（国环规环评【2017】4 号）要求开展项目竣工环境保护验收工作。</w:t>
            </w:r>
          </w:p>
          <w:p>
            <w:pPr>
              <w:adjustRightInd w:val="0"/>
              <w:snapToGrid w:val="0"/>
              <w:jc w:val="left"/>
              <w:rPr>
                <w:b w:val="0"/>
                <w:bCs w:val="0"/>
                <w:sz w:val="24"/>
                <w:u w:val="none"/>
              </w:rPr>
            </w:pPr>
            <w:r>
              <w:rPr>
                <w:rFonts w:hint="eastAsia"/>
                <w:b w:val="0"/>
                <w:bCs w:val="0"/>
                <w:sz w:val="24"/>
                <w:u w:val="none"/>
              </w:rPr>
              <w:t>（2）按照《排污许可管理条例》（国务院令第 736 号）的相关要求开展固定污染源排污许可登记。</w:t>
            </w:r>
          </w:p>
          <w:p>
            <w:pPr>
              <w:adjustRightInd w:val="0"/>
              <w:snapToGrid w:val="0"/>
              <w:jc w:val="left"/>
              <w:rPr>
                <w:b w:val="0"/>
                <w:bCs w:val="0"/>
                <w:sz w:val="24"/>
                <w:u w:val="none"/>
              </w:rPr>
            </w:pPr>
            <w:r>
              <w:rPr>
                <w:rFonts w:hint="eastAsia"/>
                <w:b w:val="0"/>
                <w:bCs w:val="0"/>
                <w:sz w:val="24"/>
                <w:u w:val="none"/>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台账保存期限不得少于五年。</w:t>
            </w:r>
          </w:p>
          <w:p>
            <w:pPr>
              <w:adjustRightInd w:val="0"/>
              <w:snapToGrid w:val="0"/>
              <w:spacing w:line="320" w:lineRule="exact"/>
              <w:jc w:val="left"/>
              <w:rPr>
                <w:rFonts w:hint="eastAsia"/>
                <w:b w:val="0"/>
                <w:bCs w:val="0"/>
                <w:sz w:val="24"/>
                <w:u w:val="none"/>
              </w:rPr>
            </w:pPr>
            <w:r>
              <w:rPr>
                <w:rFonts w:hint="eastAsia"/>
                <w:b w:val="0"/>
                <w:bCs w:val="0"/>
                <w:sz w:val="24"/>
                <w:u w:val="none"/>
              </w:rPr>
              <w:t>（4）环保标识规范化设置，粘贴告示牌。</w:t>
            </w:r>
          </w:p>
          <w:p>
            <w:pPr>
              <w:adjustRightInd w:val="0"/>
              <w:snapToGrid w:val="0"/>
              <w:spacing w:line="320" w:lineRule="exact"/>
              <w:jc w:val="left"/>
              <w:rPr>
                <w:rFonts w:hint="eastAsia" w:eastAsia="宋体"/>
                <w:sz w:val="24"/>
                <w:lang w:eastAsia="zh-CN"/>
              </w:rPr>
            </w:pPr>
            <w:r>
              <w:rPr>
                <w:rFonts w:hint="eastAsia"/>
                <w:sz w:val="24"/>
                <w:lang w:eastAsia="zh-CN"/>
              </w:rPr>
              <w:t>（</w:t>
            </w:r>
            <w:r>
              <w:rPr>
                <w:rFonts w:hint="eastAsia"/>
                <w:sz w:val="24"/>
                <w:lang w:val="en-US" w:eastAsia="zh-CN"/>
              </w:rPr>
              <w:t>5</w:t>
            </w:r>
            <w:r>
              <w:rPr>
                <w:rFonts w:hint="eastAsia"/>
                <w:sz w:val="24"/>
                <w:lang w:eastAsia="zh-CN"/>
              </w:rPr>
              <w:t>）</w:t>
            </w:r>
            <w:r>
              <w:rPr>
                <w:rFonts w:hint="eastAsia"/>
                <w:b w:val="0"/>
                <w:bCs w:val="0"/>
                <w:sz w:val="24"/>
                <w:u w:val="none"/>
                <w:lang w:val="en-US" w:eastAsia="zh-CN"/>
              </w:rPr>
              <w:t>项目建成后执行</w:t>
            </w:r>
            <w:r>
              <w:rPr>
                <w:rFonts w:hint="eastAsia"/>
                <w:b w:val="0"/>
                <w:bCs w:val="0"/>
                <w:sz w:val="24"/>
                <w:u w:val="none"/>
              </w:rPr>
              <w:t>《重污染天气重点行业应急减排措施制定技术指南（2020年修订版）》制鞋工业绩效引领性指标</w:t>
            </w:r>
            <w:r>
              <w:rPr>
                <w:rFonts w:hint="eastAsia"/>
                <w:b w:val="0"/>
                <w:bCs w:val="0"/>
                <w:sz w:val="24"/>
                <w:u w:val="none"/>
                <w:lang w:val="en-US" w:eastAsia="zh-CN"/>
              </w:rPr>
              <w:t>要求</w:t>
            </w:r>
            <w:r>
              <w:rPr>
                <w:rFonts w:hint="eastAsia"/>
                <w:b w:val="0"/>
                <w:bCs w:val="0"/>
                <w:sz w:val="24"/>
                <w:u w:val="none"/>
              </w:rPr>
              <w:t>。</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sz w:val="24"/>
              </w:rPr>
              <w:t>偃师市山化镇盛达鞋垫厂年产500万双鞋垫项目</w:t>
            </w:r>
            <w:r>
              <w:rPr>
                <w:sz w:val="24"/>
              </w:rPr>
              <w:t>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499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511"/>
        <w:gridCol w:w="1814"/>
        <w:gridCol w:w="1361"/>
        <w:gridCol w:w="1814"/>
        <w:gridCol w:w="1663"/>
        <w:gridCol w:w="1879"/>
        <w:gridCol w:w="2094"/>
        <w:gridCol w:w="8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2" w:type="dxa"/>
            <w:tcBorders>
              <w:tl2br w:val="single" w:color="auto" w:sz="4" w:space="0"/>
            </w:tcBorders>
            <w:tcMar>
              <w:left w:w="28" w:type="dxa"/>
              <w:right w:w="28" w:type="dxa"/>
            </w:tcMar>
            <w:vAlign w:val="center"/>
          </w:tcPr>
          <w:p>
            <w:pPr>
              <w:pStyle w:val="38"/>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38"/>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511"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814"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kern w:val="2"/>
                <w:szCs w:val="21"/>
              </w:rPr>
              <w:t>①</w:t>
            </w:r>
            <w:r>
              <w:rPr>
                <w:rFonts w:ascii="Times New Roman"/>
                <w:snapToGrid w:val="0"/>
                <w:color w:val="000000"/>
                <w:spacing w:val="-6"/>
                <w:kern w:val="21"/>
                <w:szCs w:val="21"/>
              </w:rPr>
              <w:fldChar w:fldCharType="end"/>
            </w:r>
          </w:p>
        </w:tc>
        <w:tc>
          <w:tcPr>
            <w:tcW w:w="1361"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38"/>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ascii="Times New Roman"/>
                <w:snapToGrid w:val="0"/>
                <w:color w:val="000000"/>
                <w:spacing w:val="-6"/>
                <w:kern w:val="21"/>
                <w:szCs w:val="21"/>
              </w:rPr>
              <w:t>②</w:t>
            </w:r>
            <w:r>
              <w:rPr>
                <w:rFonts w:ascii="Times New Roman"/>
                <w:snapToGrid w:val="0"/>
                <w:color w:val="000000"/>
                <w:spacing w:val="-6"/>
                <w:kern w:val="21"/>
                <w:szCs w:val="21"/>
              </w:rPr>
              <w:fldChar w:fldCharType="end"/>
            </w:r>
          </w:p>
        </w:tc>
        <w:tc>
          <w:tcPr>
            <w:tcW w:w="1814"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kern w:val="2"/>
                <w:szCs w:val="21"/>
              </w:rPr>
              <w:t>③</w:t>
            </w:r>
            <w:r>
              <w:rPr>
                <w:rFonts w:ascii="Times New Roman"/>
                <w:snapToGrid w:val="0"/>
                <w:color w:val="000000"/>
                <w:spacing w:val="-6"/>
                <w:kern w:val="21"/>
                <w:szCs w:val="21"/>
              </w:rPr>
              <w:fldChar w:fldCharType="end"/>
            </w:r>
          </w:p>
        </w:tc>
        <w:tc>
          <w:tcPr>
            <w:tcW w:w="1663"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kern w:val="2"/>
                <w:szCs w:val="21"/>
              </w:rPr>
              <w:t>④</w:t>
            </w:r>
            <w:r>
              <w:rPr>
                <w:rFonts w:ascii="Times New Roman"/>
                <w:snapToGrid w:val="0"/>
                <w:color w:val="000000"/>
                <w:spacing w:val="-6"/>
                <w:kern w:val="21"/>
                <w:szCs w:val="21"/>
              </w:rPr>
              <w:fldChar w:fldCharType="end"/>
            </w:r>
          </w:p>
        </w:tc>
        <w:tc>
          <w:tcPr>
            <w:tcW w:w="1879" w:type="dxa"/>
            <w:tcMar>
              <w:left w:w="28" w:type="dxa"/>
              <w:right w:w="28" w:type="dxa"/>
            </w:tcMar>
            <w:vAlign w:val="center"/>
          </w:tcPr>
          <w:p>
            <w:pPr>
              <w:pStyle w:val="38"/>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38"/>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kern w:val="2"/>
                <w:szCs w:val="21"/>
              </w:rPr>
              <w:t>⑤</w:t>
            </w:r>
            <w:r>
              <w:rPr>
                <w:rFonts w:ascii="Times New Roman"/>
                <w:snapToGrid w:val="0"/>
                <w:color w:val="000000"/>
                <w:spacing w:val="-16"/>
                <w:kern w:val="21"/>
                <w:szCs w:val="21"/>
              </w:rPr>
              <w:fldChar w:fldCharType="end"/>
            </w:r>
          </w:p>
        </w:tc>
        <w:tc>
          <w:tcPr>
            <w:tcW w:w="2094" w:type="dxa"/>
            <w:tcMar>
              <w:left w:w="28" w:type="dxa"/>
              <w:right w:w="28" w:type="dxa"/>
            </w:tcMar>
            <w:vAlign w:val="center"/>
          </w:tcPr>
          <w:p>
            <w:pPr>
              <w:pStyle w:val="38"/>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38"/>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kern w:val="2"/>
                <w:szCs w:val="21"/>
              </w:rPr>
              <w:t>⑥</w:t>
            </w:r>
            <w:r>
              <w:rPr>
                <w:rFonts w:ascii="Times New Roman"/>
                <w:snapToGrid w:val="0"/>
                <w:color w:val="000000"/>
                <w:spacing w:val="-16"/>
                <w:kern w:val="21"/>
                <w:szCs w:val="21"/>
              </w:rPr>
              <w:fldChar w:fldCharType="end"/>
            </w:r>
          </w:p>
        </w:tc>
        <w:tc>
          <w:tcPr>
            <w:tcW w:w="881" w:type="dxa"/>
            <w:tcMar>
              <w:left w:w="28" w:type="dxa"/>
              <w:right w:w="28" w:type="dxa"/>
            </w:tcMar>
            <w:vAlign w:val="center"/>
          </w:tcPr>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38"/>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511" w:type="dxa"/>
            <w:vAlign w:val="center"/>
          </w:tcPr>
          <w:p>
            <w:pPr>
              <w:pStyle w:val="38"/>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非甲烷总烃</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pStyle w:val="38"/>
              <w:spacing w:beforeLines="0" w:afterLines="0" w:line="240" w:lineRule="auto"/>
              <w:rPr>
                <w:rFonts w:hint="default"/>
                <w:b/>
                <w:bCs/>
                <w:u w:val="single"/>
                <w:lang w:val="en-US" w:eastAsia="zh-CN"/>
              </w:rPr>
            </w:pPr>
            <w:r>
              <w:rPr>
                <w:rFonts w:hint="eastAsia" w:ascii="Times New Roman"/>
                <w:b/>
                <w:bCs/>
                <w:snapToGrid w:val="0"/>
                <w:color w:val="000000"/>
                <w:kern w:val="21"/>
                <w:szCs w:val="21"/>
                <w:u w:val="single"/>
                <w:lang w:val="en-US" w:eastAsia="zh-CN"/>
              </w:rPr>
              <w:t>0.1092t/a</w:t>
            </w:r>
          </w:p>
        </w:tc>
        <w:tc>
          <w:tcPr>
            <w:tcW w:w="1879" w:type="dxa"/>
            <w:vAlign w:val="center"/>
          </w:tcPr>
          <w:p>
            <w:pPr>
              <w:pStyle w:val="38"/>
              <w:spacing w:beforeLines="0" w:afterLines="0" w:line="240" w:lineRule="auto"/>
              <w:rPr>
                <w:rFonts w:ascii="Times New Roman"/>
                <w:b/>
                <w:bCs/>
                <w:snapToGrid w:val="0"/>
                <w:color w:val="000000"/>
                <w:kern w:val="21"/>
                <w:szCs w:val="21"/>
                <w:u w:val="single"/>
              </w:rPr>
            </w:pPr>
          </w:p>
        </w:tc>
        <w:tc>
          <w:tcPr>
            <w:tcW w:w="2094" w:type="dxa"/>
            <w:vAlign w:val="center"/>
          </w:tcPr>
          <w:p>
            <w:pPr>
              <w:pStyle w:val="38"/>
              <w:spacing w:beforeLines="0" w:afterLines="0" w:line="240" w:lineRule="auto"/>
              <w:rPr>
                <w:rFonts w:hint="default" w:ascii="Times New Roman" w:eastAsia="宋体"/>
                <w:b/>
                <w:bCs/>
                <w:snapToGrid w:val="0"/>
                <w:color w:val="000000"/>
                <w:kern w:val="21"/>
                <w:szCs w:val="21"/>
                <w:u w:val="single"/>
                <w:lang w:val="en-US" w:eastAsia="zh-CN"/>
              </w:rPr>
            </w:pPr>
            <w:r>
              <w:rPr>
                <w:rFonts w:hint="eastAsia" w:ascii="Times New Roman"/>
                <w:b/>
                <w:bCs/>
                <w:snapToGrid w:val="0"/>
                <w:color w:val="000000"/>
                <w:kern w:val="21"/>
                <w:szCs w:val="21"/>
                <w:u w:val="single"/>
                <w:lang w:val="en-US" w:eastAsia="zh-CN"/>
              </w:rPr>
              <w:t>0.1092t/a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51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spacing w:line="320" w:lineRule="exact"/>
              <w:jc w:val="center"/>
              <w:rPr>
                <w:rFonts w:hint="default" w:ascii="Times New Roman" w:eastAsia="宋体"/>
                <w:b w:val="0"/>
                <w:bCs w:val="0"/>
                <w:snapToGrid w:val="0"/>
                <w:color w:val="000000"/>
                <w:kern w:val="21"/>
                <w:szCs w:val="21"/>
                <w:u w:val="none"/>
                <w:lang w:val="en-US" w:eastAsia="zh-CN"/>
              </w:rPr>
            </w:pPr>
            <w:r>
              <w:rPr>
                <w:rFonts w:hint="eastAsia"/>
                <w:color w:val="000000"/>
                <w:szCs w:val="21"/>
                <w:lang w:val="en-US" w:eastAsia="zh-CN"/>
              </w:rPr>
              <w:t>0.0618t/a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spacing w:line="320" w:lineRule="exact"/>
              <w:jc w:val="center"/>
              <w:rPr>
                <w:rFonts w:ascii="Times New Roman"/>
                <w:b w:val="0"/>
                <w:bCs w:val="0"/>
                <w:snapToGrid w:val="0"/>
                <w:color w:val="000000"/>
                <w:kern w:val="21"/>
                <w:szCs w:val="21"/>
                <w:u w:val="none"/>
              </w:rPr>
            </w:pPr>
            <w:r>
              <w:rPr>
                <w:rFonts w:hint="eastAsia"/>
                <w:color w:val="000000"/>
                <w:szCs w:val="21"/>
                <w:lang w:val="en-US" w:eastAsia="zh-CN"/>
              </w:rPr>
              <w:t>0.0618t/a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氨氮</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spacing w:line="320" w:lineRule="exact"/>
              <w:jc w:val="center"/>
              <w:rPr>
                <w:rFonts w:hint="default" w:ascii="Times New Roman" w:eastAsia="宋体"/>
                <w:b w:val="0"/>
                <w:bCs w:val="0"/>
                <w:snapToGrid w:val="0"/>
                <w:color w:val="000000"/>
                <w:kern w:val="21"/>
                <w:szCs w:val="21"/>
                <w:u w:val="none"/>
                <w:lang w:val="en-US" w:eastAsia="zh-CN"/>
              </w:rPr>
            </w:pPr>
            <w:r>
              <w:rPr>
                <w:rFonts w:hint="eastAsia"/>
                <w:color w:val="000000"/>
                <w:szCs w:val="21"/>
                <w:lang w:val="en-US" w:eastAsia="zh-CN"/>
              </w:rPr>
              <w:t>0.0221t/a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spacing w:line="320" w:lineRule="exact"/>
              <w:jc w:val="center"/>
              <w:rPr>
                <w:rFonts w:ascii="Times New Roman"/>
                <w:b w:val="0"/>
                <w:bCs w:val="0"/>
                <w:snapToGrid w:val="0"/>
                <w:color w:val="000000"/>
                <w:kern w:val="21"/>
                <w:szCs w:val="21"/>
                <w:u w:val="none"/>
              </w:rPr>
            </w:pPr>
            <w:r>
              <w:rPr>
                <w:rFonts w:hint="eastAsia"/>
                <w:color w:val="000000"/>
                <w:szCs w:val="21"/>
                <w:lang w:val="en-US" w:eastAsia="zh-CN"/>
              </w:rPr>
              <w:t>0.0221t/a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511" w:type="dxa"/>
            <w:vAlign w:val="center"/>
          </w:tcPr>
          <w:p>
            <w:pPr>
              <w:widowControl/>
              <w:spacing w:line="320" w:lineRule="exact"/>
              <w:contextualSpacing/>
              <w:jc w:val="center"/>
              <w:rPr>
                <w:rFonts w:hint="eastAsia" w:eastAsia="宋体"/>
                <w:snapToGrid w:val="0"/>
                <w:color w:val="000000"/>
                <w:kern w:val="21"/>
                <w:szCs w:val="21"/>
                <w:lang w:val="en-US" w:eastAsia="zh-CN"/>
              </w:rPr>
            </w:pPr>
            <w:r>
              <w:rPr>
                <w:rFonts w:hint="eastAsia"/>
                <w:szCs w:val="21"/>
                <w:lang w:val="en-US" w:eastAsia="zh-CN"/>
              </w:rPr>
              <w:t>废包装袋</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default" w:ascii="Times New Roman" w:eastAsia="宋体"/>
                <w:b w:val="0"/>
                <w:bCs w:val="0"/>
                <w:snapToGrid w:val="0"/>
                <w:color w:val="000000"/>
                <w:kern w:val="21"/>
                <w:szCs w:val="21"/>
                <w:u w:val="none"/>
                <w:lang w:val="en-US" w:eastAsia="zh-CN"/>
              </w:rPr>
            </w:pPr>
            <w:r>
              <w:rPr>
                <w:rFonts w:hint="eastAsia"/>
                <w:szCs w:val="21"/>
                <w:highlight w:val="none"/>
                <w:lang w:val="en-US" w:eastAsia="zh-CN"/>
              </w:rPr>
              <w:t>0.4</w:t>
            </w:r>
            <w:r>
              <w:rPr>
                <w:rFonts w:hint="eastAsia"/>
                <w:szCs w:val="21"/>
                <w:highlight w:val="none"/>
              </w:rPr>
              <w:t>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widowControl/>
              <w:spacing w:line="320" w:lineRule="exact"/>
              <w:contextualSpacing/>
              <w:jc w:val="center"/>
              <w:rPr>
                <w:rFonts w:ascii="Times New Roman"/>
                <w:b w:val="0"/>
                <w:bCs w:val="0"/>
                <w:snapToGrid w:val="0"/>
                <w:color w:val="000000"/>
                <w:kern w:val="21"/>
                <w:szCs w:val="21"/>
                <w:u w:val="none"/>
              </w:rPr>
            </w:pPr>
            <w:r>
              <w:rPr>
                <w:rFonts w:hint="eastAsia"/>
                <w:szCs w:val="21"/>
                <w:highlight w:val="none"/>
                <w:lang w:val="en-US" w:eastAsia="zh-CN"/>
              </w:rPr>
              <w:t>0.4</w:t>
            </w:r>
            <w:r>
              <w:rPr>
                <w:rFonts w:hint="eastAsia"/>
                <w:szCs w:val="21"/>
                <w:highlight w:val="none"/>
              </w:rPr>
              <w:t>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eastAsia" w:eastAsia="宋体"/>
                <w:szCs w:val="21"/>
                <w:lang w:val="en-US" w:eastAsia="zh-CN"/>
              </w:rPr>
            </w:pPr>
            <w:r>
              <w:rPr>
                <w:rFonts w:hint="eastAsia"/>
                <w:szCs w:val="21"/>
                <w:lang w:val="en-US" w:eastAsia="zh-CN"/>
              </w:rPr>
              <w:t>废布边角料</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default" w:ascii="Times New Roman" w:eastAsia="宋体"/>
                <w:b w:val="0"/>
                <w:bCs w:val="0"/>
                <w:snapToGrid w:val="0"/>
                <w:color w:val="000000"/>
                <w:kern w:val="21"/>
                <w:szCs w:val="21"/>
                <w:u w:val="none"/>
                <w:lang w:val="en-US" w:eastAsia="zh-CN"/>
              </w:rPr>
            </w:pPr>
            <w:r>
              <w:rPr>
                <w:rFonts w:hint="eastAsia"/>
                <w:szCs w:val="21"/>
                <w:highlight w:val="none"/>
                <w:lang w:val="en-US" w:eastAsia="zh-CN"/>
              </w:rPr>
              <w:t>1.0</w:t>
            </w:r>
            <w:r>
              <w:rPr>
                <w:rFonts w:hint="eastAsia"/>
                <w:szCs w:val="21"/>
                <w:highlight w:val="none"/>
              </w:rPr>
              <w:t>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widowControl/>
              <w:spacing w:line="320" w:lineRule="exact"/>
              <w:contextualSpacing/>
              <w:jc w:val="center"/>
              <w:rPr>
                <w:rFonts w:ascii="Times New Roman"/>
                <w:b w:val="0"/>
                <w:bCs w:val="0"/>
                <w:snapToGrid w:val="0"/>
                <w:color w:val="000000"/>
                <w:kern w:val="21"/>
                <w:szCs w:val="21"/>
                <w:u w:val="none"/>
              </w:rPr>
            </w:pPr>
            <w:r>
              <w:rPr>
                <w:rFonts w:hint="eastAsia"/>
                <w:szCs w:val="21"/>
                <w:highlight w:val="none"/>
                <w:lang w:val="en-US" w:eastAsia="zh-CN"/>
              </w:rPr>
              <w:t>1.0</w:t>
            </w:r>
            <w:r>
              <w:rPr>
                <w:rFonts w:hint="eastAsia"/>
                <w:szCs w:val="21"/>
                <w:highlight w:val="none"/>
              </w:rPr>
              <w:t>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eastAsia"/>
                <w:szCs w:val="21"/>
                <w:lang w:val="en-US" w:eastAsia="zh-CN"/>
              </w:rPr>
            </w:pPr>
            <w:r>
              <w:rPr>
                <w:rFonts w:hint="eastAsia"/>
                <w:szCs w:val="21"/>
                <w:lang w:val="en-US" w:eastAsia="zh-CN"/>
              </w:rPr>
              <w:t>废大力棉边角料</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eastAsia" w:ascii="Times New Roman"/>
                <w:b w:val="0"/>
                <w:bCs w:val="0"/>
                <w:snapToGrid w:val="0"/>
                <w:color w:val="000000"/>
                <w:kern w:val="21"/>
                <w:szCs w:val="21"/>
                <w:u w:val="none"/>
                <w:lang w:val="en-US" w:eastAsia="zh-CN"/>
              </w:rPr>
            </w:pPr>
            <w:r>
              <w:rPr>
                <w:rFonts w:hint="eastAsia"/>
                <w:szCs w:val="21"/>
                <w:highlight w:val="none"/>
                <w:lang w:val="en-US" w:eastAsia="zh-CN"/>
              </w:rPr>
              <w:t>1.2</w:t>
            </w:r>
            <w:r>
              <w:rPr>
                <w:rFonts w:hint="eastAsia"/>
                <w:szCs w:val="21"/>
                <w:highlight w:val="none"/>
              </w:rPr>
              <w:t>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widowControl/>
              <w:spacing w:line="320" w:lineRule="exact"/>
              <w:contextualSpacing/>
              <w:jc w:val="center"/>
              <w:rPr>
                <w:rFonts w:hint="eastAsia" w:ascii="Times New Roman"/>
                <w:b w:val="0"/>
                <w:bCs w:val="0"/>
                <w:snapToGrid w:val="0"/>
                <w:color w:val="000000"/>
                <w:kern w:val="21"/>
                <w:szCs w:val="21"/>
                <w:u w:val="none"/>
                <w:lang w:val="en-US" w:eastAsia="zh-CN"/>
              </w:rPr>
            </w:pPr>
            <w:r>
              <w:rPr>
                <w:rFonts w:hint="eastAsia"/>
                <w:szCs w:val="21"/>
                <w:highlight w:val="none"/>
                <w:lang w:val="en-US" w:eastAsia="zh-CN"/>
              </w:rPr>
              <w:t>1.2</w:t>
            </w:r>
            <w:r>
              <w:rPr>
                <w:rFonts w:hint="eastAsia"/>
                <w:szCs w:val="21"/>
                <w:highlight w:val="none"/>
              </w:rPr>
              <w:t>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eastAsia"/>
                <w:szCs w:val="21"/>
                <w:lang w:val="en-US" w:eastAsia="zh-CN"/>
              </w:rPr>
            </w:pPr>
            <w:r>
              <w:rPr>
                <w:rFonts w:hint="eastAsia"/>
                <w:szCs w:val="21"/>
                <w:lang w:val="en-US" w:eastAsia="zh-CN"/>
              </w:rPr>
              <w:t>废鞋垫边角料</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eastAsia" w:ascii="Times New Roman"/>
                <w:b w:val="0"/>
                <w:bCs w:val="0"/>
                <w:snapToGrid w:val="0"/>
                <w:color w:val="000000"/>
                <w:kern w:val="21"/>
                <w:szCs w:val="21"/>
                <w:u w:val="none"/>
                <w:lang w:val="en-US" w:eastAsia="zh-CN"/>
              </w:rPr>
            </w:pPr>
            <w:r>
              <w:rPr>
                <w:rFonts w:hint="eastAsia"/>
                <w:szCs w:val="21"/>
                <w:highlight w:val="none"/>
                <w:lang w:val="en-US" w:eastAsia="zh-CN"/>
              </w:rPr>
              <w:t>0.8t/a</w:t>
            </w:r>
          </w:p>
        </w:tc>
        <w:tc>
          <w:tcPr>
            <w:tcW w:w="1879" w:type="dxa"/>
            <w:vAlign w:val="center"/>
          </w:tcPr>
          <w:p>
            <w:pPr>
              <w:pStyle w:val="38"/>
              <w:spacing w:beforeLines="0" w:afterLines="0" w:line="240" w:lineRule="auto"/>
              <w:rPr>
                <w:rFonts w:ascii="Times New Roman"/>
                <w:snapToGrid w:val="0"/>
                <w:color w:val="000000"/>
                <w:kern w:val="21"/>
                <w:szCs w:val="21"/>
              </w:rPr>
            </w:pPr>
          </w:p>
        </w:tc>
        <w:tc>
          <w:tcPr>
            <w:tcW w:w="2094" w:type="dxa"/>
            <w:vAlign w:val="center"/>
          </w:tcPr>
          <w:p>
            <w:pPr>
              <w:widowControl/>
              <w:spacing w:line="320" w:lineRule="exact"/>
              <w:contextualSpacing/>
              <w:jc w:val="center"/>
              <w:rPr>
                <w:rFonts w:hint="eastAsia" w:ascii="Times New Roman"/>
                <w:b w:val="0"/>
                <w:bCs w:val="0"/>
                <w:snapToGrid w:val="0"/>
                <w:color w:val="000000"/>
                <w:kern w:val="21"/>
                <w:szCs w:val="21"/>
                <w:u w:val="none"/>
                <w:lang w:val="en-US" w:eastAsia="zh-CN"/>
              </w:rPr>
            </w:pPr>
            <w:r>
              <w:rPr>
                <w:rFonts w:hint="eastAsia"/>
                <w:szCs w:val="21"/>
                <w:highlight w:val="none"/>
                <w:lang w:val="en-US" w:eastAsia="zh-CN"/>
              </w:rPr>
              <w:t>0.8t/a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511" w:type="dxa"/>
            <w:vAlign w:val="center"/>
          </w:tcPr>
          <w:p>
            <w:pPr>
              <w:widowControl/>
              <w:spacing w:line="320" w:lineRule="exact"/>
              <w:contextualSpacing/>
              <w:jc w:val="center"/>
              <w:rPr>
                <w:rFonts w:hint="default" w:eastAsia="宋体"/>
                <w:snapToGrid w:val="0"/>
                <w:color w:val="000000"/>
                <w:kern w:val="21"/>
                <w:szCs w:val="21"/>
                <w:lang w:val="en-US" w:eastAsia="zh-CN"/>
              </w:rPr>
            </w:pPr>
            <w:r>
              <w:rPr>
                <w:rFonts w:hint="eastAsia"/>
                <w:snapToGrid w:val="0"/>
                <w:color w:val="000000"/>
                <w:kern w:val="21"/>
                <w:szCs w:val="21"/>
                <w:highlight w:val="none"/>
                <w:lang w:val="en-US" w:eastAsia="zh-CN"/>
              </w:rPr>
              <w:t>废液压油</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pStyle w:val="38"/>
              <w:spacing w:beforeLines="0" w:afterLines="0" w:line="240" w:lineRule="auto"/>
              <w:rPr>
                <w:rFonts w:hint="default" w:ascii="Times New Roman" w:eastAsia="宋体"/>
                <w:b w:val="0"/>
                <w:bCs w:val="0"/>
                <w:snapToGrid w:val="0"/>
                <w:color w:val="000000"/>
                <w:kern w:val="21"/>
                <w:szCs w:val="21"/>
                <w:u w:val="none"/>
                <w:lang w:val="en-US" w:eastAsia="zh-CN"/>
              </w:rPr>
            </w:pPr>
            <w:r>
              <w:rPr>
                <w:rFonts w:hint="eastAsia" w:ascii="Times New Roman"/>
                <w:b w:val="0"/>
                <w:bCs w:val="0"/>
                <w:snapToGrid w:val="0"/>
                <w:color w:val="000000"/>
                <w:kern w:val="21"/>
                <w:szCs w:val="21"/>
                <w:u w:val="none"/>
                <w:lang w:val="en-US" w:eastAsia="zh-CN"/>
              </w:rPr>
              <w:t>0.1t/a</w:t>
            </w:r>
          </w:p>
        </w:tc>
        <w:tc>
          <w:tcPr>
            <w:tcW w:w="1879" w:type="dxa"/>
            <w:vAlign w:val="center"/>
          </w:tcPr>
          <w:p>
            <w:pPr>
              <w:pStyle w:val="38"/>
              <w:spacing w:beforeLines="0" w:afterLines="0" w:line="240" w:lineRule="auto"/>
              <w:rPr>
                <w:rFonts w:ascii="Times New Roman"/>
                <w:b/>
                <w:bCs/>
                <w:snapToGrid w:val="0"/>
                <w:color w:val="000000"/>
                <w:kern w:val="21"/>
                <w:szCs w:val="21"/>
                <w:u w:val="single"/>
              </w:rPr>
            </w:pPr>
          </w:p>
        </w:tc>
        <w:tc>
          <w:tcPr>
            <w:tcW w:w="2094" w:type="dxa"/>
            <w:vAlign w:val="center"/>
          </w:tcPr>
          <w:p>
            <w:pPr>
              <w:pStyle w:val="38"/>
              <w:spacing w:beforeLines="0" w:afterLines="0" w:line="240" w:lineRule="auto"/>
              <w:rPr>
                <w:rFonts w:hint="default" w:ascii="Times New Roman" w:eastAsia="宋体"/>
                <w:b w:val="0"/>
                <w:bCs w:val="0"/>
                <w:snapToGrid w:val="0"/>
                <w:color w:val="000000"/>
                <w:kern w:val="21"/>
                <w:szCs w:val="21"/>
                <w:u w:val="none"/>
                <w:lang w:val="en-US" w:eastAsia="zh-CN"/>
              </w:rPr>
            </w:pPr>
            <w:r>
              <w:rPr>
                <w:rFonts w:hint="eastAsia" w:ascii="Times New Roman"/>
                <w:b w:val="0"/>
                <w:bCs w:val="0"/>
                <w:snapToGrid w:val="0"/>
                <w:color w:val="000000"/>
                <w:kern w:val="21"/>
                <w:szCs w:val="21"/>
                <w:u w:val="none"/>
                <w:lang w:val="en-US" w:eastAsia="zh-CN"/>
              </w:rPr>
              <w:t>0.1t/a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eastAsia"/>
                <w:szCs w:val="21"/>
              </w:rPr>
            </w:pPr>
            <w:r>
              <w:rPr>
                <w:rFonts w:hint="eastAsia"/>
                <w:szCs w:val="21"/>
              </w:rPr>
              <w:t>废UV灯管</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default" w:ascii="Times New Roman"/>
                <w:b/>
                <w:bCs/>
                <w:snapToGrid w:val="0"/>
                <w:color w:val="000000"/>
                <w:kern w:val="21"/>
                <w:szCs w:val="21"/>
                <w:u w:val="single"/>
                <w:lang w:val="en-US" w:eastAsia="zh-CN"/>
              </w:rPr>
            </w:pPr>
            <w:r>
              <w:rPr>
                <w:rFonts w:hint="eastAsia" w:cs="Times New Roman"/>
                <w:b/>
                <w:bCs/>
                <w:kern w:val="2"/>
                <w:sz w:val="21"/>
                <w:szCs w:val="21"/>
                <w:u w:val="single"/>
                <w:lang w:val="en-US" w:eastAsia="zh-CN" w:bidi="ar-SA"/>
              </w:rPr>
              <w:t>0.02t/a</w:t>
            </w:r>
          </w:p>
        </w:tc>
        <w:tc>
          <w:tcPr>
            <w:tcW w:w="1879" w:type="dxa"/>
            <w:vAlign w:val="center"/>
          </w:tcPr>
          <w:p>
            <w:pPr>
              <w:pStyle w:val="38"/>
              <w:spacing w:beforeLines="0" w:afterLines="0" w:line="240" w:lineRule="auto"/>
              <w:rPr>
                <w:rFonts w:ascii="Times New Roman"/>
                <w:b/>
                <w:bCs/>
                <w:snapToGrid w:val="0"/>
                <w:color w:val="000000"/>
                <w:kern w:val="21"/>
                <w:szCs w:val="21"/>
                <w:u w:val="single"/>
              </w:rPr>
            </w:pPr>
          </w:p>
        </w:tc>
        <w:tc>
          <w:tcPr>
            <w:tcW w:w="2094" w:type="dxa"/>
            <w:vAlign w:val="center"/>
          </w:tcPr>
          <w:p>
            <w:pPr>
              <w:widowControl/>
              <w:spacing w:line="320" w:lineRule="exact"/>
              <w:contextualSpacing/>
              <w:jc w:val="center"/>
              <w:rPr>
                <w:rFonts w:hint="default" w:ascii="Times New Roman"/>
                <w:b/>
                <w:bCs/>
                <w:snapToGrid w:val="0"/>
                <w:color w:val="000000"/>
                <w:kern w:val="21"/>
                <w:szCs w:val="21"/>
                <w:u w:val="single"/>
                <w:lang w:val="en-US" w:eastAsia="zh-CN"/>
              </w:rPr>
            </w:pPr>
            <w:r>
              <w:rPr>
                <w:rFonts w:hint="eastAsia" w:cs="Times New Roman"/>
                <w:b/>
                <w:bCs/>
                <w:kern w:val="2"/>
                <w:sz w:val="21"/>
                <w:szCs w:val="21"/>
                <w:u w:val="single"/>
                <w:lang w:val="en-US" w:eastAsia="zh-CN" w:bidi="ar-SA"/>
              </w:rPr>
              <w:t>0.02t/a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snapToGrid w:val="0"/>
                <w:color w:val="000000"/>
                <w:kern w:val="21"/>
                <w:szCs w:val="21"/>
              </w:rPr>
            </w:pPr>
            <w:r>
              <w:rPr>
                <w:rFonts w:hint="eastAsia"/>
                <w:szCs w:val="21"/>
              </w:rPr>
              <w:t>废活性炭</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widowControl/>
              <w:spacing w:line="320" w:lineRule="exact"/>
              <w:contextualSpacing/>
              <w:jc w:val="center"/>
              <w:rPr>
                <w:rFonts w:hint="default" w:ascii="Times New Roman" w:hAnsi="Times New Roman" w:eastAsia="宋体" w:cs="Times New Roman"/>
                <w:b/>
                <w:bCs/>
                <w:snapToGrid w:val="0"/>
                <w:color w:val="000000"/>
                <w:kern w:val="21"/>
                <w:szCs w:val="21"/>
                <w:u w:val="single"/>
                <w:lang w:val="en-US" w:eastAsia="zh-CN"/>
              </w:rPr>
            </w:pPr>
            <w:r>
              <w:rPr>
                <w:rFonts w:hint="eastAsia"/>
                <w:b/>
                <w:bCs/>
                <w:szCs w:val="21"/>
                <w:u w:val="single"/>
                <w:lang w:val="en-US" w:eastAsia="zh-CN"/>
              </w:rPr>
              <w:t>1.7628t/a</w:t>
            </w:r>
          </w:p>
        </w:tc>
        <w:tc>
          <w:tcPr>
            <w:tcW w:w="1879" w:type="dxa"/>
            <w:vAlign w:val="center"/>
          </w:tcPr>
          <w:p>
            <w:pPr>
              <w:widowControl/>
              <w:spacing w:line="320" w:lineRule="exact"/>
              <w:contextualSpacing/>
              <w:jc w:val="center"/>
              <w:rPr>
                <w:rFonts w:hint="eastAsia" w:ascii="Times New Roman" w:hAnsi="Times New Roman" w:eastAsia="宋体" w:cs="Times New Roman"/>
                <w:b/>
                <w:bCs/>
                <w:snapToGrid w:val="0"/>
                <w:color w:val="000000"/>
                <w:kern w:val="21"/>
                <w:szCs w:val="21"/>
                <w:u w:val="single"/>
                <w:lang w:val="en-US" w:eastAsia="zh-CN"/>
              </w:rPr>
            </w:pPr>
          </w:p>
        </w:tc>
        <w:tc>
          <w:tcPr>
            <w:tcW w:w="2094" w:type="dxa"/>
            <w:vAlign w:val="center"/>
          </w:tcPr>
          <w:p>
            <w:pPr>
              <w:widowControl/>
              <w:spacing w:line="320" w:lineRule="exact"/>
              <w:contextualSpacing/>
              <w:jc w:val="center"/>
              <w:rPr>
                <w:rFonts w:hint="default" w:ascii="Times New Roman" w:hAnsi="Times New Roman" w:eastAsia="宋体" w:cs="Times New Roman"/>
                <w:b/>
                <w:bCs/>
                <w:snapToGrid w:val="0"/>
                <w:color w:val="000000"/>
                <w:kern w:val="21"/>
                <w:szCs w:val="21"/>
                <w:u w:val="single"/>
                <w:lang w:val="en-US" w:eastAsia="zh-CN"/>
              </w:rPr>
            </w:pPr>
            <w:r>
              <w:rPr>
                <w:rFonts w:hint="eastAsia"/>
                <w:b/>
                <w:bCs/>
                <w:szCs w:val="21"/>
                <w:u w:val="single"/>
                <w:lang w:val="en-US" w:eastAsia="zh-CN"/>
              </w:rPr>
              <w:t>1.7628t/a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eastAsia"/>
                <w:szCs w:val="21"/>
              </w:rPr>
            </w:pPr>
            <w:r>
              <w:rPr>
                <w:rFonts w:hint="eastAsia"/>
                <w:b w:val="0"/>
                <w:bCs w:val="0"/>
                <w:szCs w:val="21"/>
                <w:u w:val="none"/>
                <w:lang w:val="en-US" w:eastAsia="zh-CN"/>
              </w:rPr>
              <w:t>废油墨桶</w:t>
            </w:r>
          </w:p>
        </w:tc>
        <w:tc>
          <w:tcPr>
            <w:tcW w:w="1814" w:type="dxa"/>
            <w:vAlign w:val="center"/>
          </w:tcPr>
          <w:p>
            <w:pPr>
              <w:pStyle w:val="38"/>
              <w:spacing w:beforeLines="0" w:afterLines="0" w:line="240" w:lineRule="auto"/>
              <w:rPr>
                <w:rFonts w:ascii="Times New Roman"/>
                <w:snapToGrid w:val="0"/>
                <w:color w:val="000000"/>
                <w:kern w:val="21"/>
                <w:szCs w:val="21"/>
              </w:rPr>
            </w:pPr>
          </w:p>
        </w:tc>
        <w:tc>
          <w:tcPr>
            <w:tcW w:w="1361" w:type="dxa"/>
            <w:vAlign w:val="center"/>
          </w:tcPr>
          <w:p>
            <w:pPr>
              <w:pStyle w:val="38"/>
              <w:spacing w:beforeLines="0" w:afterLines="0" w:line="240" w:lineRule="auto"/>
              <w:rPr>
                <w:rFonts w:ascii="Times New Roman"/>
                <w:snapToGrid w:val="0"/>
                <w:color w:val="000000"/>
                <w:kern w:val="21"/>
                <w:szCs w:val="21"/>
              </w:rPr>
            </w:pPr>
          </w:p>
        </w:tc>
        <w:tc>
          <w:tcPr>
            <w:tcW w:w="1814" w:type="dxa"/>
            <w:vAlign w:val="center"/>
          </w:tcPr>
          <w:p>
            <w:pPr>
              <w:pStyle w:val="38"/>
              <w:spacing w:beforeLines="0" w:afterLines="0" w:line="240" w:lineRule="auto"/>
              <w:rPr>
                <w:rFonts w:ascii="Times New Roman"/>
                <w:snapToGrid w:val="0"/>
                <w:color w:val="000000"/>
                <w:kern w:val="21"/>
                <w:szCs w:val="21"/>
              </w:rPr>
            </w:pPr>
          </w:p>
        </w:tc>
        <w:tc>
          <w:tcPr>
            <w:tcW w:w="1663" w:type="dxa"/>
            <w:vAlign w:val="center"/>
          </w:tcPr>
          <w:p>
            <w:pPr>
              <w:pStyle w:val="38"/>
              <w:spacing w:beforeLines="0" w:afterLines="0" w:line="240" w:lineRule="auto"/>
              <w:rPr>
                <w:rFonts w:hint="eastAsia" w:cs="Times New Roman"/>
                <w:b w:val="0"/>
                <w:bCs w:val="0"/>
                <w:snapToGrid w:val="0"/>
                <w:color w:val="000000"/>
                <w:kern w:val="21"/>
                <w:szCs w:val="21"/>
                <w:u w:val="none"/>
                <w:lang w:val="en-US" w:eastAsia="zh-CN"/>
              </w:rPr>
            </w:pPr>
            <w:r>
              <w:rPr>
                <w:rFonts w:hint="eastAsia" w:ascii="Times New Roman" w:eastAsia="宋体"/>
                <w:snapToGrid w:val="0"/>
                <w:color w:val="000000"/>
                <w:kern w:val="21"/>
                <w:szCs w:val="21"/>
                <w:lang w:val="en-US" w:eastAsia="zh-CN"/>
              </w:rPr>
              <w:t>20</w:t>
            </w:r>
            <w:r>
              <w:rPr>
                <w:rFonts w:hint="eastAsia" w:ascii="Times New Roman"/>
                <w:snapToGrid w:val="0"/>
                <w:color w:val="000000"/>
                <w:kern w:val="21"/>
                <w:szCs w:val="21"/>
                <w:lang w:val="en-US" w:eastAsia="zh-CN"/>
              </w:rPr>
              <w:t>个/a</w:t>
            </w:r>
          </w:p>
        </w:tc>
        <w:tc>
          <w:tcPr>
            <w:tcW w:w="1879" w:type="dxa"/>
            <w:vAlign w:val="center"/>
          </w:tcPr>
          <w:p>
            <w:pPr>
              <w:pStyle w:val="38"/>
              <w:spacing w:beforeLines="0" w:afterLines="0" w:line="240" w:lineRule="auto"/>
              <w:rPr>
                <w:rFonts w:hint="eastAsia" w:ascii="Times New Roman" w:hAnsi="Times New Roman" w:eastAsia="宋体" w:cs="Times New Roman"/>
                <w:b w:val="0"/>
                <w:bCs w:val="0"/>
                <w:snapToGrid w:val="0"/>
                <w:color w:val="000000"/>
                <w:kern w:val="21"/>
                <w:szCs w:val="21"/>
                <w:u w:val="none"/>
                <w:lang w:val="en-US" w:eastAsia="zh-CN"/>
              </w:rPr>
            </w:pPr>
          </w:p>
        </w:tc>
        <w:tc>
          <w:tcPr>
            <w:tcW w:w="2094" w:type="dxa"/>
            <w:vAlign w:val="center"/>
          </w:tcPr>
          <w:p>
            <w:pPr>
              <w:pStyle w:val="38"/>
              <w:spacing w:beforeLines="0" w:afterLines="0" w:line="240" w:lineRule="auto"/>
              <w:rPr>
                <w:rFonts w:hint="eastAsia" w:cs="Times New Roman"/>
                <w:b w:val="0"/>
                <w:bCs w:val="0"/>
                <w:snapToGrid w:val="0"/>
                <w:color w:val="000000"/>
                <w:kern w:val="21"/>
                <w:szCs w:val="21"/>
                <w:u w:val="none"/>
                <w:lang w:val="en-US" w:eastAsia="zh-CN"/>
              </w:rPr>
            </w:pPr>
            <w:r>
              <w:rPr>
                <w:rFonts w:hint="eastAsia" w:ascii="Times New Roman" w:eastAsia="宋体"/>
                <w:snapToGrid w:val="0"/>
                <w:color w:val="000000"/>
                <w:kern w:val="21"/>
                <w:szCs w:val="21"/>
                <w:lang w:val="en-US" w:eastAsia="zh-CN"/>
              </w:rPr>
              <w:t>20</w:t>
            </w:r>
            <w:r>
              <w:rPr>
                <w:rFonts w:hint="eastAsia" w:ascii="Times New Roman"/>
                <w:snapToGrid w:val="0"/>
                <w:color w:val="000000"/>
                <w:kern w:val="21"/>
                <w:szCs w:val="21"/>
                <w:lang w:val="en-US" w:eastAsia="zh-CN"/>
              </w:rPr>
              <w:t>个/a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default"/>
                <w:b w:val="0"/>
                <w:bCs w:val="0"/>
                <w:szCs w:val="21"/>
                <w:u w:val="single"/>
                <w:lang w:val="en-US" w:eastAsia="zh-CN"/>
              </w:rPr>
            </w:pPr>
            <w:r>
              <w:rPr>
                <w:rFonts w:hint="eastAsia"/>
                <w:b/>
                <w:bCs/>
                <w:szCs w:val="21"/>
                <w:u w:val="single"/>
                <w:lang w:val="en-US" w:eastAsia="zh-CN"/>
              </w:rPr>
              <w:t>废抹布</w:t>
            </w:r>
          </w:p>
        </w:tc>
        <w:tc>
          <w:tcPr>
            <w:tcW w:w="1814" w:type="dxa"/>
            <w:vAlign w:val="center"/>
          </w:tcPr>
          <w:p>
            <w:pPr>
              <w:pStyle w:val="38"/>
              <w:spacing w:beforeLines="0" w:afterLines="0" w:line="240" w:lineRule="auto"/>
              <w:rPr>
                <w:rFonts w:ascii="Times New Roman"/>
                <w:snapToGrid w:val="0"/>
                <w:color w:val="000000"/>
                <w:kern w:val="21"/>
                <w:szCs w:val="21"/>
                <w:u w:val="single"/>
              </w:rPr>
            </w:pPr>
          </w:p>
        </w:tc>
        <w:tc>
          <w:tcPr>
            <w:tcW w:w="1361" w:type="dxa"/>
            <w:vAlign w:val="center"/>
          </w:tcPr>
          <w:p>
            <w:pPr>
              <w:pStyle w:val="38"/>
              <w:spacing w:beforeLines="0" w:afterLines="0" w:line="240" w:lineRule="auto"/>
              <w:rPr>
                <w:rFonts w:ascii="Times New Roman"/>
                <w:snapToGrid w:val="0"/>
                <w:color w:val="000000"/>
                <w:kern w:val="21"/>
                <w:szCs w:val="21"/>
                <w:u w:val="single"/>
              </w:rPr>
            </w:pPr>
          </w:p>
        </w:tc>
        <w:tc>
          <w:tcPr>
            <w:tcW w:w="1814" w:type="dxa"/>
            <w:vAlign w:val="center"/>
          </w:tcPr>
          <w:p>
            <w:pPr>
              <w:pStyle w:val="38"/>
              <w:spacing w:beforeLines="0" w:afterLines="0" w:line="240" w:lineRule="auto"/>
              <w:rPr>
                <w:rFonts w:ascii="Times New Roman"/>
                <w:snapToGrid w:val="0"/>
                <w:color w:val="000000"/>
                <w:kern w:val="21"/>
                <w:szCs w:val="21"/>
                <w:u w:val="single"/>
              </w:rPr>
            </w:pPr>
          </w:p>
        </w:tc>
        <w:tc>
          <w:tcPr>
            <w:tcW w:w="1663" w:type="dxa"/>
            <w:vAlign w:val="center"/>
          </w:tcPr>
          <w:p>
            <w:pPr>
              <w:pStyle w:val="38"/>
              <w:spacing w:beforeLines="0" w:afterLines="0" w:line="240" w:lineRule="auto"/>
              <w:rPr>
                <w:rFonts w:hint="default" w:ascii="Times New Roman" w:eastAsia="宋体"/>
                <w:b/>
                <w:bCs/>
                <w:snapToGrid w:val="0"/>
                <w:color w:val="000000"/>
                <w:kern w:val="21"/>
                <w:szCs w:val="21"/>
                <w:u w:val="single"/>
                <w:lang w:val="en-US" w:eastAsia="zh-CN"/>
              </w:rPr>
            </w:pPr>
            <w:r>
              <w:rPr>
                <w:rFonts w:hint="eastAsia" w:ascii="Times New Roman"/>
                <w:b/>
                <w:bCs/>
                <w:snapToGrid w:val="0"/>
                <w:color w:val="000000"/>
                <w:kern w:val="21"/>
                <w:szCs w:val="21"/>
                <w:u w:val="single"/>
                <w:lang w:val="en-US" w:eastAsia="zh-CN"/>
              </w:rPr>
              <w:t>0.096t/a</w:t>
            </w:r>
          </w:p>
        </w:tc>
        <w:tc>
          <w:tcPr>
            <w:tcW w:w="1879" w:type="dxa"/>
            <w:vAlign w:val="center"/>
          </w:tcPr>
          <w:p>
            <w:pPr>
              <w:pStyle w:val="38"/>
              <w:spacing w:beforeLines="0" w:afterLines="0" w:line="240" w:lineRule="auto"/>
              <w:rPr>
                <w:rFonts w:hint="eastAsia" w:ascii="Times New Roman" w:hAnsi="Times New Roman" w:eastAsia="宋体" w:cs="Times New Roman"/>
                <w:b/>
                <w:bCs/>
                <w:snapToGrid w:val="0"/>
                <w:color w:val="000000"/>
                <w:kern w:val="21"/>
                <w:szCs w:val="21"/>
                <w:u w:val="single"/>
                <w:lang w:val="en-US" w:eastAsia="zh-CN"/>
              </w:rPr>
            </w:pPr>
          </w:p>
        </w:tc>
        <w:tc>
          <w:tcPr>
            <w:tcW w:w="2094" w:type="dxa"/>
            <w:vAlign w:val="center"/>
          </w:tcPr>
          <w:p>
            <w:pPr>
              <w:pStyle w:val="38"/>
              <w:spacing w:beforeLines="0" w:afterLines="0" w:line="240" w:lineRule="auto"/>
              <w:rPr>
                <w:rFonts w:hint="eastAsia" w:ascii="Times New Roman" w:eastAsia="宋体"/>
                <w:b/>
                <w:bCs/>
                <w:snapToGrid w:val="0"/>
                <w:color w:val="000000"/>
                <w:kern w:val="21"/>
                <w:szCs w:val="21"/>
                <w:u w:val="single"/>
                <w:lang w:val="en-US" w:eastAsia="zh-CN"/>
              </w:rPr>
            </w:pPr>
            <w:r>
              <w:rPr>
                <w:rFonts w:hint="eastAsia" w:ascii="Times New Roman"/>
                <w:b/>
                <w:bCs/>
                <w:snapToGrid w:val="0"/>
                <w:color w:val="000000"/>
                <w:kern w:val="21"/>
                <w:szCs w:val="21"/>
                <w:u w:val="single"/>
                <w:lang w:val="en-US" w:eastAsia="zh-CN"/>
              </w:rPr>
              <w:t>0.096t/a</w:t>
            </w:r>
          </w:p>
        </w:tc>
        <w:tc>
          <w:tcPr>
            <w:tcW w:w="881" w:type="dxa"/>
            <w:vAlign w:val="center"/>
          </w:tcPr>
          <w:p>
            <w:pPr>
              <w:pStyle w:val="38"/>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2" w:type="dxa"/>
            <w:vMerge w:val="continue"/>
            <w:vAlign w:val="center"/>
          </w:tcPr>
          <w:p>
            <w:pPr>
              <w:pStyle w:val="38"/>
              <w:spacing w:beforeLines="0" w:afterLines="0" w:line="240" w:lineRule="auto"/>
              <w:rPr>
                <w:rFonts w:ascii="Times New Roman"/>
                <w:snapToGrid w:val="0"/>
                <w:color w:val="000000"/>
                <w:kern w:val="21"/>
                <w:szCs w:val="21"/>
              </w:rPr>
            </w:pPr>
          </w:p>
        </w:tc>
        <w:tc>
          <w:tcPr>
            <w:tcW w:w="1511" w:type="dxa"/>
            <w:vAlign w:val="center"/>
          </w:tcPr>
          <w:p>
            <w:pPr>
              <w:widowControl/>
              <w:spacing w:line="320" w:lineRule="exact"/>
              <w:contextualSpacing/>
              <w:jc w:val="center"/>
              <w:rPr>
                <w:rFonts w:hint="default"/>
                <w:b/>
                <w:bCs/>
                <w:szCs w:val="21"/>
                <w:u w:val="single"/>
                <w:lang w:val="en-US" w:eastAsia="zh-CN"/>
              </w:rPr>
            </w:pPr>
            <w:r>
              <w:rPr>
                <w:rFonts w:hint="eastAsia"/>
                <w:b/>
                <w:bCs/>
                <w:szCs w:val="21"/>
                <w:u w:val="single"/>
                <w:lang w:val="en-US" w:eastAsia="zh-CN"/>
              </w:rPr>
              <w:t>废热转印商标纸</w:t>
            </w:r>
          </w:p>
        </w:tc>
        <w:tc>
          <w:tcPr>
            <w:tcW w:w="1814" w:type="dxa"/>
            <w:vAlign w:val="center"/>
          </w:tcPr>
          <w:p>
            <w:pPr>
              <w:pStyle w:val="38"/>
              <w:spacing w:beforeLines="0" w:afterLines="0" w:line="240" w:lineRule="auto"/>
              <w:rPr>
                <w:rFonts w:ascii="Times New Roman"/>
                <w:snapToGrid w:val="0"/>
                <w:color w:val="000000"/>
                <w:kern w:val="21"/>
                <w:szCs w:val="21"/>
                <w:u w:val="single"/>
              </w:rPr>
            </w:pPr>
          </w:p>
        </w:tc>
        <w:tc>
          <w:tcPr>
            <w:tcW w:w="1361" w:type="dxa"/>
            <w:vAlign w:val="center"/>
          </w:tcPr>
          <w:p>
            <w:pPr>
              <w:pStyle w:val="38"/>
              <w:spacing w:beforeLines="0" w:afterLines="0" w:line="240" w:lineRule="auto"/>
              <w:rPr>
                <w:rFonts w:ascii="Times New Roman"/>
                <w:snapToGrid w:val="0"/>
                <w:color w:val="000000"/>
                <w:kern w:val="21"/>
                <w:szCs w:val="21"/>
                <w:u w:val="single"/>
              </w:rPr>
            </w:pPr>
          </w:p>
        </w:tc>
        <w:tc>
          <w:tcPr>
            <w:tcW w:w="1814" w:type="dxa"/>
            <w:vAlign w:val="center"/>
          </w:tcPr>
          <w:p>
            <w:pPr>
              <w:pStyle w:val="38"/>
              <w:spacing w:beforeLines="0" w:afterLines="0" w:line="240" w:lineRule="auto"/>
              <w:rPr>
                <w:rFonts w:ascii="Times New Roman"/>
                <w:snapToGrid w:val="0"/>
                <w:color w:val="000000"/>
                <w:kern w:val="21"/>
                <w:szCs w:val="21"/>
                <w:u w:val="single"/>
              </w:rPr>
            </w:pPr>
          </w:p>
        </w:tc>
        <w:tc>
          <w:tcPr>
            <w:tcW w:w="1663" w:type="dxa"/>
            <w:vAlign w:val="center"/>
          </w:tcPr>
          <w:p>
            <w:pPr>
              <w:pStyle w:val="38"/>
              <w:spacing w:beforeLines="0" w:afterLines="0" w:line="240" w:lineRule="auto"/>
              <w:rPr>
                <w:rFonts w:hint="default" w:ascii="Times New Roman"/>
                <w:b/>
                <w:bCs/>
                <w:snapToGrid w:val="0"/>
                <w:color w:val="000000"/>
                <w:kern w:val="21"/>
                <w:szCs w:val="21"/>
                <w:u w:val="single"/>
                <w:lang w:val="en-US" w:eastAsia="zh-CN"/>
              </w:rPr>
            </w:pPr>
            <w:r>
              <w:rPr>
                <w:rFonts w:hint="eastAsia" w:ascii="Times New Roman"/>
                <w:b/>
                <w:bCs/>
                <w:snapToGrid w:val="0"/>
                <w:color w:val="000000"/>
                <w:kern w:val="21"/>
                <w:szCs w:val="21"/>
                <w:u w:val="single"/>
                <w:lang w:val="en-US" w:eastAsia="zh-CN"/>
              </w:rPr>
              <w:t>1.4t/a</w:t>
            </w:r>
          </w:p>
        </w:tc>
        <w:tc>
          <w:tcPr>
            <w:tcW w:w="1879" w:type="dxa"/>
            <w:vAlign w:val="center"/>
          </w:tcPr>
          <w:p>
            <w:pPr>
              <w:pStyle w:val="38"/>
              <w:spacing w:beforeLines="0" w:afterLines="0" w:line="240" w:lineRule="auto"/>
              <w:rPr>
                <w:rFonts w:hint="eastAsia" w:ascii="Times New Roman" w:hAnsi="Times New Roman" w:eastAsia="宋体" w:cs="Times New Roman"/>
                <w:b/>
                <w:bCs/>
                <w:snapToGrid w:val="0"/>
                <w:color w:val="000000"/>
                <w:kern w:val="21"/>
                <w:szCs w:val="21"/>
                <w:u w:val="single"/>
                <w:lang w:val="en-US" w:eastAsia="zh-CN"/>
              </w:rPr>
            </w:pPr>
          </w:p>
        </w:tc>
        <w:tc>
          <w:tcPr>
            <w:tcW w:w="2094" w:type="dxa"/>
            <w:vAlign w:val="center"/>
          </w:tcPr>
          <w:p>
            <w:pPr>
              <w:pStyle w:val="38"/>
              <w:spacing w:beforeLines="0" w:afterLines="0" w:line="240" w:lineRule="auto"/>
              <w:rPr>
                <w:rFonts w:hint="default" w:ascii="Times New Roman"/>
                <w:b/>
                <w:bCs/>
                <w:snapToGrid w:val="0"/>
                <w:color w:val="000000"/>
                <w:kern w:val="21"/>
                <w:szCs w:val="21"/>
                <w:u w:val="single"/>
                <w:lang w:val="en-US" w:eastAsia="zh-CN"/>
              </w:rPr>
            </w:pPr>
            <w:r>
              <w:rPr>
                <w:rFonts w:hint="eastAsia" w:ascii="Times New Roman"/>
                <w:b/>
                <w:bCs/>
                <w:snapToGrid w:val="0"/>
                <w:color w:val="000000"/>
                <w:kern w:val="21"/>
                <w:szCs w:val="21"/>
                <w:u w:val="single"/>
                <w:lang w:val="en-US" w:eastAsia="zh-CN"/>
              </w:rPr>
              <w:t>1.4t/a</w:t>
            </w:r>
          </w:p>
        </w:tc>
        <w:tc>
          <w:tcPr>
            <w:tcW w:w="881" w:type="dxa"/>
            <w:vAlign w:val="center"/>
          </w:tcPr>
          <w:p>
            <w:pPr>
              <w:pStyle w:val="38"/>
              <w:spacing w:beforeLines="0" w:afterLines="0" w:line="240" w:lineRule="auto"/>
              <w:rPr>
                <w:rFonts w:ascii="Times New Roman"/>
                <w:snapToGrid w:val="0"/>
                <w:color w:val="000000"/>
                <w:kern w:val="21"/>
                <w:szCs w:val="21"/>
              </w:rPr>
            </w:pPr>
          </w:p>
        </w:tc>
      </w:tr>
    </w:tbl>
    <w:p>
      <w:pPr>
        <w:pStyle w:val="38"/>
        <w:spacing w:beforeLines="80" w:after="24"/>
        <w:jc w:val="left"/>
        <w:rPr>
          <w:rFonts w:hint="eastAsia" w:eastAsia="宋体"/>
          <w:lang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sectPr>
      <w:footerReference r:id="rId5"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XekcYBAACb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9d6RxgEAAJsDAAAOAAAAAAAAAAEAIAAAAB4BAABkcnMvZTJvRG9jLnht&#10;bFBLBQYAAAAABgAGAFkBAABW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F3000"/>
    <w:multiLevelType w:val="singleLevel"/>
    <w:tmpl w:val="0F2F3000"/>
    <w:lvl w:ilvl="0" w:tentative="0">
      <w:start w:val="1"/>
      <w:numFmt w:val="decimal"/>
      <w:suff w:val="nothing"/>
      <w:lvlText w:val="%1、"/>
      <w:lvlJc w:val="left"/>
    </w:lvl>
  </w:abstractNum>
  <w:abstractNum w:abstractNumId="1">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2">
    <w:nsid w:val="5BE20006"/>
    <w:multiLevelType w:val="singleLevel"/>
    <w:tmpl w:val="5BE20006"/>
    <w:lvl w:ilvl="0" w:tentative="0">
      <w:start w:val="6"/>
      <w:numFmt w:val="decimal"/>
      <w:suff w:val="nothing"/>
      <w:lvlText w:val="（%1）"/>
      <w:lvlJc w:val="left"/>
    </w:lvl>
  </w:abstractNum>
  <w:abstractNum w:abstractNumId="3">
    <w:nsid w:val="5F328F61"/>
    <w:multiLevelType w:val="singleLevel"/>
    <w:tmpl w:val="5F328F61"/>
    <w:lvl w:ilvl="0" w:tentative="0">
      <w:start w:val="1"/>
      <w:numFmt w:val="decimal"/>
      <w:pStyle w:val="5"/>
      <w:lvlText w:val="表%1"/>
      <w:lvlJc w:val="left"/>
      <w:pPr>
        <w:tabs>
          <w:tab w:val="left" w:pos="420"/>
        </w:tabs>
        <w:ind w:left="1351" w:hanging="425"/>
      </w:pPr>
      <w:rPr>
        <w:rFonts w:hint="default"/>
        <w:b/>
        <w:bCs/>
        <w:sz w:val="24"/>
        <w:szCs w:val="24"/>
      </w:rPr>
    </w:lvl>
  </w:abstractNum>
  <w:abstractNum w:abstractNumId="4">
    <w:nsid w:val="61694E05"/>
    <w:multiLevelType w:val="multilevel"/>
    <w:tmpl w:val="61694E05"/>
    <w:lvl w:ilvl="0" w:tentative="0">
      <w:start w:val="1"/>
      <w:numFmt w:val="decimal"/>
      <w:pStyle w:val="33"/>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DI2ZDk1NWMxZjk2ZDAyZjZlNzVjNjIzODViNTIifQ=="/>
  </w:docVars>
  <w:rsids>
    <w:rsidRoot w:val="00B7186B"/>
    <w:rsid w:val="0014709C"/>
    <w:rsid w:val="00160926"/>
    <w:rsid w:val="002F4532"/>
    <w:rsid w:val="004F6EBA"/>
    <w:rsid w:val="00565284"/>
    <w:rsid w:val="005B2515"/>
    <w:rsid w:val="005B718C"/>
    <w:rsid w:val="006C78D4"/>
    <w:rsid w:val="007A4CDF"/>
    <w:rsid w:val="007B20DB"/>
    <w:rsid w:val="007C47AB"/>
    <w:rsid w:val="00990957"/>
    <w:rsid w:val="009D2AC8"/>
    <w:rsid w:val="00B10794"/>
    <w:rsid w:val="00B5021A"/>
    <w:rsid w:val="00B627E8"/>
    <w:rsid w:val="00B7186B"/>
    <w:rsid w:val="00E47A84"/>
    <w:rsid w:val="00ED6459"/>
    <w:rsid w:val="00EE42A3"/>
    <w:rsid w:val="01431A4A"/>
    <w:rsid w:val="01E36459"/>
    <w:rsid w:val="026F1063"/>
    <w:rsid w:val="04607629"/>
    <w:rsid w:val="0470710D"/>
    <w:rsid w:val="07620D8F"/>
    <w:rsid w:val="07FD2386"/>
    <w:rsid w:val="084E1557"/>
    <w:rsid w:val="08715215"/>
    <w:rsid w:val="095E6CA5"/>
    <w:rsid w:val="0C046360"/>
    <w:rsid w:val="0CBB1FC8"/>
    <w:rsid w:val="0D215336"/>
    <w:rsid w:val="0E3835EC"/>
    <w:rsid w:val="0E71409B"/>
    <w:rsid w:val="0F4339DE"/>
    <w:rsid w:val="0F804F9C"/>
    <w:rsid w:val="10141182"/>
    <w:rsid w:val="11DB5D79"/>
    <w:rsid w:val="13605532"/>
    <w:rsid w:val="140E3B52"/>
    <w:rsid w:val="159E69E1"/>
    <w:rsid w:val="168A4E92"/>
    <w:rsid w:val="180335AF"/>
    <w:rsid w:val="19C66F76"/>
    <w:rsid w:val="1AA522B1"/>
    <w:rsid w:val="1B7D4048"/>
    <w:rsid w:val="1B9F7FF8"/>
    <w:rsid w:val="1DAE4172"/>
    <w:rsid w:val="1FCF3DAB"/>
    <w:rsid w:val="21D50045"/>
    <w:rsid w:val="221528A4"/>
    <w:rsid w:val="226540CC"/>
    <w:rsid w:val="22655395"/>
    <w:rsid w:val="22C03661"/>
    <w:rsid w:val="22D82647"/>
    <w:rsid w:val="23037BFD"/>
    <w:rsid w:val="2406098A"/>
    <w:rsid w:val="27027B2E"/>
    <w:rsid w:val="27A0454C"/>
    <w:rsid w:val="283B6DC8"/>
    <w:rsid w:val="2907068B"/>
    <w:rsid w:val="2A7F33BA"/>
    <w:rsid w:val="2A956FFD"/>
    <w:rsid w:val="2B7A29B8"/>
    <w:rsid w:val="2D511CF8"/>
    <w:rsid w:val="2D5B0B19"/>
    <w:rsid w:val="2DCE7B02"/>
    <w:rsid w:val="2E7C6E34"/>
    <w:rsid w:val="2EAC6A54"/>
    <w:rsid w:val="2ED86C8C"/>
    <w:rsid w:val="303F4C0D"/>
    <w:rsid w:val="304C6A8D"/>
    <w:rsid w:val="33CD6DCE"/>
    <w:rsid w:val="34864AFD"/>
    <w:rsid w:val="34DF14AF"/>
    <w:rsid w:val="351E42D6"/>
    <w:rsid w:val="35645510"/>
    <w:rsid w:val="36343134"/>
    <w:rsid w:val="37D50947"/>
    <w:rsid w:val="38461558"/>
    <w:rsid w:val="38571D22"/>
    <w:rsid w:val="39814535"/>
    <w:rsid w:val="3AFD213A"/>
    <w:rsid w:val="3B8B7C9A"/>
    <w:rsid w:val="3BDE2894"/>
    <w:rsid w:val="3CD97204"/>
    <w:rsid w:val="3D712B8E"/>
    <w:rsid w:val="3E847876"/>
    <w:rsid w:val="4101455B"/>
    <w:rsid w:val="42971CF5"/>
    <w:rsid w:val="43010842"/>
    <w:rsid w:val="443F2006"/>
    <w:rsid w:val="450B6D9E"/>
    <w:rsid w:val="46DA6E7A"/>
    <w:rsid w:val="48463451"/>
    <w:rsid w:val="49D34854"/>
    <w:rsid w:val="4B2E23F0"/>
    <w:rsid w:val="4B9D7EC8"/>
    <w:rsid w:val="4DCA28A4"/>
    <w:rsid w:val="4E155FFE"/>
    <w:rsid w:val="51B573C7"/>
    <w:rsid w:val="52A57BA3"/>
    <w:rsid w:val="52DC0041"/>
    <w:rsid w:val="53827C8E"/>
    <w:rsid w:val="549B4E7B"/>
    <w:rsid w:val="56116A28"/>
    <w:rsid w:val="56667B7F"/>
    <w:rsid w:val="570724FE"/>
    <w:rsid w:val="57162490"/>
    <w:rsid w:val="571C485F"/>
    <w:rsid w:val="573C5A43"/>
    <w:rsid w:val="57A26CFD"/>
    <w:rsid w:val="5A0F6A33"/>
    <w:rsid w:val="5C0C3EF4"/>
    <w:rsid w:val="5D195DB1"/>
    <w:rsid w:val="5F876607"/>
    <w:rsid w:val="60EB6A76"/>
    <w:rsid w:val="615B4BE5"/>
    <w:rsid w:val="62D9187C"/>
    <w:rsid w:val="644F48CA"/>
    <w:rsid w:val="64BC678F"/>
    <w:rsid w:val="656E190F"/>
    <w:rsid w:val="66A15FFE"/>
    <w:rsid w:val="66D75240"/>
    <w:rsid w:val="68720E83"/>
    <w:rsid w:val="68E97CB4"/>
    <w:rsid w:val="6AEF4186"/>
    <w:rsid w:val="6B454EC0"/>
    <w:rsid w:val="6F8D32DA"/>
    <w:rsid w:val="700C2451"/>
    <w:rsid w:val="72B25167"/>
    <w:rsid w:val="75D86818"/>
    <w:rsid w:val="76D92C10"/>
    <w:rsid w:val="783F4AA7"/>
    <w:rsid w:val="798A470B"/>
    <w:rsid w:val="79A407BE"/>
    <w:rsid w:val="7A6A72D0"/>
    <w:rsid w:val="7B783F48"/>
    <w:rsid w:val="7C55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4">
    <w:name w:val="heading 4"/>
    <w:basedOn w:val="1"/>
    <w:next w:val="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numPr>
        <w:ilvl w:val="0"/>
        <w:numId w:val="1"/>
      </w:numPr>
      <w:adjustRightInd w:val="0"/>
      <w:spacing w:line="460" w:lineRule="exact"/>
      <w:ind w:left="0" w:firstLine="200" w:firstLineChars="200"/>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4"/>
    <w:qFormat/>
    <w:uiPriority w:val="0"/>
    <w:pPr>
      <w:jc w:val="left"/>
    </w:pPr>
    <w:rPr>
      <w:kern w:val="0"/>
      <w:sz w:val="24"/>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qFormat/>
    <w:uiPriority w:val="0"/>
    <w:pPr>
      <w:jc w:val="center"/>
      <w:textAlignment w:val="baseline"/>
    </w:pPr>
    <w:rPr>
      <w:rFonts w:ascii="宋体" w:hAnsi="Courier New"/>
      <w:sz w:val="24"/>
    </w:rPr>
  </w:style>
  <w:style w:type="paragraph" w:styleId="12">
    <w:name w:val="List Bullet 5"/>
    <w:basedOn w:val="1"/>
    <w:qFormat/>
    <w:uiPriority w:val="0"/>
    <w:pPr>
      <w:numPr>
        <w:ilvl w:val="0"/>
        <w:numId w:val="2"/>
      </w:numPr>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5"/>
    <w:qFormat/>
    <w:uiPriority w:val="0"/>
    <w:rPr>
      <w:b/>
      <w:bCs/>
      <w:kern w:val="2"/>
      <w:sz w:val="21"/>
      <w:szCs w:val="24"/>
    </w:rPr>
  </w:style>
  <w:style w:type="paragraph" w:styleId="19">
    <w:name w:val="Body Text First Indent"/>
    <w:basedOn w:val="8"/>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报告正文"/>
    <w:basedOn w:val="1"/>
    <w:qFormat/>
    <w:uiPriority w:val="0"/>
    <w:pPr>
      <w:snapToGrid w:val="0"/>
      <w:spacing w:line="360" w:lineRule="auto"/>
      <w:ind w:firstLine="200" w:firstLineChars="200"/>
    </w:pPr>
    <w:rPr>
      <w:rFonts w:ascii="宋体" w:hAnsi="宋体"/>
      <w:sz w:val="28"/>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表头"/>
    <w:basedOn w:val="8"/>
    <w:next w:val="32"/>
    <w:qFormat/>
    <w:uiPriority w:val="0"/>
    <w:pPr>
      <w:adjustRightInd w:val="0"/>
      <w:spacing w:after="0" w:line="400" w:lineRule="exact"/>
      <w:jc w:val="center"/>
    </w:pPr>
    <w:rPr>
      <w:b/>
      <w:sz w:val="24"/>
      <w:szCs w:val="24"/>
    </w:rPr>
  </w:style>
  <w:style w:type="paragraph" w:customStyle="1" w:styleId="32">
    <w:name w:val="表格内容"/>
    <w:basedOn w:val="31"/>
    <w:qFormat/>
    <w:uiPriority w:val="0"/>
    <w:rPr>
      <w:rFonts w:cs="Calibri"/>
      <w:sz w:val="21"/>
      <w:szCs w:val="21"/>
    </w:rPr>
  </w:style>
  <w:style w:type="paragraph" w:customStyle="1" w:styleId="33">
    <w:name w:val="塑料表头"/>
    <w:basedOn w:val="34"/>
    <w:qFormat/>
    <w:uiPriority w:val="0"/>
    <w:pPr>
      <w:numPr>
        <w:ilvl w:val="0"/>
        <w:numId w:val="3"/>
      </w:numPr>
      <w:ind w:firstLine="0" w:firstLineChars="0"/>
      <w:jc w:val="center"/>
    </w:pPr>
    <w:rPr>
      <w:rFonts w:eastAsia="宋体"/>
      <w:b/>
      <w:szCs w:val="24"/>
    </w:rPr>
  </w:style>
  <w:style w:type="paragraph" w:customStyle="1" w:styleId="34">
    <w:name w:val="表头字"/>
    <w:basedOn w:val="1"/>
    <w:qFormat/>
    <w:uiPriority w:val="0"/>
    <w:pPr>
      <w:spacing w:line="520" w:lineRule="exact"/>
      <w:ind w:firstLine="400" w:firstLineChars="400"/>
      <w:jc w:val="left"/>
    </w:pPr>
    <w:rPr>
      <w:rFonts w:eastAsia="黑体"/>
      <w:sz w:val="24"/>
      <w:szCs w:val="20"/>
    </w:rPr>
  </w:style>
  <w:style w:type="paragraph" w:customStyle="1" w:styleId="35">
    <w:name w:val="常用正文样式"/>
    <w:basedOn w:val="1"/>
    <w:qFormat/>
    <w:uiPriority w:val="0"/>
    <w:pPr>
      <w:spacing w:line="360" w:lineRule="auto"/>
      <w:ind w:firstLine="480" w:firstLineChars="200"/>
    </w:pPr>
    <w:rPr>
      <w:rFonts w:ascii="宋体" w:hAnsi="宋体"/>
      <w:bCs/>
      <w:kern w:val="28"/>
      <w:szCs w:val="20"/>
    </w:rPr>
  </w:style>
  <w:style w:type="paragraph" w:customStyle="1" w:styleId="36">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7">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小四 1.75"/>
    <w:basedOn w:val="1"/>
    <w:qFormat/>
    <w:uiPriority w:val="0"/>
    <w:pPr>
      <w:spacing w:line="420" w:lineRule="auto"/>
      <w:ind w:firstLine="480" w:firstLineChars="200"/>
    </w:pPr>
    <w:rPr>
      <w:sz w:val="24"/>
    </w:rPr>
  </w:style>
  <w:style w:type="character" w:customStyle="1" w:styleId="40">
    <w:name w:val="lable"/>
    <w:basedOn w:val="23"/>
    <w:qFormat/>
    <w:uiPriority w:val="0"/>
    <w:rPr>
      <w:sz w:val="24"/>
      <w:szCs w:val="24"/>
    </w:rPr>
  </w:style>
  <w:style w:type="character" w:customStyle="1" w:styleId="41">
    <w:name w:val="cur1"/>
    <w:basedOn w:val="23"/>
    <w:qFormat/>
    <w:uiPriority w:val="0"/>
    <w:rPr>
      <w:color w:val="FFFFFF"/>
      <w:shd w:val="clear" w:color="auto" w:fill="2F6B98"/>
    </w:rPr>
  </w:style>
  <w:style w:type="character" w:customStyle="1" w:styleId="42">
    <w:name w:val="lishishuju"/>
    <w:basedOn w:val="23"/>
    <w:qFormat/>
    <w:uiPriority w:val="0"/>
    <w:rPr>
      <w:b/>
      <w:bCs/>
      <w:color w:val="000052"/>
      <w:sz w:val="24"/>
      <w:szCs w:val="24"/>
      <w:bdr w:val="single" w:color="E3E3E3" w:sz="6" w:space="0"/>
    </w:rPr>
  </w:style>
  <w:style w:type="character" w:customStyle="1" w:styleId="43">
    <w:name w:val="radio-btn"/>
    <w:basedOn w:val="23"/>
    <w:qFormat/>
    <w:uiPriority w:val="0"/>
    <w:rPr>
      <w:sz w:val="21"/>
      <w:szCs w:val="21"/>
    </w:rPr>
  </w:style>
  <w:style w:type="character" w:customStyle="1" w:styleId="44">
    <w:name w:val="radio-btn1"/>
    <w:basedOn w:val="23"/>
    <w:qFormat/>
    <w:uiPriority w:val="0"/>
    <w:rPr>
      <w:sz w:val="24"/>
      <w:szCs w:val="24"/>
    </w:rPr>
  </w:style>
  <w:style w:type="character" w:customStyle="1" w:styleId="45">
    <w:name w:val="radio-btn2"/>
    <w:basedOn w:val="23"/>
    <w:qFormat/>
    <w:uiPriority w:val="0"/>
    <w:rPr>
      <w:sz w:val="24"/>
      <w:szCs w:val="24"/>
    </w:rPr>
  </w:style>
  <w:style w:type="character" w:customStyle="1" w:styleId="46">
    <w:name w:val="znspantitle"/>
    <w:basedOn w:val="23"/>
    <w:qFormat/>
    <w:uiPriority w:val="0"/>
    <w:rPr>
      <w:b/>
      <w:bCs/>
      <w:color w:val="333333"/>
    </w:rPr>
  </w:style>
  <w:style w:type="paragraph" w:customStyle="1" w:styleId="47">
    <w:name w:val="表内 定"/>
    <w:basedOn w:val="1"/>
    <w:qFormat/>
    <w:uiPriority w:val="0"/>
    <w:rPr>
      <w:color w:val="000000" w:themeColor="text1"/>
      <w14:textFill>
        <w14:solidFill>
          <w14:schemeClr w14:val="tx1"/>
        </w14:solidFill>
      </w14:textFill>
    </w:rPr>
  </w:style>
  <w:style w:type="paragraph" w:customStyle="1" w:styleId="48">
    <w:name w:val="Char Char Char1 Char Char Char Char"/>
    <w:basedOn w:val="1"/>
    <w:qFormat/>
    <w:uiPriority w:val="0"/>
  </w:style>
  <w:style w:type="paragraph" w:customStyle="1" w:styleId="49">
    <w:name w:val="刘正文"/>
    <w:basedOn w:val="1"/>
    <w:qFormat/>
    <w:uiPriority w:val="0"/>
    <w:pPr>
      <w:spacing w:line="460" w:lineRule="exact"/>
      <w:ind w:firstLine="480" w:firstLineChars="200"/>
      <w:jc w:val="left"/>
    </w:pPr>
    <w:rPr>
      <w:color w:val="000000"/>
      <w:sz w:val="24"/>
    </w:rPr>
  </w:style>
  <w:style w:type="paragraph" w:customStyle="1" w:styleId="50">
    <w:name w:val="刘表格居中"/>
    <w:basedOn w:val="1"/>
    <w:qFormat/>
    <w:uiPriority w:val="0"/>
    <w:pPr>
      <w:jc w:val="center"/>
    </w:pPr>
    <w:rPr>
      <w:color w:val="000000"/>
      <w:szCs w:val="21"/>
    </w:rPr>
  </w:style>
  <w:style w:type="paragraph" w:customStyle="1" w:styleId="51">
    <w:name w:val="正文  001"/>
    <w:basedOn w:val="1"/>
    <w:qFormat/>
    <w:uiPriority w:val="0"/>
    <w:pPr>
      <w:spacing w:line="360" w:lineRule="exact"/>
      <w:ind w:firstLine="200" w:firstLineChars="200"/>
    </w:pPr>
  </w:style>
  <w:style w:type="paragraph" w:customStyle="1" w:styleId="52">
    <w:name w:val="Body text|1"/>
    <w:basedOn w:val="1"/>
    <w:qFormat/>
    <w:uiPriority w:val="0"/>
    <w:pPr>
      <w:spacing w:line="420" w:lineRule="auto"/>
      <w:ind w:firstLine="400"/>
    </w:pPr>
    <w:rPr>
      <w:sz w:val="30"/>
      <w:szCs w:val="30"/>
      <w:lang w:val="zh-TW" w:eastAsia="zh-TW" w:bidi="zh-TW"/>
    </w:rPr>
  </w:style>
  <w:style w:type="paragraph" w:customStyle="1" w:styleId="53">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4">
    <w:name w:val="批注文字 Char"/>
    <w:basedOn w:val="23"/>
    <w:link w:val="7"/>
    <w:semiHidden/>
    <w:qFormat/>
    <w:uiPriority w:val="0"/>
    <w:rPr>
      <w:sz w:val="24"/>
    </w:rPr>
  </w:style>
  <w:style w:type="character" w:customStyle="1" w:styleId="55">
    <w:name w:val="批注主题 Char"/>
    <w:basedOn w:val="54"/>
    <w:link w:val="18"/>
    <w:qFormat/>
    <w:uiPriority w:val="0"/>
    <w:rPr>
      <w:b/>
      <w:bCs/>
      <w:kern w:val="2"/>
      <w:sz w:val="21"/>
      <w:szCs w:val="24"/>
    </w:rPr>
  </w:style>
  <w:style w:type="character" w:customStyle="1" w:styleId="56">
    <w:name w:val="批注框文本 Char"/>
    <w:basedOn w:val="23"/>
    <w:link w:val="13"/>
    <w:qFormat/>
    <w:uiPriority w:val="0"/>
    <w:rPr>
      <w:kern w:val="2"/>
      <w:sz w:val="18"/>
      <w:szCs w:val="18"/>
    </w:rPr>
  </w:style>
  <w:style w:type="character" w:customStyle="1" w:styleId="57">
    <w:name w:val="unnamed1"/>
    <w:qFormat/>
    <w:uiPriority w:val="0"/>
  </w:style>
  <w:style w:type="paragraph" w:customStyle="1" w:styleId="58">
    <w:name w:val="4表格内3级标题"/>
    <w:basedOn w:val="59"/>
    <w:next w:val="59"/>
    <w:qFormat/>
    <w:uiPriority w:val="0"/>
    <w:pPr>
      <w:ind w:firstLine="0" w:firstLineChars="0"/>
      <w:jc w:val="left"/>
    </w:pPr>
    <w:rPr>
      <w:b/>
    </w:rPr>
  </w:style>
  <w:style w:type="paragraph" w:customStyle="1" w:styleId="59">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1">
    <w:name w:val="报告表  段"/>
    <w:basedOn w:val="1"/>
    <w:qFormat/>
    <w:uiPriority w:val="0"/>
    <w:pPr>
      <w:adjustRightInd w:val="0"/>
      <w:spacing w:line="360" w:lineRule="auto"/>
      <w:ind w:firstLine="505"/>
      <w:textAlignment w:val="baseline"/>
    </w:pPr>
    <w:rPr>
      <w:rFonts w:ascii="宋体"/>
      <w:sz w:val="24"/>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报告书表格"/>
    <w:basedOn w:val="1"/>
    <w:qFormat/>
    <w:uiPriority w:val="0"/>
    <w:pPr>
      <w:adjustRightInd w:val="0"/>
      <w:spacing w:before="60" w:after="60" w:line="240" w:lineRule="atLeast"/>
      <w:jc w:val="center"/>
      <w:textAlignment w:val="baseline"/>
    </w:pPr>
    <w:rPr>
      <w:kern w:val="0"/>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44</Pages>
  <Words>28631</Words>
  <Characters>33042</Characters>
  <Lines>3</Lines>
  <Paragraphs>1</Paragraphs>
  <TotalTime>3</TotalTime>
  <ScaleCrop>false</ScaleCrop>
  <LinksUpToDate>false</LinksUpToDate>
  <CharactersWithSpaces>33603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Schnappi</cp:lastModifiedBy>
  <cp:lastPrinted>2022-01-18T10:05:00Z</cp:lastPrinted>
  <dcterms:modified xsi:type="dcterms:W3CDTF">2022-09-09T08:00:09Z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6E65FC2476E241B789DCA01091C8C0D4</vt:lpwstr>
  </property>
  <property fmtid="{D5CDD505-2E9C-101B-9397-08002B2CF9AE}" pid="4" name="commondata">
    <vt:lpwstr>eyJoZGlkIjoiYjAxZWIzZTM4ZDNiZjA1OTc4ZTViY2I5NDQ1ZGU0ZDEifQ==</vt:lpwstr>
  </property>
</Properties>
</file>