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44"/>
          <w:szCs w:val="44"/>
        </w:rPr>
      </w:pPr>
      <w:r>
        <w:rPr>
          <w:rFonts w:hint="eastAsia" w:ascii="宋体" w:hAnsi="宋体" w:eastAsia="宋体" w:cs="宋体"/>
          <w:b/>
          <w:bCs/>
          <w:sz w:val="44"/>
          <w:szCs w:val="44"/>
        </w:rPr>
        <w:t>洛阳市偃师区市场监督管理局</w:t>
      </w:r>
    </w:p>
    <w:p>
      <w:pPr>
        <w:jc w:val="center"/>
        <w:rPr>
          <w:rFonts w:ascii="宋体" w:hAnsi="宋体" w:eastAsia="宋体" w:cs="宋体"/>
          <w:b/>
          <w:bCs/>
          <w:sz w:val="44"/>
          <w:szCs w:val="44"/>
        </w:rPr>
      </w:pPr>
      <w:r>
        <w:rPr>
          <w:rFonts w:hint="eastAsia" w:ascii="宋体" w:hAnsi="宋体" w:eastAsia="宋体" w:cs="宋体"/>
          <w:b/>
          <w:bCs/>
          <w:sz w:val="44"/>
          <w:szCs w:val="44"/>
        </w:rPr>
        <w:t>行政处罚决定书</w:t>
      </w:r>
    </w:p>
    <w:p>
      <w:pPr>
        <w:spacing w:line="560" w:lineRule="exact"/>
        <w:jc w:val="center"/>
        <w:rPr>
          <w:rFonts w:ascii="仿宋" w:hAnsi="仿宋" w:eastAsia="仿宋" w:cs="宋体"/>
          <w:sz w:val="32"/>
          <w:szCs w:val="32"/>
        </w:rPr>
      </w:pPr>
      <w:r>
        <w:rPr>
          <w:rFonts w:hint="eastAsia" w:ascii="仿宋" w:hAnsi="仿宋" w:eastAsia="仿宋" w:cs="宋体"/>
          <w:sz w:val="32"/>
          <w:szCs w:val="32"/>
        </w:rPr>
        <w:t>偃市监处罚〔2023〕2</w:t>
      </w:r>
      <w:r>
        <w:rPr>
          <w:rFonts w:ascii="仿宋" w:hAnsi="仿宋" w:eastAsia="仿宋" w:cs="宋体"/>
          <w:sz w:val="32"/>
          <w:szCs w:val="32"/>
        </w:rPr>
        <w:t>022</w:t>
      </w:r>
      <w:r>
        <w:rPr>
          <w:rFonts w:hint="eastAsia" w:ascii="仿宋" w:hAnsi="仿宋" w:eastAsia="仿宋" w:cs="宋体"/>
          <w:sz w:val="32"/>
          <w:szCs w:val="32"/>
        </w:rPr>
        <w:t>16</w:t>
      </w:r>
      <w:r>
        <w:rPr>
          <w:rFonts w:ascii="仿宋" w:hAnsi="仿宋" w:eastAsia="仿宋" w:cs="宋体"/>
          <w:sz w:val="32"/>
          <w:szCs w:val="32"/>
        </w:rPr>
        <w:t>1</w:t>
      </w:r>
      <w:r>
        <w:rPr>
          <w:rFonts w:hint="eastAsia" w:ascii="仿宋" w:hAnsi="仿宋" w:eastAsia="仿宋" w:cs="宋体"/>
          <w:sz w:val="32"/>
          <w:szCs w:val="32"/>
        </w:rPr>
        <w:t>号</w:t>
      </w:r>
    </w:p>
    <w:p>
      <w:pPr>
        <w:spacing w:line="560" w:lineRule="exact"/>
        <w:rPr>
          <w:rFonts w:ascii="仿宋" w:hAnsi="仿宋" w:eastAsia="仿宋" w:cs="仿宋"/>
          <w:sz w:val="32"/>
          <w:szCs w:val="32"/>
        </w:rPr>
      </w:pPr>
    </w:p>
    <w:p>
      <w:pPr>
        <w:spacing w:line="560" w:lineRule="exact"/>
        <w:rPr>
          <w:rFonts w:ascii="仿宋" w:hAnsi="仿宋" w:eastAsia="仿宋" w:cs="仿宋"/>
          <w:sz w:val="32"/>
          <w:szCs w:val="32"/>
        </w:rPr>
      </w:pPr>
      <w:r>
        <w:rPr>
          <w:rFonts w:hint="eastAsia" w:ascii="仿宋" w:hAnsi="仿宋" w:eastAsia="仿宋" w:cs="仿宋"/>
          <w:sz w:val="32"/>
          <w:szCs w:val="32"/>
        </w:rPr>
        <w:t>名   称：</w:t>
      </w:r>
      <w:bookmarkStart w:id="0" w:name="_Hlk124756750"/>
      <w:r>
        <w:rPr>
          <w:rFonts w:hint="eastAsia" w:ascii="仿宋" w:hAnsi="仿宋" w:eastAsia="仿宋" w:cs="仿宋"/>
          <w:sz w:val="32"/>
          <w:szCs w:val="32"/>
        </w:rPr>
        <w:t>洛阳锦兰智慧食品有限公司</w:t>
      </w:r>
      <w:bookmarkEnd w:id="0"/>
    </w:p>
    <w:p>
      <w:pPr>
        <w:spacing w:line="56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560" w:lineRule="exact"/>
        <w:rPr>
          <w:rFonts w:ascii="仿宋" w:hAnsi="仿宋" w:eastAsia="仿宋" w:cs="仿宋"/>
          <w:sz w:val="32"/>
          <w:szCs w:val="32"/>
        </w:rPr>
      </w:pPr>
      <w:r>
        <w:rPr>
          <w:rFonts w:hint="eastAsia" w:ascii="仿宋" w:hAnsi="仿宋" w:eastAsia="仿宋" w:cs="仿宋"/>
          <w:sz w:val="32"/>
          <w:szCs w:val="32"/>
        </w:rPr>
        <w:t>统一社会信用代码：91410381MA9GNT6E5N</w:t>
      </w:r>
    </w:p>
    <w:p>
      <w:pPr>
        <w:spacing w:line="560" w:lineRule="exact"/>
        <w:rPr>
          <w:rFonts w:ascii="仿宋" w:hAnsi="仿宋" w:eastAsia="仿宋" w:cs="仿宋"/>
          <w:sz w:val="32"/>
          <w:szCs w:val="32"/>
        </w:rPr>
      </w:pPr>
      <w:r>
        <w:rPr>
          <w:rFonts w:hint="eastAsia" w:ascii="仿宋" w:hAnsi="仿宋" w:eastAsia="仿宋" w:cs="仿宋"/>
          <w:sz w:val="32"/>
          <w:szCs w:val="32"/>
        </w:rPr>
        <w:t>住   所：河南省洛阳市偃师市首阳山街道办事处汉魏路与310国道交叉口华润路东门406室</w:t>
      </w:r>
    </w:p>
    <w:p>
      <w:pPr>
        <w:spacing w:line="560" w:lineRule="exact"/>
        <w:rPr>
          <w:rFonts w:ascii="仿宋" w:hAnsi="仿宋" w:eastAsia="仿宋" w:cs="仿宋"/>
          <w:sz w:val="32"/>
          <w:szCs w:val="32"/>
        </w:rPr>
      </w:pPr>
      <w:r>
        <w:rPr>
          <w:rFonts w:hint="eastAsia" w:ascii="仿宋" w:hAnsi="仿宋" w:eastAsia="仿宋" w:cs="仿宋"/>
          <w:sz w:val="32"/>
          <w:szCs w:val="32"/>
        </w:rPr>
        <w:t>法定代表人：曹保永</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2022年11月8日，我局接郑州市市场监督管理局组织的食品安全抽样检验单，显示</w:t>
      </w:r>
      <w:bookmarkStart w:id="1" w:name="_Hlk124757166"/>
      <w:r>
        <w:rPr>
          <w:rFonts w:hint="eastAsia" w:ascii="仿宋" w:hAnsi="仿宋" w:eastAsia="仿宋" w:cs="仿宋"/>
          <w:sz w:val="32"/>
          <w:szCs w:val="32"/>
        </w:rPr>
        <w:t>当事人</w:t>
      </w:r>
      <w:bookmarkEnd w:id="1"/>
      <w:r>
        <w:rPr>
          <w:rFonts w:hint="eastAsia" w:ascii="仿宋" w:hAnsi="仿宋" w:eastAsia="仿宋" w:cs="仿宋"/>
          <w:sz w:val="32"/>
          <w:szCs w:val="32"/>
        </w:rPr>
        <w:t>生产的2批次豆浆腐竹经抽样检验，蛋白质项目部符合GB/T22106-2008《非发酵豆制品》要求，检验结论为不合格，报告编号分别为A2220384651141036C、A2220384651141035C。2022年11月8日我局执法人员向当事人送达了检验报告，并依法实施了现场检查，经现场检查未发现该批次不合格的腐竹。该公司处于停产状态，现场未实施强制措施。遂于2022年12月2日报请区局批准立案调查，期间又收到3个检验报告NO：XC22421281690230456、NO:S2204739、NO:SP2212-0713-034均为当事人生产的豆浆腐竹经抽样检验，蛋白质项目部符合GB/T22106-2008《非发酵豆制品》要求，检验结论为不合格。</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经查， 1</w:t>
      </w:r>
      <w:r>
        <w:rPr>
          <w:rFonts w:ascii="仿宋" w:hAnsi="仿宋" w:eastAsia="仿宋" w:cs="仿宋"/>
          <w:sz w:val="32"/>
          <w:szCs w:val="32"/>
        </w:rPr>
        <w:t>.</w:t>
      </w:r>
      <w:r>
        <w:rPr>
          <w:rFonts w:hint="eastAsia"/>
        </w:rPr>
        <w:t xml:space="preserve"> </w:t>
      </w:r>
      <w:r>
        <w:rPr>
          <w:rFonts w:hint="eastAsia" w:ascii="仿宋" w:hAnsi="仿宋" w:eastAsia="仿宋" w:cs="仿宋"/>
          <w:sz w:val="32"/>
          <w:szCs w:val="32"/>
        </w:rPr>
        <w:t>当事人于2022年6月12日出库3箱，200克×25袋，出厂价11元/斤，发货金额110元，货发给新密黄红超。2.</w:t>
      </w:r>
      <w:r>
        <w:rPr>
          <w:rFonts w:hint="eastAsia"/>
        </w:rPr>
        <w:t xml:space="preserve"> </w:t>
      </w:r>
      <w:r>
        <w:rPr>
          <w:rFonts w:hint="eastAsia" w:ascii="仿宋" w:hAnsi="仿宋" w:eastAsia="仿宋" w:cs="仿宋"/>
          <w:sz w:val="32"/>
          <w:szCs w:val="32"/>
        </w:rPr>
        <w:t>当事人于2022年7月13日出库3箱，150克×30袋，出厂价11元/斤，发货金额99元，货发给赤壁田小荣。3.</w:t>
      </w:r>
      <w:r>
        <w:rPr>
          <w:rFonts w:hint="eastAsia"/>
        </w:rPr>
        <w:t xml:space="preserve"> </w:t>
      </w:r>
      <w:r>
        <w:rPr>
          <w:rFonts w:hint="eastAsia" w:ascii="仿宋" w:hAnsi="仿宋" w:eastAsia="仿宋" w:cs="仿宋"/>
          <w:sz w:val="32"/>
          <w:szCs w:val="32"/>
        </w:rPr>
        <w:t>当事人于2022年9月 1日出库4箱，200克×100袋，出厂价11元/斤，发货金额440元，货发给新密黄红超。4.</w:t>
      </w:r>
      <w:r>
        <w:rPr>
          <w:rFonts w:hint="eastAsia"/>
        </w:rPr>
        <w:t xml:space="preserve"> </w:t>
      </w:r>
      <w:r>
        <w:rPr>
          <w:rFonts w:hint="eastAsia" w:ascii="仿宋" w:hAnsi="仿宋" w:eastAsia="仿宋" w:cs="仿宋"/>
          <w:sz w:val="32"/>
          <w:szCs w:val="32"/>
        </w:rPr>
        <w:t>当事人于2022年9月7日出库3箱，150克×120袋，出厂价10元/斤，发货金额360元，货发给陕西华章食品科技有限公司。上述不合格豆浆腐竹货值金额共计1009元。上述腐竹经抽样检验，其检验项目蛋白质实测值41.2g/100g，不符合标准指标≧45.0g/100g，蛋白质项目部符合GB/T22106-2008《非发酵豆制品》要求，检验结论为不合格。</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1.当事人食品生产许可证、营业执照、法定代表人身份证复印件各1份，证明当事人主体经营资格及经营者的身份信息；</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抽检不合格食品材料转交单、食品安全监督抽检告知书、食品安全抽样检验抽样单和检验报告A2220384651141036C、A2220384651141035CNO：XC22421281690230456、NO:S2204739、NO:SP2212-0713-034各1份，证明当事人生产的腐竹不合格事实及抽检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3.现场检查笔录1份，证明当事人处于停产状态，生产的豆浆腐竹都是订单式生产销售，不合格豆浆腐竹已销售完毕；</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4.询问笔录1份，证明当事人生产、销售该批次不合格腐竹的价格、数量等基本情况及销售经过；</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5.当事人提供的出库单，证明不合格豆浆腐竹的销售价格及生产销售数量。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向当事人送达了《行政处罚告知书》，告知当事人本局对其拟作出行政处罚的事实、理由、依据及其享有的陈述、申辩的权利。当事人在规定的期限内未作出陈述、申辩。本案认定货值金额共计1009元，且当事人积极配合本局调查，如实陈述违法事实并主动提供证据材料。参照《河南省市场监督管理行政处罚裁量权适用通则》第十条规定，其行为具有从轻处罚情形，可以依法从轻行政处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我局认为当事人生产经营不合格腐竹的行为违反了《中华人民共和国食品安全法》第七十一条第三款“食品和食品添加剂的标签、说明书的内容不符的，不得上市销售”之规定，依据《中华人民共和国食品安全法》第一百二十五条“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决定对洛阳锦兰智慧食品有限公司作出如下处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1.没收违法所得壹仟零玖元整（￥1009.00元）；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2.罚款捌仟元整（￥</w:t>
      </w:r>
      <w:r>
        <w:rPr>
          <w:rFonts w:hint="eastAsia" w:ascii="仿宋" w:hAnsi="仿宋" w:eastAsia="仿宋" w:cs="仿宋"/>
          <w:sz w:val="32"/>
          <w:szCs w:val="32"/>
          <w:lang w:val="en-US" w:eastAsia="zh-CN"/>
        </w:rPr>
        <w:t>7</w:t>
      </w:r>
      <w:bookmarkStart w:id="2" w:name="_GoBack"/>
      <w:bookmarkEnd w:id="2"/>
      <w:r>
        <w:rPr>
          <w:rFonts w:hint="eastAsia" w:ascii="仿宋" w:hAnsi="仿宋" w:eastAsia="仿宋" w:cs="仿宋"/>
          <w:sz w:val="32"/>
          <w:szCs w:val="32"/>
        </w:rPr>
        <w:t>000.00元）。</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560" w:lineRule="exact"/>
        <w:ind w:firstLine="4480" w:firstLineChars="1400"/>
        <w:rPr>
          <w:rFonts w:ascii="仿宋" w:hAnsi="仿宋" w:eastAsia="仿宋" w:cs="仿宋_GB2312"/>
          <w:bCs/>
          <w:sz w:val="32"/>
          <w:szCs w:val="32"/>
        </w:rPr>
      </w:pPr>
    </w:p>
    <w:p>
      <w:pPr>
        <w:spacing w:line="560" w:lineRule="exact"/>
        <w:ind w:firstLine="640" w:firstLineChars="200"/>
        <w:rPr>
          <w:rFonts w:ascii="仿宋" w:hAnsi="仿宋" w:eastAsia="仿宋" w:cs="仿宋_GB2312"/>
          <w:bCs/>
          <w:sz w:val="32"/>
          <w:szCs w:val="32"/>
        </w:rPr>
      </w:pPr>
    </w:p>
    <w:p>
      <w:pPr>
        <w:spacing w:line="56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56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56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1</w:t>
      </w:r>
      <w:r>
        <w:rPr>
          <w:rFonts w:hint="eastAsia" w:ascii="仿宋" w:hAnsi="仿宋" w:eastAsia="仿宋" w:cs="仿宋_GB2312"/>
          <w:bCs/>
          <w:sz w:val="32"/>
          <w:szCs w:val="32"/>
        </w:rPr>
        <w:t>月</w:t>
      </w:r>
      <w:r>
        <w:rPr>
          <w:rFonts w:ascii="仿宋" w:hAnsi="仿宋" w:eastAsia="仿宋" w:cs="仿宋_GB2312"/>
          <w:bCs/>
          <w:sz w:val="32"/>
          <w:szCs w:val="32"/>
        </w:rPr>
        <w:t>16</w:t>
      </w:r>
      <w:r>
        <w:rPr>
          <w:rFonts w:hint="eastAsia" w:ascii="仿宋" w:hAnsi="仿宋" w:eastAsia="仿宋" w:cs="仿宋_GB2312"/>
          <w:bCs/>
          <w:sz w:val="32"/>
          <w:szCs w:val="32"/>
        </w:rPr>
        <w:t>日</w:t>
      </w:r>
    </w:p>
    <w:p>
      <w:pPr>
        <w:spacing w:line="560" w:lineRule="exact"/>
        <w:ind w:firstLine="4480" w:firstLineChars="1400"/>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150A99"/>
    <w:rsid w:val="00412319"/>
    <w:rsid w:val="004D4162"/>
    <w:rsid w:val="00587D06"/>
    <w:rsid w:val="006C437A"/>
    <w:rsid w:val="00AA2DE1"/>
    <w:rsid w:val="00B65F75"/>
    <w:rsid w:val="00D66FCA"/>
    <w:rsid w:val="00DE207E"/>
    <w:rsid w:val="00EB41BB"/>
    <w:rsid w:val="0C396332"/>
    <w:rsid w:val="0EEF7A19"/>
    <w:rsid w:val="12971925"/>
    <w:rsid w:val="15E46C47"/>
    <w:rsid w:val="1614447E"/>
    <w:rsid w:val="1AEE23D7"/>
    <w:rsid w:val="1FCF79EC"/>
    <w:rsid w:val="217A14A5"/>
    <w:rsid w:val="380F4BA6"/>
    <w:rsid w:val="415224D5"/>
    <w:rsid w:val="42274495"/>
    <w:rsid w:val="46932DA9"/>
    <w:rsid w:val="4758458D"/>
    <w:rsid w:val="49641236"/>
    <w:rsid w:val="5BB72604"/>
    <w:rsid w:val="676E1256"/>
    <w:rsid w:val="68863414"/>
    <w:rsid w:val="704E0C9C"/>
    <w:rsid w:val="72536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1999</Words>
  <Characters>2456</Characters>
  <Lines>18</Lines>
  <Paragraphs>5</Paragraphs>
  <TotalTime>4</TotalTime>
  <ScaleCrop>false</ScaleCrop>
  <LinksUpToDate>false</LinksUpToDate>
  <CharactersWithSpaces>2520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2023-01-16T02:44:00Z</dcterms:created>
  <dc:creator>86150</dc:creator>
  <cp:lastModifiedBy>王建清</cp:lastModifiedBy>
  <dcterms:modified xsi:type="dcterms:W3CDTF">2023-03-17T07:54:48Z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AF197301B9574C508B4A31EFAB798F43</vt:lpwstr>
  </property>
</Properties>
</file>