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cs="方正小标宋简体" w:asciiTheme="majorEastAsia" w:hAnsiTheme="majorEastAsia" w:eastAsiaTheme="majorEastAsia"/>
          <w:b/>
          <w:sz w:val="44"/>
          <w:szCs w:val="44"/>
        </w:rPr>
      </w:pPr>
      <w:bookmarkStart w:id="0" w:name="_Toc27865"/>
      <w:bookmarkStart w:id="1" w:name="_Toc76683363"/>
      <w:r>
        <w:rPr>
          <w:rFonts w:hint="eastAsia" w:cs="方正小标宋简体" w:asciiTheme="majorEastAsia" w:hAnsiTheme="majorEastAsia" w:eastAsiaTheme="majorEastAsia"/>
          <w:b/>
          <w:sz w:val="44"/>
          <w:szCs w:val="44"/>
        </w:rPr>
        <w:t>洛阳市偃师区市场监督管理局</w:t>
      </w:r>
      <w:bookmarkEnd w:id="0"/>
      <w:bookmarkEnd w:id="1"/>
    </w:p>
    <w:p>
      <w:pPr>
        <w:spacing w:line="560" w:lineRule="exact"/>
        <w:jc w:val="center"/>
        <w:outlineLvl w:val="0"/>
        <w:rPr>
          <w:rFonts w:cs="Mongolian Baiti" w:asciiTheme="majorEastAsia" w:hAnsiTheme="majorEastAsia" w:eastAsiaTheme="majorEastAsia"/>
          <w:b/>
          <w:color w:val="000000"/>
          <w:sz w:val="44"/>
          <w:szCs w:val="44"/>
        </w:rPr>
      </w:pPr>
      <w:bookmarkStart w:id="2" w:name="_Toc76683364"/>
      <w:r>
        <w:rPr>
          <w:rFonts w:cs="Mongolian Baiti" w:asciiTheme="majorEastAsia" w:hAnsiTheme="majorEastAsia" w:eastAsiaTheme="majorEastAsia"/>
          <w:b/>
          <w:color w:val="000000"/>
          <w:sz w:val="44"/>
          <w:szCs w:val="44"/>
        </w:rPr>
        <w:t>行政处罚决定书</w:t>
      </w:r>
      <w:bookmarkEnd w:id="2"/>
    </w:p>
    <w:p>
      <w:pPr>
        <w:widowControl/>
        <w:snapToGrid w:val="0"/>
        <w:spacing w:line="610" w:lineRule="exact"/>
        <w:ind w:right="55"/>
        <w:jc w:val="center"/>
        <w:outlineLvl w:val="1"/>
        <w:rPr>
          <w:rFonts w:ascii="仿宋" w:hAnsi="仿宋" w:eastAsia="仿宋" w:cs="仿宋_GB2312"/>
          <w:bCs/>
          <w:color w:val="000000"/>
          <w:sz w:val="32"/>
          <w:szCs w:val="32"/>
        </w:rPr>
      </w:pPr>
      <w:r>
        <w:rPr>
          <w:rFonts w:hint="eastAsia" w:ascii="仿宋" w:hAnsi="仿宋" w:eastAsia="仿宋" w:cs="仿宋_GB2312"/>
          <w:bCs/>
          <w:color w:val="000000"/>
          <w:sz w:val="32"/>
          <w:szCs w:val="32"/>
          <w:u w:val="single"/>
        </w:rPr>
        <w:t>偃</w:t>
      </w:r>
      <w:r>
        <w:rPr>
          <w:rFonts w:hint="eastAsia" w:ascii="仿宋" w:hAnsi="仿宋" w:eastAsia="仿宋" w:cs="仿宋_GB2312"/>
          <w:bCs/>
          <w:color w:val="000000"/>
          <w:sz w:val="32"/>
          <w:szCs w:val="32"/>
        </w:rPr>
        <w:t>市监处罚</w:t>
      </w:r>
      <w:bookmarkStart w:id="3" w:name="_Hlk102638369"/>
      <w:r>
        <w:rPr>
          <w:rFonts w:hint="eastAsia" w:ascii="仿宋" w:hAnsi="仿宋" w:eastAsia="仿宋" w:cs="仿宋_GB2312"/>
          <w:bCs/>
          <w:color w:val="000000"/>
          <w:sz w:val="32"/>
          <w:szCs w:val="32"/>
        </w:rPr>
        <w:t>〔2022〕</w:t>
      </w:r>
      <w:bookmarkEnd w:id="3"/>
      <w:r>
        <w:rPr>
          <w:rFonts w:hint="eastAsia" w:ascii="仿宋" w:hAnsi="仿宋" w:eastAsia="仿宋" w:cs="仿宋_GB2312"/>
          <w:bCs/>
          <w:color w:val="000000"/>
          <w:sz w:val="32"/>
          <w:szCs w:val="32"/>
        </w:rPr>
        <w:t>2021141号</w:t>
      </w:r>
    </w:p>
    <w:p>
      <w:pPr>
        <w:widowControl/>
        <w:snapToGrid w:val="0"/>
        <w:spacing w:line="610" w:lineRule="exact"/>
        <w:ind w:right="55" w:firstLine="5440" w:firstLineChars="1700"/>
        <w:rPr>
          <w:rFonts w:ascii="仿宋" w:hAnsi="仿宋" w:eastAsia="仿宋" w:cs="Mongolian Baiti"/>
          <w:color w:val="000000"/>
          <w:sz w:val="32"/>
          <w:szCs w:val="32"/>
        </w:rPr>
      </w:pPr>
      <w:r>
        <w:rPr>
          <w:rFonts w:hint="eastAsia" w:ascii="仿宋" w:hAnsi="仿宋" w:eastAsia="仿宋" w:cs="Mongolian Baiti"/>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3810" b="15875"/>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4Ky1v9YAAAAMAQAADwAAAAAAAAABACAAAAAiAAAAZHJzL2Rvd25yZXYu&#10;eG1sUEsBAhQAFAAAAAgAh07iQFXqW5X9AQAA7QMAAA4AAAAAAAAAAQAgAAAAJQEAAGRycy9lMm9E&#10;b2MueG1sUEsFBgAAAAAGAAYAWQEAAJQFAAAAAA==&#10;">
                <v:fill on="f" focussize="0,0"/>
                <v:stroke weight="1.5pt" color="#000000" joinstyle="round"/>
                <v:imagedata o:title=""/>
                <o:lock v:ext="edit" aspectratio="f"/>
              </v:shape>
            </w:pict>
          </mc:Fallback>
        </mc:AlternateContent>
      </w:r>
    </w:p>
    <w:p>
      <w:pPr>
        <w:spacing w:line="610" w:lineRule="exact"/>
        <w:ind w:left="140" w:hanging="140"/>
        <w:rPr>
          <w:rFonts w:ascii="仿宋" w:hAnsi="仿宋" w:eastAsia="仿宋" w:cs="仿宋"/>
          <w:bCs/>
          <w:sz w:val="32"/>
          <w:szCs w:val="32"/>
        </w:rPr>
      </w:pPr>
      <w:r>
        <w:rPr>
          <w:rFonts w:hint="eastAsia" w:ascii="仿宋" w:hAnsi="仿宋" w:eastAsia="仿宋" w:cs="仿宋"/>
          <w:bCs/>
          <w:sz w:val="32"/>
          <w:szCs w:val="32"/>
        </w:rPr>
        <w:t xml:space="preserve">当事人：偃师市伊洛街道办事处小厨娘饭店                                           </w:t>
      </w:r>
    </w:p>
    <w:p>
      <w:pPr>
        <w:spacing w:line="610" w:lineRule="exact"/>
        <w:ind w:left="140" w:hanging="140"/>
        <w:rPr>
          <w:rFonts w:ascii="仿宋" w:hAnsi="仿宋" w:eastAsia="仿宋" w:cs="仿宋"/>
          <w:bCs/>
          <w:sz w:val="32"/>
          <w:szCs w:val="32"/>
        </w:rPr>
      </w:pPr>
      <w:r>
        <w:rPr>
          <w:rFonts w:hint="eastAsia" w:ascii="仿宋" w:hAnsi="仿宋" w:eastAsia="仿宋" w:cs="仿宋"/>
          <w:bCs/>
          <w:sz w:val="32"/>
          <w:szCs w:val="32"/>
        </w:rPr>
        <w:t xml:space="preserve">主体资格证照名称：营业执照                                     </w:t>
      </w:r>
    </w:p>
    <w:p>
      <w:pPr>
        <w:spacing w:line="610" w:lineRule="exact"/>
        <w:ind w:left="140" w:hanging="140"/>
        <w:rPr>
          <w:rFonts w:ascii="仿宋" w:hAnsi="仿宋" w:eastAsia="仿宋" w:cs="仿宋"/>
          <w:bCs/>
          <w:sz w:val="32"/>
          <w:szCs w:val="32"/>
        </w:rPr>
      </w:pPr>
      <w:r>
        <w:rPr>
          <w:rFonts w:hint="eastAsia" w:ascii="仿宋" w:hAnsi="仿宋" w:eastAsia="仿宋" w:cs="仿宋"/>
          <w:bCs/>
          <w:sz w:val="32"/>
          <w:szCs w:val="32"/>
        </w:rPr>
        <w:t xml:space="preserve">统一社会信用代码：92410381MA41UHX80G                                     </w:t>
      </w:r>
    </w:p>
    <w:p>
      <w:pPr>
        <w:spacing w:line="610" w:lineRule="exact"/>
        <w:rPr>
          <w:rFonts w:ascii="仿宋" w:hAnsi="仿宋" w:eastAsia="仿宋" w:cs="仿宋"/>
          <w:bCs/>
          <w:sz w:val="32"/>
          <w:szCs w:val="32"/>
        </w:rPr>
      </w:pPr>
      <w:r>
        <w:rPr>
          <w:rFonts w:hint="eastAsia" w:ascii="仿宋" w:hAnsi="仿宋" w:eastAsia="仿宋" w:cs="仿宋"/>
          <w:bCs/>
          <w:sz w:val="32"/>
          <w:szCs w:val="32"/>
        </w:rPr>
        <w:t xml:space="preserve">经营场所：河南省洛阳市偃师市伊洛街道办事处槐新南路锦城二期楼下5号门市                                          </w:t>
      </w:r>
    </w:p>
    <w:p>
      <w:pPr>
        <w:spacing w:line="610" w:lineRule="exact"/>
        <w:rPr>
          <w:rFonts w:ascii="仿宋" w:hAnsi="仿宋" w:eastAsia="仿宋" w:cs="仿宋"/>
          <w:bCs/>
          <w:sz w:val="32"/>
          <w:szCs w:val="32"/>
        </w:rPr>
      </w:pPr>
      <w:r>
        <w:rPr>
          <w:rFonts w:hint="eastAsia" w:ascii="仿宋" w:hAnsi="仿宋" w:eastAsia="仿宋" w:cs="仿宋"/>
          <w:bCs/>
          <w:sz w:val="32"/>
          <w:szCs w:val="32"/>
        </w:rPr>
        <w:t xml:space="preserve">经营者：牛鲜克                                 </w:t>
      </w:r>
    </w:p>
    <w:p>
      <w:pPr>
        <w:spacing w:line="610" w:lineRule="exact"/>
        <w:ind w:left="140" w:hanging="140"/>
        <w:rPr>
          <w:rFonts w:ascii="仿宋" w:hAnsi="仿宋" w:eastAsia="仿宋" w:cs="仿宋"/>
          <w:bCs/>
          <w:sz w:val="32"/>
          <w:szCs w:val="32"/>
        </w:rPr>
      </w:pPr>
      <w:bookmarkStart w:id="6" w:name="_GoBack"/>
      <w:bookmarkEnd w:id="6"/>
      <w:r>
        <w:rPr>
          <w:rFonts w:hint="eastAsia" w:ascii="仿宋" w:hAnsi="仿宋" w:eastAsia="仿宋" w:cs="仿宋"/>
          <w:bCs/>
          <w:sz w:val="32"/>
          <w:szCs w:val="32"/>
        </w:rPr>
        <w:t xml:space="preserve">                                  </w:t>
      </w:r>
    </w:p>
    <w:p>
      <w:pPr>
        <w:pStyle w:val="9"/>
        <w:spacing w:line="610" w:lineRule="exact"/>
        <w:ind w:firstLine="640" w:firstLineChars="200"/>
        <w:rPr>
          <w:rFonts w:ascii="仿宋" w:hAnsi="仿宋" w:eastAsia="仿宋" w:cs="仿宋_GB2312"/>
          <w:sz w:val="32"/>
          <w:szCs w:val="32"/>
          <w:u w:val="single"/>
        </w:rPr>
      </w:pPr>
      <w:r>
        <w:rPr>
          <w:rFonts w:hint="eastAsia" w:ascii="仿宋" w:hAnsi="仿宋" w:eastAsia="仿宋" w:cs="仿宋"/>
          <w:bCs/>
          <w:sz w:val="32"/>
          <w:szCs w:val="32"/>
        </w:rPr>
        <w:t>2021年8月5日，我局执法人员接到河南市场监管投</w:t>
      </w:r>
      <w:r>
        <w:rPr>
          <w:rFonts w:hint="eastAsia" w:ascii="仿宋" w:hAnsi="仿宋" w:eastAsia="仿宋" w:cs="仿宋_GB2312"/>
          <w:sz w:val="32"/>
          <w:szCs w:val="32"/>
        </w:rPr>
        <w:t>诉举报平台投诉举报单后对偃师市伊洛街道办事处小厨娘饭店进行检查，发现该饭店在经营场所内无餐具收费项目公示也无事先告知的情况下对就餐顾客以每套1.5元的价格收该店自备餐具（非包装餐具）费。为进一步查清事实，于2021年8月23日报请局主管领导批准立案，执法人员</w:t>
      </w:r>
      <w:r>
        <w:rPr>
          <w:rFonts w:hint="eastAsia" w:ascii="仿宋" w:hAnsi="仿宋" w:eastAsia="仿宋" w:cs="仿宋"/>
          <w:sz w:val="32"/>
          <w:szCs w:val="32"/>
        </w:rPr>
        <w:t xml:space="preserve">并通过现场检查、询问当事人，调取有关证据等方式对案件进行调查。  </w:t>
      </w:r>
    </w:p>
    <w:p>
      <w:pPr>
        <w:pStyle w:val="4"/>
        <w:tabs>
          <w:tab w:val="left" w:pos="8964"/>
        </w:tabs>
        <w:spacing w:line="610" w:lineRule="exact"/>
        <w:ind w:firstLine="640" w:firstLineChars="200"/>
        <w:jc w:val="both"/>
        <w:rPr>
          <w:rFonts w:ascii="仿宋" w:hAnsi="仿宋" w:eastAsia="仿宋" w:cs="仿宋_GB2312"/>
          <w:color w:val="000000"/>
          <w:u w:val="single"/>
        </w:rPr>
      </w:pPr>
      <w:r>
        <w:rPr>
          <w:rFonts w:hint="eastAsia" w:ascii="仿宋" w:hAnsi="仿宋" w:eastAsia="仿宋" w:cs="Mongolian Baiti"/>
          <w:kern w:val="1"/>
        </w:rPr>
        <w:t>经查，</w:t>
      </w:r>
      <w:r>
        <w:rPr>
          <w:rFonts w:hint="eastAsia" w:ascii="仿宋" w:hAnsi="仿宋" w:eastAsia="仿宋" w:cs="仿宋"/>
          <w:color w:val="000000" w:themeColor="text1"/>
          <w14:textFill>
            <w14:solidFill>
              <w14:schemeClr w14:val="tx1"/>
            </w14:solidFill>
          </w14:textFill>
        </w:rPr>
        <w:t>当事人</w:t>
      </w:r>
      <w:r>
        <w:rPr>
          <w:rFonts w:hint="eastAsia" w:ascii="仿宋" w:hAnsi="仿宋" w:eastAsia="仿宋" w:cs="仿宋_GB2312"/>
        </w:rPr>
        <w:t>为</w:t>
      </w:r>
      <w:r>
        <w:rPr>
          <w:rFonts w:hint="eastAsia" w:ascii="仿宋" w:hAnsi="仿宋" w:eastAsia="仿宋" w:cs="仿宋"/>
          <w:color w:val="000000" w:themeColor="text1"/>
          <w14:textFill>
            <w14:solidFill>
              <w14:schemeClr w14:val="tx1"/>
            </w14:solidFill>
          </w14:textFill>
        </w:rPr>
        <w:t>弥补疫情期间关门停业带来的损失</w:t>
      </w:r>
      <w:r>
        <w:rPr>
          <w:rFonts w:hint="eastAsia" w:ascii="仿宋" w:hAnsi="仿宋" w:eastAsia="仿宋" w:cs="仿宋_GB2312"/>
        </w:rPr>
        <w:t>，于</w:t>
      </w:r>
      <w:r>
        <w:rPr>
          <w:rFonts w:hint="eastAsia" w:ascii="仿宋" w:hAnsi="仿宋" w:eastAsia="仿宋" w:cs="仿宋"/>
          <w:color w:val="000000" w:themeColor="text1"/>
          <w14:textFill>
            <w14:solidFill>
              <w14:schemeClr w14:val="tx1"/>
            </w14:solidFill>
          </w14:textFill>
        </w:rPr>
        <w:t>2021年5月</w:t>
      </w:r>
      <w:bookmarkStart w:id="4" w:name="_Hlk102638242"/>
      <w:r>
        <w:rPr>
          <w:rFonts w:hint="eastAsia" w:ascii="仿宋" w:hAnsi="仿宋" w:eastAsia="仿宋" w:cs="仿宋"/>
          <w:color w:val="000000" w:themeColor="text1"/>
          <w14:textFill>
            <w14:solidFill>
              <w14:schemeClr w14:val="tx1"/>
            </w14:solidFill>
          </w14:textFill>
        </w:rPr>
        <w:t>12日</w:t>
      </w:r>
      <w:bookmarkEnd w:id="4"/>
      <w:r>
        <w:rPr>
          <w:rFonts w:hint="eastAsia" w:ascii="仿宋" w:hAnsi="仿宋" w:eastAsia="仿宋" w:cs="仿宋"/>
          <w:color w:val="000000" w:themeColor="text1"/>
          <w14:textFill>
            <w14:solidFill>
              <w14:schemeClr w14:val="tx1"/>
            </w14:solidFill>
          </w14:textFill>
        </w:rPr>
        <w:t>开始，</w:t>
      </w:r>
      <w:r>
        <w:rPr>
          <w:rFonts w:hint="eastAsia" w:ascii="仿宋" w:hAnsi="仿宋" w:eastAsia="仿宋" w:cs="仿宋_GB2312"/>
        </w:rPr>
        <w:t>在无餐具收费项目公示、也无事先告知的情况下，</w:t>
      </w:r>
      <w:r>
        <w:rPr>
          <w:rFonts w:hint="eastAsia" w:ascii="仿宋" w:hAnsi="仿宋" w:eastAsia="仿宋" w:cs="仿宋"/>
          <w:color w:val="000000" w:themeColor="text1"/>
          <w14:textFill>
            <w14:solidFill>
              <w14:schemeClr w14:val="tx1"/>
            </w14:solidFill>
          </w14:textFill>
        </w:rPr>
        <w:t>以每套1.5元的价格收取餐具费。其中，2021年5月份给用餐顾客提供餐具4883套，收费7324.5元；6月份给用餐顾客提供餐具6191套，收费9286.5元；7月份给用餐顾客提供餐具5577套，收费8365.5元；8月初给顾客提供餐具15套，收费22.5元。当事人于2021年8月9日被我局执法人员查获以后不再收餐具使用费。2021年5月12日至8月初，当事人共计给顾客提供餐具16666套，餐具收费违法所得24999元。</w:t>
      </w:r>
      <w:r>
        <w:rPr>
          <w:rFonts w:hint="eastAsia" w:ascii="仿宋" w:hAnsi="仿宋" w:eastAsia="仿宋" w:cs="仿宋_GB2312"/>
        </w:rPr>
        <w:t>提供安全卫生的餐具是餐饮经营者的法定义务，作为餐饮单位，必须向消费者提供免费的消毒餐具，不能将消毒餐具费用转嫁到消费者身上，如向消费者收取一次性消毒餐具费用，必须在点餐前征得消费者同意，消费者有选择免费餐具的权利。</w:t>
      </w:r>
      <w:r>
        <w:rPr>
          <w:rFonts w:hint="eastAsia" w:ascii="仿宋" w:hAnsi="仿宋" w:eastAsia="仿宋" w:cs="仿宋"/>
          <w:color w:val="000000" w:themeColor="text1"/>
          <w14:textFill>
            <w14:solidFill>
              <w14:schemeClr w14:val="tx1"/>
            </w14:solidFill>
          </w14:textFill>
        </w:rPr>
        <w:t>在案件调查过程中，</w:t>
      </w:r>
      <w:bookmarkStart w:id="5" w:name="_Hlk102638318"/>
      <w:r>
        <w:rPr>
          <w:rFonts w:hint="eastAsia" w:ascii="仿宋" w:hAnsi="仿宋" w:eastAsia="仿宋" w:cs="仿宋"/>
          <w:color w:val="000000"/>
        </w:rPr>
        <w:t>当事人</w:t>
      </w:r>
      <w:bookmarkEnd w:id="5"/>
      <w:r>
        <w:rPr>
          <w:rFonts w:hint="eastAsia" w:ascii="仿宋" w:hAnsi="仿宋" w:eastAsia="仿宋" w:cs="仿宋"/>
          <w:color w:val="000000"/>
        </w:rPr>
        <w:t>能够</w:t>
      </w:r>
      <w:r>
        <w:rPr>
          <w:rFonts w:hint="eastAsia" w:ascii="仿宋" w:hAnsi="仿宋" w:eastAsia="仿宋" w:cs="仿宋"/>
          <w:color w:val="231F20"/>
        </w:rPr>
        <w:t>积极配合市场监督管理部门，如实交代违法事实并主动提供证据材料。</w:t>
      </w:r>
      <w:r>
        <w:rPr>
          <w:rFonts w:hint="eastAsia" w:ascii="仿宋" w:hAnsi="仿宋" w:eastAsia="仿宋" w:cs="仿宋"/>
          <w:color w:val="000000"/>
        </w:rPr>
        <w:t xml:space="preserve">             </w:t>
      </w:r>
      <w:r>
        <w:rPr>
          <w:rFonts w:hint="eastAsia" w:ascii="仿宋" w:hAnsi="仿宋" w:eastAsia="仿宋" w:cs="仿宋"/>
          <w:color w:val="000000"/>
          <w:u w:val="single"/>
        </w:rPr>
        <w:t xml:space="preserve">                              </w:t>
      </w:r>
    </w:p>
    <w:p>
      <w:pPr>
        <w:pStyle w:val="4"/>
        <w:tabs>
          <w:tab w:val="left" w:pos="8964"/>
        </w:tabs>
        <w:spacing w:line="610" w:lineRule="exact"/>
        <w:ind w:firstLine="640" w:firstLineChars="200"/>
        <w:jc w:val="both"/>
        <w:rPr>
          <w:rFonts w:ascii="仿宋" w:hAnsi="仿宋" w:eastAsia="仿宋" w:cs="仿宋"/>
        </w:rPr>
      </w:pPr>
      <w:r>
        <w:rPr>
          <w:rFonts w:ascii="仿宋" w:hAnsi="仿宋" w:eastAsia="仿宋" w:cs="Mongolian Baiti"/>
          <w:kern w:val="1"/>
        </w:rPr>
        <w:t>上述事实，主要有以下证据证明：</w:t>
      </w:r>
    </w:p>
    <w:p>
      <w:pPr>
        <w:pStyle w:val="4"/>
        <w:tabs>
          <w:tab w:val="left" w:pos="8964"/>
        </w:tabs>
        <w:spacing w:line="610" w:lineRule="exact"/>
        <w:jc w:val="both"/>
        <w:rPr>
          <w:rFonts w:ascii="仿宋" w:hAnsi="仿宋" w:eastAsia="仿宋" w:cs="仿宋"/>
        </w:rPr>
      </w:pPr>
      <w:r>
        <w:rPr>
          <w:rFonts w:hint="eastAsia" w:ascii="仿宋" w:hAnsi="仿宋" w:eastAsia="仿宋" w:cs="仿宋"/>
        </w:rPr>
        <w:t xml:space="preserve">    1.当事人</w:t>
      </w:r>
      <w:r>
        <w:rPr>
          <w:rFonts w:hint="eastAsia" w:ascii="仿宋" w:hAnsi="仿宋" w:eastAsia="仿宋" w:cs="仿宋"/>
          <w:spacing w:val="-11"/>
        </w:rPr>
        <w:t>营业执照、食品经营许可证以及法人身份证复印件各1张，证明当事人的市场主体身份；</w:t>
      </w:r>
    </w:p>
    <w:p>
      <w:pPr>
        <w:tabs>
          <w:tab w:val="left" w:pos="2440"/>
          <w:tab w:val="left" w:pos="8964"/>
        </w:tabs>
        <w:spacing w:line="61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i/>
          <w:sz w:val="32"/>
          <w:szCs w:val="32"/>
        </w:rPr>
        <w:t>.</w:t>
      </w:r>
      <w:r>
        <w:rPr>
          <w:rFonts w:hint="eastAsia" w:ascii="仿宋" w:hAnsi="仿宋" w:eastAsia="仿宋" w:cs="仿宋"/>
          <w:sz w:val="32"/>
          <w:szCs w:val="32"/>
        </w:rPr>
        <w:t>现场检查笔录1份，证明</w:t>
      </w:r>
      <w:r>
        <w:rPr>
          <w:rFonts w:hint="eastAsia" w:ascii="仿宋" w:hAnsi="仿宋" w:eastAsia="仿宋" w:cs="仿宋_GB2312"/>
          <w:sz w:val="32"/>
          <w:szCs w:val="32"/>
        </w:rPr>
        <w:t>偃师市伊洛街道办事处小厨娘饭店经营场所内无餐具收费公示；</w:t>
      </w:r>
      <w:r>
        <w:rPr>
          <w:rFonts w:hint="eastAsia" w:ascii="仿宋" w:hAnsi="仿宋" w:eastAsia="仿宋" w:cs="仿宋"/>
          <w:sz w:val="32"/>
          <w:szCs w:val="32"/>
        </w:rPr>
        <w:t xml:space="preserve"> </w:t>
      </w:r>
    </w:p>
    <w:p>
      <w:pPr>
        <w:tabs>
          <w:tab w:val="left" w:pos="2440"/>
          <w:tab w:val="left" w:pos="3950"/>
          <w:tab w:val="left" w:pos="8964"/>
        </w:tabs>
        <w:spacing w:line="610" w:lineRule="exact"/>
        <w:ind w:firstLine="640" w:firstLineChars="200"/>
        <w:rPr>
          <w:rFonts w:ascii="仿宋" w:hAnsi="仿宋" w:eastAsia="仿宋" w:cs="仿宋"/>
          <w:sz w:val="32"/>
          <w:szCs w:val="32"/>
        </w:rPr>
      </w:pPr>
      <w:r>
        <w:rPr>
          <w:rFonts w:hint="eastAsia" w:ascii="仿宋" w:hAnsi="仿宋" w:eastAsia="仿宋" w:cs="仿宋"/>
          <w:sz w:val="32"/>
          <w:szCs w:val="32"/>
        </w:rPr>
        <w:t>3.询问笔录2份，证明当事人</w:t>
      </w:r>
      <w:r>
        <w:rPr>
          <w:rFonts w:hint="eastAsia" w:ascii="仿宋" w:hAnsi="仿宋" w:eastAsia="仿宋" w:cs="仿宋_GB2312"/>
          <w:sz w:val="32"/>
          <w:szCs w:val="32"/>
        </w:rPr>
        <w:t>无餐具收费项目公示也无事先告知收取餐具费的事</w:t>
      </w:r>
      <w:r>
        <w:rPr>
          <w:rFonts w:hint="eastAsia" w:ascii="仿宋" w:hAnsi="仿宋" w:eastAsia="仿宋" w:cs="仿宋"/>
          <w:sz w:val="32"/>
          <w:szCs w:val="32"/>
        </w:rPr>
        <w:t>实情况；</w:t>
      </w:r>
    </w:p>
    <w:p>
      <w:pPr>
        <w:tabs>
          <w:tab w:val="left" w:pos="2440"/>
          <w:tab w:val="left" w:pos="3950"/>
          <w:tab w:val="left" w:pos="8964"/>
        </w:tabs>
        <w:spacing w:line="610" w:lineRule="exact"/>
        <w:ind w:firstLine="640" w:firstLineChars="200"/>
        <w:rPr>
          <w:rFonts w:ascii="仿宋" w:hAnsi="仿宋" w:eastAsia="仿宋" w:cs="仿宋"/>
          <w:sz w:val="32"/>
          <w:szCs w:val="32"/>
        </w:rPr>
      </w:pPr>
      <w:r>
        <w:rPr>
          <w:rFonts w:hint="eastAsia" w:ascii="仿宋" w:hAnsi="仿宋" w:eastAsia="仿宋" w:cs="仿宋"/>
          <w:sz w:val="32"/>
          <w:szCs w:val="32"/>
        </w:rPr>
        <w:t>4.当事人提供5月1</w:t>
      </w:r>
      <w:r>
        <w:rPr>
          <w:rFonts w:ascii="仿宋" w:hAnsi="仿宋" w:eastAsia="仿宋" w:cs="仿宋"/>
          <w:sz w:val="32"/>
          <w:szCs w:val="32"/>
        </w:rPr>
        <w:t>2</w:t>
      </w:r>
      <w:r>
        <w:rPr>
          <w:rFonts w:hint="eastAsia" w:ascii="仿宋" w:hAnsi="仿宋" w:eastAsia="仿宋" w:cs="仿宋"/>
          <w:sz w:val="32"/>
          <w:szCs w:val="32"/>
        </w:rPr>
        <w:t>日至8月份的餐具收费明细1张，证明当事人开始收取餐具费至案发餐具收入情况；</w:t>
      </w:r>
    </w:p>
    <w:p>
      <w:pPr>
        <w:tabs>
          <w:tab w:val="left" w:pos="2440"/>
          <w:tab w:val="left" w:pos="8964"/>
        </w:tabs>
        <w:spacing w:line="610" w:lineRule="exact"/>
        <w:ind w:firstLine="640" w:firstLineChars="200"/>
        <w:rPr>
          <w:rFonts w:ascii="仿宋" w:hAnsi="仿宋" w:eastAsia="仿宋" w:cs="仿宋_GB2312"/>
          <w:color w:val="000000"/>
        </w:rPr>
      </w:pPr>
      <w:r>
        <w:rPr>
          <w:rFonts w:hint="eastAsia" w:ascii="仿宋" w:hAnsi="仿宋" w:eastAsia="仿宋" w:cs="仿宋"/>
          <w:sz w:val="32"/>
          <w:szCs w:val="32"/>
        </w:rPr>
        <w:t>5.现场照片7张，证明当事人给顾客提供的自备餐具。</w:t>
      </w:r>
    </w:p>
    <w:p>
      <w:pPr>
        <w:spacing w:line="61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当事人对提供的餐具收取不合理费用的行为，违反了《河南省消费者权益保护条例》第二十五条第二款“餐饮业的经营者应当尊重消费者对服务内容和服务项目的选择权。经营者对所提供的餐饮和服务，应当事先将价格明确告知消费者，不得附加不公平的限制条件，不得收取不合理费用。”之规定，及中华人民共和国商务部颁布的《餐饮企业经营规范》行业标准“3要求；3.4规章制度；3.4.7 须明示营业时间、供应品种、服务项目的收费标准及其他特殊规定，销售的食品应当明码标价，并严格按照标价执行，提供的服务内容和费用应当符合与消费者的约定。3.5卫生安全；3.5.7为就餐者提供符合卫生要求的餐具，提倡实行分餐制。”之规定，其行为属于侵害消费者权益的行为。              </w:t>
      </w:r>
    </w:p>
    <w:p>
      <w:pPr>
        <w:pStyle w:val="4"/>
        <w:tabs>
          <w:tab w:val="left" w:pos="319"/>
          <w:tab w:val="left" w:pos="1486"/>
          <w:tab w:val="left" w:pos="2353"/>
          <w:tab w:val="left" w:pos="3199"/>
          <w:tab w:val="left" w:pos="3960"/>
        </w:tabs>
        <w:spacing w:line="610" w:lineRule="exact"/>
        <w:ind w:firstLine="640" w:firstLineChars="200"/>
        <w:jc w:val="both"/>
        <w:rPr>
          <w:rFonts w:ascii="仿宋" w:hAnsi="仿宋" w:eastAsia="仿宋" w:cs="仿宋"/>
        </w:rPr>
      </w:pPr>
      <w:r>
        <w:rPr>
          <w:rFonts w:hint="eastAsia" w:ascii="仿宋" w:hAnsi="仿宋" w:eastAsia="仿宋" w:cs="仿宋"/>
        </w:rPr>
        <w:t>2022年4月24日，我局向当事人送达了偃市监罚告</w:t>
      </w:r>
      <w:r>
        <w:rPr>
          <w:rFonts w:hint="eastAsia" w:ascii="仿宋" w:hAnsi="仿宋" w:eastAsia="仿宋" w:cs="仿宋"/>
          <w:bCs/>
        </w:rPr>
        <w:t>〔2022〕</w:t>
      </w:r>
      <w:r>
        <w:rPr>
          <w:rFonts w:hint="eastAsia" w:ascii="仿宋" w:hAnsi="仿宋" w:eastAsia="仿宋" w:cs="仿宋"/>
        </w:rPr>
        <w:t>2021141号《行政处罚告知书》，依据《中华人民共和国行政处罚法》</w:t>
      </w:r>
      <w:r>
        <w:rPr>
          <w:rFonts w:ascii="仿宋" w:hAnsi="仿宋" w:eastAsia="仿宋" w:cs="仿宋"/>
          <w:spacing w:val="-10"/>
        </w:rPr>
        <w:t>第四十四条、第</w:t>
      </w:r>
      <w:r>
        <w:rPr>
          <w:rFonts w:ascii="仿宋" w:hAnsi="仿宋" w:eastAsia="仿宋" w:cs="仿宋"/>
          <w:spacing w:val="-2"/>
        </w:rPr>
        <w:t>四十五条、第六十三条、第六十四条第一项，</w:t>
      </w:r>
      <w:r>
        <w:rPr>
          <w:rFonts w:hint="eastAsia" w:ascii="仿宋" w:hAnsi="仿宋" w:eastAsia="仿宋" w:cs="仿宋"/>
        </w:rPr>
        <w:t>告知当事人我局拟做出行政处罚决定的事实、理由、依据、内容以及当事人依法享有的陈述权、申辩权、并可要求举行听证。当事人在法定期限内未向我局提出陈述、申辩和听证意见。当事人侵害消费者权益的行为，根据其违法的事实、性质、情节，其行为属于轻微违法，应给予较轻处罚。</w:t>
      </w:r>
    </w:p>
    <w:p>
      <w:pPr>
        <w:tabs>
          <w:tab w:val="left" w:pos="2440"/>
          <w:tab w:val="left" w:pos="8964"/>
        </w:tabs>
        <w:spacing w:line="610" w:lineRule="exact"/>
        <w:ind w:firstLine="640" w:firstLineChars="200"/>
        <w:rPr>
          <w:rFonts w:ascii="仿宋" w:hAnsi="仿宋" w:eastAsia="仿宋" w:cs="仿宋_GB2312"/>
          <w:color w:val="000000"/>
        </w:rPr>
      </w:pPr>
      <w:r>
        <w:rPr>
          <w:rFonts w:hint="eastAsia" w:ascii="仿宋" w:hAnsi="仿宋" w:eastAsia="仿宋" w:cs="仿宋"/>
          <w:sz w:val="32"/>
          <w:szCs w:val="32"/>
        </w:rPr>
        <w:t>依据《河南省消费者权益保护条例》第五十一条“经营者有下列情形之一，侵害消费者权益的，有关法律、法规有规定的，依照法律、法规的规定执行；法律、法规未作规定的，由工商行政管理部门责令改正，可以根据情节单处或者并处警告、没收违法所得，处以违法所得一倍以上五倍以下的罚款，没有违法所得的，处以一万元以下的罚款，情节严重的，从重处罚，责令停业整顿：（十四）食品经营者、餐饮业经营者违反第二十五条规定的；”及《中华人民共和国行政处罚法》第二十八条第一款“行政机关实施行政处罚时，应当责令当事人改正或者限期改正违法行为。”之规定，</w:t>
      </w:r>
      <w:r>
        <w:rPr>
          <w:rFonts w:hint="eastAsia" w:ascii="仿宋" w:hAnsi="仿宋" w:eastAsia="仿宋" w:cs="仿宋"/>
          <w:color w:val="000000" w:themeColor="text1"/>
          <w:kern w:val="31"/>
          <w:sz w:val="32"/>
          <w:szCs w:val="32"/>
          <w:lang w:bidi="ar"/>
          <w14:textFill>
            <w14:solidFill>
              <w14:schemeClr w14:val="tx1"/>
            </w14:solidFill>
          </w14:textFill>
        </w:rPr>
        <w:t>经研究决定，</w:t>
      </w:r>
      <w:r>
        <w:rPr>
          <w:rFonts w:hint="eastAsia" w:ascii="仿宋" w:hAnsi="仿宋" w:eastAsia="仿宋" w:cs="仿宋"/>
          <w:sz w:val="32"/>
          <w:szCs w:val="32"/>
        </w:rPr>
        <w:t xml:space="preserve">现责令当事人改正上述违法行为，处罚如下：1.没收违法所得24999元；2.罚款24999元。以上罚没款合计49998元。              </w:t>
      </w:r>
    </w:p>
    <w:p>
      <w:pPr>
        <w:pStyle w:val="4"/>
        <w:tabs>
          <w:tab w:val="left" w:pos="6680"/>
          <w:tab w:val="left" w:pos="8920"/>
        </w:tabs>
        <w:autoSpaceDE/>
        <w:autoSpaceDN/>
        <w:adjustRightInd/>
        <w:spacing w:line="610" w:lineRule="exact"/>
        <w:ind w:right="162" w:firstLine="640" w:firstLineChars="200"/>
        <w:jc w:val="both"/>
        <w:rPr>
          <w:rFonts w:ascii="仿宋" w:hAnsi="仿宋" w:eastAsia="仿宋" w:cs="仿宋_GB2312"/>
        </w:rPr>
      </w:pPr>
      <w:r>
        <w:rPr>
          <w:rFonts w:hint="eastAsia" w:ascii="仿宋" w:hAnsi="仿宋" w:eastAsia="仿宋" w:cs="仿宋"/>
        </w:rPr>
        <w:t>当事人收到本处罚决定之日起15日内，缴清上述罚款。（当事人可选择以下银行缴纳罚款：1.</w:t>
      </w:r>
      <w:r>
        <w:rPr>
          <w:rFonts w:hint="eastAsia" w:ascii="仿宋" w:hAnsi="仿宋" w:eastAsia="仿宋" w:cs="仿宋"/>
          <w:color w:val="000000"/>
          <w:lang w:bidi="ar"/>
        </w:rPr>
        <w:t>农业银行偃师市支行</w:t>
      </w:r>
      <w:r>
        <w:rPr>
          <w:rFonts w:hint="eastAsia" w:ascii="仿宋" w:hAnsi="仿宋" w:eastAsia="仿宋" w:cs="仿宋"/>
        </w:rPr>
        <w:t>，户名：</w:t>
      </w:r>
      <w:r>
        <w:rPr>
          <w:rFonts w:hint="eastAsia" w:ascii="仿宋" w:hAnsi="仿宋" w:eastAsia="仿宋" w:cs="仿宋"/>
          <w:color w:val="000000"/>
          <w:lang w:bidi="ar"/>
        </w:rPr>
        <w:t>洛阳市偃师区财政局财政专户</w:t>
      </w:r>
      <w:r>
        <w:rPr>
          <w:rFonts w:hint="eastAsia" w:ascii="仿宋" w:hAnsi="仿宋" w:eastAsia="仿宋" w:cs="仿宋"/>
        </w:rPr>
        <w:t>，账号：</w:t>
      </w:r>
      <w:r>
        <w:rPr>
          <w:rFonts w:hint="eastAsia" w:ascii="仿宋" w:hAnsi="仿宋" w:eastAsia="仿宋" w:cs="仿宋"/>
          <w:color w:val="000000"/>
          <w:lang w:bidi="ar"/>
        </w:rPr>
        <w:t>16129101040000020</w:t>
      </w:r>
      <w:r>
        <w:rPr>
          <w:rFonts w:hint="eastAsia" w:ascii="仿宋" w:hAnsi="仿宋" w:eastAsia="仿宋" w:cs="仿宋"/>
        </w:rPr>
        <w:t>。2.</w:t>
      </w:r>
      <w:r>
        <w:rPr>
          <w:rFonts w:hint="eastAsia" w:ascii="仿宋" w:hAnsi="仿宋" w:eastAsia="仿宋" w:cs="仿宋"/>
          <w:color w:val="000000"/>
          <w:lang w:bidi="ar"/>
        </w:rPr>
        <w:t>工商银行偃师市支行</w:t>
      </w:r>
      <w:r>
        <w:rPr>
          <w:rFonts w:hint="eastAsia" w:ascii="仿宋" w:hAnsi="仿宋" w:eastAsia="仿宋" w:cs="仿宋"/>
        </w:rPr>
        <w:t>，户名：</w:t>
      </w:r>
      <w:r>
        <w:rPr>
          <w:rFonts w:hint="eastAsia" w:ascii="仿宋" w:hAnsi="仿宋" w:eastAsia="仿宋" w:cs="仿宋"/>
          <w:color w:val="000000"/>
          <w:lang w:bidi="ar"/>
        </w:rPr>
        <w:t>洛阳市偃师区财政局财政专户</w:t>
      </w:r>
      <w:r>
        <w:rPr>
          <w:rFonts w:hint="eastAsia" w:ascii="仿宋" w:hAnsi="仿宋" w:eastAsia="仿宋" w:cs="仿宋"/>
        </w:rPr>
        <w:t>，账号：</w:t>
      </w:r>
      <w:r>
        <w:rPr>
          <w:rFonts w:hint="eastAsia" w:ascii="仿宋" w:hAnsi="仿宋" w:eastAsia="仿宋" w:cs="仿宋"/>
          <w:color w:val="000000"/>
          <w:lang w:bidi="ar"/>
        </w:rPr>
        <w:t>1705027009064004971</w:t>
      </w:r>
      <w:r>
        <w:rPr>
          <w:rFonts w:hint="eastAsia" w:ascii="仿宋" w:hAnsi="仿宋" w:eastAsia="仿宋" w:cs="仿宋"/>
        </w:rPr>
        <w:t>。3.</w:t>
      </w:r>
      <w:r>
        <w:rPr>
          <w:rFonts w:hint="eastAsia" w:ascii="仿宋" w:hAnsi="仿宋" w:eastAsia="仿宋" w:cs="仿宋"/>
          <w:color w:val="000000"/>
          <w:lang w:bidi="ar"/>
        </w:rPr>
        <w:t>中国银行偃师市支行</w:t>
      </w:r>
      <w:r>
        <w:rPr>
          <w:rFonts w:hint="eastAsia" w:ascii="仿宋" w:hAnsi="仿宋" w:eastAsia="仿宋" w:cs="仿宋"/>
        </w:rPr>
        <w:t>，户名：</w:t>
      </w:r>
      <w:r>
        <w:rPr>
          <w:rFonts w:hint="eastAsia" w:ascii="仿宋" w:hAnsi="仿宋" w:eastAsia="仿宋" w:cs="仿宋"/>
          <w:color w:val="000000"/>
          <w:lang w:bidi="ar"/>
        </w:rPr>
        <w:t>洛阳市偃师区财政局财政专户</w:t>
      </w:r>
      <w:r>
        <w:rPr>
          <w:rFonts w:hint="eastAsia" w:ascii="仿宋" w:hAnsi="仿宋" w:eastAsia="仿宋" w:cs="仿宋"/>
        </w:rPr>
        <w:t>，账号：</w:t>
      </w:r>
      <w:r>
        <w:rPr>
          <w:rFonts w:hint="eastAsia" w:ascii="仿宋" w:hAnsi="仿宋" w:eastAsia="仿宋" w:cs="仿宋"/>
          <w:color w:val="000000"/>
          <w:lang w:bidi="ar"/>
        </w:rPr>
        <w:t>249407156581</w:t>
      </w:r>
      <w:r>
        <w:rPr>
          <w:rFonts w:hint="eastAsia" w:ascii="仿宋" w:hAnsi="仿宋" w:eastAsia="仿宋" w:cs="仿宋"/>
        </w:rPr>
        <w:t>。4.</w:t>
      </w:r>
      <w:r>
        <w:rPr>
          <w:rFonts w:hint="eastAsia" w:ascii="仿宋" w:hAnsi="仿宋" w:eastAsia="仿宋" w:cs="仿宋"/>
          <w:color w:val="000000"/>
          <w:lang w:bidi="ar"/>
        </w:rPr>
        <w:t>农商银行偃师营业部</w:t>
      </w:r>
      <w:r>
        <w:rPr>
          <w:rFonts w:hint="eastAsia" w:ascii="仿宋" w:hAnsi="仿宋" w:eastAsia="仿宋" w:cs="仿宋"/>
        </w:rPr>
        <w:t>，户名：</w:t>
      </w:r>
      <w:r>
        <w:rPr>
          <w:rFonts w:hint="eastAsia" w:ascii="仿宋" w:hAnsi="仿宋" w:eastAsia="仿宋" w:cs="仿宋"/>
          <w:color w:val="000000"/>
          <w:lang w:bidi="ar"/>
        </w:rPr>
        <w:t>洛阳市偃师区财政局财政专户</w:t>
      </w:r>
      <w:r>
        <w:rPr>
          <w:rFonts w:hint="eastAsia" w:ascii="仿宋" w:hAnsi="仿宋" w:eastAsia="仿宋" w:cs="仿宋"/>
        </w:rPr>
        <w:t>，账号：</w:t>
      </w:r>
      <w:r>
        <w:rPr>
          <w:rFonts w:hint="eastAsia" w:ascii="仿宋" w:hAnsi="仿宋" w:eastAsia="仿宋" w:cs="仿宋"/>
          <w:color w:val="000000"/>
          <w:lang w:bidi="ar"/>
        </w:rPr>
        <w:t>00000005583396678012</w:t>
      </w:r>
      <w:r>
        <w:rPr>
          <w:rFonts w:hint="eastAsia" w:ascii="仿宋" w:hAnsi="仿宋" w:eastAsia="仿宋" w:cs="仿宋"/>
        </w:rPr>
        <w:t>。）根据《中华人民共和国行政处</w:t>
      </w:r>
      <w:r>
        <w:rPr>
          <w:rFonts w:hint="eastAsia" w:ascii="仿宋" w:hAnsi="仿宋" w:eastAsia="仿宋" w:cs="仿宋_GB2312"/>
        </w:rPr>
        <w:t>罚法》第七十二条第一款之规定，逾期不缴纳，每日按罚款数额的百分之三加处罚款。</w:t>
      </w:r>
    </w:p>
    <w:p>
      <w:pPr>
        <w:pStyle w:val="4"/>
        <w:tabs>
          <w:tab w:val="left" w:pos="6680"/>
          <w:tab w:val="left" w:pos="8920"/>
        </w:tabs>
        <w:autoSpaceDE/>
        <w:autoSpaceDN/>
        <w:adjustRightInd/>
        <w:spacing w:line="610" w:lineRule="exact"/>
        <w:ind w:right="162" w:firstLine="640" w:firstLineChars="200"/>
        <w:jc w:val="both"/>
        <w:rPr>
          <w:rFonts w:ascii="仿宋" w:hAnsi="仿宋" w:eastAsia="仿宋" w:cs="仿宋"/>
          <w:color w:val="000000"/>
        </w:rPr>
      </w:pPr>
      <w:r>
        <w:rPr>
          <w:rFonts w:hint="eastAsia" w:ascii="仿宋" w:hAnsi="仿宋" w:eastAsia="仿宋" w:cs="仿宋_GB2312"/>
        </w:rPr>
        <w:t>如不服本处罚决定，可自接文之日起六十日内向洛阳市偃师区人民政府申请复议，也可于接文之日起六个月内</w:t>
      </w:r>
    </w:p>
    <w:p>
      <w:pPr>
        <w:tabs>
          <w:tab w:val="left" w:pos="6680"/>
          <w:tab w:val="left" w:pos="8920"/>
        </w:tabs>
        <w:spacing w:line="610" w:lineRule="exact"/>
        <w:ind w:left="120" w:right="162"/>
        <w:rPr>
          <w:rFonts w:hint="eastAsia" w:ascii="仿宋" w:hAnsi="仿宋" w:eastAsia="仿宋" w:cs="仿宋"/>
          <w:color w:val="231F20"/>
          <w:sz w:val="32"/>
          <w:szCs w:val="32"/>
        </w:rPr>
      </w:pPr>
      <w:r>
        <w:rPr>
          <w:rFonts w:hint="eastAsia" w:ascii="仿宋" w:hAnsi="仿宋" w:eastAsia="仿宋" w:cs="仿宋"/>
          <w:color w:val="000000"/>
          <w:sz w:val="32"/>
          <w:szCs w:val="32"/>
        </w:rPr>
        <w:t xml:space="preserve">向洛阳市偃师区人民法院提起诉讼。行政复议或者行政诉讼期间，本行政处罚决定不停止执行。    </w:t>
      </w:r>
      <w:r>
        <w:rPr>
          <w:rFonts w:hint="eastAsia" w:ascii="仿宋" w:hAnsi="仿宋" w:eastAsia="仿宋" w:cs="仿宋"/>
          <w:color w:val="231F20"/>
          <w:sz w:val="32"/>
          <w:szCs w:val="32"/>
        </w:rPr>
        <w:t xml:space="preserve">  </w:t>
      </w:r>
    </w:p>
    <w:p>
      <w:pPr>
        <w:tabs>
          <w:tab w:val="left" w:pos="6680"/>
          <w:tab w:val="left" w:pos="8920"/>
        </w:tabs>
        <w:spacing w:line="610" w:lineRule="exact"/>
        <w:ind w:left="120" w:right="162" w:firstLine="640" w:firstLineChars="200"/>
        <w:rPr>
          <w:rFonts w:ascii="仿宋" w:hAnsi="仿宋" w:eastAsia="仿宋" w:cs="仿宋"/>
          <w:color w:val="231F20"/>
          <w:sz w:val="32"/>
          <w:szCs w:val="32"/>
        </w:rPr>
      </w:pPr>
      <w:r>
        <w:rPr>
          <w:rFonts w:hint="eastAsia" w:ascii="仿宋" w:hAnsi="仿宋" w:eastAsia="仿宋" w:cs="仿宋"/>
          <w:color w:val="231F20"/>
          <w:sz w:val="32"/>
          <w:szCs w:val="32"/>
        </w:rPr>
        <w:t xml:space="preserve">                            </w:t>
      </w:r>
    </w:p>
    <w:p>
      <w:pPr>
        <w:tabs>
          <w:tab w:val="left" w:pos="6680"/>
          <w:tab w:val="left" w:pos="8920"/>
        </w:tabs>
        <w:spacing w:line="610" w:lineRule="exact"/>
        <w:ind w:left="120" w:right="162" w:firstLine="640" w:firstLineChars="200"/>
        <w:rPr>
          <w:rFonts w:ascii="仿宋" w:hAnsi="仿宋" w:eastAsia="仿宋" w:cs="仿宋"/>
          <w:color w:val="231F20"/>
          <w:sz w:val="32"/>
          <w:szCs w:val="32"/>
        </w:rPr>
      </w:pPr>
    </w:p>
    <w:p>
      <w:pPr>
        <w:tabs>
          <w:tab w:val="left" w:pos="6680"/>
          <w:tab w:val="left" w:pos="8920"/>
        </w:tabs>
        <w:spacing w:line="610" w:lineRule="exact"/>
        <w:ind w:left="120" w:right="162" w:firstLine="640" w:firstLineChars="200"/>
        <w:rPr>
          <w:rFonts w:hint="eastAsia" w:ascii="仿宋" w:hAnsi="仿宋" w:eastAsia="仿宋" w:cs="仿宋"/>
          <w:color w:val="231F20"/>
          <w:sz w:val="32"/>
          <w:szCs w:val="32"/>
        </w:rPr>
      </w:pPr>
      <w:r>
        <w:rPr>
          <w:rFonts w:hint="eastAsia" w:ascii="仿宋" w:hAnsi="仿宋" w:eastAsia="仿宋" w:cs="仿宋"/>
          <w:color w:val="231F20"/>
          <w:sz w:val="32"/>
          <w:szCs w:val="32"/>
        </w:rPr>
        <w:t xml:space="preserve">  </w:t>
      </w:r>
    </w:p>
    <w:p>
      <w:pPr>
        <w:tabs>
          <w:tab w:val="left" w:pos="6680"/>
          <w:tab w:val="left" w:pos="8920"/>
        </w:tabs>
        <w:spacing w:line="610" w:lineRule="exact"/>
        <w:ind w:left="120" w:right="162" w:firstLine="640" w:firstLineChars="200"/>
        <w:rPr>
          <w:rFonts w:ascii="仿宋" w:hAnsi="仿宋" w:eastAsia="仿宋" w:cs="仿宋"/>
          <w:color w:val="231F20"/>
          <w:sz w:val="32"/>
          <w:szCs w:val="32"/>
        </w:rPr>
      </w:pPr>
      <w:r>
        <w:rPr>
          <w:rFonts w:hint="eastAsia" w:ascii="仿宋" w:hAnsi="仿宋" w:eastAsia="仿宋" w:cs="仿宋"/>
          <w:color w:val="231F20"/>
          <w:sz w:val="32"/>
          <w:szCs w:val="32"/>
        </w:rPr>
        <w:t xml:space="preserve">             洛阳市偃师区市场监督管理局</w:t>
      </w:r>
    </w:p>
    <w:p>
      <w:pPr>
        <w:tabs>
          <w:tab w:val="left" w:pos="6680"/>
          <w:tab w:val="left" w:pos="8920"/>
        </w:tabs>
        <w:spacing w:line="610" w:lineRule="exact"/>
        <w:ind w:left="120" w:right="162" w:firstLine="640" w:firstLineChars="200"/>
        <w:rPr>
          <w:rFonts w:hint="eastAsia" w:ascii="仿宋" w:hAnsi="仿宋" w:eastAsia="仿宋" w:cs="仿宋"/>
          <w:color w:val="231F20"/>
          <w:sz w:val="32"/>
          <w:szCs w:val="32"/>
        </w:rPr>
      </w:pPr>
    </w:p>
    <w:p>
      <w:pPr>
        <w:tabs>
          <w:tab w:val="left" w:pos="6680"/>
          <w:tab w:val="left" w:pos="8920"/>
        </w:tabs>
        <w:spacing w:line="610" w:lineRule="exact"/>
        <w:ind w:left="120" w:right="162" w:firstLine="640" w:firstLineChars="200"/>
        <w:rPr>
          <w:rFonts w:hint="eastAsia" w:ascii="黑体" w:hAnsi="黑体" w:eastAsia="黑体"/>
          <w:color w:val="231F20"/>
          <w:spacing w:val="-16"/>
          <w:sz w:val="32"/>
          <w:szCs w:val="32"/>
        </w:rPr>
      </w:pPr>
      <w:r>
        <w:rPr>
          <w:rFonts w:hint="eastAsia" w:ascii="仿宋" w:hAnsi="仿宋" w:eastAsia="仿宋" w:cs="仿宋"/>
          <w:color w:val="231F20"/>
          <w:sz w:val="32"/>
          <w:szCs w:val="32"/>
        </w:rPr>
        <w:t xml:space="preserve">                    2022年</w:t>
      </w:r>
      <w:r>
        <w:rPr>
          <w:rFonts w:ascii="仿宋" w:hAnsi="仿宋" w:eastAsia="仿宋" w:cs="仿宋"/>
          <w:color w:val="231F20"/>
          <w:sz w:val="32"/>
          <w:szCs w:val="32"/>
        </w:rPr>
        <w:t>5</w:t>
      </w:r>
      <w:r>
        <w:rPr>
          <w:rFonts w:hint="eastAsia" w:ascii="仿宋" w:hAnsi="仿宋" w:eastAsia="仿宋" w:cs="仿宋"/>
          <w:color w:val="231F20"/>
          <w:sz w:val="32"/>
          <w:szCs w:val="32"/>
        </w:rPr>
        <w:t>月</w:t>
      </w:r>
      <w:r>
        <w:rPr>
          <w:rFonts w:ascii="仿宋" w:hAnsi="仿宋" w:eastAsia="仿宋" w:cs="仿宋"/>
          <w:color w:val="231F20"/>
          <w:sz w:val="32"/>
          <w:szCs w:val="32"/>
        </w:rPr>
        <w:t>7</w:t>
      </w:r>
      <w:r>
        <w:rPr>
          <w:rFonts w:hint="eastAsia" w:ascii="仿宋" w:hAnsi="仿宋" w:eastAsia="仿宋" w:cs="仿宋"/>
          <w:color w:val="231F20"/>
          <w:sz w:val="32"/>
          <w:szCs w:val="32"/>
        </w:rPr>
        <w:t>日</w:t>
      </w:r>
    </w:p>
    <w:p>
      <w:pPr>
        <w:spacing w:before="1" w:line="600" w:lineRule="exact"/>
        <w:rPr>
          <w:rFonts w:ascii="黑体" w:hAnsi="黑体" w:eastAsia="黑体"/>
          <w:color w:val="231F20"/>
          <w:spacing w:val="-16"/>
          <w:sz w:val="32"/>
          <w:szCs w:val="32"/>
        </w:rPr>
      </w:pPr>
    </w:p>
    <w:p>
      <w:pPr>
        <w:widowControl/>
        <w:snapToGrid w:val="0"/>
        <w:spacing w:line="520" w:lineRule="exact"/>
        <w:jc w:val="right"/>
        <w:rPr>
          <w:rFonts w:ascii="Times New Roman" w:hAnsi="Times New Roman" w:eastAsia="仿宋_GB2312" w:cs="Mongolian Baiti"/>
          <w:color w:val="000000"/>
          <w:sz w:val="32"/>
          <w:szCs w:val="32"/>
        </w:rPr>
      </w:pPr>
    </w:p>
    <w:p>
      <w:pPr>
        <w:widowControl/>
        <w:snapToGrid w:val="0"/>
        <w:spacing w:line="520" w:lineRule="exact"/>
        <w:jc w:val="right"/>
        <w:rPr>
          <w:rFonts w:ascii="Times New Roman" w:hAnsi="Times New Roman" w:eastAsia="仿宋_GB2312" w:cs="Mongolian Baiti"/>
          <w:color w:val="000000"/>
          <w:sz w:val="32"/>
          <w:szCs w:val="32"/>
        </w:rPr>
      </w:pPr>
    </w:p>
    <w:p>
      <w:pPr>
        <w:widowControl/>
        <w:snapToGrid w:val="0"/>
        <w:spacing w:line="520" w:lineRule="exact"/>
        <w:jc w:val="right"/>
        <w:rPr>
          <w:rFonts w:ascii="Times New Roman" w:hAnsi="Times New Roman" w:eastAsia="仿宋_GB2312" w:cs="Mongolian Baiti"/>
          <w:color w:val="000000"/>
          <w:sz w:val="32"/>
          <w:szCs w:val="32"/>
        </w:rPr>
      </w:pPr>
    </w:p>
    <w:p>
      <w:pPr>
        <w:widowControl/>
        <w:snapToGrid w:val="0"/>
        <w:spacing w:line="520" w:lineRule="exact"/>
        <w:jc w:val="right"/>
        <w:rPr>
          <w:rFonts w:ascii="Times New Roman" w:hAnsi="Times New Roman" w:eastAsia="仿宋_GB2312" w:cs="Mongolian Baiti"/>
          <w:color w:val="000000"/>
          <w:sz w:val="32"/>
          <w:szCs w:val="32"/>
        </w:rPr>
      </w:pPr>
    </w:p>
    <w:p>
      <w:pPr>
        <w:widowControl/>
        <w:snapToGrid w:val="0"/>
        <w:spacing w:line="520" w:lineRule="exact"/>
        <w:jc w:val="right"/>
        <w:rPr>
          <w:rFonts w:ascii="Times New Roman" w:hAnsi="Times New Roman" w:eastAsia="仿宋_GB2312" w:cs="Mongolian Baiti"/>
          <w:color w:val="000000"/>
          <w:sz w:val="32"/>
          <w:szCs w:val="32"/>
        </w:rPr>
      </w:pPr>
    </w:p>
    <w:p>
      <w:pPr>
        <w:widowControl/>
        <w:snapToGrid w:val="0"/>
        <w:spacing w:line="520" w:lineRule="exact"/>
        <w:jc w:val="right"/>
        <w:rPr>
          <w:rFonts w:ascii="Times New Roman" w:hAnsi="Times New Roman" w:eastAsia="仿宋_GB2312" w:cs="Mongolian Baiti"/>
          <w:color w:val="000000"/>
          <w:sz w:val="32"/>
          <w:szCs w:val="32"/>
        </w:rPr>
      </w:pPr>
    </w:p>
    <w:p>
      <w:pPr>
        <w:widowControl/>
        <w:snapToGrid w:val="0"/>
        <w:spacing w:line="520" w:lineRule="exact"/>
        <w:jc w:val="right"/>
        <w:rPr>
          <w:rFonts w:ascii="Times New Roman" w:hAnsi="Times New Roman" w:eastAsia="仿宋_GB2312" w:cs="Mongolian Baiti"/>
          <w:color w:val="000000"/>
          <w:sz w:val="32"/>
          <w:szCs w:val="32"/>
        </w:rPr>
      </w:pPr>
    </w:p>
    <w:p>
      <w:pPr>
        <w:pStyle w:val="4"/>
        <w:spacing w:before="1"/>
        <w:ind w:left="163"/>
        <w:rPr>
          <w:rFonts w:ascii="黑体" w:hAnsi="黑体" w:eastAsia="黑体"/>
          <w:color w:val="231F20"/>
          <w:spacing w:val="-16"/>
        </w:rPr>
      </w:pPr>
    </w:p>
    <w:p>
      <w:pPr>
        <w:pStyle w:val="4"/>
        <w:spacing w:before="1"/>
        <w:ind w:left="163"/>
        <w:rPr>
          <w:rFonts w:ascii="黑体" w:hAnsi="黑体" w:eastAsia="黑体"/>
          <w:color w:val="231F20"/>
          <w:spacing w:val="-16"/>
        </w:rPr>
      </w:pPr>
    </w:p>
    <w:p>
      <w:pPr>
        <w:pStyle w:val="4"/>
        <w:spacing w:before="1"/>
        <w:ind w:left="163"/>
        <w:rPr>
          <w:rFonts w:ascii="黑体" w:hAnsi="黑体" w:eastAsia="黑体"/>
          <w:color w:val="231F20"/>
          <w:spacing w:val="-16"/>
        </w:rPr>
      </w:pPr>
    </w:p>
    <w:p>
      <w:pPr>
        <w:pStyle w:val="4"/>
        <w:spacing w:before="1"/>
        <w:ind w:left="163"/>
        <w:rPr>
          <w:rFonts w:ascii="黑体" w:hAnsi="黑体" w:eastAsia="黑体"/>
          <w:color w:val="231F20"/>
          <w:spacing w:val="-16"/>
        </w:rPr>
      </w:pPr>
    </w:p>
    <w:p>
      <w:pPr>
        <w:spacing w:before="1"/>
        <w:rPr>
          <w:rFonts w:hint="eastAsia" w:ascii="Times New Roman" w:hAnsi="Times New Roman" w:eastAsia="仿宋_GB2312" w:cs="仿宋"/>
          <w:bCs/>
          <w:color w:val="000000"/>
          <w:sz w:val="44"/>
          <w:szCs w:val="44"/>
        </w:rPr>
      </w:pPr>
      <w:r>
        <w:rPr>
          <w:rFonts w:ascii="Times New Roman" w:hAnsi="Times New Roman" w:eastAsia="仿宋_GB2312"/>
          <w:sz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390525</wp:posOffset>
                </wp:positionV>
                <wp:extent cx="5210175"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5210175" cy="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30.75pt;height:0pt;width:410.25pt;z-index:251660288;mso-width-relative:page;mso-height-relative:page;" filled="f" stroked="t" coordsize="21600,21600" o:gfxdata="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fXkLd&#10;1QAAAAYBAAAPAAAAAAAAAAEAIAAAACIAAABkcnMvZG93bnJldi54bWxQSwECFAAUAAAACACHTuJA&#10;v7oCh+sBAADZAwAADgAAAAAAAAABACAAAAAkAQAAZHJzL2Uyb0RvYy54bWxQSwUGAAAAAAYABgBZ&#10;AQAAgQUAAAAA&#10;">
                <v:fill on="f" focussize="0,0"/>
                <v:stroke weight="1.25pt" color="#000000" joinstyle="round"/>
                <v:imagedata o:title=""/>
                <o:lock v:ext="edit" aspectratio="f"/>
              </v:line>
            </w:pict>
          </mc:Fallback>
        </mc:AlternateContent>
      </w:r>
      <w:r>
        <w:rPr>
          <w:rFonts w:hint="eastAsia" w:ascii="黑体" w:hAnsi="黑体" w:eastAsia="黑体"/>
          <w:color w:val="231F20"/>
          <w:spacing w:val="-16"/>
          <w:sz w:val="32"/>
          <w:szCs w:val="32"/>
        </w:rPr>
        <w:t>（市场监督管理部门将依法向社会公开行政处罚决定信息）</w:t>
      </w:r>
    </w:p>
    <w:p>
      <w:pPr>
        <w:spacing w:line="500" w:lineRule="exact"/>
        <w:rPr>
          <w:rFonts w:hint="eastAsia"/>
        </w:rPr>
      </w:pPr>
      <w:r>
        <w:rPr>
          <w:rFonts w:ascii="Times New Roman" w:hAnsi="Times New Roman" w:eastAsia="仿宋_GB2312" w:cs="仿宋"/>
          <w:bCs/>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19050" t="19050" r="28575" b="36830"/>
                <wp:wrapNone/>
                <wp:docPr id="4" name="直接连接符 4"/>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zkdcAAAAKAQAADwAAAAAAAAABACAAAAAiAAAAZHJzL2Rvd25yZXYueG1sUEsBAhQAFAAA&#10;AAgAh07iQNTdNmnwAQAA2QMAAA4AAAAAAAAAAQAgAAAAJg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rPr>
        <w:t>本文书一式</w:t>
      </w:r>
      <w:r>
        <w:rPr>
          <w:rFonts w:hint="eastAsia" w:ascii="Times New Roman" w:hAnsi="Times New Roman" w:eastAsia="仿宋_GB2312" w:cs="仿宋"/>
          <w:color w:val="000000"/>
          <w:sz w:val="32"/>
          <w:szCs w:val="32"/>
          <w:u w:val="single"/>
        </w:rPr>
        <w:t>三</w:t>
      </w:r>
      <w:r>
        <w:rPr>
          <w:rFonts w:hint="eastAsia" w:ascii="Times New Roman" w:hAnsi="Times New Roman" w:eastAsia="仿宋_GB2312" w:cs="仿宋"/>
          <w:color w:val="000000"/>
          <w:sz w:val="32"/>
          <w:szCs w:val="32"/>
        </w:rPr>
        <w:t>份，</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份送达，</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份归档，</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份办案机构留存。</w:t>
      </w:r>
    </w:p>
    <w:p>
      <w:pPr>
        <w:pStyle w:val="4"/>
        <w:spacing w:before="1"/>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3E647B"/>
    <w:rsid w:val="003D0988"/>
    <w:rsid w:val="003E647B"/>
    <w:rsid w:val="00746F40"/>
    <w:rsid w:val="00A1348C"/>
    <w:rsid w:val="00B30859"/>
    <w:rsid w:val="00D40ED5"/>
    <w:rsid w:val="00DE5147"/>
    <w:rsid w:val="00E5081F"/>
    <w:rsid w:val="00F262C7"/>
    <w:rsid w:val="05832791"/>
    <w:rsid w:val="10B36ECA"/>
    <w:rsid w:val="16851020"/>
    <w:rsid w:val="29E82357"/>
    <w:rsid w:val="2CF4766E"/>
    <w:rsid w:val="42F81BBD"/>
    <w:rsid w:val="4B7E4F9D"/>
    <w:rsid w:val="5C1E5005"/>
    <w:rsid w:val="6A3C4B51"/>
    <w:rsid w:val="707B2941"/>
    <w:rsid w:val="77AE3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footer"/>
    <w:basedOn w:val="1"/>
    <w:link w:val="11"/>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Table Paragraph"/>
    <w:basedOn w:val="1"/>
    <w:qFormat/>
    <w:uiPriority w:val="1"/>
  </w:style>
  <w:style w:type="character" w:customStyle="1" w:styleId="10">
    <w:name w:val="页眉 字符"/>
    <w:basedOn w:val="8"/>
    <w:link w:val="6"/>
    <w:uiPriority w:val="0"/>
    <w:rPr>
      <w:kern w:val="2"/>
      <w:sz w:val="18"/>
      <w:szCs w:val="18"/>
    </w:rPr>
  </w:style>
  <w:style w:type="character" w:customStyle="1" w:styleId="11">
    <w:name w:val="页脚 字符"/>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2077</Words>
  <Characters>2298</Characters>
  <Lines>19</Lines>
  <Paragraphs>5</Paragraphs>
  <TotalTime>1</TotalTime>
  <ScaleCrop>false</ScaleCrop>
  <LinksUpToDate>false</LinksUpToDate>
  <CharactersWithSpaces>2674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2022-05-05T02:24:00Z</dcterms:created>
  <dc:creator>lenovo</dc:creator>
  <cp:lastModifiedBy>王建清</cp:lastModifiedBy>
  <dcterms:modified xsi:type="dcterms:W3CDTF">2023-07-31T00:52:20Z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C77FA921483C44CB9F5B8EBCB08F32CF</vt:lpwstr>
  </property>
</Properties>
</file>