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outlineLvl w:val="0"/>
        <w:rPr>
          <w:rFonts w:hint="eastAsia" w:ascii="黑体" w:hAnsi="黑体" w:eastAsia="黑体"/>
          <w:snapToGrid w:val="0"/>
          <w:color w:val="000000"/>
          <w:sz w:val="30"/>
          <w:szCs w:val="30"/>
          <w:u w:val="none"/>
        </w:rPr>
      </w:pPr>
      <w:r>
        <w:rPr>
          <w:rFonts w:hint="eastAsia" w:ascii="黑体" w:hAnsi="黑体" w:eastAsia="黑体"/>
          <w:snapToGrid w:val="0"/>
          <w:color w:val="000000"/>
          <w:sz w:val="30"/>
          <w:szCs w:val="30"/>
          <w:u w:val="none"/>
        </w:rPr>
        <w:t>一、建设项目基本情况</w:t>
      </w:r>
    </w:p>
    <w:tbl>
      <w:tblPr>
        <w:tblStyle w:val="25"/>
        <w:tblpPr w:leftFromText="180" w:rightFromText="180" w:vertAnchor="text" w:tblpXSpec="center" w:tblpY="1"/>
        <w:tblOverlap w:val="never"/>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26"/>
        <w:gridCol w:w="874"/>
        <w:gridCol w:w="2169"/>
        <w:gridCol w:w="2102"/>
        <w:gridCol w:w="24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建设项目名称</w:t>
            </w:r>
          </w:p>
        </w:tc>
        <w:tc>
          <w:tcPr>
            <w:tcW w:w="7124" w:type="dxa"/>
            <w:gridSpan w:val="3"/>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洛阳兰台智信建材有限公司</w:t>
            </w:r>
          </w:p>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highlight w:val="none"/>
                <w:u w:val="none"/>
                <w:lang w:val="en-US" w:eastAsia="zh-CN"/>
              </w:rPr>
            </w:pPr>
            <w:r>
              <w:rPr>
                <w:rFonts w:hint="eastAsia" w:ascii="宋体" w:hAnsi="宋体" w:eastAsia="宋体" w:cs="宋体"/>
                <w:sz w:val="24"/>
                <w:szCs w:val="24"/>
                <w:u w:val="none"/>
                <w:lang w:val="en-US" w:eastAsia="zh-CN"/>
              </w:rPr>
              <w:t>年生产50万平方米装饰板和40万支装饰线条项目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4"/>
                <w:szCs w:val="24"/>
                <w:highlight w:val="none"/>
                <w:u w:val="none"/>
                <w:lang w:eastAsia="zh-CN"/>
              </w:rPr>
            </w:pPr>
            <w:r>
              <w:rPr>
                <w:rFonts w:hint="default" w:ascii="Times New Roman" w:hAnsi="Times New Roman" w:eastAsia="宋体" w:cs="Times New Roman"/>
                <w:color w:val="000000"/>
                <w:sz w:val="24"/>
                <w:szCs w:val="24"/>
                <w:highlight w:val="none"/>
                <w:u w:val="none"/>
              </w:rPr>
              <w:t>项目</w:t>
            </w:r>
            <w:r>
              <w:rPr>
                <w:rFonts w:hint="eastAsia" w:ascii="Times New Roman" w:hAnsi="Times New Roman" w:eastAsia="宋体" w:cs="Times New Roman"/>
                <w:color w:val="000000"/>
                <w:sz w:val="24"/>
                <w:szCs w:val="24"/>
                <w:highlight w:val="none"/>
                <w:u w:val="none"/>
                <w:lang w:eastAsia="zh-CN"/>
              </w:rPr>
              <w:t>代码</w:t>
            </w:r>
          </w:p>
        </w:tc>
        <w:tc>
          <w:tcPr>
            <w:tcW w:w="7124" w:type="dxa"/>
            <w:gridSpan w:val="3"/>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85" w:leftChars="0" w:right="68" w:rightChars="0"/>
              <w:jc w:val="center"/>
              <w:textAlignment w:val="auto"/>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cs="Times New Roman"/>
                <w:color w:val="000000"/>
                <w:sz w:val="24"/>
                <w:szCs w:val="24"/>
                <w:highlight w:val="none"/>
                <w:u w:val="none"/>
                <w:lang w:val="en-US" w:eastAsia="zh-CN"/>
              </w:rPr>
              <w:t>2306-410381-04-05-873024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建设单位联系人</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xxx</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联系方式</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建设地点</w:t>
            </w:r>
          </w:p>
        </w:tc>
        <w:tc>
          <w:tcPr>
            <w:tcW w:w="7124" w:type="dxa"/>
            <w:gridSpan w:val="3"/>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洛阳市偃师市顾县镇回龙湾工业区1号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highlight w:val="none"/>
                <w:u w:val="none"/>
              </w:rPr>
              <w:t>地理坐标</w:t>
            </w:r>
          </w:p>
        </w:tc>
        <w:tc>
          <w:tcPr>
            <w:tcW w:w="7124" w:type="dxa"/>
            <w:gridSpan w:val="3"/>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w:t>
            </w:r>
            <w:r>
              <w:rPr>
                <w:rFonts w:hint="default" w:ascii="Times New Roman" w:hAnsi="Times New Roman" w:eastAsia="宋体" w:cs="Times New Roman"/>
                <w:color w:val="000000"/>
                <w:sz w:val="24"/>
                <w:szCs w:val="24"/>
                <w:u w:val="single"/>
                <w:lang w:val="en-US" w:eastAsia="zh-CN"/>
              </w:rPr>
              <w:t>112</w:t>
            </w:r>
            <w:r>
              <w:rPr>
                <w:rFonts w:hint="eastAsia" w:ascii="Times New Roman" w:hAnsi="Times New Roman" w:eastAsia="宋体" w:cs="Times New Roman"/>
                <w:color w:val="000000"/>
                <w:sz w:val="24"/>
                <w:szCs w:val="24"/>
                <w:u w:val="none"/>
                <w:lang w:val="en-US" w:eastAsia="zh-CN"/>
              </w:rPr>
              <w:t>度</w:t>
            </w:r>
            <w:r>
              <w:rPr>
                <w:rFonts w:hint="eastAsia" w:ascii="Times New Roman" w:hAnsi="Times New Roman" w:eastAsia="宋体" w:cs="Times New Roman"/>
                <w:color w:val="000000"/>
                <w:sz w:val="24"/>
                <w:szCs w:val="24"/>
                <w:u w:val="single"/>
                <w:lang w:val="en-US" w:eastAsia="zh-CN"/>
              </w:rPr>
              <w:t>49</w:t>
            </w:r>
            <w:r>
              <w:rPr>
                <w:rFonts w:hint="eastAsia" w:ascii="Times New Roman" w:hAnsi="Times New Roman" w:eastAsia="宋体" w:cs="Times New Roman"/>
                <w:color w:val="000000"/>
                <w:sz w:val="24"/>
                <w:szCs w:val="24"/>
                <w:u w:val="none"/>
                <w:lang w:val="en-US" w:eastAsia="zh-CN"/>
              </w:rPr>
              <w:t>分</w:t>
            </w:r>
            <w:r>
              <w:rPr>
                <w:rFonts w:hint="eastAsia" w:ascii="Times New Roman" w:hAnsi="Times New Roman" w:eastAsia="宋体" w:cs="Times New Roman"/>
                <w:color w:val="000000"/>
                <w:sz w:val="24"/>
                <w:szCs w:val="24"/>
                <w:u w:val="single"/>
                <w:lang w:val="en-US" w:eastAsia="zh-CN"/>
              </w:rPr>
              <w:t>17.322</w:t>
            </w:r>
            <w:r>
              <w:rPr>
                <w:rFonts w:hint="eastAsia" w:ascii="Times New Roman" w:hAnsi="Times New Roman" w:eastAsia="宋体" w:cs="Times New Roman"/>
                <w:color w:val="000000"/>
                <w:sz w:val="24"/>
                <w:szCs w:val="24"/>
                <w:u w:val="none"/>
                <w:lang w:val="en-US" w:eastAsia="zh-CN"/>
              </w:rPr>
              <w:t>秒，</w:t>
            </w:r>
            <w:r>
              <w:rPr>
                <w:rFonts w:hint="default" w:ascii="Times New Roman" w:hAnsi="Times New Roman" w:eastAsia="宋体" w:cs="Times New Roman"/>
                <w:color w:val="000000"/>
                <w:sz w:val="24"/>
                <w:szCs w:val="24"/>
                <w:u w:val="single"/>
                <w:lang w:val="en-US" w:eastAsia="zh-CN"/>
              </w:rPr>
              <w:t>34</w:t>
            </w:r>
            <w:r>
              <w:rPr>
                <w:rFonts w:hint="eastAsia" w:ascii="Times New Roman" w:hAnsi="Times New Roman" w:eastAsia="宋体" w:cs="Times New Roman"/>
                <w:color w:val="000000"/>
                <w:sz w:val="24"/>
                <w:szCs w:val="24"/>
                <w:u w:val="none"/>
                <w:lang w:val="en-US" w:eastAsia="zh-CN"/>
              </w:rPr>
              <w:t>度</w:t>
            </w:r>
            <w:r>
              <w:rPr>
                <w:rFonts w:hint="eastAsia" w:ascii="Times New Roman" w:hAnsi="Times New Roman" w:eastAsia="宋体" w:cs="Times New Roman"/>
                <w:color w:val="000000"/>
                <w:sz w:val="24"/>
                <w:szCs w:val="24"/>
                <w:u w:val="single"/>
                <w:lang w:val="en-US" w:eastAsia="zh-CN"/>
              </w:rPr>
              <w:t>40</w:t>
            </w:r>
            <w:r>
              <w:rPr>
                <w:rFonts w:hint="eastAsia" w:ascii="Times New Roman" w:hAnsi="Times New Roman" w:eastAsia="宋体" w:cs="Times New Roman"/>
                <w:color w:val="000000"/>
                <w:sz w:val="24"/>
                <w:szCs w:val="24"/>
                <w:u w:val="none"/>
                <w:lang w:val="en-US" w:eastAsia="zh-CN"/>
              </w:rPr>
              <w:t>分</w:t>
            </w:r>
            <w:r>
              <w:rPr>
                <w:rFonts w:hint="eastAsia" w:ascii="Times New Roman" w:hAnsi="Times New Roman" w:eastAsia="宋体" w:cs="Times New Roman"/>
                <w:color w:val="000000"/>
                <w:sz w:val="24"/>
                <w:szCs w:val="24"/>
                <w:u w:val="single"/>
                <w:lang w:val="en-US" w:eastAsia="zh-CN"/>
              </w:rPr>
              <w:t>25.292</w:t>
            </w:r>
            <w:r>
              <w:rPr>
                <w:rFonts w:hint="eastAsia" w:ascii="Times New Roman" w:hAnsi="Times New Roman" w:eastAsia="宋体" w:cs="Times New Roman"/>
                <w:color w:val="000000"/>
                <w:sz w:val="24"/>
                <w:szCs w:val="24"/>
                <w:u w:val="none"/>
                <w:lang w:val="en-US" w:eastAsia="zh-CN"/>
              </w:rPr>
              <w:t>秒</w:t>
            </w:r>
            <w:r>
              <w:rPr>
                <w:rFonts w:hint="default"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国民经济</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行业类别</w:t>
            </w:r>
          </w:p>
        </w:tc>
        <w:tc>
          <w:tcPr>
            <w:tcW w:w="2273" w:type="dxa"/>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仿宋"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C2922塑料板、管、型材制造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行业类别</w:t>
            </w:r>
          </w:p>
        </w:tc>
        <w:tc>
          <w:tcPr>
            <w:tcW w:w="2639" w:type="dxa"/>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both"/>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kern w:val="2"/>
                <w:sz w:val="24"/>
                <w:szCs w:val="24"/>
                <w:u w:val="none"/>
                <w:lang w:val="en-US" w:eastAsia="zh-CN" w:bidi="ar-SA"/>
              </w:rPr>
              <w:t>二十六、橡胶和塑料制品业29、53塑料制品业292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建设性质</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eastAsia="宋体" w:cs="Times New Roman"/>
                <w:color w:val="000000"/>
                <w:sz w:val="24"/>
                <w:szCs w:val="24"/>
                <w:u w:val="none"/>
              </w:rPr>
              <w:t>新建（迁建）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改建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扩建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技术改造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u w:val="none"/>
                <w:lang w:val="en-US" w:eastAsia="zh-CN"/>
              </w:rPr>
              <w:t>申报情形</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eastAsia="宋体" w:cs="Times New Roman"/>
                <w:color w:val="000000"/>
                <w:sz w:val="24"/>
                <w:szCs w:val="24"/>
                <w:u w:val="none"/>
              </w:rPr>
              <w:t xml:space="preserve">首次申报项目             </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不予批准后再次申报项目</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 xml:space="preserve">超五年重新审核项目     </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备案）部门（选填）</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洛阳市偃师</w:t>
            </w:r>
            <w:r>
              <w:rPr>
                <w:rFonts w:hint="eastAsia" w:ascii="Times New Roman" w:hAnsi="Times New Roman" w:eastAsia="宋体" w:cs="Times New Roman"/>
                <w:color w:val="000000"/>
                <w:sz w:val="24"/>
                <w:szCs w:val="24"/>
                <w:u w:val="none"/>
                <w:lang w:val="en-US" w:eastAsia="zh-CN"/>
              </w:rPr>
              <w:t>区</w:t>
            </w:r>
            <w:r>
              <w:rPr>
                <w:rFonts w:hint="eastAsia" w:cs="Times New Roman"/>
                <w:color w:val="000000"/>
                <w:sz w:val="24"/>
                <w:szCs w:val="24"/>
                <w:u w:val="none"/>
                <w:lang w:val="en-US" w:eastAsia="zh-CN"/>
              </w:rPr>
              <w:t>发展和改革</w:t>
            </w:r>
            <w:r>
              <w:rPr>
                <w:rFonts w:hint="eastAsia" w:ascii="Times New Roman" w:hAnsi="Times New Roman" w:eastAsia="宋体" w:cs="Times New Roman"/>
                <w:color w:val="000000"/>
                <w:sz w:val="24"/>
                <w:szCs w:val="24"/>
                <w:u w:val="none"/>
                <w:lang w:val="en-US" w:eastAsia="zh-CN"/>
              </w:rPr>
              <w:t>委员会</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备案）文号（选填）</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总投资（万元）</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50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环保投资（万元）</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环保投资占比（%）</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20.0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施工工期</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是否开工建设</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cs="Times New Roman"/>
                <w:color w:val="000000"/>
                <w:sz w:val="24"/>
                <w:szCs w:val="24"/>
                <w:u w:val="none"/>
              </w:rPr>
              <w:t>否</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cs="Times New Roman"/>
                <w:color w:val="000000"/>
                <w:sz w:val="24"/>
                <w:szCs w:val="24"/>
                <w:u w:val="none"/>
              </w:rPr>
              <w:t>是：</w:t>
            </w:r>
            <w:r>
              <w:rPr>
                <w:rFonts w:hint="eastAsia" w:cs="Times New Roman"/>
                <w:color w:val="000000"/>
                <w:sz w:val="24"/>
                <w:szCs w:val="24"/>
                <w:u w:val="single"/>
                <w:lang w:val="en-US" w:eastAsia="zh-CN"/>
              </w:rPr>
              <w:t xml:space="preserve">       </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pacing w:val="-6"/>
                <w:sz w:val="24"/>
                <w:szCs w:val="24"/>
                <w:u w:val="none"/>
              </w:rPr>
            </w:pPr>
            <w:r>
              <w:rPr>
                <w:rFonts w:hint="default" w:ascii="Times New Roman" w:hAnsi="Times New Roman" w:cs="Times New Roman"/>
                <w:color w:val="000000"/>
                <w:spacing w:val="-6"/>
                <w:sz w:val="24"/>
                <w:szCs w:val="24"/>
                <w:u w:val="none"/>
              </w:rPr>
              <w:t>用地（用海）</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pacing w:val="-6"/>
                <w:sz w:val="24"/>
                <w:szCs w:val="24"/>
                <w:u w:val="none"/>
              </w:rPr>
              <w:t>面积（</w:t>
            </w:r>
            <w:r>
              <w:rPr>
                <w:rFonts w:hint="default" w:ascii="Times New Roman" w:hAnsi="Times New Roman" w:cs="Times New Roman"/>
                <w:color w:val="000000"/>
                <w:spacing w:val="-6"/>
                <w:sz w:val="24"/>
                <w:szCs w:val="24"/>
                <w:highlight w:val="none"/>
                <w:u w:val="none"/>
              </w:rPr>
              <w:t>m</w:t>
            </w:r>
            <w:r>
              <w:rPr>
                <w:rFonts w:hint="default" w:ascii="Times New Roman" w:hAnsi="Times New Roman" w:cs="Times New Roman"/>
                <w:color w:val="000000"/>
                <w:spacing w:val="-6"/>
                <w:sz w:val="24"/>
                <w:szCs w:val="24"/>
                <w:highlight w:val="none"/>
                <w:u w:val="none"/>
                <w:vertAlign w:val="superscript"/>
              </w:rPr>
              <w:t>2</w:t>
            </w:r>
            <w:r>
              <w:rPr>
                <w:rFonts w:hint="default" w:ascii="Times New Roman" w:hAnsi="Times New Roman" w:cs="Times New Roman"/>
                <w:color w:val="000000"/>
                <w:spacing w:val="-6"/>
                <w:sz w:val="24"/>
                <w:szCs w:val="24"/>
                <w:u w:val="none"/>
              </w:rPr>
              <w:t>）</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专项评价设置情况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color w:val="000000"/>
                <w:kern w:val="0"/>
                <w:sz w:val="24"/>
                <w:szCs w:val="24"/>
                <w:u w:val="none"/>
                <w:lang w:val="en-US" w:eastAsia="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sz w:val="24"/>
                <w:szCs w:val="24"/>
                <w:u w:val="none"/>
              </w:rPr>
              <w:t>规划情况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000000"/>
                <w:kern w:val="0"/>
                <w:sz w:val="24"/>
                <w:szCs w:val="24"/>
                <w:u w:val="none"/>
              </w:rPr>
            </w:pPr>
            <w:r>
              <w:rPr>
                <w:rFonts w:hint="eastAsia"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规划环境影响</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sz w:val="24"/>
                <w:szCs w:val="24"/>
                <w:u w:val="none"/>
              </w:rPr>
              <w:t>评价情况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kern w:val="0"/>
                <w:sz w:val="24"/>
                <w:szCs w:val="24"/>
                <w:u w:val="none"/>
                <w:lang w:val="en-US" w:eastAsia="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规划及规划环境影响评价符合性分析</w:t>
            </w:r>
          </w:p>
        </w:tc>
        <w:tc>
          <w:tcPr>
            <w:tcW w:w="7124" w:type="dxa"/>
            <w:gridSpan w:val="3"/>
            <w:noWrap w:val="0"/>
            <w:vAlign w:val="center"/>
          </w:tcPr>
          <w:p>
            <w:pPr>
              <w:ind w:left="0" w:leftChars="0" w:firstLine="0" w:firstLineChars="0"/>
              <w:jc w:val="center"/>
              <w:rPr>
                <w:rFonts w:hint="default" w:ascii="Times New Roman" w:hAnsi="Times New Roman" w:eastAsia="宋体" w:cs="Times New Roman"/>
                <w:b w:val="0"/>
                <w:bCs w:val="0"/>
                <w:color w:val="auto"/>
                <w:sz w:val="24"/>
                <w:szCs w:val="24"/>
                <w:u w:val="none"/>
                <w:lang w:val="en-US" w:eastAsia="zh-CN" w:bidi="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8" w:hRule="atLeast"/>
        </w:trPr>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sz w:val="24"/>
                <w:szCs w:val="24"/>
              </w:rPr>
            </w:pPr>
          </w:p>
          <w:p>
            <w:pPr>
              <w:rPr>
                <w:rFonts w:hint="default"/>
                <w:sz w:val="24"/>
                <w:szCs w:val="24"/>
              </w:rPr>
            </w:pPr>
          </w:p>
          <w:p>
            <w:pPr>
              <w:pStyle w:val="2"/>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sz w:val="24"/>
                <w:szCs w:val="24"/>
              </w:rPr>
            </w:pPr>
            <w:r>
              <w:rPr>
                <w:rFonts w:hint="default"/>
                <w:sz w:val="24"/>
                <w:szCs w:val="24"/>
              </w:rPr>
              <w:t>其他符</w:t>
            </w:r>
            <w:r>
              <w:rPr>
                <w:rFonts w:hint="default"/>
                <w:sz w:val="24"/>
                <w:szCs w:val="24"/>
                <w:lang w:eastAsia="zh-CN"/>
              </w:rPr>
              <w:t>合</w:t>
            </w:r>
            <w:r>
              <w:rPr>
                <w:rFonts w:hint="default"/>
                <w:sz w:val="24"/>
                <w:szCs w:val="24"/>
              </w:rPr>
              <w:t>性分析</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2"/>
              <w:ind w:left="0" w:leftChars="0" w:firstLine="0" w:firstLineChars="0"/>
              <w:rPr>
                <w:rFonts w:hint="default"/>
              </w:rPr>
            </w:pPr>
          </w:p>
        </w:tc>
        <w:tc>
          <w:tcPr>
            <w:tcW w:w="8122" w:type="dxa"/>
            <w:gridSpan w:val="4"/>
            <w:noWrap w:val="0"/>
            <w:vAlign w:val="center"/>
          </w:tcPr>
          <w:p>
            <w:pPr>
              <w:adjustRightInd w:val="0"/>
              <w:snapToGrid w:val="0"/>
              <w:spacing w:line="360" w:lineRule="auto"/>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lang w:val="en-US" w:eastAsia="zh-CN"/>
              </w:rPr>
              <w:t>1、</w:t>
            </w:r>
            <w:r>
              <w:rPr>
                <w:rFonts w:hint="default" w:ascii="Times New Roman" w:hAnsi="Times New Roman" w:eastAsia="宋体" w:cs="Times New Roman"/>
                <w:b/>
                <w:bCs/>
                <w:color w:val="000000"/>
                <w:kern w:val="0"/>
                <w:sz w:val="24"/>
              </w:rPr>
              <w:t>偃师市顾县镇总体规划（2014~2030）</w:t>
            </w:r>
          </w:p>
          <w:p>
            <w:pPr>
              <w:adjustRightInd w:val="0"/>
              <w:snapToGrid w:val="0"/>
              <w:spacing w:line="360" w:lineRule="auto"/>
              <w:ind w:firstLine="480" w:firstLineChars="200"/>
              <w:rPr>
                <w:rFonts w:hint="eastAsia" w:ascii="宋体" w:hAnsi="宋体" w:cs="宋体"/>
                <w:color w:val="000000"/>
                <w:kern w:val="0"/>
                <w:sz w:val="24"/>
              </w:rPr>
            </w:pPr>
            <w:r>
              <w:rPr>
                <w:rFonts w:ascii="Times New Roman" w:hAnsi="Times New Roman"/>
                <w:color w:val="000000"/>
                <w:kern w:val="0"/>
                <w:sz w:val="24"/>
              </w:rPr>
              <w:t>根据《偃师</w:t>
            </w:r>
            <w:r>
              <w:rPr>
                <w:rFonts w:hint="eastAsia" w:ascii="Times New Roman" w:hAnsi="Times New Roman"/>
                <w:color w:val="000000"/>
                <w:kern w:val="0"/>
                <w:sz w:val="24"/>
              </w:rPr>
              <w:t>市</w:t>
            </w:r>
            <w:r>
              <w:rPr>
                <w:rFonts w:ascii="Times New Roman" w:hAnsi="Times New Roman"/>
                <w:color w:val="000000"/>
                <w:kern w:val="0"/>
                <w:sz w:val="24"/>
              </w:rPr>
              <w:t>顾县镇总体规划》（2014</w:t>
            </w:r>
            <w:r>
              <w:rPr>
                <w:rFonts w:hint="eastAsia"/>
                <w:color w:val="000000"/>
                <w:kern w:val="0"/>
                <w:sz w:val="24"/>
                <w:lang w:eastAsia="zh-CN"/>
              </w:rPr>
              <w:t>～</w:t>
            </w:r>
            <w:r>
              <w:rPr>
                <w:rFonts w:ascii="Times New Roman" w:hAnsi="Times New Roman"/>
                <w:color w:val="000000"/>
                <w:kern w:val="0"/>
                <w:sz w:val="24"/>
              </w:rPr>
              <w:t>2030年），镇区近期主要向北发展，完成胡商国际城和铝合金城的建设，同时稳步推进</w:t>
            </w:r>
            <w:r>
              <w:rPr>
                <w:rFonts w:hint="eastAsia" w:ascii="宋体" w:hAnsi="宋体" w:cs="宋体"/>
                <w:color w:val="000000"/>
                <w:kern w:val="0"/>
                <w:sz w:val="24"/>
              </w:rPr>
              <w:t>建成区改造，远期向东、向南发展。镇区空间结构为“两轴两心五区”。</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两轴：两条综合发展轴，东西向为主，南北向为次。两条轴线是生活区、工业区紧密联系的纽带；</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“两心”：镇区公共中心位于镇区中部，是镇区办公、体育、医疗、文化及商业等设施的主要集聚地；镇北公共中心位于镇区北部，为胡商国际城、铝合金城服务，主要配套社区级公共设施；</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“五区”：包括镇区综合中心生活区、镇北配套生活服务区、顾县镇工业区、白云岭工业区、胡商和铝合金城商贸物流园区。</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本项目属于</w:t>
            </w:r>
            <w:r>
              <w:rPr>
                <w:rFonts w:ascii="宋体" w:hAnsi="宋体" w:cs="宋体"/>
                <w:color w:val="000000"/>
                <w:kern w:val="0"/>
                <w:sz w:val="24"/>
              </w:rPr>
              <w:t>顾县镇</w:t>
            </w:r>
            <w:r>
              <w:rPr>
                <w:rFonts w:hint="eastAsia" w:ascii="宋体" w:hAnsi="宋体" w:cs="宋体"/>
                <w:color w:val="000000"/>
                <w:kern w:val="0"/>
                <w:sz w:val="24"/>
              </w:rPr>
              <w:t>总体规划</w:t>
            </w:r>
            <w:r>
              <w:rPr>
                <w:rFonts w:ascii="宋体" w:hAnsi="宋体" w:cs="宋体"/>
                <w:color w:val="000000"/>
                <w:kern w:val="0"/>
                <w:sz w:val="24"/>
              </w:rPr>
              <w:t>内</w:t>
            </w:r>
            <w:r>
              <w:rPr>
                <w:rFonts w:hint="eastAsia" w:ascii="宋体" w:hAnsi="宋体" w:cs="宋体"/>
                <w:color w:val="000000"/>
                <w:kern w:val="0"/>
                <w:sz w:val="24"/>
              </w:rPr>
              <w:t>“五区”中</w:t>
            </w:r>
            <w:r>
              <w:rPr>
                <w:rFonts w:ascii="宋体" w:hAnsi="宋体" w:cs="宋体"/>
                <w:color w:val="000000"/>
                <w:kern w:val="0"/>
                <w:sz w:val="24"/>
              </w:rPr>
              <w:t>“</w:t>
            </w:r>
            <w:r>
              <w:rPr>
                <w:rFonts w:hint="eastAsia" w:ascii="宋体" w:hAnsi="宋体" w:cs="宋体"/>
                <w:color w:val="000000"/>
                <w:kern w:val="0"/>
                <w:sz w:val="24"/>
              </w:rPr>
              <w:t>顾县镇</w:t>
            </w:r>
            <w:r>
              <w:rPr>
                <w:rFonts w:ascii="宋体" w:hAnsi="宋体" w:cs="宋体"/>
                <w:color w:val="000000"/>
                <w:kern w:val="0"/>
                <w:sz w:val="24"/>
              </w:rPr>
              <w:t>工业区”</w:t>
            </w:r>
            <w:r>
              <w:rPr>
                <w:rFonts w:hint="eastAsia" w:ascii="宋体" w:hAnsi="宋体" w:cs="宋体"/>
                <w:color w:val="000000"/>
                <w:kern w:val="0"/>
                <w:sz w:val="24"/>
              </w:rPr>
              <w:t>范围</w:t>
            </w:r>
            <w:r>
              <w:rPr>
                <w:rFonts w:ascii="宋体" w:hAnsi="宋体" w:cs="宋体"/>
                <w:color w:val="000000"/>
                <w:kern w:val="0"/>
                <w:sz w:val="24"/>
              </w:rPr>
              <w:t>内，</w:t>
            </w:r>
            <w:r>
              <w:rPr>
                <w:rFonts w:hint="eastAsia" w:ascii="宋体" w:hAnsi="宋体" w:cs="宋体"/>
                <w:color w:val="000000"/>
                <w:kern w:val="0"/>
                <w:sz w:val="24"/>
              </w:rPr>
              <w:t>产业布局</w:t>
            </w:r>
            <w:r>
              <w:rPr>
                <w:rFonts w:ascii="宋体" w:hAnsi="宋体" w:cs="宋体"/>
                <w:color w:val="000000"/>
                <w:kern w:val="0"/>
                <w:sz w:val="24"/>
              </w:rPr>
              <w:t>为电线电缆及</w:t>
            </w:r>
            <w:r>
              <w:rPr>
                <w:rFonts w:hint="eastAsia" w:ascii="宋体" w:hAnsi="宋体" w:cs="宋体"/>
                <w:color w:val="000000"/>
                <w:kern w:val="0"/>
                <w:sz w:val="24"/>
              </w:rPr>
              <w:t>机电管件</w:t>
            </w:r>
            <w:r>
              <w:rPr>
                <w:rFonts w:ascii="宋体" w:hAnsi="宋体" w:cs="宋体"/>
                <w:color w:val="000000"/>
                <w:kern w:val="0"/>
                <w:sz w:val="24"/>
              </w:rPr>
              <w:t>工业</w:t>
            </w:r>
            <w:r>
              <w:rPr>
                <w:rFonts w:hint="eastAsia" w:ascii="宋体" w:hAnsi="宋体" w:cs="宋体"/>
                <w:color w:val="000000"/>
                <w:kern w:val="0"/>
                <w:sz w:val="24"/>
              </w:rPr>
              <w:t>，</w:t>
            </w:r>
            <w:r>
              <w:rPr>
                <w:rFonts w:ascii="Times New Roman" w:hAnsi="Times New Roman"/>
                <w:color w:val="000000"/>
                <w:sz w:val="24"/>
              </w:rPr>
              <w:t>多以铜、铝线材生产为主，本项目属</w:t>
            </w:r>
            <w:r>
              <w:rPr>
                <w:rFonts w:hint="eastAsia" w:cs="Times New Roman"/>
                <w:color w:val="000000"/>
                <w:sz w:val="24"/>
                <w:szCs w:val="24"/>
                <w:u w:val="none"/>
                <w:lang w:val="en-US" w:eastAsia="zh-CN"/>
              </w:rPr>
              <w:t>C2922塑料板、管、型材制造</w:t>
            </w:r>
            <w:r>
              <w:rPr>
                <w:rFonts w:ascii="Times New Roman" w:hAnsi="Times New Roman"/>
                <w:color w:val="000000"/>
                <w:sz w:val="24"/>
              </w:rPr>
              <w:t>项目，</w:t>
            </w:r>
            <w:r>
              <w:rPr>
                <w:rFonts w:hint="eastAsia" w:ascii="Times New Roman" w:hAnsi="Times New Roman"/>
                <w:color w:val="000000"/>
                <w:sz w:val="24"/>
              </w:rPr>
              <w:t>属于产业布局</w:t>
            </w:r>
            <w:r>
              <w:rPr>
                <w:rFonts w:ascii="Times New Roman" w:hAnsi="Times New Roman"/>
                <w:color w:val="000000"/>
                <w:sz w:val="24"/>
              </w:rPr>
              <w:t>中相关产业，</w:t>
            </w:r>
            <w:r>
              <w:rPr>
                <w:rFonts w:ascii="宋体" w:hAnsi="宋体" w:cs="宋体"/>
                <w:color w:val="000000"/>
                <w:kern w:val="0"/>
                <w:sz w:val="24"/>
              </w:rPr>
              <w:t>符合规划要求。</w:t>
            </w:r>
          </w:p>
          <w:p>
            <w:pPr>
              <w:adjustRightInd w:val="0"/>
              <w:snapToGrid w:val="0"/>
              <w:spacing w:line="360" w:lineRule="auto"/>
              <w:ind w:firstLine="482" w:firstLineChars="200"/>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val="en-US" w:eastAsia="zh-CN"/>
              </w:rPr>
              <w:t>1.1</w:t>
            </w:r>
            <w:r>
              <w:rPr>
                <w:rFonts w:hint="default" w:ascii="Times New Roman" w:hAnsi="Times New Roman" w:eastAsia="宋体" w:cs="Times New Roman"/>
                <w:b/>
                <w:bCs/>
                <w:color w:val="000000"/>
                <w:sz w:val="24"/>
              </w:rPr>
              <w:t>顾县镇工业区发展指导意见（偃发改[2013]131号）</w:t>
            </w:r>
          </w:p>
          <w:p>
            <w:pPr>
              <w:adjustRightInd w:val="0"/>
              <w:snapToGrid w:val="0"/>
              <w:spacing w:line="360" w:lineRule="auto"/>
              <w:ind w:firstLine="480" w:firstLineChars="200"/>
              <w:rPr>
                <w:rFonts w:ascii="Times New Roman" w:hAnsi="Times New Roman"/>
                <w:color w:val="000000"/>
                <w:sz w:val="24"/>
              </w:rPr>
            </w:pPr>
            <w:r>
              <w:rPr>
                <w:color w:val="000000"/>
                <w:sz w:val="24"/>
              </w:rPr>
              <w:t>根据</w:t>
            </w:r>
            <w:r>
              <w:rPr>
                <w:rFonts w:ascii="Times New Roman" w:hAnsi="Times New Roman"/>
                <w:color w:val="000000"/>
                <w:sz w:val="24"/>
              </w:rPr>
              <w:t xml:space="preserve"> “顾县镇工业园区发展指导意见（偃发改[2013]131号）”，顾县镇规划2个特色工业园区，包括电线电缆及机电管件工业区和白云岭装备制造工业区。</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本项目位于顾县镇东部，属电线电缆及机电管件工业区范围内，本项目属</w:t>
            </w:r>
            <w:r>
              <w:rPr>
                <w:rFonts w:hint="eastAsia" w:cs="Times New Roman"/>
                <w:color w:val="000000"/>
                <w:sz w:val="24"/>
                <w:szCs w:val="24"/>
                <w:u w:val="none"/>
                <w:lang w:val="en-US" w:eastAsia="zh-CN"/>
              </w:rPr>
              <w:t>C2922塑料板、管、型材制造</w:t>
            </w:r>
            <w:r>
              <w:rPr>
                <w:rFonts w:ascii="Times New Roman" w:hAnsi="Times New Roman"/>
                <w:color w:val="000000"/>
                <w:sz w:val="24"/>
              </w:rPr>
              <w:t>项目，根据顾县镇人民政府的相关文件，本项目符合顾县工业区产业规划。</w:t>
            </w:r>
          </w:p>
          <w:p>
            <w:pPr>
              <w:keepNext w:val="0"/>
              <w:keepLines w:val="0"/>
              <w:pageBreakBefore w:val="0"/>
              <w:widowControl w:val="0"/>
              <w:tabs>
                <w:tab w:val="left" w:pos="5854"/>
              </w:tabs>
              <w:kinsoku/>
              <w:wordWrap/>
              <w:overflowPunct/>
              <w:topLinePunct w:val="0"/>
              <w:autoSpaceDE w:val="0"/>
              <w:autoSpaceDN w:val="0"/>
              <w:bidi w:val="0"/>
              <w:adjustRightInd w:val="0"/>
              <w:snapToGrid w:val="0"/>
              <w:spacing w:before="0" w:line="360" w:lineRule="auto"/>
              <w:ind w:right="0" w:firstLine="480" w:firstLineChars="200"/>
              <w:textAlignment w:val="auto"/>
              <w:rPr>
                <w:rFonts w:ascii="Times New Roman" w:hAnsi="Times New Roman"/>
                <w:color w:val="000000"/>
                <w:sz w:val="24"/>
              </w:rPr>
            </w:pPr>
            <w:r>
              <w:rPr>
                <w:rFonts w:ascii="Times New Roman" w:hAnsi="Times New Roman"/>
                <w:color w:val="000000"/>
                <w:sz w:val="24"/>
              </w:rPr>
              <w:t>综上所述，本工程</w:t>
            </w:r>
            <w:r>
              <w:rPr>
                <w:rFonts w:hint="eastAsia" w:ascii="Times New Roman" w:hAnsi="Times New Roman"/>
                <w:color w:val="000000"/>
                <w:sz w:val="24"/>
              </w:rPr>
              <w:t>在</w:t>
            </w:r>
            <w:r>
              <w:rPr>
                <w:rFonts w:ascii="Times New Roman" w:hAnsi="Times New Roman"/>
                <w:color w:val="000000"/>
                <w:sz w:val="24"/>
              </w:rPr>
              <w:t>租赁车间</w:t>
            </w:r>
            <w:r>
              <w:rPr>
                <w:rFonts w:hint="eastAsia"/>
                <w:color w:val="000000"/>
                <w:sz w:val="24"/>
                <w:lang w:eastAsia="zh-CN"/>
              </w:rPr>
              <w:t>内</w:t>
            </w:r>
            <w:r>
              <w:rPr>
                <w:rFonts w:ascii="Times New Roman" w:hAnsi="Times New Roman"/>
                <w:color w:val="000000"/>
                <w:sz w:val="24"/>
              </w:rPr>
              <w:t>安装</w:t>
            </w:r>
            <w:r>
              <w:rPr>
                <w:rFonts w:hint="eastAsia" w:ascii="Times New Roman" w:hAnsi="Times New Roman"/>
                <w:color w:val="000000"/>
                <w:sz w:val="24"/>
              </w:rPr>
              <w:t>生产线</w:t>
            </w:r>
            <w:r>
              <w:rPr>
                <w:rFonts w:ascii="Times New Roman" w:hAnsi="Times New Roman"/>
                <w:color w:val="000000"/>
                <w:sz w:val="24"/>
              </w:rPr>
              <w:t>，工程</w:t>
            </w:r>
            <w:r>
              <w:rPr>
                <w:rFonts w:hint="eastAsia" w:ascii="Times New Roman" w:hAnsi="Times New Roman"/>
                <w:color w:val="000000"/>
                <w:sz w:val="24"/>
              </w:rPr>
              <w:t>占地和</w:t>
            </w:r>
            <w:r>
              <w:rPr>
                <w:rFonts w:ascii="Times New Roman" w:hAnsi="Times New Roman"/>
                <w:color w:val="000000"/>
                <w:sz w:val="24"/>
              </w:rPr>
              <w:t>规划均符合偃师市顾县镇总体规划要求，也符合顾县镇工业区发展指导意见的相关要求。</w:t>
            </w:r>
          </w:p>
          <w:p>
            <w:pPr>
              <w:keepNext w:val="0"/>
              <w:keepLines w:val="0"/>
              <w:pageBreakBefore w:val="0"/>
              <w:widowControl w:val="0"/>
              <w:tabs>
                <w:tab w:val="left" w:pos="5854"/>
              </w:tabs>
              <w:kinsoku/>
              <w:wordWrap/>
              <w:overflowPunct/>
              <w:topLinePunct w:val="0"/>
              <w:autoSpaceDE w:val="0"/>
              <w:autoSpaceDN w:val="0"/>
              <w:bidi w:val="0"/>
              <w:adjustRightInd w:val="0"/>
              <w:snapToGrid w:val="0"/>
              <w:spacing w:before="0" w:line="360" w:lineRule="auto"/>
              <w:ind w:right="0"/>
              <w:textAlignment w:val="auto"/>
              <w:rPr>
                <w:rFonts w:hint="default" w:ascii="Times New Roman" w:hAnsi="Times New Roman" w:eastAsia="宋体" w:cs="Times New Roman"/>
                <w:b/>
                <w:bCs/>
                <w:sz w:val="24"/>
                <w:szCs w:val="24"/>
                <w:u w:val="none"/>
                <w:lang w:val="en-US" w:eastAsia="zh-CN" w:bidi="zh-CN"/>
              </w:rPr>
            </w:pPr>
            <w:r>
              <w:rPr>
                <w:rFonts w:hint="eastAsia" w:cs="Times New Roman"/>
                <w:b/>
                <w:bCs/>
                <w:sz w:val="24"/>
                <w:szCs w:val="24"/>
                <w:u w:val="none"/>
                <w:lang w:val="en-US" w:eastAsia="zh-CN" w:bidi="zh-CN"/>
              </w:rPr>
              <w:t>2</w:t>
            </w:r>
            <w:r>
              <w:rPr>
                <w:rFonts w:hint="default" w:ascii="Times New Roman" w:hAnsi="Times New Roman" w:eastAsia="宋体" w:cs="Times New Roman"/>
                <w:b/>
                <w:bCs/>
                <w:sz w:val="24"/>
                <w:szCs w:val="24"/>
                <w:u w:val="none"/>
                <w:lang w:val="en-US" w:eastAsia="zh-CN" w:bidi="zh-CN"/>
              </w:rPr>
              <w:t>、与《产业结构调整指导目录（2019年本）》相符性分析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sz w:val="24"/>
                <w:szCs w:val="24"/>
                <w:highlight w:val="none"/>
                <w:u w:val="none"/>
                <w:lang w:val="en-US" w:eastAsia="zh-CN"/>
              </w:rPr>
              <w:t>本项目属于</w:t>
            </w:r>
            <w:r>
              <w:rPr>
                <w:rFonts w:hint="eastAsia" w:cs="Times New Roman"/>
                <w:color w:val="000000"/>
                <w:sz w:val="24"/>
                <w:szCs w:val="24"/>
                <w:u w:val="none"/>
                <w:lang w:val="en-US" w:eastAsia="zh-CN"/>
              </w:rPr>
              <w:t>C2922塑料板、管、型材制造业</w:t>
            </w:r>
            <w:r>
              <w:rPr>
                <w:rFonts w:hint="default" w:ascii="Times New Roman" w:hAnsi="Times New Roman" w:eastAsia="宋体" w:cs="Times New Roman"/>
                <w:sz w:val="24"/>
                <w:szCs w:val="24"/>
                <w:u w:val="none"/>
                <w:lang w:val="en-US" w:eastAsia="zh-CN"/>
              </w:rPr>
              <w:t>，经查《产业结构调整指导目录（2019年本）》，本项目不属于限制类和淘汰类项目，为允许类项目，项目建设符</w:t>
            </w:r>
            <w:r>
              <w:rPr>
                <w:rFonts w:hint="default" w:ascii="Times New Roman" w:hAnsi="Times New Roman" w:eastAsia="宋体" w:cs="Times New Roman"/>
                <w:color w:val="auto"/>
                <w:sz w:val="24"/>
                <w:szCs w:val="24"/>
                <w:u w:val="none"/>
                <w:lang w:val="en-US" w:eastAsia="zh-CN"/>
              </w:rPr>
              <w:t>合国家产业政策。本项目已经在</w:t>
            </w:r>
            <w:r>
              <w:rPr>
                <w:rFonts w:hint="eastAsia" w:cs="Times New Roman"/>
                <w:color w:val="auto"/>
                <w:sz w:val="24"/>
                <w:szCs w:val="24"/>
                <w:u w:val="none"/>
                <w:lang w:val="en-US" w:eastAsia="zh-CN"/>
              </w:rPr>
              <w:t>洛阳市</w:t>
            </w:r>
            <w:r>
              <w:rPr>
                <w:rFonts w:hint="eastAsia" w:cs="Times New Roman"/>
                <w:color w:val="000000"/>
                <w:sz w:val="24"/>
                <w:szCs w:val="24"/>
                <w:u w:val="none"/>
                <w:lang w:val="en-US" w:eastAsia="zh-CN"/>
              </w:rPr>
              <w:t>偃师</w:t>
            </w:r>
            <w:r>
              <w:rPr>
                <w:rFonts w:hint="eastAsia" w:ascii="Times New Roman" w:hAnsi="Times New Roman" w:eastAsia="宋体" w:cs="Times New Roman"/>
                <w:color w:val="000000"/>
                <w:sz w:val="24"/>
                <w:szCs w:val="24"/>
                <w:u w:val="none"/>
                <w:lang w:val="en-US" w:eastAsia="zh-CN"/>
              </w:rPr>
              <w:t>区</w:t>
            </w:r>
            <w:r>
              <w:rPr>
                <w:rFonts w:hint="eastAsia" w:cs="Times New Roman"/>
                <w:color w:val="000000"/>
                <w:sz w:val="24"/>
                <w:szCs w:val="24"/>
                <w:u w:val="none"/>
                <w:lang w:val="en-US" w:eastAsia="zh-CN"/>
              </w:rPr>
              <w:t>发展和改革</w:t>
            </w:r>
            <w:r>
              <w:rPr>
                <w:rFonts w:hint="eastAsia" w:ascii="Times New Roman" w:hAnsi="Times New Roman" w:eastAsia="宋体" w:cs="Times New Roman"/>
                <w:color w:val="000000"/>
                <w:sz w:val="24"/>
                <w:szCs w:val="24"/>
                <w:u w:val="none"/>
                <w:lang w:val="en-US" w:eastAsia="zh-CN"/>
              </w:rPr>
              <w:t>委员会</w:t>
            </w:r>
            <w:r>
              <w:rPr>
                <w:rFonts w:hint="default" w:ascii="Times New Roman" w:hAnsi="Times New Roman" w:eastAsia="宋体" w:cs="Times New Roman"/>
                <w:color w:val="auto"/>
                <w:sz w:val="24"/>
                <w:szCs w:val="24"/>
                <w:u w:val="none"/>
                <w:lang w:val="en-US" w:eastAsia="zh-CN"/>
              </w:rPr>
              <w:t>审核同意备案，项目代码：</w:t>
            </w:r>
            <w:r>
              <w:rPr>
                <w:rFonts w:hint="eastAsia" w:cs="Times New Roman"/>
                <w:color w:val="000000"/>
                <w:sz w:val="24"/>
                <w:szCs w:val="24"/>
                <w:highlight w:val="none"/>
                <w:u w:val="none"/>
                <w:lang w:val="en-US" w:eastAsia="zh-CN"/>
              </w:rPr>
              <w:t>2306-410381-04-05-873024</w:t>
            </w:r>
            <w:r>
              <w:rPr>
                <w:rFonts w:hint="default" w:ascii="Times New Roman" w:hAnsi="Times New Roman" w:eastAsia="宋体" w:cs="Times New Roman"/>
                <w:color w:val="auto"/>
                <w:sz w:val="24"/>
                <w:szCs w:val="24"/>
                <w:highlight w:val="none"/>
                <w:u w:val="none"/>
                <w:lang w:val="en-US" w:eastAsia="zh-CN"/>
              </w:rPr>
              <w:t>。</w:t>
            </w:r>
          </w:p>
          <w:p>
            <w:pPr>
              <w:pStyle w:val="7"/>
              <w:pageBreakBefore w:val="0"/>
              <w:widowControl w:val="0"/>
              <w:tabs>
                <w:tab w:val="left" w:pos="652"/>
                <w:tab w:val="left" w:pos="720"/>
                <w:tab w:val="left" w:pos="907"/>
              </w:tabs>
              <w:kinsoku/>
              <w:wordWrap/>
              <w:overflowPunct/>
              <w:topLinePunct w:val="0"/>
              <w:bidi w:val="0"/>
              <w:adjustRightInd w:val="0"/>
              <w:snapToGrid w:val="0"/>
              <w:spacing w:before="0" w:after="0" w:line="360" w:lineRule="auto"/>
              <w:textAlignment w:val="auto"/>
              <w:rPr>
                <w:rFonts w:hint="default" w:ascii="Times New Roman" w:hAnsi="Times New Roman" w:eastAsia="宋体" w:cs="Times New Roman"/>
                <w:b/>
                <w:bCs w:val="0"/>
                <w:color w:val="000000"/>
                <w:kern w:val="28"/>
                <w:sz w:val="24"/>
                <w:szCs w:val="24"/>
                <w:u w:val="none"/>
              </w:rPr>
            </w:pPr>
            <w:r>
              <w:rPr>
                <w:rFonts w:hint="eastAsia" w:cs="Times New Roman"/>
                <w:b/>
                <w:bCs w:val="0"/>
                <w:color w:val="000000"/>
                <w:kern w:val="28"/>
                <w:sz w:val="24"/>
                <w:szCs w:val="24"/>
                <w:u w:val="none"/>
                <w:lang w:val="en-US" w:eastAsia="zh-CN"/>
              </w:rPr>
              <w:t>3</w:t>
            </w:r>
            <w:r>
              <w:rPr>
                <w:rFonts w:hint="default" w:ascii="Times New Roman" w:hAnsi="Times New Roman" w:eastAsia="宋体" w:cs="Times New Roman"/>
                <w:b/>
                <w:bCs w:val="0"/>
                <w:color w:val="000000"/>
                <w:kern w:val="28"/>
                <w:sz w:val="24"/>
                <w:szCs w:val="24"/>
                <w:u w:val="none"/>
              </w:rPr>
              <w:t>、项目与</w:t>
            </w:r>
            <w:r>
              <w:rPr>
                <w:rFonts w:hint="default" w:ascii="Times New Roman" w:hAnsi="Times New Roman" w:eastAsia="宋体" w:cs="Times New Roman"/>
                <w:b/>
                <w:bCs w:val="0"/>
                <w:color w:val="000000"/>
                <w:kern w:val="28"/>
                <w:sz w:val="24"/>
                <w:szCs w:val="24"/>
                <w:highlight w:val="none"/>
                <w:u w:val="none"/>
              </w:rPr>
              <w:t>《</w:t>
            </w:r>
            <w:r>
              <w:rPr>
                <w:rFonts w:hint="default" w:ascii="Times New Roman" w:hAnsi="Times New Roman" w:eastAsia="宋体" w:cs="Times New Roman"/>
                <w:b/>
                <w:bCs w:val="0"/>
                <w:color w:val="000000"/>
                <w:kern w:val="28"/>
                <w:sz w:val="24"/>
                <w:szCs w:val="24"/>
                <w:u w:val="none"/>
                <w:lang w:eastAsia="zh-CN"/>
              </w:rPr>
              <w:t>洛阳市人民政府关于实施“三线一单”生态环境分区管控的意见</w:t>
            </w:r>
            <w:r>
              <w:rPr>
                <w:rFonts w:hint="default" w:ascii="Times New Roman" w:hAnsi="Times New Roman" w:eastAsia="宋体" w:cs="Times New Roman"/>
                <w:b/>
                <w:bCs w:val="0"/>
                <w:color w:val="000000"/>
                <w:kern w:val="28"/>
                <w:sz w:val="24"/>
                <w:szCs w:val="24"/>
                <w:highlight w:val="none"/>
                <w:u w:val="none"/>
              </w:rPr>
              <w:t>》</w:t>
            </w:r>
            <w:r>
              <w:rPr>
                <w:rFonts w:hint="default" w:ascii="Times New Roman" w:hAnsi="Times New Roman" w:eastAsia="宋体" w:cs="Times New Roman"/>
                <w:b/>
                <w:bCs w:val="0"/>
                <w:color w:val="000000"/>
                <w:kern w:val="28"/>
                <w:sz w:val="24"/>
                <w:szCs w:val="24"/>
                <w:u w:val="none"/>
              </w:rPr>
              <w:t>（</w:t>
            </w:r>
            <w:r>
              <w:rPr>
                <w:rFonts w:hint="default" w:ascii="Times New Roman" w:hAnsi="Times New Roman" w:eastAsia="宋体" w:cs="Times New Roman"/>
                <w:b/>
                <w:bCs w:val="0"/>
                <w:color w:val="000000"/>
                <w:kern w:val="28"/>
                <w:sz w:val="24"/>
                <w:szCs w:val="24"/>
                <w:u w:val="none"/>
                <w:lang w:eastAsia="zh-CN"/>
              </w:rPr>
              <w:t>洛政</w:t>
            </w:r>
            <w:r>
              <w:rPr>
                <w:rFonts w:hint="eastAsia" w:cs="Times New Roman"/>
                <w:b/>
                <w:bCs w:val="0"/>
                <w:color w:val="000000"/>
                <w:kern w:val="28"/>
                <w:sz w:val="24"/>
                <w:szCs w:val="24"/>
                <w:u w:val="none"/>
                <w:lang w:val="en-US" w:eastAsia="zh-CN"/>
              </w:rPr>
              <w:t>〔2021〕</w:t>
            </w:r>
            <w:r>
              <w:rPr>
                <w:rFonts w:hint="default" w:ascii="Times New Roman" w:hAnsi="Times New Roman" w:eastAsia="宋体" w:cs="Times New Roman"/>
                <w:b/>
                <w:bCs w:val="0"/>
                <w:color w:val="000000"/>
                <w:kern w:val="28"/>
                <w:sz w:val="24"/>
                <w:szCs w:val="24"/>
                <w:u w:val="none"/>
                <w:lang w:val="en-US" w:eastAsia="zh-CN"/>
              </w:rPr>
              <w:t>7号</w:t>
            </w:r>
            <w:r>
              <w:rPr>
                <w:rFonts w:hint="default" w:ascii="Times New Roman" w:hAnsi="Times New Roman" w:eastAsia="宋体" w:cs="Times New Roman"/>
                <w:b/>
                <w:bCs w:val="0"/>
                <w:color w:val="000000"/>
                <w:kern w:val="28"/>
                <w:sz w:val="24"/>
                <w:szCs w:val="24"/>
                <w:u w:val="none"/>
              </w:rPr>
              <w:t>）符合性分析</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根</w:t>
            </w:r>
            <w:r>
              <w:rPr>
                <w:rFonts w:hint="default" w:ascii="Times New Roman" w:hAnsi="Times New Roman" w:cs="Times New Roman"/>
                <w:color w:val="000000"/>
                <w:kern w:val="0"/>
                <w:sz w:val="24"/>
                <w:highlight w:val="none"/>
                <w:u w:val="none"/>
              </w:rPr>
              <w:t>据</w:t>
            </w:r>
            <w:r>
              <w:rPr>
                <w:rFonts w:hint="default" w:ascii="Times New Roman" w:hAnsi="Times New Roman" w:cs="Times New Roman"/>
                <w:color w:val="000000"/>
                <w:kern w:val="0"/>
                <w:sz w:val="24"/>
                <w:u w:val="none"/>
              </w:rPr>
              <w:t>《洛阳市人民政府关于实施“三线一单”生态环境分区管控的意见</w:t>
            </w:r>
            <w:r>
              <w:rPr>
                <w:rFonts w:hint="default" w:ascii="Times New Roman" w:hAnsi="Times New Roman" w:cs="Times New Roman"/>
                <w:color w:val="000000"/>
                <w:kern w:val="0"/>
                <w:sz w:val="24"/>
                <w:highlight w:val="none"/>
                <w:u w:val="none"/>
              </w:rPr>
              <w:t>》</w:t>
            </w:r>
            <w:r>
              <w:rPr>
                <w:rFonts w:hint="default" w:ascii="Times New Roman" w:hAnsi="Times New Roman" w:cs="Times New Roman"/>
                <w:color w:val="000000"/>
                <w:kern w:val="0"/>
                <w:sz w:val="24"/>
                <w:u w:val="none"/>
              </w:rPr>
              <w:t>（洛政</w:t>
            </w:r>
            <w:r>
              <w:rPr>
                <w:rFonts w:hint="eastAsia" w:cs="Times New Roman"/>
                <w:color w:val="000000"/>
                <w:kern w:val="0"/>
                <w:sz w:val="24"/>
                <w:u w:val="none"/>
                <w:lang w:eastAsia="zh-CN"/>
              </w:rPr>
              <w:t>〔2021〕</w:t>
            </w:r>
            <w:r>
              <w:rPr>
                <w:rFonts w:hint="default" w:ascii="Times New Roman" w:hAnsi="Times New Roman" w:cs="Times New Roman"/>
                <w:color w:val="000000"/>
                <w:kern w:val="0"/>
                <w:sz w:val="24"/>
                <w:u w:val="none"/>
              </w:rPr>
              <w:t>7号），落实生态保护红线、环境质量底线、资源利用上线和</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环境准入清单</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约束，本项目位于</w:t>
            </w:r>
            <w:r>
              <w:rPr>
                <w:rFonts w:hint="eastAsia" w:cs="Times New Roman"/>
                <w:color w:val="000000"/>
                <w:sz w:val="24"/>
                <w:szCs w:val="24"/>
                <w:u w:val="none"/>
                <w:lang w:val="en-US" w:eastAsia="zh-CN"/>
              </w:rPr>
              <w:t>洛阳市偃师市顾县镇回龙湾工业区1号</w:t>
            </w:r>
            <w:r>
              <w:rPr>
                <w:rFonts w:hint="default" w:ascii="Times New Roman" w:hAnsi="Times New Roman" w:cs="Times New Roman"/>
                <w:color w:val="000000"/>
                <w:kern w:val="0"/>
                <w:sz w:val="24"/>
                <w:u w:val="none"/>
              </w:rPr>
              <w:t>，属于重点管控单元。</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u w:val="none"/>
              </w:rPr>
            </w:pPr>
            <w:r>
              <w:rPr>
                <w:rFonts w:hint="eastAsia" w:cs="Times New Roman"/>
                <w:color w:val="000000"/>
                <w:kern w:val="0"/>
                <w:sz w:val="24"/>
                <w:u w:val="none"/>
                <w:lang w:eastAsia="zh-CN"/>
              </w:rPr>
              <w:t>（</w:t>
            </w:r>
            <w:r>
              <w:rPr>
                <w:rFonts w:hint="eastAsia" w:cs="Times New Roman"/>
                <w:color w:val="000000"/>
                <w:kern w:val="0"/>
                <w:sz w:val="24"/>
                <w:u w:val="none"/>
                <w:lang w:val="en-US" w:eastAsia="zh-CN"/>
              </w:rPr>
              <w:t>1</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生态保护红线</w:t>
            </w:r>
          </w:p>
          <w:p>
            <w:pPr>
              <w:pStyle w:val="85"/>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b/>
                <w:bCs/>
                <w:color w:val="auto"/>
                <w:highlight w:val="none"/>
              </w:rPr>
            </w:pPr>
            <w:r>
              <w:rPr>
                <w:rFonts w:hint="eastAsia"/>
                <w:b/>
                <w:bCs/>
                <w:highlight w:val="none"/>
              </w:rPr>
              <w:t>本项目选址位于</w:t>
            </w:r>
            <w:r>
              <w:rPr>
                <w:rFonts w:hint="eastAsia" w:cs="Times New Roman"/>
                <w:b/>
                <w:bCs/>
                <w:color w:val="000000"/>
                <w:sz w:val="24"/>
                <w:szCs w:val="24"/>
                <w:highlight w:val="none"/>
                <w:u w:val="none"/>
                <w:lang w:val="en-US" w:eastAsia="zh-CN"/>
              </w:rPr>
              <w:t>洛阳市偃师市顾县镇回龙湾工业区1号</w:t>
            </w:r>
            <w:r>
              <w:rPr>
                <w:rFonts w:hint="eastAsia"/>
                <w:b/>
                <w:bCs/>
                <w:highlight w:val="none"/>
              </w:rPr>
              <w:t>，经过现场踏勘，本项目不在自然保护区、风景名胜区、森林公园、地质公园、重要生态功能区、生态敏感区和脆弱区以及其他要求禁止建设的环境敏感区内，对照“洛阳市生态环境管控单元分布图”（附图</w:t>
            </w:r>
            <w:r>
              <w:rPr>
                <w:rFonts w:hint="eastAsia"/>
                <w:b/>
                <w:bCs/>
                <w:highlight w:val="none"/>
                <w:lang w:val="en-US" w:eastAsia="zh-CN"/>
              </w:rPr>
              <w:t>8</w:t>
            </w:r>
            <w:r>
              <w:rPr>
                <w:rFonts w:hint="eastAsia"/>
                <w:b/>
                <w:bCs/>
                <w:highlight w:val="none"/>
              </w:rPr>
              <w:t>），本项目位于偃师区</w:t>
            </w:r>
            <w:r>
              <w:rPr>
                <w:rFonts w:hint="eastAsia"/>
                <w:b/>
                <w:bCs/>
                <w:highlight w:val="none"/>
                <w:lang w:val="en-US" w:eastAsia="zh-CN"/>
              </w:rPr>
              <w:t>重点</w:t>
            </w:r>
            <w:r>
              <w:rPr>
                <w:rFonts w:hint="eastAsia"/>
                <w:b/>
                <w:bCs/>
                <w:highlight w:val="none"/>
              </w:rPr>
              <w:t>管控单元内</w:t>
            </w:r>
            <w:r>
              <w:rPr>
                <w:rFonts w:hint="eastAsia"/>
                <w:b/>
                <w:bCs/>
                <w:highlight w:val="none"/>
                <w:lang w:eastAsia="zh-CN"/>
              </w:rPr>
              <w:t>，项目实施符合生态保护红线管理要求</w:t>
            </w:r>
            <w:r>
              <w:rPr>
                <w:rFonts w:hint="default" w:ascii="Times New Roman" w:hAnsi="Times New Roman" w:cs="Times New Roman"/>
                <w:b/>
                <w:bCs/>
                <w:color w:val="auto"/>
                <w:highlight w:val="none"/>
              </w:rPr>
              <w:t>。</w:t>
            </w:r>
          </w:p>
          <w:p>
            <w:pPr>
              <w:pStyle w:val="49"/>
              <w:keepNext w:val="0"/>
              <w:keepLines w:val="0"/>
              <w:pageBreakBefore w:val="0"/>
              <w:widowControl w:val="0"/>
              <w:kinsoku/>
              <w:wordWrap/>
              <w:overflowPunct w:val="0"/>
              <w:topLinePunct w:val="0"/>
              <w:autoSpaceDE w:val="0"/>
              <w:autoSpaceDN w:val="0"/>
              <w:bidi w:val="0"/>
              <w:adjustRightInd/>
              <w:snapToGrid/>
              <w:ind w:firstLine="480" w:firstLineChars="200"/>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（2）环境质量底线</w:t>
            </w:r>
          </w:p>
          <w:p>
            <w:pPr>
              <w:autoSpaceDE w:val="0"/>
              <w:autoSpaceDN w:val="0"/>
              <w:adjustRightInd w:val="0"/>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大气：根据洛阳市生态环境局公布的《2022年洛阳市生态环境状况公报》，项目所在评价区域PM</w:t>
            </w:r>
            <w:r>
              <w:rPr>
                <w:rFonts w:hint="eastAsia" w:ascii="Times New Roman" w:hAnsi="Times New Roman"/>
                <w:kern w:val="0"/>
                <w:sz w:val="24"/>
                <w:szCs w:val="24"/>
                <w:vertAlign w:val="subscript"/>
              </w:rPr>
              <w:t>2.5</w:t>
            </w:r>
            <w:r>
              <w:rPr>
                <w:rFonts w:hint="eastAsia" w:ascii="Times New Roman" w:hAnsi="Times New Roman"/>
                <w:kern w:val="0"/>
                <w:sz w:val="24"/>
                <w:szCs w:val="24"/>
              </w:rPr>
              <w:t>、PM</w:t>
            </w:r>
            <w:r>
              <w:rPr>
                <w:rFonts w:hint="eastAsia" w:ascii="Times New Roman" w:hAnsi="Times New Roman"/>
                <w:kern w:val="0"/>
                <w:sz w:val="24"/>
                <w:szCs w:val="24"/>
                <w:vertAlign w:val="subscript"/>
              </w:rPr>
              <w:t>10</w:t>
            </w:r>
            <w:r>
              <w:rPr>
                <w:rFonts w:hint="eastAsia" w:ascii="Times New Roman" w:hAnsi="Times New Roman"/>
                <w:kern w:val="0"/>
                <w:sz w:val="24"/>
                <w:szCs w:val="24"/>
              </w:rPr>
              <w:t>、O</w:t>
            </w:r>
            <w:r>
              <w:rPr>
                <w:rFonts w:hint="eastAsia" w:ascii="Times New Roman" w:hAnsi="Times New Roman"/>
                <w:kern w:val="0"/>
                <w:sz w:val="24"/>
                <w:szCs w:val="24"/>
                <w:vertAlign w:val="subscript"/>
              </w:rPr>
              <w:t>3</w:t>
            </w:r>
            <w:r>
              <w:rPr>
                <w:rFonts w:hint="eastAsia" w:ascii="Times New Roman" w:hAnsi="Times New Roman"/>
                <w:kern w:val="0"/>
                <w:sz w:val="24"/>
                <w:szCs w:val="24"/>
              </w:rPr>
              <w:t>不能满足《环境空气质量标准》（GB3095-2012）二级标准要求，因此项目所在区域为环境空气质量不达标区。项目运营过程中产生的废气经治理后达标排放，对项目区域环境空气影响较小，不会改变项目所在区域的大气环境功能。</w:t>
            </w:r>
          </w:p>
          <w:p>
            <w:pPr>
              <w:autoSpaceDE w:val="0"/>
              <w:autoSpaceDN w:val="0"/>
              <w:adjustRightInd w:val="0"/>
              <w:spacing w:line="360" w:lineRule="auto"/>
              <w:ind w:firstLine="482" w:firstLineChars="200"/>
              <w:rPr>
                <w:rFonts w:hint="eastAsia" w:ascii="Times New Roman" w:hAnsi="Times New Roman"/>
                <w:b/>
                <w:bCs/>
                <w:kern w:val="0"/>
                <w:sz w:val="24"/>
                <w:szCs w:val="24"/>
              </w:rPr>
            </w:pPr>
            <w:r>
              <w:rPr>
                <w:rFonts w:hint="eastAsia" w:ascii="Times New Roman" w:hAnsi="Times New Roman"/>
                <w:b/>
                <w:bCs/>
                <w:kern w:val="0"/>
                <w:sz w:val="24"/>
                <w:szCs w:val="24"/>
              </w:rPr>
              <w:t>声环境：</w:t>
            </w:r>
            <w:r>
              <w:rPr>
                <w:rFonts w:hint="eastAsia"/>
                <w:b/>
                <w:bCs/>
                <w:kern w:val="0"/>
                <w:sz w:val="24"/>
                <w:szCs w:val="24"/>
                <w:lang w:val="en-US" w:eastAsia="zh-CN"/>
              </w:rPr>
              <w:t>根据现场调查，项目位于工业居住混杂区，</w:t>
            </w:r>
            <w:r>
              <w:rPr>
                <w:rFonts w:ascii="Times New Roman" w:hAnsi="Times New Roman"/>
                <w:b/>
                <w:bCs/>
                <w:kern w:val="0"/>
                <w:sz w:val="24"/>
                <w:szCs w:val="24"/>
              </w:rPr>
              <w:t>为</w:t>
            </w:r>
            <w:r>
              <w:rPr>
                <w:rFonts w:hint="eastAsia"/>
                <w:b/>
                <w:bCs/>
                <w:kern w:val="0"/>
                <w:sz w:val="24"/>
                <w:szCs w:val="24"/>
                <w:lang w:val="en-US" w:eastAsia="zh-CN"/>
              </w:rPr>
              <w:t>2</w:t>
            </w:r>
            <w:r>
              <w:rPr>
                <w:rFonts w:hint="eastAsia" w:ascii="Times New Roman" w:hAnsi="Times New Roman"/>
                <w:b/>
                <w:bCs/>
                <w:kern w:val="0"/>
                <w:sz w:val="24"/>
                <w:szCs w:val="24"/>
              </w:rPr>
              <w:t>类</w:t>
            </w:r>
            <w:r>
              <w:rPr>
                <w:rFonts w:ascii="Times New Roman" w:hAnsi="Times New Roman"/>
                <w:b/>
                <w:bCs/>
                <w:kern w:val="0"/>
                <w:sz w:val="24"/>
                <w:szCs w:val="24"/>
              </w:rPr>
              <w:t>声环境功能区，根据运营期厂界声环境预测结果，项目厂界噪声贡献值能够满足《工业企业厂界环境噪声排放标准》</w:t>
            </w:r>
            <w:r>
              <w:rPr>
                <w:rFonts w:hint="eastAsia" w:ascii="Times New Roman" w:hAnsi="Times New Roman"/>
                <w:b/>
                <w:bCs/>
                <w:kern w:val="0"/>
                <w:sz w:val="24"/>
                <w:szCs w:val="24"/>
              </w:rPr>
              <w:t>（</w:t>
            </w:r>
            <w:r>
              <w:rPr>
                <w:rFonts w:ascii="Times New Roman" w:hAnsi="Times New Roman"/>
                <w:b/>
                <w:bCs/>
                <w:kern w:val="0"/>
                <w:sz w:val="24"/>
                <w:szCs w:val="24"/>
              </w:rPr>
              <w:t>GB12348-2008</w:t>
            </w:r>
            <w:r>
              <w:rPr>
                <w:rFonts w:hint="eastAsia" w:ascii="Times New Roman" w:hAnsi="Times New Roman"/>
                <w:b/>
                <w:bCs/>
                <w:kern w:val="0"/>
                <w:sz w:val="24"/>
                <w:szCs w:val="24"/>
              </w:rPr>
              <w:t>）</w:t>
            </w:r>
            <w:r>
              <w:rPr>
                <w:rFonts w:ascii="Times New Roman" w:hAnsi="Times New Roman"/>
                <w:b/>
                <w:bCs/>
                <w:kern w:val="0"/>
                <w:sz w:val="24"/>
                <w:szCs w:val="24"/>
              </w:rPr>
              <w:t>中</w:t>
            </w:r>
            <w:r>
              <w:rPr>
                <w:rFonts w:hint="eastAsia"/>
                <w:b/>
                <w:bCs/>
                <w:kern w:val="0"/>
                <w:sz w:val="24"/>
                <w:szCs w:val="24"/>
                <w:lang w:val="en-US" w:eastAsia="zh-CN"/>
              </w:rPr>
              <w:t>2</w:t>
            </w:r>
            <w:r>
              <w:rPr>
                <w:rFonts w:ascii="Times New Roman" w:hAnsi="Times New Roman"/>
                <w:b/>
                <w:bCs/>
                <w:kern w:val="0"/>
                <w:sz w:val="24"/>
                <w:szCs w:val="24"/>
              </w:rPr>
              <w:t>类标准要求，本项目建成后通过厂房隔声等降噪措施后，不会改变项目所在区域的声环境功能。</w:t>
            </w:r>
          </w:p>
          <w:p>
            <w:pPr>
              <w:autoSpaceDE w:val="0"/>
              <w:autoSpaceDN w:val="0"/>
              <w:adjustRightInd w:val="0"/>
              <w:spacing w:line="360" w:lineRule="auto"/>
              <w:ind w:firstLine="480" w:firstLineChars="200"/>
              <w:rPr>
                <w:rFonts w:hint="eastAsia" w:ascii="Times New Roman" w:hAnsi="Times New Roman"/>
                <w:sz w:val="24"/>
                <w:szCs w:val="24"/>
              </w:rPr>
            </w:pPr>
            <w:r>
              <w:rPr>
                <w:rFonts w:hint="eastAsia" w:ascii="Times New Roman" w:hAnsi="Times New Roman"/>
                <w:kern w:val="0"/>
                <w:sz w:val="24"/>
                <w:szCs w:val="24"/>
              </w:rPr>
              <w:t>地表水：</w:t>
            </w:r>
            <w:r>
              <w:rPr>
                <w:rFonts w:hint="eastAsia" w:ascii="Times New Roman" w:hAnsi="Times New Roman"/>
                <w:sz w:val="24"/>
                <w:szCs w:val="24"/>
              </w:rPr>
              <w:t>距项目最近的地表水体为伊洛河，根据</w:t>
            </w:r>
            <w:r>
              <w:rPr>
                <w:rFonts w:hint="eastAsia" w:ascii="Times New Roman" w:hAnsi="Times New Roman"/>
                <w:kern w:val="0"/>
                <w:sz w:val="24"/>
                <w:szCs w:val="24"/>
              </w:rPr>
              <w:t>《2022年洛阳市生态环境状况公报》</w:t>
            </w:r>
            <w:r>
              <w:rPr>
                <w:rFonts w:hint="eastAsia" w:ascii="Times New Roman" w:hAnsi="Times New Roman"/>
                <w:sz w:val="24"/>
                <w:szCs w:val="24"/>
              </w:rPr>
              <w:t>，伊洛河水质为Ⅲ类，水质状况为“良好”。</w:t>
            </w:r>
            <w:r>
              <w:rPr>
                <w:rFonts w:hint="eastAsia" w:ascii="Times New Roman" w:hAnsi="Times New Roman"/>
                <w:sz w:val="24"/>
                <w:szCs w:val="24"/>
                <w:highlight w:val="none"/>
              </w:rPr>
              <w:t>本项目废水主要为职工生活污水，依托厂区现有化粪池处理后，定期清理用于肥田。</w:t>
            </w:r>
          </w:p>
          <w:p>
            <w:pPr>
              <w:autoSpaceDE w:val="0"/>
              <w:autoSpaceDN w:val="0"/>
              <w:adjustRightInd w:val="0"/>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（3）资源利用上线</w:t>
            </w:r>
          </w:p>
          <w:p>
            <w:pPr>
              <w:autoSpaceDE w:val="0"/>
              <w:autoSpaceDN w:val="0"/>
              <w:adjustRightInd w:val="0"/>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本项目用水来自市政供水，用电来自市政供电，不涉及燃煤。项目建成运行后通过内部管理、设备选择、原辅料的选用和管理、废物回收和利用、污染防治等多方面的采取合理可行的防治措施，以“节能、降耗、减污”为目标，有效</w:t>
            </w:r>
            <w:r>
              <w:rPr>
                <w:rFonts w:hint="eastAsia"/>
                <w:kern w:val="0"/>
                <w:sz w:val="24"/>
                <w:szCs w:val="24"/>
                <w:lang w:eastAsia="zh-CN"/>
              </w:rPr>
              <w:t>地</w:t>
            </w:r>
            <w:r>
              <w:rPr>
                <w:rFonts w:hint="eastAsia" w:ascii="Times New Roman" w:hAnsi="Times New Roman"/>
                <w:kern w:val="0"/>
                <w:sz w:val="24"/>
                <w:szCs w:val="24"/>
              </w:rPr>
              <w:t>控制污染。项目的水、电等资源利用不会突破区域的资源利用上线。</w:t>
            </w:r>
          </w:p>
          <w:p>
            <w:pPr>
              <w:pStyle w:val="49"/>
              <w:keepNext w:val="0"/>
              <w:keepLines w:val="0"/>
              <w:pageBreakBefore w:val="0"/>
              <w:widowControl w:val="0"/>
              <w:kinsoku/>
              <w:wordWrap/>
              <w:overflowPunct w:val="0"/>
              <w:topLinePunct w:val="0"/>
              <w:autoSpaceDE w:val="0"/>
              <w:autoSpaceDN w:val="0"/>
              <w:bidi w:val="0"/>
              <w:adjustRightInd/>
              <w:snapToGrid/>
              <w:jc w:val="both"/>
              <w:textAlignment w:val="auto"/>
              <w:rPr>
                <w:rFonts w:hint="eastAsia" w:ascii="Times New Roman" w:hAnsi="Times New Roman" w:eastAsia="宋体" w:cs="Times New Roman"/>
                <w:bCs w:val="0"/>
                <w:color w:val="000000"/>
                <w:u w:val="none"/>
                <w:lang w:eastAsia="zh-CN"/>
              </w:rPr>
            </w:pPr>
            <w:r>
              <w:rPr>
                <w:rFonts w:hint="default" w:ascii="Times New Roman" w:hAnsi="Times New Roman" w:cs="Times New Roman"/>
                <w:bCs w:val="0"/>
                <w:color w:val="000000"/>
                <w:u w:val="none"/>
              </w:rPr>
              <w:t>（4）</w:t>
            </w:r>
            <w:r>
              <w:rPr>
                <w:rFonts w:hint="eastAsia" w:ascii="Times New Roman" w:hAnsi="Times New Roman" w:cs="Times New Roman"/>
                <w:bCs w:val="0"/>
                <w:color w:val="000000"/>
                <w:u w:val="none"/>
                <w:lang w:eastAsia="zh-CN"/>
              </w:rPr>
              <w:t>洛阳市生态环境准入要求清单</w:t>
            </w:r>
          </w:p>
          <w:p>
            <w:pPr>
              <w:pStyle w:val="49"/>
              <w:keepNext w:val="0"/>
              <w:keepLines w:val="0"/>
              <w:pageBreakBefore w:val="0"/>
              <w:widowControl w:val="0"/>
              <w:kinsoku/>
              <w:wordWrap/>
              <w:overflowPunct w:val="0"/>
              <w:topLinePunct w:val="0"/>
              <w:autoSpaceDE w:val="0"/>
              <w:autoSpaceDN w:val="0"/>
              <w:bidi w:val="0"/>
              <w:adjustRightInd/>
              <w:snapToGrid/>
              <w:jc w:val="both"/>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根据</w:t>
            </w:r>
            <w:r>
              <w:rPr>
                <w:rFonts w:hint="default" w:ascii="Times New Roman" w:hAnsi="Times New Roman" w:cs="Times New Roman"/>
                <w:bCs w:val="0"/>
                <w:color w:val="000000"/>
                <w:highlight w:val="none"/>
                <w:u w:val="none"/>
              </w:rPr>
              <w:t>《</w:t>
            </w:r>
            <w:r>
              <w:rPr>
                <w:rFonts w:hint="default" w:ascii="Times New Roman" w:hAnsi="Times New Roman" w:cs="Times New Roman"/>
                <w:bCs w:val="0"/>
                <w:color w:val="000000"/>
                <w:u w:val="none"/>
                <w:lang w:eastAsia="zh-CN"/>
              </w:rPr>
              <w:t>洛阳市人民政府关于实施“三线一单”生态环境</w:t>
            </w:r>
            <w:r>
              <w:rPr>
                <w:rFonts w:hint="eastAsia" w:ascii="Times New Roman" w:hAnsi="Times New Roman" w:cs="Times New Roman"/>
                <w:bCs w:val="0"/>
                <w:color w:val="000000"/>
                <w:u w:val="none"/>
                <w:lang w:val="en-US" w:eastAsia="zh-CN"/>
              </w:rPr>
              <w:t>准入清单（试行）的函</w:t>
            </w:r>
            <w:r>
              <w:rPr>
                <w:rFonts w:hint="default" w:ascii="Times New Roman" w:hAnsi="Times New Roman" w:cs="Times New Roman"/>
                <w:bCs w:val="0"/>
                <w:color w:val="000000"/>
                <w:highlight w:val="none"/>
                <w:u w:val="none"/>
              </w:rPr>
              <w:t>》</w:t>
            </w:r>
            <w:r>
              <w:rPr>
                <w:rFonts w:hint="default" w:ascii="Times New Roman" w:hAnsi="Times New Roman" w:cs="Times New Roman"/>
                <w:bCs w:val="0"/>
                <w:color w:val="000000"/>
                <w:u w:val="none"/>
              </w:rPr>
              <w:t>（</w:t>
            </w:r>
            <w:r>
              <w:rPr>
                <w:rFonts w:hint="default" w:ascii="Times New Roman" w:hAnsi="Times New Roman" w:cs="Times New Roman"/>
                <w:bCs w:val="0"/>
                <w:color w:val="000000"/>
                <w:u w:val="none"/>
                <w:lang w:eastAsia="zh-CN"/>
              </w:rPr>
              <w:t>洛政</w:t>
            </w:r>
            <w:r>
              <w:rPr>
                <w:rFonts w:hint="eastAsia" w:ascii="Times New Roman" w:hAnsi="Times New Roman" w:cs="Times New Roman"/>
                <w:bCs w:val="0"/>
                <w:color w:val="000000"/>
                <w:u w:val="none"/>
                <w:lang w:val="en-US" w:eastAsia="zh-CN"/>
              </w:rPr>
              <w:t>〔2021〕58</w:t>
            </w:r>
            <w:r>
              <w:rPr>
                <w:rFonts w:hint="default" w:ascii="Times New Roman" w:hAnsi="Times New Roman" w:cs="Times New Roman"/>
                <w:bCs w:val="0"/>
                <w:color w:val="000000"/>
                <w:u w:val="none"/>
                <w:lang w:val="en-US" w:eastAsia="zh-CN"/>
              </w:rPr>
              <w:t>号</w:t>
            </w:r>
            <w:r>
              <w:rPr>
                <w:rFonts w:hint="default" w:ascii="Times New Roman" w:hAnsi="Times New Roman" w:cs="Times New Roman"/>
                <w:bCs w:val="0"/>
                <w:color w:val="000000"/>
                <w:u w:val="none"/>
              </w:rPr>
              <w:t>），对本项目有关的要求列表如下，并对相应要求进行分析。</w:t>
            </w:r>
          </w:p>
          <w:p>
            <w:pPr>
              <w:bidi w:val="0"/>
              <w:jc w:val="both"/>
              <w:rPr>
                <w:rFonts w:hint="eastAsia" w:ascii="宋体" w:hAnsi="宋体" w:eastAsia="宋体" w:cs="宋体"/>
                <w:b/>
                <w:bCs/>
                <w:color w:val="auto"/>
                <w:sz w:val="24"/>
                <w:szCs w:val="24"/>
                <w:u w:val="none"/>
                <w:lang w:val="en-US" w:eastAsia="zh-CN"/>
              </w:rPr>
            </w:pPr>
            <w:r>
              <w:rPr>
                <w:rFonts w:hint="default" w:ascii="Times New Roman" w:hAnsi="Times New Roman" w:eastAsia="宋体" w:cs="Times New Roman"/>
                <w:b/>
                <w:bCs/>
                <w:color w:val="auto"/>
                <w:sz w:val="24"/>
                <w:szCs w:val="24"/>
                <w:u w:val="none"/>
                <w:lang w:eastAsia="zh-CN"/>
              </w:rPr>
              <w:t>表</w:t>
            </w:r>
            <w:r>
              <w:rPr>
                <w:rFonts w:hint="eastAsia" w:cs="Times New Roman"/>
                <w:b/>
                <w:bCs/>
                <w:color w:val="auto"/>
                <w:sz w:val="24"/>
                <w:szCs w:val="24"/>
                <w:u w:val="none"/>
                <w:lang w:val="en-US" w:eastAsia="zh-CN"/>
              </w:rPr>
              <w:t>1</w:t>
            </w:r>
            <w:r>
              <w:rPr>
                <w:rFonts w:hint="default" w:ascii="Times New Roman" w:hAnsi="Times New Roman" w:eastAsia="宋体" w:cs="Times New Roman"/>
                <w:b/>
                <w:bCs/>
                <w:color w:val="auto"/>
                <w:sz w:val="24"/>
                <w:szCs w:val="24"/>
                <w:u w:val="none"/>
                <w:lang w:val="en-US" w:eastAsia="zh-CN"/>
              </w:rPr>
              <w:t xml:space="preserve">   项</w:t>
            </w:r>
            <w:r>
              <w:rPr>
                <w:rFonts w:hint="eastAsia" w:ascii="宋体" w:hAnsi="宋体" w:eastAsia="宋体" w:cs="宋体"/>
                <w:b/>
                <w:bCs/>
                <w:color w:val="auto"/>
                <w:sz w:val="24"/>
                <w:szCs w:val="24"/>
                <w:u w:val="none"/>
                <w:lang w:val="en-US" w:eastAsia="zh-CN"/>
              </w:rPr>
              <w:t>目与洛阳市</w:t>
            </w:r>
            <w:r>
              <w:rPr>
                <w:rFonts w:hint="eastAsia" w:ascii="宋体" w:hAnsi="宋体" w:cs="宋体"/>
                <w:b/>
                <w:bCs/>
                <w:color w:val="auto"/>
                <w:sz w:val="24"/>
                <w:szCs w:val="24"/>
                <w:u w:val="none"/>
                <w:lang w:val="en-US" w:eastAsia="zh-CN"/>
              </w:rPr>
              <w:t>偃师区环境管控单元</w:t>
            </w:r>
            <w:r>
              <w:rPr>
                <w:rFonts w:hint="eastAsia" w:ascii="宋体" w:hAnsi="宋体" w:eastAsia="宋体" w:cs="宋体"/>
                <w:b/>
                <w:bCs/>
                <w:color w:val="auto"/>
                <w:sz w:val="24"/>
                <w:szCs w:val="24"/>
                <w:u w:val="none"/>
                <w:lang w:val="en-US" w:eastAsia="zh-CN"/>
              </w:rPr>
              <w:t>生态环境准入</w:t>
            </w:r>
            <w:r>
              <w:rPr>
                <w:rFonts w:hint="eastAsia" w:ascii="宋体" w:hAnsi="宋体" w:cs="宋体"/>
                <w:b/>
                <w:bCs/>
                <w:color w:val="auto"/>
                <w:sz w:val="24"/>
                <w:szCs w:val="24"/>
                <w:u w:val="none"/>
                <w:lang w:val="en-US" w:eastAsia="zh-CN"/>
              </w:rPr>
              <w:t>清单的符合</w:t>
            </w:r>
            <w:r>
              <w:rPr>
                <w:rFonts w:hint="eastAsia" w:ascii="宋体" w:hAnsi="宋体" w:eastAsia="宋体" w:cs="宋体"/>
                <w:b/>
                <w:bCs/>
                <w:color w:val="auto"/>
                <w:sz w:val="24"/>
                <w:szCs w:val="24"/>
                <w:u w:val="none"/>
                <w:lang w:val="en-US" w:eastAsia="zh-CN"/>
              </w:rPr>
              <w:t>性分析</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51"/>
              <w:gridCol w:w="564"/>
              <w:gridCol w:w="427"/>
              <w:gridCol w:w="426"/>
              <w:gridCol w:w="2586"/>
              <w:gridCol w:w="1281"/>
              <w:gridCol w:w="4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环境管控</w:t>
                  </w:r>
                </w:p>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单元编码</w:t>
                  </w:r>
                </w:p>
              </w:tc>
              <w:tc>
                <w:tcPr>
                  <w:tcW w:w="472"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管控单元分类</w:t>
                  </w:r>
                </w:p>
              </w:tc>
              <w:tc>
                <w:tcPr>
                  <w:tcW w:w="351"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环境管控单元名称</w:t>
                  </w:r>
                </w:p>
              </w:tc>
              <w:tc>
                <w:tcPr>
                  <w:tcW w:w="2155" w:type="pct"/>
                  <w:gridSpan w:val="2"/>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管控要求</w:t>
                  </w:r>
                </w:p>
              </w:tc>
              <w:tc>
                <w:tcPr>
                  <w:tcW w:w="958"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本项目特点</w:t>
                  </w:r>
                </w:p>
              </w:tc>
              <w:tc>
                <w:tcPr>
                  <w:tcW w:w="270"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eastAsia="zh-CN"/>
                    </w:rPr>
                    <w:t>ZH4103812000</w:t>
                  </w:r>
                  <w:r>
                    <w:rPr>
                      <w:rFonts w:hint="eastAsia" w:cs="Times New Roman"/>
                      <w:color w:val="auto"/>
                      <w:sz w:val="21"/>
                      <w:szCs w:val="21"/>
                      <w:u w:val="none"/>
                      <w:lang w:val="en-US" w:eastAsia="zh-CN"/>
                    </w:rPr>
                    <w:t>3</w:t>
                  </w:r>
                </w:p>
              </w:tc>
              <w:tc>
                <w:tcPr>
                  <w:tcW w:w="472"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重点管控</w:t>
                  </w:r>
                </w:p>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单元</w:t>
                  </w:r>
                </w:p>
              </w:tc>
              <w:tc>
                <w:tcPr>
                  <w:tcW w:w="35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大气高排区</w:t>
                  </w:r>
                </w:p>
              </w:tc>
              <w:tc>
                <w:tcPr>
                  <w:tcW w:w="28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空间布局约束</w:t>
                  </w:r>
                </w:p>
              </w:tc>
              <w:tc>
                <w:tcPr>
                  <w:tcW w:w="187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1、禁燃区内禁止新建、扩建、改建燃用高污染燃料的项目。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2、新建涉高VOCs排放的包装印刷、工业涂装等重点行业企业要入工业园区，实行区域内VOCs排放等量或倍量削减替代。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3、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4、引导区内工业涂装、塑编、鞋业企业入园入区发展。高标准推进伊洛河两岸生态廊道建设。提升改造塑编、校用设备、建材等传统行业，提高污染物排放水平。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5、岳滩镇区域重点发展智能装备、机器人、数控设备等高新技术企业，整合提升三轮摩托车、机械加工等产业。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6、翟镇镇区域重点发展文旅产业，提升整合针织产业，培育生物医药、卫生健康产业。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7、推进顾县镇区域建设电线电缆工业园、节能环保装备制造园，重点发展节能环保装备制造、电线电缆等产业，推进铝深加工行业企业入园，提升整合电线电缆、有色金属压延、石化管件、铸造等传统产业。</w:t>
                  </w:r>
                </w:p>
              </w:tc>
              <w:tc>
                <w:tcPr>
                  <w:tcW w:w="958"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none"/>
                      <w:lang w:val="en-US"/>
                    </w:rPr>
                  </w:pPr>
                  <w:r>
                    <w:rPr>
                      <w:rFonts w:hint="default" w:ascii="Times New Roman" w:hAnsi="Times New Roman" w:eastAsia="宋体" w:cs="Times New Roman"/>
                      <w:color w:val="auto"/>
                      <w:sz w:val="21"/>
                      <w:szCs w:val="21"/>
                      <w:u w:val="none"/>
                      <w:lang w:val="en-US" w:eastAsia="zh-CN"/>
                    </w:rPr>
                    <w:t>1、</w:t>
                  </w:r>
                  <w:r>
                    <w:rPr>
                      <w:rFonts w:hint="eastAsia" w:cs="Times New Roman"/>
                      <w:color w:val="auto"/>
                      <w:sz w:val="21"/>
                      <w:szCs w:val="21"/>
                      <w:u w:val="none"/>
                      <w:lang w:val="en-US" w:eastAsia="zh-CN"/>
                    </w:rPr>
                    <w:t>本项目不使用</w:t>
                  </w:r>
                  <w:r>
                    <w:rPr>
                      <w:rFonts w:hint="default" w:ascii="Times New Roman" w:hAnsi="Times New Roman" w:eastAsia="宋体" w:cs="Times New Roman"/>
                      <w:color w:val="auto"/>
                      <w:sz w:val="21"/>
                      <w:szCs w:val="21"/>
                      <w:u w:val="none"/>
                      <w:lang w:val="en-US" w:eastAsia="zh-CN"/>
                    </w:rPr>
                    <w:t>高污染燃料。2、</w:t>
                  </w:r>
                  <w:r>
                    <w:rPr>
                      <w:rFonts w:hint="eastAsia" w:cs="Times New Roman"/>
                      <w:color w:val="auto"/>
                      <w:sz w:val="21"/>
                      <w:szCs w:val="21"/>
                      <w:u w:val="none"/>
                      <w:lang w:val="en-US" w:eastAsia="zh-CN"/>
                    </w:rPr>
                    <w:t>本项目不属于</w:t>
                  </w:r>
                  <w:r>
                    <w:rPr>
                      <w:rFonts w:hint="default" w:ascii="Times New Roman" w:hAnsi="Times New Roman" w:eastAsia="宋体" w:cs="Times New Roman"/>
                      <w:color w:val="auto"/>
                      <w:sz w:val="21"/>
                      <w:szCs w:val="21"/>
                      <w:u w:val="none"/>
                      <w:lang w:val="en-US" w:eastAsia="zh-CN"/>
                    </w:rPr>
                    <w:t>涉高VOCs排放的包装印刷、工业涂装等重点行业。3、</w:t>
                  </w:r>
                  <w:r>
                    <w:rPr>
                      <w:rFonts w:hint="eastAsia" w:cs="Times New Roman"/>
                      <w:color w:val="auto"/>
                      <w:sz w:val="21"/>
                      <w:szCs w:val="21"/>
                      <w:u w:val="none"/>
                      <w:lang w:val="en-US" w:eastAsia="zh-CN"/>
                    </w:rPr>
                    <w:t>不涉及。4、本项目不属于</w:t>
                  </w:r>
                  <w:r>
                    <w:rPr>
                      <w:rFonts w:hint="default" w:ascii="Times New Roman" w:hAnsi="Times New Roman" w:eastAsia="宋体" w:cs="Times New Roman"/>
                      <w:color w:val="auto"/>
                      <w:sz w:val="21"/>
                      <w:szCs w:val="21"/>
                      <w:u w:val="none"/>
                      <w:lang w:val="en-US" w:eastAsia="zh-CN"/>
                    </w:rPr>
                    <w:t>工业涂装、塑编、鞋业企业</w:t>
                  </w:r>
                  <w:r>
                    <w:rPr>
                      <w:rFonts w:hint="eastAsia" w:cs="Times New Roman"/>
                      <w:color w:val="auto"/>
                      <w:sz w:val="21"/>
                      <w:szCs w:val="21"/>
                      <w:u w:val="none"/>
                      <w:lang w:val="en-US" w:eastAsia="zh-CN"/>
                    </w:rPr>
                    <w:t>。5、不涉及。6、不涉及。7、不涉及。</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default" w:ascii="Times New Roman" w:hAnsi="Times New Roman" w:eastAsia="宋体" w:cs="Times New Roman"/>
                      <w:sz w:val="21"/>
                      <w:szCs w:val="21"/>
                      <w:u w:val="none"/>
                      <w:lang w:val="en-US" w:eastAsia="zh-CN"/>
                    </w:rPr>
                  </w:pPr>
                </w:p>
              </w:tc>
              <w:tc>
                <w:tcPr>
                  <w:tcW w:w="270"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p>
              </w:tc>
              <w:tc>
                <w:tcPr>
                  <w:tcW w:w="472"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p>
              </w:tc>
              <w:tc>
                <w:tcPr>
                  <w:tcW w:w="351"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p>
              </w:tc>
              <w:tc>
                <w:tcPr>
                  <w:tcW w:w="28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污染物排放管控</w:t>
                  </w:r>
                </w:p>
              </w:tc>
              <w:tc>
                <w:tcPr>
                  <w:tcW w:w="187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1、禁止销售、使用煤等高污染燃料，现有使用高污染燃料的单位和个人，应当按照市、县（市）人民政府规定的期限改用清洁能源或拆除使用高污染燃料的设施。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2、重点行业（工业涂装、包装印刷、制药等）二氧化硫、氮氧化物、颗粒物、VOCs 全面执行大气污染物特别排放限值。强化餐饮油烟的治理和管控。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3、企业新建治污设施或对现有治污设施实施改造，应依据排放废气特征、VOCs 组分及浓度、生产工况等，合理选择治理技术，对治理难度大、单一治理工艺难以稳定达标的，要采用多种技术的组合工艺。</w:t>
                  </w:r>
                </w:p>
              </w:tc>
              <w:tc>
                <w:tcPr>
                  <w:tcW w:w="958" w:type="pct"/>
                  <w:tcBorders>
                    <w:tl2br w:val="nil"/>
                    <w:tr2bl w:val="nil"/>
                  </w:tcBorders>
                  <w:noWrap w:val="0"/>
                  <w:vAlign w:val="center"/>
                </w:tcPr>
                <w:p>
                  <w:pPr>
                    <w:jc w:val="left"/>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1、本项目使用电能，不使用</w:t>
                  </w:r>
                  <w:r>
                    <w:rPr>
                      <w:rFonts w:hint="default" w:ascii="Times New Roman" w:hAnsi="Times New Roman" w:eastAsia="宋体" w:cs="Times New Roman"/>
                      <w:color w:val="auto"/>
                      <w:sz w:val="21"/>
                      <w:szCs w:val="21"/>
                      <w:u w:val="none"/>
                      <w:lang w:val="en-US" w:eastAsia="zh-CN"/>
                    </w:rPr>
                    <w:t>高污染燃料</w:t>
                  </w:r>
                  <w:r>
                    <w:rPr>
                      <w:rFonts w:hint="eastAsia" w:cs="Times New Roman"/>
                      <w:color w:val="auto"/>
                      <w:sz w:val="21"/>
                      <w:szCs w:val="21"/>
                      <w:u w:val="none"/>
                      <w:lang w:val="en-US" w:eastAsia="zh-CN"/>
                    </w:rPr>
                    <w:t>。2、本项目不属于重点行业。3、本项目</w:t>
                  </w:r>
                  <w:r>
                    <w:rPr>
                      <w:rFonts w:hint="default" w:ascii="Times New Roman" w:hAnsi="Times New Roman" w:eastAsia="宋体" w:cs="Times New Roman"/>
                      <w:sz w:val="21"/>
                      <w:szCs w:val="21"/>
                      <w:u w:val="none"/>
                      <w:lang w:val="en-US" w:eastAsia="zh-CN"/>
                    </w:rPr>
                    <w:t>采用</w:t>
                  </w:r>
                  <w:r>
                    <w:rPr>
                      <w:rFonts w:hint="eastAsia" w:cs="Times New Roman"/>
                      <w:sz w:val="21"/>
                      <w:szCs w:val="21"/>
                      <w:u w:val="none"/>
                      <w:lang w:val="en-US" w:eastAsia="zh-CN"/>
                    </w:rPr>
                    <w:t>UV光氧</w:t>
                  </w:r>
                  <w:r>
                    <w:rPr>
                      <w:rFonts w:hint="default" w:ascii="Times New Roman" w:hAnsi="Times New Roman" w:eastAsia="宋体" w:cs="Times New Roman"/>
                      <w:sz w:val="21"/>
                      <w:szCs w:val="21"/>
                      <w:u w:val="none"/>
                      <w:lang w:val="en-US" w:eastAsia="zh-CN"/>
                    </w:rPr>
                    <w:t>+活性炭吸附高效</w:t>
                  </w:r>
                  <w:r>
                    <w:rPr>
                      <w:rFonts w:hint="default" w:ascii="Times New Roman" w:hAnsi="Times New Roman" w:eastAsia="宋体" w:cs="Times New Roman"/>
                      <w:color w:val="000000"/>
                      <w:kern w:val="0"/>
                      <w:sz w:val="21"/>
                      <w:szCs w:val="21"/>
                      <w:u w:val="none"/>
                      <w:lang w:val="en-US" w:eastAsia="zh-CN" w:bidi="ar"/>
                    </w:rPr>
                    <w:t>VO</w:t>
                  </w:r>
                  <w:r>
                    <w:rPr>
                      <w:rFonts w:hint="eastAsia" w:cs="Times New Roman"/>
                      <w:color w:val="000000"/>
                      <w:kern w:val="0"/>
                      <w:sz w:val="21"/>
                      <w:szCs w:val="21"/>
                      <w:u w:val="none"/>
                      <w:lang w:val="en-US" w:eastAsia="zh-CN" w:bidi="ar"/>
                    </w:rPr>
                    <w:t>C</w:t>
                  </w:r>
                  <w:r>
                    <w:rPr>
                      <w:rFonts w:hint="default" w:ascii="Times New Roman" w:hAnsi="Times New Roman" w:eastAsia="宋体" w:cs="Times New Roman"/>
                      <w:color w:val="000000"/>
                      <w:kern w:val="0"/>
                      <w:sz w:val="21"/>
                      <w:szCs w:val="21"/>
                      <w:u w:val="none"/>
                      <w:lang w:val="en-US" w:eastAsia="zh-CN" w:bidi="ar"/>
                    </w:rPr>
                    <w:t>s设施</w:t>
                  </w:r>
                  <w:r>
                    <w:rPr>
                      <w:rFonts w:hint="eastAsia" w:cs="Times New Roman"/>
                      <w:color w:val="000000"/>
                      <w:kern w:val="0"/>
                      <w:sz w:val="21"/>
                      <w:szCs w:val="21"/>
                      <w:u w:val="none"/>
                      <w:lang w:val="en-US" w:eastAsia="zh-CN" w:bidi="ar"/>
                    </w:rPr>
                    <w:t>，</w:t>
                  </w:r>
                  <w:r>
                    <w:rPr>
                      <w:rFonts w:hint="default" w:ascii="Times New Roman" w:hAnsi="Times New Roman" w:eastAsia="宋体" w:cs="Times New Roman"/>
                      <w:color w:val="auto"/>
                      <w:sz w:val="21"/>
                      <w:szCs w:val="21"/>
                      <w:u w:val="none"/>
                      <w:lang w:val="en-US" w:eastAsia="zh-CN"/>
                    </w:rPr>
                    <w:t>稳定达标</w:t>
                  </w:r>
                  <w:r>
                    <w:rPr>
                      <w:rFonts w:hint="default" w:ascii="Times New Roman" w:hAnsi="Times New Roman" w:eastAsia="宋体" w:cs="Times New Roman"/>
                      <w:color w:val="000000"/>
                      <w:kern w:val="0"/>
                      <w:sz w:val="21"/>
                      <w:szCs w:val="21"/>
                      <w:u w:val="none"/>
                      <w:lang w:val="en-US" w:eastAsia="zh-CN" w:bidi="ar"/>
                    </w:rPr>
                    <w:t>。</w:t>
                  </w:r>
                </w:p>
              </w:tc>
              <w:tc>
                <w:tcPr>
                  <w:tcW w:w="270"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相符</w:t>
                  </w:r>
                </w:p>
              </w:tc>
            </w:tr>
          </w:tbl>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jc w:val="both"/>
              <w:textAlignment w:val="auto"/>
              <w:rPr>
                <w:rFonts w:hint="default" w:ascii="Times New Roman" w:hAnsi="Times New Roman" w:eastAsia="宋体" w:cs="Times New Roman"/>
                <w:b/>
                <w:bCs/>
                <w:sz w:val="24"/>
                <w:szCs w:val="24"/>
                <w:u w:val="none"/>
                <w:lang w:eastAsia="zh-CN"/>
              </w:rPr>
            </w:pPr>
            <w:r>
              <w:rPr>
                <w:rFonts w:hint="eastAsia" w:cs="Times New Roman"/>
                <w:b/>
                <w:bCs/>
                <w:color w:val="000000"/>
                <w:sz w:val="24"/>
                <w:szCs w:val="24"/>
                <w:u w:val="none"/>
                <w:lang w:val="en-US" w:bidi="zh-CN"/>
              </w:rPr>
              <w:t>4</w:t>
            </w:r>
            <w:r>
              <w:rPr>
                <w:rFonts w:hint="default" w:ascii="Times New Roman" w:hAnsi="Times New Roman" w:eastAsia="宋体" w:cs="Times New Roman"/>
                <w:b/>
                <w:bCs/>
                <w:color w:val="000000"/>
                <w:sz w:val="24"/>
                <w:szCs w:val="24"/>
                <w:u w:val="none"/>
                <w:lang w:bidi="zh-CN"/>
              </w:rPr>
              <w:t>、</w:t>
            </w:r>
            <w:r>
              <w:rPr>
                <w:rFonts w:hint="default" w:ascii="Times New Roman" w:hAnsi="Times New Roman" w:eastAsia="宋体" w:cs="Times New Roman"/>
                <w:b/>
                <w:bCs/>
                <w:color w:val="000000"/>
                <w:sz w:val="24"/>
                <w:szCs w:val="24"/>
                <w:u w:val="none"/>
                <w:lang w:val="en-US" w:bidi="zh-CN"/>
              </w:rPr>
              <w:t>与</w:t>
            </w:r>
            <w:r>
              <w:rPr>
                <w:rFonts w:hint="default" w:ascii="Times New Roman" w:hAnsi="Times New Roman" w:eastAsia="宋体" w:cs="Times New Roman"/>
                <w:b/>
                <w:bCs/>
                <w:sz w:val="24"/>
                <w:szCs w:val="24"/>
                <w:u w:val="none"/>
                <w:lang w:eastAsia="zh-CN"/>
              </w:rPr>
              <w:t>《</w:t>
            </w:r>
            <w:r>
              <w:rPr>
                <w:rFonts w:hint="default" w:ascii="Times New Roman" w:hAnsi="Times New Roman" w:eastAsia="宋体" w:cs="Times New Roman"/>
                <w:b/>
                <w:bCs/>
                <w:sz w:val="24"/>
                <w:szCs w:val="24"/>
                <w:u w:val="none"/>
                <w:lang w:val="en-US" w:eastAsia="zh-CN"/>
              </w:rPr>
              <w:t>洛阳市</w:t>
            </w:r>
            <w:r>
              <w:rPr>
                <w:rFonts w:hint="eastAsia" w:cs="Times New Roman"/>
                <w:b/>
                <w:bCs/>
                <w:sz w:val="24"/>
                <w:szCs w:val="24"/>
                <w:u w:val="none"/>
                <w:lang w:val="en-US" w:eastAsia="zh-CN"/>
              </w:rPr>
              <w:t>偃师区</w:t>
            </w:r>
            <w:r>
              <w:rPr>
                <w:rFonts w:hint="default" w:ascii="Times New Roman" w:hAnsi="Times New Roman" w:eastAsia="宋体" w:cs="Times New Roman"/>
                <w:b/>
                <w:bCs/>
                <w:sz w:val="24"/>
                <w:szCs w:val="24"/>
                <w:u w:val="none"/>
                <w:lang w:val="en-US" w:eastAsia="zh-CN"/>
              </w:rPr>
              <w:t>生态环境保护委员会办公室关于印发</w:t>
            </w:r>
            <w:r>
              <w:rPr>
                <w:rFonts w:hint="eastAsia" w:cs="Times New Roman"/>
                <w:b/>
                <w:bCs/>
                <w:sz w:val="24"/>
                <w:szCs w:val="24"/>
                <w:u w:val="none"/>
                <w:lang w:val="en-US" w:eastAsia="zh-CN"/>
              </w:rPr>
              <w:t>偃师区</w:t>
            </w:r>
            <w:r>
              <w:rPr>
                <w:rFonts w:hint="default" w:ascii="Times New Roman" w:hAnsi="Times New Roman" w:eastAsia="宋体" w:cs="Times New Roman"/>
                <w:b/>
                <w:bCs/>
                <w:sz w:val="24"/>
                <w:szCs w:val="24"/>
                <w:u w:val="none"/>
                <w:lang w:val="en-US" w:eastAsia="zh-CN"/>
              </w:rPr>
              <w:t>2023年蓝天、碧水、净土保卫战实施方案的通知》（</w:t>
            </w:r>
            <w:r>
              <w:rPr>
                <w:rFonts w:hint="eastAsia" w:cs="Times New Roman"/>
                <w:b/>
                <w:bCs/>
                <w:sz w:val="24"/>
                <w:szCs w:val="24"/>
                <w:u w:val="none"/>
                <w:lang w:val="en-US" w:eastAsia="zh-CN"/>
              </w:rPr>
              <w:t>偃</w:t>
            </w:r>
            <w:r>
              <w:rPr>
                <w:rFonts w:hint="default" w:ascii="Times New Roman" w:hAnsi="Times New Roman" w:eastAsia="宋体" w:cs="Times New Roman"/>
                <w:b/>
                <w:bCs/>
                <w:sz w:val="24"/>
                <w:szCs w:val="24"/>
                <w:u w:val="none"/>
                <w:lang w:val="en-US" w:eastAsia="zh-CN"/>
              </w:rPr>
              <w:t>环委办〔2023〕</w:t>
            </w:r>
            <w:r>
              <w:rPr>
                <w:rFonts w:hint="eastAsia" w:cs="Times New Roman"/>
                <w:b/>
                <w:bCs/>
                <w:sz w:val="24"/>
                <w:szCs w:val="24"/>
                <w:u w:val="none"/>
                <w:lang w:val="en-US" w:eastAsia="zh-CN"/>
              </w:rPr>
              <w:t>3</w:t>
            </w:r>
            <w:r>
              <w:rPr>
                <w:rFonts w:hint="default" w:ascii="Times New Roman" w:hAnsi="Times New Roman" w:eastAsia="宋体" w:cs="Times New Roman"/>
                <w:b/>
                <w:bCs/>
                <w:sz w:val="24"/>
                <w:szCs w:val="24"/>
                <w:u w:val="none"/>
                <w:lang w:val="en-US" w:eastAsia="zh-CN"/>
              </w:rPr>
              <w:t>号）相符性分析</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cs="Times New Roman"/>
                <w:sz w:val="24"/>
                <w:szCs w:val="24"/>
                <w:u w:val="none"/>
                <w:lang w:val="en-US" w:eastAsia="zh-CN"/>
              </w:rPr>
            </w:pPr>
            <w:r>
              <w:rPr>
                <w:rFonts w:hint="default" w:ascii="Times New Roman" w:hAnsi="Times New Roman" w:eastAsia="宋体" w:cs="Times New Roman"/>
                <w:color w:val="000000"/>
                <w:sz w:val="24"/>
                <w:szCs w:val="24"/>
                <w:u w:val="none"/>
              </w:rPr>
              <w:t>本项目主要涉及大气污染物排放，</w:t>
            </w:r>
            <w:r>
              <w:rPr>
                <w:rFonts w:hint="eastAsia" w:cs="Times New Roman"/>
                <w:sz w:val="24"/>
                <w:szCs w:val="24"/>
                <w:u w:val="none"/>
                <w:lang w:val="en-US" w:eastAsia="zh-CN"/>
              </w:rPr>
              <w:t>与（偃环委办〔2023〕3号）相符性分析见下表。</w:t>
            </w:r>
          </w:p>
          <w:p>
            <w:pPr>
              <w:pStyle w:val="4"/>
              <w:keepNext w:val="0"/>
              <w:keepLines w:val="0"/>
              <w:pageBreakBefore w:val="0"/>
              <w:widowControl/>
              <w:tabs>
                <w:tab w:val="left" w:pos="2676"/>
              </w:tabs>
              <w:kinsoku/>
              <w:wordWrap/>
              <w:overflowPunct/>
              <w:topLinePunct w:val="0"/>
              <w:autoSpaceDE/>
              <w:autoSpaceDN/>
              <w:bidi w:val="0"/>
              <w:adjustRightInd w:val="0"/>
              <w:snapToGrid w:val="0"/>
              <w:spacing w:before="0" w:after="0" w:line="260" w:lineRule="auto"/>
              <w:ind w:left="0" w:right="0"/>
              <w:jc w:val="center"/>
              <w:textAlignment w:val="auto"/>
              <w:rPr>
                <w:rFonts w:hint="default" w:ascii="Times New Roman" w:hAnsi="Times New Roman" w:eastAsia="宋体" w:cs="Times New Roman"/>
                <w:b/>
                <w:bCs/>
                <w:sz w:val="24"/>
                <w:szCs w:val="24"/>
                <w:u w:val="none"/>
              </w:rPr>
            </w:pPr>
          </w:p>
          <w:p>
            <w:pPr>
              <w:pStyle w:val="4"/>
              <w:keepNext w:val="0"/>
              <w:keepLines w:val="0"/>
              <w:pageBreakBefore w:val="0"/>
              <w:widowControl/>
              <w:tabs>
                <w:tab w:val="left" w:pos="2676"/>
              </w:tabs>
              <w:kinsoku/>
              <w:wordWrap/>
              <w:overflowPunct/>
              <w:topLinePunct w:val="0"/>
              <w:autoSpaceDE/>
              <w:autoSpaceDN/>
              <w:bidi w:val="0"/>
              <w:adjustRightInd w:val="0"/>
              <w:snapToGrid w:val="0"/>
              <w:spacing w:before="0" w:after="0" w:line="260" w:lineRule="auto"/>
              <w:ind w:left="0" w:right="0"/>
              <w:jc w:val="center"/>
              <w:textAlignment w:val="auto"/>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t>表</w:t>
            </w:r>
            <w:r>
              <w:rPr>
                <w:rFonts w:hint="eastAsia" w:cs="Times New Roman"/>
                <w:b/>
                <w:bCs/>
                <w:sz w:val="24"/>
                <w:szCs w:val="24"/>
                <w:u w:val="none"/>
                <w:lang w:val="en-US" w:eastAsia="zh-CN"/>
              </w:rPr>
              <w:t>2</w:t>
            </w:r>
            <w:r>
              <w:rPr>
                <w:rFonts w:hint="default" w:ascii="Times New Roman" w:hAnsi="Times New Roman" w:eastAsia="宋体" w:cs="Times New Roman"/>
                <w:b/>
                <w:bCs/>
                <w:sz w:val="24"/>
                <w:szCs w:val="24"/>
                <w:u w:val="none"/>
                <w:lang w:val="en-US" w:eastAsia="zh-CN"/>
              </w:rPr>
              <w:t xml:space="preserve">   </w:t>
            </w:r>
            <w:r>
              <w:rPr>
                <w:rFonts w:hint="default" w:ascii="Times New Roman" w:hAnsi="Times New Roman" w:eastAsia="宋体" w:cs="Times New Roman"/>
                <w:b/>
                <w:bCs/>
                <w:sz w:val="24"/>
                <w:szCs w:val="24"/>
                <w:u w:val="none"/>
              </w:rPr>
              <w:t>项目</w:t>
            </w:r>
            <w:r>
              <w:rPr>
                <w:rFonts w:hint="default" w:ascii="Times New Roman" w:hAnsi="Times New Roman" w:eastAsia="宋体" w:cs="Times New Roman"/>
                <w:b/>
                <w:bCs/>
                <w:sz w:val="24"/>
                <w:szCs w:val="24"/>
                <w:highlight w:val="none"/>
                <w:u w:val="none"/>
              </w:rPr>
              <w:t>与</w:t>
            </w:r>
            <w:r>
              <w:rPr>
                <w:rFonts w:hint="default" w:ascii="Times New Roman" w:hAnsi="Times New Roman" w:eastAsia="宋体" w:cs="Times New Roman"/>
                <w:b/>
                <w:bCs/>
                <w:sz w:val="24"/>
                <w:szCs w:val="24"/>
                <w:highlight w:val="none"/>
                <w:u w:val="none"/>
                <w:lang w:val="en-US" w:eastAsia="zh-CN"/>
              </w:rPr>
              <w:t>（</w:t>
            </w:r>
            <w:r>
              <w:rPr>
                <w:rFonts w:hint="eastAsia" w:cs="Times New Roman"/>
                <w:b/>
                <w:bCs/>
                <w:sz w:val="24"/>
                <w:szCs w:val="24"/>
                <w:highlight w:val="none"/>
                <w:u w:val="none"/>
                <w:lang w:val="en-US" w:eastAsia="zh-CN"/>
              </w:rPr>
              <w:t>偃</w:t>
            </w:r>
            <w:r>
              <w:rPr>
                <w:rFonts w:hint="default" w:ascii="Times New Roman" w:hAnsi="Times New Roman" w:eastAsia="宋体" w:cs="Times New Roman"/>
                <w:b/>
                <w:bCs/>
                <w:sz w:val="24"/>
                <w:szCs w:val="24"/>
                <w:highlight w:val="none"/>
                <w:u w:val="none"/>
                <w:lang w:val="en-US" w:eastAsia="zh-CN"/>
              </w:rPr>
              <w:t>环委办〔2023〕</w:t>
            </w:r>
            <w:r>
              <w:rPr>
                <w:rFonts w:hint="eastAsia" w:cs="Times New Roman"/>
                <w:b/>
                <w:bCs/>
                <w:sz w:val="24"/>
                <w:szCs w:val="24"/>
                <w:highlight w:val="none"/>
                <w:u w:val="none"/>
                <w:lang w:val="en-US" w:eastAsia="zh-CN"/>
              </w:rPr>
              <w:t>3</w:t>
            </w:r>
            <w:r>
              <w:rPr>
                <w:rFonts w:hint="default" w:ascii="Times New Roman" w:hAnsi="Times New Roman" w:eastAsia="宋体" w:cs="Times New Roman"/>
                <w:b/>
                <w:bCs/>
                <w:sz w:val="24"/>
                <w:szCs w:val="24"/>
                <w:highlight w:val="none"/>
                <w:u w:val="none"/>
                <w:lang w:val="en-US" w:eastAsia="zh-CN"/>
              </w:rPr>
              <w:t>号）</w:t>
            </w:r>
            <w:r>
              <w:rPr>
                <w:rFonts w:hint="default" w:ascii="Times New Roman" w:hAnsi="Times New Roman" w:eastAsia="宋体" w:cs="Times New Roman"/>
                <w:b/>
                <w:bCs/>
                <w:sz w:val="24"/>
                <w:szCs w:val="24"/>
                <w:u w:val="none"/>
              </w:rPr>
              <w:t>对比一览表</w:t>
            </w:r>
          </w:p>
          <w:tbl>
            <w:tblPr>
              <w:tblStyle w:val="25"/>
              <w:tblW w:w="497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4804"/>
              <w:gridCol w:w="1945"/>
              <w:gridCol w:w="58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804" w:type="dxa"/>
                  <w:tcBorders>
                    <w:tl2br w:val="nil"/>
                    <w:tr2bl w:val="nil"/>
                  </w:tcBorders>
                  <w:vAlign w:val="center"/>
                </w:tcPr>
                <w:p>
                  <w:pPr>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lang w:val="en-US" w:eastAsia="zh-CN"/>
                    </w:rPr>
                    <w:t>2023年蓝天、碧水、净土保卫战实施方案</w:t>
                  </w:r>
                </w:p>
              </w:tc>
              <w:tc>
                <w:tcPr>
                  <w:tcW w:w="1945" w:type="dxa"/>
                  <w:tcBorders>
                    <w:tl2br w:val="nil"/>
                    <w:tr2bl w:val="nil"/>
                  </w:tcBorders>
                  <w:vAlign w:val="center"/>
                </w:tcPr>
                <w:p>
                  <w:pPr>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本项目建设情况</w:t>
                  </w:r>
                </w:p>
              </w:tc>
              <w:tc>
                <w:tcPr>
                  <w:tcW w:w="582" w:type="dxa"/>
                  <w:tcBorders>
                    <w:tl2br w:val="nil"/>
                    <w:tr2bl w:val="nil"/>
                  </w:tcBorders>
                  <w:vAlign w:val="center"/>
                </w:tcPr>
                <w:p>
                  <w:pPr>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相符性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804" w:type="dxa"/>
                  <w:tcBorders>
                    <w:tl2br w:val="nil"/>
                    <w:tr2bl w:val="nil"/>
                  </w:tcBorders>
                  <w:vAlign w:val="center"/>
                </w:tcPr>
                <w:p>
                  <w:pPr>
                    <w:adjustRightInd w:val="0"/>
                    <w:rPr>
                      <w:rFonts w:hint="eastAsia" w:cs="Times New Roman"/>
                      <w:b/>
                      <w:bCs/>
                      <w:sz w:val="21"/>
                      <w:szCs w:val="21"/>
                      <w:u w:val="none"/>
                      <w:lang w:val="en-US" w:eastAsia="zh-CN"/>
                    </w:rPr>
                  </w:pPr>
                  <w:r>
                    <w:rPr>
                      <w:rFonts w:hint="eastAsia" w:cs="Times New Roman"/>
                      <w:b w:val="0"/>
                      <w:bCs w:val="0"/>
                      <w:sz w:val="21"/>
                      <w:szCs w:val="21"/>
                      <w:u w:val="none"/>
                      <w:lang w:val="en-US" w:eastAsia="zh-CN"/>
                    </w:rPr>
                    <w:t>24.持续加大无组织排放整治力度。2023年5月底前，排查含VOCs物料储存、转移和输送、设备与管线组件泄漏、敞开液面逸散以及工艺过程等五类排放源，在保证安全生产前提下，督促企业通过采取设备与场所密闭、工艺改进、废气有效收集等措施，对VOCs无组织排放废气进行综合治理，将需要集气罩收集无组织排放的集气流速测量监控纳入日常管理工作中监督落实。</w:t>
                  </w:r>
                </w:p>
              </w:tc>
              <w:tc>
                <w:tcPr>
                  <w:tcW w:w="1945" w:type="dxa"/>
                  <w:tcBorders>
                    <w:tl2br w:val="nil"/>
                    <w:tr2bl w:val="nil"/>
                  </w:tcBorders>
                  <w:vAlign w:val="center"/>
                </w:tcPr>
                <w:p>
                  <w:pPr>
                    <w:adjustRightInd w:val="0"/>
                    <w:rPr>
                      <w:rFonts w:hint="eastAsia" w:ascii="Times New Roman" w:hAnsi="Times New Roman" w:eastAsia="宋体" w:cs="Times New Roman"/>
                      <w:b/>
                      <w:bCs/>
                      <w:sz w:val="21"/>
                      <w:szCs w:val="21"/>
                      <w:u w:val="none"/>
                      <w:lang w:val="en-US" w:eastAsia="zh-CN"/>
                    </w:rPr>
                  </w:pPr>
                  <w:r>
                    <w:rPr>
                      <w:rFonts w:hint="eastAsia" w:cs="Times New Roman"/>
                      <w:b/>
                      <w:bCs/>
                      <w:sz w:val="21"/>
                      <w:szCs w:val="21"/>
                      <w:u w:val="none"/>
                      <w:lang w:val="en-US" w:eastAsia="zh-CN"/>
                    </w:rPr>
                    <w:t>本项目含VOCs物料密闭储存和输送。</w:t>
                  </w:r>
                </w:p>
              </w:tc>
              <w:tc>
                <w:tcPr>
                  <w:tcW w:w="582" w:type="dxa"/>
                  <w:tcBorders>
                    <w:tl2br w:val="nil"/>
                    <w:tr2bl w:val="nil"/>
                  </w:tcBorders>
                  <w:vAlign w:val="center"/>
                </w:tcPr>
                <w:p>
                  <w:pPr>
                    <w:jc w:val="center"/>
                    <w:rPr>
                      <w:rFonts w:hint="default" w:ascii="Times New Roman" w:hAnsi="Times New Roman" w:eastAsia="宋体" w:cs="Times New Roman"/>
                      <w:b/>
                      <w:bCs/>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804" w:type="dxa"/>
                  <w:tcBorders>
                    <w:tl2br w:val="nil"/>
                    <w:tr2bl w:val="nil"/>
                  </w:tcBorders>
                  <w:vAlign w:val="center"/>
                </w:tcPr>
                <w:p>
                  <w:pPr>
                    <w:numPr>
                      <w:ilvl w:val="0"/>
                      <w:numId w:val="0"/>
                    </w:numPr>
                    <w:jc w:val="left"/>
                    <w:rPr>
                      <w:rFonts w:hint="default" w:ascii="Times New Roman" w:hAnsi="Times New Roman" w:eastAsia="宋体" w:cs="Times New Roman"/>
                      <w:sz w:val="21"/>
                      <w:szCs w:val="21"/>
                      <w:u w:val="none"/>
                      <w:lang w:val="en-US" w:eastAsia="zh-CN"/>
                    </w:rPr>
                  </w:pPr>
                  <w:r>
                    <w:rPr>
                      <w:rFonts w:hint="eastAsia" w:cs="Times New Roman"/>
                      <w:sz w:val="21"/>
                      <w:szCs w:val="21"/>
                      <w:u w:val="none"/>
                      <w:lang w:val="en-US" w:eastAsia="zh-CN"/>
                    </w:rPr>
                    <w:t>25</w:t>
                  </w:r>
                  <w:r>
                    <w:rPr>
                      <w:rFonts w:hint="default" w:ascii="Times New Roman" w:hAnsi="Times New Roman" w:eastAsia="宋体" w:cs="Times New Roman"/>
                      <w:sz w:val="21"/>
                      <w:szCs w:val="21"/>
                      <w:u w:val="none"/>
                      <w:lang w:val="en-US" w:eastAsia="zh-CN"/>
                    </w:rPr>
                    <w:t>.大力提升治理设施去除效率。4月底前，各县区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1945" w:type="dxa"/>
                  <w:tcBorders>
                    <w:tl2br w:val="nil"/>
                    <w:tr2bl w:val="nil"/>
                  </w:tcBorders>
                  <w:vAlign w:val="center"/>
                </w:tcPr>
                <w:p>
                  <w:pPr>
                    <w:jc w:val="center"/>
                    <w:rPr>
                      <w:rFonts w:hint="eastAsia" w:cs="Times New Roman"/>
                      <w:sz w:val="21"/>
                      <w:szCs w:val="21"/>
                      <w:u w:val="none"/>
                      <w:lang w:val="en-US" w:eastAsia="zh-CN"/>
                    </w:rPr>
                  </w:pPr>
                  <w:r>
                    <w:rPr>
                      <w:rFonts w:hint="eastAsia" w:cs="Times New Roman"/>
                      <w:sz w:val="21"/>
                      <w:szCs w:val="21"/>
                      <w:u w:val="none"/>
                      <w:lang w:val="en-US" w:eastAsia="zh-CN"/>
                    </w:rPr>
                    <w:t>企业VOCs采用UV光氧+活性炭吸附复合治理措施，</w:t>
                  </w:r>
                  <w:r>
                    <w:rPr>
                      <w:rFonts w:hint="default" w:ascii="Times New Roman" w:hAnsi="Times New Roman" w:eastAsia="宋体" w:cs="Times New Roman"/>
                      <w:sz w:val="21"/>
                      <w:szCs w:val="21"/>
                      <w:u w:val="none"/>
                      <w:lang w:val="en-US" w:eastAsia="zh-CN"/>
                    </w:rPr>
                    <w:t>做好活性炭更换频次、更换量、购买记录、活性炭质检报告等台账记录</w:t>
                  </w:r>
                  <w:r>
                    <w:rPr>
                      <w:rFonts w:hint="eastAsia" w:cs="Times New Roman"/>
                      <w:sz w:val="21"/>
                      <w:szCs w:val="21"/>
                      <w:u w:val="none"/>
                      <w:lang w:val="en-US" w:eastAsia="zh-CN"/>
                    </w:rPr>
                    <w:t>。</w:t>
                  </w:r>
                </w:p>
              </w:tc>
              <w:tc>
                <w:tcPr>
                  <w:tcW w:w="582" w:type="dxa"/>
                  <w:tcBorders>
                    <w:tl2br w:val="nil"/>
                    <w:tr2bl w:val="nil"/>
                  </w:tcBorders>
                  <w:vAlign w:val="center"/>
                </w:tcPr>
                <w:p>
                  <w:pPr>
                    <w:jc w:val="center"/>
                    <w:rPr>
                      <w:rFonts w:hint="eastAsia" w:cs="Times New Roman"/>
                      <w:sz w:val="21"/>
                      <w:szCs w:val="21"/>
                      <w:u w:val="none"/>
                      <w:lang w:val="en-US" w:eastAsia="zh-CN"/>
                    </w:rPr>
                  </w:pPr>
                </w:p>
              </w:tc>
            </w:tr>
          </w:tbl>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color w:val="000000"/>
                <w:sz w:val="24"/>
                <w:u w:val="none"/>
                <w:lang w:eastAsia="zh-CN"/>
              </w:rPr>
            </w:pPr>
            <w:r>
              <w:rPr>
                <w:rFonts w:hint="default" w:ascii="Times New Roman" w:hAnsi="Times New Roman" w:cs="Times New Roman"/>
                <w:color w:val="000000"/>
                <w:sz w:val="24"/>
                <w:u w:val="none"/>
              </w:rPr>
              <w:t>由上表分析可知，本项目</w:t>
            </w:r>
            <w:r>
              <w:rPr>
                <w:rFonts w:hint="eastAsia" w:cs="Times New Roman"/>
                <w:color w:val="000000"/>
                <w:sz w:val="24"/>
                <w:u w:val="none"/>
                <w:lang w:eastAsia="zh-CN"/>
              </w:rPr>
              <w:t>符合</w:t>
            </w:r>
            <w:r>
              <w:rPr>
                <w:rFonts w:hint="eastAsia" w:cs="Times New Roman"/>
                <w:sz w:val="24"/>
                <w:szCs w:val="24"/>
                <w:u w:val="none"/>
                <w:lang w:val="en-US" w:eastAsia="zh-CN"/>
              </w:rPr>
              <w:t>洛环委办〔2023〕24号</w:t>
            </w:r>
            <w:r>
              <w:rPr>
                <w:rFonts w:hint="eastAsia" w:cs="Times New Roman"/>
                <w:sz w:val="24"/>
                <w:szCs w:val="24"/>
                <w:u w:val="none"/>
                <w:lang w:eastAsia="zh-CN"/>
              </w:rPr>
              <w:t>文件要求。</w:t>
            </w:r>
          </w:p>
          <w:p>
            <w:pPr>
              <w:pStyle w:val="79"/>
              <w:spacing w:line="360" w:lineRule="auto"/>
              <w:ind w:left="0" w:leftChars="0" w:firstLine="0" w:firstLineChars="0"/>
              <w:jc w:val="both"/>
              <w:rPr>
                <w:rFonts w:hint="default" w:ascii="Times New Roman" w:hAnsi="Times New Roman" w:eastAsia="宋体" w:cs="Times New Roman"/>
                <w:b/>
                <w:bCs/>
                <w:color w:val="000000"/>
                <w:sz w:val="24"/>
                <w:szCs w:val="24"/>
                <w:highlight w:val="none"/>
                <w:u w:val="none"/>
                <w:lang w:val="en-US" w:eastAsia="zh-CN"/>
              </w:rPr>
            </w:pPr>
            <w:r>
              <w:rPr>
                <w:rFonts w:hint="eastAsia" w:eastAsia="宋体" w:cs="Times New Roman"/>
                <w:b/>
                <w:bCs/>
                <w:color w:val="000000"/>
                <w:sz w:val="24"/>
                <w:szCs w:val="24"/>
                <w:highlight w:val="none"/>
                <w:u w:val="none"/>
                <w:lang w:val="en-US" w:eastAsia="zh-CN"/>
              </w:rPr>
              <w:t>5</w:t>
            </w:r>
            <w:r>
              <w:rPr>
                <w:rFonts w:hint="default" w:ascii="Times New Roman" w:hAnsi="Times New Roman" w:eastAsia="宋体" w:cs="Times New Roman"/>
                <w:b/>
                <w:bCs/>
                <w:color w:val="000000"/>
                <w:sz w:val="24"/>
                <w:szCs w:val="24"/>
                <w:highlight w:val="none"/>
                <w:u w:val="none"/>
                <w:lang w:val="en-US" w:eastAsia="zh-CN"/>
              </w:rPr>
              <w:t>、与《</w:t>
            </w:r>
            <w:r>
              <w:rPr>
                <w:rFonts w:hint="eastAsia" w:eastAsia="宋体" w:cs="Times New Roman"/>
                <w:b/>
                <w:bCs/>
                <w:color w:val="000000"/>
                <w:sz w:val="24"/>
                <w:szCs w:val="24"/>
                <w:highlight w:val="none"/>
                <w:u w:val="none"/>
                <w:lang w:val="en-US" w:eastAsia="zh-CN"/>
              </w:rPr>
              <w:t>偃师区</w:t>
            </w:r>
            <w:r>
              <w:rPr>
                <w:rFonts w:hint="default" w:ascii="Times New Roman" w:hAnsi="Times New Roman" w:eastAsia="宋体" w:cs="Times New Roman"/>
                <w:b/>
                <w:bCs/>
                <w:color w:val="000000"/>
                <w:sz w:val="24"/>
                <w:szCs w:val="24"/>
                <w:highlight w:val="none"/>
                <w:u w:val="none"/>
                <w:lang w:val="en-US" w:eastAsia="zh-CN"/>
              </w:rPr>
              <w:t>202</w:t>
            </w:r>
            <w:r>
              <w:rPr>
                <w:rFonts w:hint="eastAsia" w:eastAsia="宋体" w:cs="Times New Roman"/>
                <w:b/>
                <w:bCs/>
                <w:color w:val="000000"/>
                <w:sz w:val="24"/>
                <w:szCs w:val="24"/>
                <w:highlight w:val="none"/>
                <w:u w:val="none"/>
                <w:lang w:val="en-US" w:eastAsia="zh-CN"/>
              </w:rPr>
              <w:t>3</w:t>
            </w:r>
            <w:r>
              <w:rPr>
                <w:rFonts w:hint="default" w:ascii="Times New Roman" w:hAnsi="Times New Roman" w:eastAsia="宋体" w:cs="Times New Roman"/>
                <w:b/>
                <w:bCs/>
                <w:color w:val="000000"/>
                <w:sz w:val="24"/>
                <w:szCs w:val="24"/>
                <w:highlight w:val="none"/>
                <w:u w:val="none"/>
                <w:lang w:val="en-US" w:eastAsia="zh-CN"/>
              </w:rPr>
              <w:t>年</w:t>
            </w:r>
            <w:r>
              <w:rPr>
                <w:rFonts w:hint="eastAsia" w:eastAsia="宋体" w:cs="Times New Roman"/>
                <w:b/>
                <w:bCs/>
                <w:color w:val="000000"/>
                <w:sz w:val="24"/>
                <w:szCs w:val="24"/>
                <w:highlight w:val="none"/>
                <w:u w:val="none"/>
                <w:lang w:val="en-US" w:eastAsia="zh-CN"/>
              </w:rPr>
              <w:t>夏季</w:t>
            </w:r>
            <w:r>
              <w:rPr>
                <w:rFonts w:hint="default" w:ascii="Times New Roman" w:hAnsi="Times New Roman" w:eastAsia="宋体" w:cs="Times New Roman"/>
                <w:b/>
                <w:bCs/>
                <w:color w:val="000000"/>
                <w:sz w:val="24"/>
                <w:szCs w:val="24"/>
                <w:highlight w:val="none"/>
                <w:u w:val="none"/>
                <w:lang w:val="en-US" w:eastAsia="zh-CN"/>
              </w:rPr>
              <w:t>挥发性有机物污染防治实施方案》（</w:t>
            </w:r>
            <w:r>
              <w:rPr>
                <w:rFonts w:hint="eastAsia" w:eastAsia="宋体" w:cs="Times New Roman"/>
                <w:b/>
                <w:bCs/>
                <w:color w:val="000000"/>
                <w:sz w:val="24"/>
                <w:szCs w:val="24"/>
                <w:highlight w:val="none"/>
                <w:u w:val="none"/>
                <w:lang w:val="en-US" w:eastAsia="zh-CN"/>
              </w:rPr>
              <w:t>偃环委办〔2023〕5号）</w:t>
            </w:r>
            <w:r>
              <w:rPr>
                <w:rFonts w:hint="default" w:ascii="Times New Roman" w:hAnsi="Times New Roman" w:eastAsia="宋体" w:cs="Times New Roman"/>
                <w:b/>
                <w:bCs/>
                <w:color w:val="000000"/>
                <w:sz w:val="24"/>
                <w:szCs w:val="24"/>
                <w:highlight w:val="none"/>
                <w:u w:val="none"/>
                <w:lang w:val="en-US" w:eastAsia="zh-CN"/>
              </w:rPr>
              <w:t>相符性分析</w:t>
            </w:r>
          </w:p>
          <w:p>
            <w:pPr>
              <w:pStyle w:val="79"/>
              <w:spacing w:line="360" w:lineRule="auto"/>
              <w:ind w:firstLine="420"/>
              <w:jc w:val="both"/>
              <w:rPr>
                <w:rFonts w:hint="default" w:ascii="Times New Roman" w:hAnsi="Times New Roman" w:eastAsia="宋体" w:cs="Times New Roman"/>
                <w:b w:val="0"/>
                <w:bCs w:val="0"/>
                <w:color w:val="000000"/>
                <w:sz w:val="24"/>
                <w:szCs w:val="24"/>
                <w:highlight w:val="none"/>
                <w:u w:val="none"/>
              </w:rPr>
            </w:pPr>
            <w:r>
              <w:rPr>
                <w:rFonts w:hint="default" w:ascii="Times New Roman" w:hAnsi="Times New Roman" w:eastAsia="宋体" w:cs="Times New Roman"/>
                <w:b w:val="0"/>
                <w:bCs w:val="0"/>
                <w:color w:val="000000"/>
                <w:sz w:val="24"/>
                <w:szCs w:val="24"/>
                <w:highlight w:val="none"/>
                <w:u w:val="none"/>
              </w:rPr>
              <w:t>本项目与</w:t>
            </w:r>
            <w:r>
              <w:rPr>
                <w:rFonts w:hint="eastAsia" w:eastAsia="宋体" w:cs="Times New Roman"/>
                <w:b w:val="0"/>
                <w:bCs w:val="0"/>
                <w:color w:val="000000"/>
                <w:sz w:val="24"/>
                <w:szCs w:val="24"/>
                <w:highlight w:val="none"/>
                <w:u w:val="none"/>
                <w:lang w:val="en-US" w:eastAsia="zh-CN"/>
              </w:rPr>
              <w:t>偃环委办〔2023〕5号文</w:t>
            </w:r>
            <w:r>
              <w:rPr>
                <w:rFonts w:hint="default" w:ascii="Times New Roman" w:hAnsi="Times New Roman" w:eastAsia="宋体" w:cs="Times New Roman"/>
                <w:b w:val="0"/>
                <w:bCs w:val="0"/>
                <w:color w:val="000000"/>
                <w:sz w:val="24"/>
                <w:szCs w:val="24"/>
                <w:highlight w:val="none"/>
                <w:u w:val="none"/>
              </w:rPr>
              <w:t>相符性分析详见下表。</w:t>
            </w:r>
          </w:p>
          <w:p>
            <w:pPr>
              <w:pStyle w:val="79"/>
              <w:spacing w:line="240" w:lineRule="auto"/>
              <w:ind w:firstLine="420"/>
              <w:jc w:val="center"/>
              <w:rPr>
                <w:rFonts w:hint="default" w:ascii="Times New Roman" w:hAnsi="Times New Roman" w:eastAsia="宋体" w:cs="Times New Roman"/>
                <w:b/>
                <w:bCs/>
                <w:color w:val="000000"/>
                <w:sz w:val="24"/>
                <w:szCs w:val="24"/>
                <w:highlight w:val="none"/>
                <w:u w:val="none"/>
              </w:rPr>
            </w:pPr>
            <w:r>
              <w:rPr>
                <w:rFonts w:hint="default" w:ascii="Times New Roman" w:hAnsi="Times New Roman" w:eastAsia="宋体" w:cs="Times New Roman"/>
                <w:b/>
                <w:bCs/>
                <w:color w:val="000000"/>
                <w:sz w:val="24"/>
                <w:szCs w:val="24"/>
                <w:highlight w:val="none"/>
                <w:u w:val="none"/>
              </w:rPr>
              <w:t>表</w:t>
            </w:r>
            <w:r>
              <w:rPr>
                <w:rFonts w:hint="eastAsia" w:eastAsia="宋体" w:cs="Times New Roman"/>
                <w:b/>
                <w:bCs/>
                <w:color w:val="000000"/>
                <w:sz w:val="24"/>
                <w:szCs w:val="24"/>
                <w:highlight w:val="none"/>
                <w:u w:val="none"/>
                <w:lang w:val="en-US" w:eastAsia="zh-CN"/>
              </w:rPr>
              <w:t>3</w:t>
            </w:r>
            <w:r>
              <w:rPr>
                <w:rFonts w:hint="default" w:ascii="Times New Roman" w:hAnsi="Times New Roman" w:eastAsia="宋体" w:cs="Times New Roman"/>
                <w:b/>
                <w:bCs/>
                <w:color w:val="000000"/>
                <w:sz w:val="24"/>
                <w:szCs w:val="24"/>
                <w:highlight w:val="none"/>
                <w:u w:val="none"/>
                <w:lang w:val="en-US" w:eastAsia="zh-CN"/>
              </w:rPr>
              <w:t xml:space="preserve">   </w:t>
            </w:r>
            <w:r>
              <w:rPr>
                <w:rFonts w:hint="default" w:ascii="Times New Roman" w:hAnsi="Times New Roman" w:eastAsia="宋体" w:cs="Times New Roman"/>
                <w:b/>
                <w:bCs/>
                <w:color w:val="000000"/>
                <w:sz w:val="24"/>
                <w:szCs w:val="24"/>
                <w:highlight w:val="none"/>
                <w:u w:val="none"/>
              </w:rPr>
              <w:t>项目与</w:t>
            </w:r>
            <w:r>
              <w:rPr>
                <w:rFonts w:hint="eastAsia" w:eastAsia="宋体" w:cs="Times New Roman"/>
                <w:b/>
                <w:bCs/>
                <w:color w:val="000000"/>
                <w:sz w:val="24"/>
                <w:szCs w:val="24"/>
                <w:highlight w:val="none"/>
                <w:u w:val="none"/>
                <w:lang w:val="en-US" w:eastAsia="zh-CN"/>
              </w:rPr>
              <w:t>偃环委办〔2023〕5号</w:t>
            </w:r>
            <w:r>
              <w:rPr>
                <w:rFonts w:hint="default" w:ascii="Times New Roman" w:hAnsi="Times New Roman" w:eastAsia="宋体" w:cs="Times New Roman"/>
                <w:b/>
                <w:bCs/>
                <w:color w:val="000000"/>
                <w:sz w:val="24"/>
                <w:szCs w:val="24"/>
                <w:highlight w:val="none"/>
                <w:u w:val="none"/>
              </w:rPr>
              <w:t>的相符性分析</w:t>
            </w:r>
          </w:p>
          <w:tbl>
            <w:tblPr>
              <w:tblStyle w:val="2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942"/>
              <w:gridCol w:w="1677"/>
              <w:gridCol w:w="7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jc w:val="center"/>
              </w:trPr>
              <w:tc>
                <w:tcPr>
                  <w:tcW w:w="3355"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rPr>
                  </w:pPr>
                  <w:r>
                    <w:rPr>
                      <w:rFonts w:hint="default" w:ascii="Times New Roman" w:hAnsi="Times New Roman" w:eastAsia="宋体" w:cs="Times New Roman"/>
                      <w:bCs/>
                      <w:color w:val="000000"/>
                      <w:sz w:val="21"/>
                      <w:szCs w:val="21"/>
                      <w:u w:val="none"/>
                    </w:rPr>
                    <w:t>文件要求</w:t>
                  </w:r>
                </w:p>
              </w:tc>
              <w:tc>
                <w:tcPr>
                  <w:tcW w:w="1138"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lang w:val="en-US" w:eastAsia="zh-CN"/>
                    </w:rPr>
                  </w:pPr>
                  <w:r>
                    <w:rPr>
                      <w:rFonts w:hint="default" w:ascii="Times New Roman" w:hAnsi="Times New Roman" w:eastAsia="宋体" w:cs="Times New Roman"/>
                      <w:bCs/>
                      <w:color w:val="000000"/>
                      <w:sz w:val="21"/>
                      <w:szCs w:val="21"/>
                      <w:u w:val="none"/>
                      <w:lang w:val="en-US" w:eastAsia="zh-CN"/>
                    </w:rPr>
                    <w:t>项目情况</w:t>
                  </w:r>
                </w:p>
              </w:tc>
              <w:tc>
                <w:tcPr>
                  <w:tcW w:w="505"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rPr>
                  </w:pPr>
                  <w:r>
                    <w:rPr>
                      <w:rFonts w:hint="default" w:ascii="Times New Roman" w:hAnsi="Times New Roman" w:eastAsia="宋体" w:cs="Times New Roman"/>
                      <w:bCs/>
                      <w:color w:val="000000"/>
                      <w:sz w:val="21"/>
                      <w:szCs w:val="21"/>
                      <w:u w:val="none"/>
                    </w:rPr>
                    <w:t>相符性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5" w:hRule="atLeast"/>
                <w:jc w:val="center"/>
              </w:trPr>
              <w:tc>
                <w:tcPr>
                  <w:tcW w:w="3355"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rPr>
                      <w:rFonts w:hint="default" w:ascii="Times New Roman" w:hAnsi="Times New Roman" w:eastAsia="宋体" w:cs="Times New Roman"/>
                      <w:bCs/>
                      <w:color w:val="000000"/>
                      <w:sz w:val="21"/>
                      <w:szCs w:val="21"/>
                      <w:u w:val="none"/>
                    </w:rPr>
                  </w:pPr>
                  <w:r>
                    <w:rPr>
                      <w:rFonts w:hint="default" w:ascii="Times New Roman" w:hAnsi="Times New Roman" w:cs="Times New Roman"/>
                      <w:color w:val="000000" w:themeColor="text1"/>
                      <w:sz w:val="21"/>
                      <w:szCs w:val="21"/>
                      <w:u w:val="none"/>
                      <w14:textFill>
                        <w14:solidFill>
                          <w14:schemeClr w14:val="tx1"/>
                        </w14:solidFill>
                      </w14:textFill>
                    </w:rPr>
                    <w:t>3、推动工业企业源头替代落实。按照“可替尽替、应代尽代”的原则，开展汽车制造、工业涂装、家具制造、包装印刷、钢结构制造、工程机械、制鞋、人造板等行业溶剂型涂料、油墨、胶粘剂、清洗剂使用低VOCs含量原辅材料替代，明确治理任务，动态更新清单台账。建立保存期限不少于三年的台账，记录生产原料、辅料的使用量、废弃量、去向以及挥发性有机物含量。汽车整车制造行业大力推进底漆、中涂、色漆低VOCs含量涂料使用比例。</w:t>
                  </w:r>
                </w:p>
              </w:tc>
              <w:tc>
                <w:tcPr>
                  <w:tcW w:w="1138" w:type="pct"/>
                  <w:tcBorders>
                    <w:tl2br w:val="nil"/>
                    <w:tr2bl w:val="nil"/>
                  </w:tcBorders>
                  <w:noWrap w:val="0"/>
                  <w:vAlign w:val="center"/>
                </w:tcPr>
                <w:p>
                  <w:pPr>
                    <w:autoSpaceDE w:val="0"/>
                    <w:autoSpaceDN w:val="0"/>
                    <w:adjustRightInd w:val="0"/>
                    <w:jc w:val="left"/>
                    <w:rPr>
                      <w:rFonts w:hint="eastAsia" w:ascii="Times New Roman" w:hAnsi="Times New Roman" w:eastAsia="宋体" w:cs="Times New Roman"/>
                      <w:bCs/>
                      <w:color w:val="000000"/>
                      <w:sz w:val="21"/>
                      <w:szCs w:val="21"/>
                      <w:u w:val="none"/>
                      <w:lang w:val="en-US" w:eastAsia="zh-CN"/>
                    </w:rPr>
                  </w:pPr>
                  <w:r>
                    <w:rPr>
                      <w:rFonts w:hint="default" w:ascii="Times New Roman" w:hAnsi="Times New Roman" w:eastAsia="宋体" w:cs="Times New Roman"/>
                      <w:b/>
                      <w:bCs w:val="0"/>
                      <w:color w:val="000000"/>
                      <w:sz w:val="21"/>
                      <w:szCs w:val="21"/>
                      <w:u w:val="none"/>
                      <w:lang w:val="en-US" w:eastAsia="zh-CN"/>
                    </w:rPr>
                    <w:t>本项目</w:t>
                  </w:r>
                  <w:r>
                    <w:rPr>
                      <w:rFonts w:hint="default" w:ascii="Times New Roman" w:hAnsi="Times New Roman" w:cs="Times New Roman"/>
                      <w:b/>
                      <w:bCs w:val="0"/>
                      <w:color w:val="000000"/>
                      <w:sz w:val="21"/>
                      <w:szCs w:val="21"/>
                      <w:u w:val="none"/>
                      <w:lang w:val="en-US" w:eastAsia="zh-CN"/>
                    </w:rPr>
                    <w:t>采用PE颗粒</w:t>
                  </w:r>
                  <w:r>
                    <w:rPr>
                      <w:rFonts w:hint="default" w:ascii="Times New Roman" w:hAnsi="Times New Roman" w:eastAsia="宋体" w:cs="Times New Roman"/>
                      <w:b/>
                      <w:bCs w:val="0"/>
                      <w:color w:val="000000"/>
                      <w:sz w:val="21"/>
                      <w:szCs w:val="21"/>
                      <w:u w:val="none"/>
                      <w:lang w:val="en-US" w:eastAsia="zh-CN"/>
                    </w:rPr>
                    <w:t>，建成后在生产过程中严格按照要求建立管理台账。</w:t>
                  </w:r>
                  <w:r>
                    <w:rPr>
                      <w:rFonts w:hint="eastAsia"/>
                      <w:b/>
                      <w:bCs w:val="0"/>
                      <w:snapToGrid w:val="0"/>
                      <w:color w:val="000000"/>
                      <w:kern w:val="0"/>
                      <w:szCs w:val="21"/>
                    </w:rPr>
                    <w:t>本项目使用低VOC</w:t>
                  </w:r>
                  <w:r>
                    <w:rPr>
                      <w:rFonts w:hint="eastAsia"/>
                      <w:b/>
                      <w:bCs w:val="0"/>
                      <w:snapToGrid w:val="0"/>
                      <w:color w:val="000000"/>
                      <w:kern w:val="0"/>
                      <w:szCs w:val="21"/>
                      <w:vertAlign w:val="subscript"/>
                    </w:rPr>
                    <w:t>S</w:t>
                  </w:r>
                  <w:r>
                    <w:rPr>
                      <w:rFonts w:hint="eastAsia"/>
                      <w:b/>
                      <w:bCs w:val="0"/>
                      <w:snapToGrid w:val="0"/>
                      <w:color w:val="000000"/>
                      <w:kern w:val="0"/>
                      <w:szCs w:val="21"/>
                    </w:rPr>
                    <w:t>含量</w:t>
                  </w:r>
                  <w:r>
                    <w:rPr>
                      <w:rFonts w:hint="eastAsia"/>
                      <w:b/>
                      <w:bCs w:val="0"/>
                      <w:snapToGrid w:val="0"/>
                      <w:color w:val="000000"/>
                      <w:kern w:val="0"/>
                      <w:szCs w:val="21"/>
                      <w:lang w:val="en-US" w:eastAsia="zh-CN"/>
                    </w:rPr>
                    <w:t>覆膜胶</w:t>
                  </w:r>
                  <w:r>
                    <w:rPr>
                      <w:rFonts w:hint="eastAsia"/>
                      <w:b/>
                      <w:bCs w:val="0"/>
                      <w:snapToGrid w:val="0"/>
                      <w:color w:val="000000"/>
                      <w:kern w:val="0"/>
                      <w:szCs w:val="21"/>
                    </w:rPr>
                    <w:t>，VOCs含量为</w:t>
                  </w:r>
                  <w:r>
                    <w:rPr>
                      <w:rFonts w:hint="eastAsia"/>
                      <w:b/>
                      <w:bCs w:val="0"/>
                      <w:snapToGrid w:val="0"/>
                      <w:color w:val="000000"/>
                      <w:kern w:val="0"/>
                      <w:szCs w:val="21"/>
                      <w:lang w:val="en-US" w:eastAsia="zh-CN"/>
                    </w:rPr>
                    <w:t>40</w:t>
                  </w:r>
                  <w:r>
                    <w:rPr>
                      <w:rFonts w:hint="eastAsia"/>
                      <w:b/>
                      <w:bCs w:val="0"/>
                      <w:snapToGrid w:val="0"/>
                      <w:color w:val="000000"/>
                      <w:kern w:val="0"/>
                      <w:szCs w:val="21"/>
                    </w:rPr>
                    <w:t>g/L（见企业提供的检测报告）,符合《胶粘剂挥发性有机化合物限量》(GB33372-2020)要求（表2水基型胶粘剂VOCs含量限值≤50g/L）</w:t>
                  </w:r>
                  <w:r>
                    <w:rPr>
                      <w:rFonts w:hint="eastAsia"/>
                      <w:b/>
                      <w:bCs w:val="0"/>
                      <w:snapToGrid w:val="0"/>
                      <w:color w:val="000000"/>
                      <w:kern w:val="0"/>
                      <w:szCs w:val="21"/>
                      <w:lang w:eastAsia="zh-CN"/>
                    </w:rPr>
                    <w:t>。</w:t>
                  </w:r>
                </w:p>
              </w:tc>
              <w:tc>
                <w:tcPr>
                  <w:tcW w:w="505"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rPr>
                  </w:pPr>
                  <w:r>
                    <w:rPr>
                      <w:rFonts w:hint="default" w:ascii="Times New Roman" w:hAnsi="Times New Roman" w:eastAsia="宋体" w:cs="Times New Roman"/>
                      <w:bCs/>
                      <w:color w:val="000000"/>
                      <w:sz w:val="21"/>
                      <w:szCs w:val="21"/>
                      <w:u w:val="non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5" w:hRule="atLeast"/>
                <w:jc w:val="center"/>
              </w:trPr>
              <w:tc>
                <w:tcPr>
                  <w:tcW w:w="3355"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jc w:val="both"/>
                    <w:rPr>
                      <w:rFonts w:hint="default" w:ascii="Times New Roman" w:hAnsi="Times New Roman" w:eastAsia="宋体" w:cs="Times New Roman"/>
                      <w:bCs/>
                      <w:color w:val="000000"/>
                      <w:sz w:val="21"/>
                      <w:szCs w:val="21"/>
                      <w:u w:val="none"/>
                    </w:rPr>
                  </w:pPr>
                  <w:r>
                    <w:rPr>
                      <w:rFonts w:hint="eastAsia" w:ascii="Times New Roman" w:hAnsi="Times New Roman" w:cs="Times New Roman"/>
                      <w:sz w:val="21"/>
                      <w:szCs w:val="21"/>
                      <w:u w:val="none"/>
                      <w:lang w:val="en-US" w:eastAsia="zh-CN"/>
                    </w:rPr>
                    <w:t>9</w:t>
                  </w:r>
                  <w:r>
                    <w:rPr>
                      <w:rFonts w:hint="default" w:ascii="Times New Roman" w:hAnsi="Times New Roman" w:cs="Times New Roman"/>
                      <w:sz w:val="21"/>
                      <w:szCs w:val="21"/>
                      <w:u w:val="none"/>
                    </w:rPr>
                    <w:t>、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5月底前，各县区对辖区内采用集气罩、侧吸风等措施收集无组织VOCs废气的企业开展一轮风速实测，达不到要求的一周内采取加装增压风机等措施，确保废气收集效率满足环评批复要求。</w:t>
                  </w:r>
                </w:p>
              </w:tc>
              <w:tc>
                <w:tcPr>
                  <w:tcW w:w="1138"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none"/>
                      <w:lang w:val="en-US" w:eastAsia="zh-CN"/>
                    </w:rPr>
                  </w:pPr>
                  <w:r>
                    <w:rPr>
                      <w:rFonts w:hint="default" w:ascii="Times New Roman" w:hAnsi="Times New Roman" w:eastAsia="宋体" w:cs="Times New Roman"/>
                      <w:bCs/>
                      <w:color w:val="000000"/>
                      <w:sz w:val="21"/>
                      <w:szCs w:val="21"/>
                      <w:u w:val="none"/>
                      <w:lang w:val="en-US" w:eastAsia="zh-CN"/>
                    </w:rPr>
                    <w:t>本项目采用“UV</w:t>
                  </w:r>
                  <w:r>
                    <w:rPr>
                      <w:rFonts w:hint="default" w:ascii="Times New Roman" w:hAnsi="Times New Roman" w:cs="Times New Roman"/>
                      <w:bCs/>
                      <w:color w:val="000000"/>
                      <w:sz w:val="21"/>
                      <w:szCs w:val="21"/>
                      <w:u w:val="none"/>
                      <w:lang w:val="en-US" w:eastAsia="zh-CN"/>
                    </w:rPr>
                    <w:t>光氧</w:t>
                  </w:r>
                  <w:r>
                    <w:rPr>
                      <w:rFonts w:hint="default" w:ascii="Times New Roman" w:hAnsi="Times New Roman" w:eastAsia="宋体" w:cs="Times New Roman"/>
                      <w:bCs/>
                      <w:color w:val="000000"/>
                      <w:sz w:val="21"/>
                      <w:szCs w:val="21"/>
                      <w:u w:val="none"/>
                      <w:lang w:val="en-US" w:eastAsia="zh-CN"/>
                    </w:rPr>
                    <w:t>+活性炭吸附”的复合处理工艺</w:t>
                  </w:r>
                  <w:r>
                    <w:rPr>
                      <w:rFonts w:hint="default" w:ascii="Times New Roman" w:hAnsi="Times New Roman" w:cs="Times New Roman"/>
                      <w:bCs/>
                      <w:color w:val="000000"/>
                      <w:sz w:val="21"/>
                      <w:szCs w:val="21"/>
                      <w:u w:val="none"/>
                      <w:lang w:val="en-US" w:eastAsia="zh-CN"/>
                    </w:rPr>
                    <w:t>，</w:t>
                  </w:r>
                  <w:r>
                    <w:rPr>
                      <w:rFonts w:hint="default" w:ascii="Times New Roman" w:hAnsi="Times New Roman" w:cs="Times New Roman"/>
                      <w:sz w:val="21"/>
                      <w:szCs w:val="21"/>
                      <w:u w:val="none"/>
                    </w:rPr>
                    <w:t>开口面最远处的控制风速</w:t>
                  </w:r>
                  <w:r>
                    <w:rPr>
                      <w:rFonts w:hint="default" w:ascii="Times New Roman" w:hAnsi="Times New Roman" w:cs="Times New Roman"/>
                      <w:sz w:val="21"/>
                      <w:szCs w:val="21"/>
                      <w:u w:val="none"/>
                      <w:lang w:val="en-US" w:eastAsia="zh-CN"/>
                    </w:rPr>
                    <w:t>为0.4m/s。</w:t>
                  </w:r>
                </w:p>
              </w:tc>
              <w:tc>
                <w:tcPr>
                  <w:tcW w:w="505"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rPr>
                  </w:pPr>
                  <w:r>
                    <w:rPr>
                      <w:rFonts w:hint="default" w:ascii="Times New Roman" w:hAnsi="Times New Roman" w:eastAsia="宋体" w:cs="Times New Roman"/>
                      <w:bCs/>
                      <w:color w:val="000000"/>
                      <w:sz w:val="21"/>
                      <w:szCs w:val="21"/>
                      <w:u w:val="non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9" w:hRule="atLeast"/>
                <w:jc w:val="center"/>
              </w:trPr>
              <w:tc>
                <w:tcPr>
                  <w:tcW w:w="3355"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rPr>
                      <w:rFonts w:hint="default" w:ascii="Times New Roman" w:hAnsi="Times New Roman" w:cs="Times New Roman"/>
                      <w:sz w:val="21"/>
                      <w:szCs w:val="21"/>
                      <w:u w:val="none"/>
                    </w:rPr>
                  </w:pPr>
                  <w:r>
                    <w:rPr>
                      <w:rFonts w:hint="default" w:ascii="Times New Roman" w:hAnsi="Times New Roman" w:cs="Times New Roman"/>
                      <w:sz w:val="21"/>
                      <w:szCs w:val="21"/>
                      <w:u w:val="none"/>
                    </w:rPr>
                    <w:t>1</w:t>
                  </w:r>
                  <w:r>
                    <w:rPr>
                      <w:rFonts w:hint="eastAsia" w:ascii="Times New Roman" w:hAnsi="Times New Roman" w:cs="Times New Roman"/>
                      <w:sz w:val="21"/>
                      <w:szCs w:val="21"/>
                      <w:u w:val="none"/>
                      <w:lang w:val="en-US" w:eastAsia="zh-CN"/>
                    </w:rPr>
                    <w:t>0</w:t>
                  </w:r>
                  <w:r>
                    <w:rPr>
                      <w:rFonts w:hint="default" w:ascii="Times New Roman" w:hAnsi="Times New Roman" w:cs="Times New Roman"/>
                      <w:sz w:val="21"/>
                      <w:szCs w:val="21"/>
                      <w:u w:val="none"/>
                    </w:rPr>
                    <w:t>、取缔简易低效治理设施。各县区要在5月底前组织VOCs治理设施运行情况专项排查，重点关注单一低温等离子、光催化、光氧化以及非水溶性VOCs废气单一喷淋吸收等简易低效治理且无法稳定达标的设施，实施全面清理整治，指导企业依据废气浓度、组分、风量以及生产工况等选用适宜治理技术，加快推进升级改造，确保废气污染物稳定达标。6月底前完成简易低效VOCs治理设施清理整治，定期开展排查，实现“动态清零”</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none"/>
                    </w:rPr>
                    <w:t>确需一定整改周期的，最迟在相关设备下次停车(工)大修期间完成整治。</w:t>
                  </w:r>
                </w:p>
              </w:tc>
              <w:tc>
                <w:tcPr>
                  <w:tcW w:w="1138"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none"/>
                      <w:lang w:val="en-US" w:eastAsia="zh-CN"/>
                    </w:rPr>
                  </w:pPr>
                  <w:r>
                    <w:rPr>
                      <w:rFonts w:hint="default" w:ascii="Times New Roman" w:hAnsi="Times New Roman" w:cs="Times New Roman"/>
                      <w:bCs/>
                      <w:color w:val="000000"/>
                      <w:sz w:val="21"/>
                      <w:szCs w:val="21"/>
                      <w:u w:val="none"/>
                      <w:lang w:val="en-US" w:eastAsia="zh-CN"/>
                    </w:rPr>
                    <w:t>企业采用UV</w:t>
                  </w:r>
                  <w:r>
                    <w:rPr>
                      <w:rFonts w:hint="eastAsia" w:cs="Times New Roman"/>
                      <w:bCs/>
                      <w:color w:val="000000"/>
                      <w:sz w:val="21"/>
                      <w:szCs w:val="21"/>
                      <w:u w:val="none"/>
                      <w:lang w:val="en-US" w:eastAsia="zh-CN"/>
                    </w:rPr>
                    <w:t>光氧</w:t>
                  </w:r>
                  <w:r>
                    <w:rPr>
                      <w:rFonts w:hint="default" w:ascii="Times New Roman" w:hAnsi="Times New Roman" w:cs="Times New Roman"/>
                      <w:bCs/>
                      <w:color w:val="000000"/>
                      <w:sz w:val="21"/>
                      <w:szCs w:val="21"/>
                      <w:u w:val="none"/>
                      <w:lang w:val="en-US" w:eastAsia="zh-CN"/>
                    </w:rPr>
                    <w:t>+活性炭吸附复合治理设施。</w:t>
                  </w:r>
                </w:p>
              </w:tc>
              <w:tc>
                <w:tcPr>
                  <w:tcW w:w="505"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rPr>
                  </w:pPr>
                  <w:r>
                    <w:rPr>
                      <w:rFonts w:hint="default" w:ascii="Times New Roman" w:hAnsi="Times New Roman" w:eastAsia="宋体" w:cs="Times New Roman"/>
                      <w:bCs/>
                      <w:color w:val="000000"/>
                      <w:sz w:val="21"/>
                      <w:szCs w:val="21"/>
                      <w:u w:val="non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5" w:hRule="atLeast"/>
                <w:jc w:val="center"/>
              </w:trPr>
              <w:tc>
                <w:tcPr>
                  <w:tcW w:w="3355"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jc w:val="both"/>
                    <w:rPr>
                      <w:rFonts w:hint="default" w:ascii="Times New Roman" w:hAnsi="Times New Roman" w:cs="Times New Roman"/>
                      <w:sz w:val="21"/>
                      <w:szCs w:val="21"/>
                      <w:u w:val="none"/>
                    </w:rPr>
                  </w:pPr>
                  <w:r>
                    <w:rPr>
                      <w:rFonts w:hint="default" w:ascii="Times New Roman" w:hAnsi="Times New Roman" w:cs="Times New Roman"/>
                      <w:sz w:val="21"/>
                      <w:szCs w:val="21"/>
                      <w:u w:val="none"/>
                    </w:rPr>
                    <w:t>1</w:t>
                  </w:r>
                  <w:r>
                    <w:rPr>
                      <w:rFonts w:hint="eastAsia" w:ascii="Times New Roman" w:hAnsi="Times New Roman" w:cs="Times New Roman"/>
                      <w:sz w:val="21"/>
                      <w:szCs w:val="21"/>
                      <w:u w:val="none"/>
                      <w:lang w:val="en-US" w:eastAsia="zh-CN"/>
                    </w:rPr>
                    <w:t>1</w:t>
                  </w:r>
                  <w:r>
                    <w:rPr>
                      <w:rFonts w:hint="default" w:ascii="Times New Roman" w:hAnsi="Times New Roman" w:cs="Times New Roman"/>
                      <w:sz w:val="21"/>
                      <w:szCs w:val="21"/>
                      <w:u w:val="none"/>
                    </w:rPr>
                    <w:t>、提升污染防治设施治理效果。5月10日前对采用活性炭吸附工艺的企业开展现场帮扶指导，引导企业做好活性炭购买发票、活性炭质检报告、装填量、更换频次以及废活性炭暂存转运处理情况等台账记录，其中颗粒状、柱状活性炭碘值不应低于800毫克/克，蜂窝状活性炭碘值不应低于650毫克/克，相关支撑材料至少要保存三年以上备查。5月底前，使用活性炭吸附的企业，VOCs年产生量大于0.5吨且活性炭吸附效率低于70%的，以及现场帮扶指导时无法提供半年内活性炭更换记录(自带自动脱附处理的除外)、碘值报告或活性炭碘值不满足要求的，要新完成一轮活性炭更换工作；采用催化燃烧工艺的企业应使用合格的催化剂并足额添加，催化剂床层的设计空速不得高于40000立方米/(立方米催化剂·小时)</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none"/>
                    </w:rPr>
                    <w:t>RTO燃烧温度不低于760摄氏度，催化燃烧装置燃烧温度不低于300摄氏度，运行温度、脱附频次等关键参数应自动记录存储，储存时间不得少于1年。</w:t>
                  </w:r>
                </w:p>
              </w:tc>
              <w:tc>
                <w:tcPr>
                  <w:tcW w:w="1138"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none"/>
                      <w:lang w:val="en-US" w:eastAsia="zh-CN"/>
                    </w:rPr>
                  </w:pPr>
                  <w:r>
                    <w:rPr>
                      <w:rFonts w:hint="default" w:ascii="Times New Roman" w:hAnsi="Times New Roman" w:cs="Times New Roman"/>
                      <w:bCs/>
                      <w:color w:val="000000"/>
                      <w:sz w:val="21"/>
                      <w:szCs w:val="21"/>
                      <w:u w:val="none"/>
                      <w:lang w:val="en-US" w:eastAsia="zh-CN"/>
                    </w:rPr>
                    <w:t>本项目采用</w:t>
                  </w:r>
                  <w:r>
                    <w:rPr>
                      <w:rFonts w:hint="default" w:ascii="Times New Roman" w:hAnsi="Times New Roman" w:cs="Times New Roman"/>
                      <w:sz w:val="21"/>
                      <w:szCs w:val="21"/>
                      <w:u w:val="none"/>
                    </w:rPr>
                    <w:t>蜂窝状活性炭</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none"/>
                    </w:rPr>
                    <w:t>碘值不低于</w:t>
                  </w:r>
                  <w:r>
                    <w:rPr>
                      <w:rFonts w:hint="eastAsia" w:cs="Times New Roman"/>
                      <w:sz w:val="21"/>
                      <w:szCs w:val="21"/>
                      <w:u w:val="none"/>
                      <w:lang w:val="en-US" w:eastAsia="zh-CN"/>
                    </w:rPr>
                    <w:t>80</w:t>
                  </w:r>
                  <w:r>
                    <w:rPr>
                      <w:rFonts w:hint="default" w:ascii="Times New Roman" w:hAnsi="Times New Roman" w:cs="Times New Roman"/>
                      <w:sz w:val="21"/>
                      <w:szCs w:val="21"/>
                      <w:u w:val="none"/>
                    </w:rPr>
                    <w:t>0毫克/克</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none"/>
                      <w:lang w:val="en-US" w:eastAsia="zh-CN"/>
                    </w:rPr>
                    <w:t>各种相关台账保存三年以上。</w:t>
                  </w:r>
                </w:p>
              </w:tc>
              <w:tc>
                <w:tcPr>
                  <w:tcW w:w="505"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none"/>
                    </w:rPr>
                  </w:pPr>
                  <w:r>
                    <w:rPr>
                      <w:rFonts w:hint="default" w:ascii="Times New Roman" w:hAnsi="Times New Roman" w:eastAsia="宋体" w:cs="Times New Roman"/>
                      <w:bCs/>
                      <w:color w:val="000000"/>
                      <w:sz w:val="21"/>
                      <w:szCs w:val="21"/>
                      <w:u w:val="none"/>
                    </w:rPr>
                    <w:t>相符</w:t>
                  </w:r>
                </w:p>
              </w:tc>
            </w:tr>
          </w:tbl>
          <w:p>
            <w:pPr>
              <w:pStyle w:val="4"/>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b w:val="0"/>
                <w:bCs w:val="0"/>
                <w:sz w:val="24"/>
                <w:szCs w:val="24"/>
                <w:u w:val="none"/>
                <w:lang w:eastAsia="zh-CN"/>
              </w:rPr>
            </w:pPr>
            <w:r>
              <w:rPr>
                <w:rFonts w:hint="default" w:ascii="Times New Roman" w:hAnsi="Times New Roman" w:cs="Times New Roman"/>
                <w:b w:val="0"/>
                <w:bCs w:val="0"/>
                <w:sz w:val="24"/>
                <w:szCs w:val="24"/>
                <w:u w:val="none"/>
                <w:lang w:eastAsia="zh-CN"/>
              </w:rPr>
              <w:t>本项目建设内容符合</w:t>
            </w:r>
            <w:r>
              <w:rPr>
                <w:rFonts w:hint="eastAsia" w:cs="Times New Roman"/>
                <w:sz w:val="24"/>
                <w:szCs w:val="24"/>
                <w:u w:val="none"/>
                <w:lang w:val="en-US" w:eastAsia="zh-CN"/>
              </w:rPr>
              <w:t>偃环委办〔2023〕5号</w:t>
            </w:r>
            <w:r>
              <w:rPr>
                <w:rFonts w:hint="default" w:ascii="Times New Roman" w:hAnsi="Times New Roman" w:cs="Times New Roman"/>
                <w:b w:val="0"/>
                <w:bCs w:val="0"/>
                <w:sz w:val="24"/>
                <w:szCs w:val="24"/>
                <w:u w:val="none"/>
                <w:lang w:eastAsia="zh-CN"/>
              </w:rPr>
              <w:t>文件要求。</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textAlignment w:val="auto"/>
              <w:rPr>
                <w:rFonts w:hint="eastAsia" w:ascii="Times New Roman" w:hAnsi="Times New Roman" w:eastAsia="宋体" w:cs="Times New Roman"/>
                <w:b/>
                <w:bCs/>
                <w:color w:val="000000"/>
                <w:sz w:val="24"/>
                <w:szCs w:val="24"/>
                <w:u w:val="single"/>
                <w:lang w:val="en-US" w:eastAsia="zh-CN"/>
              </w:rPr>
            </w:pPr>
            <w:r>
              <w:rPr>
                <w:rFonts w:hint="eastAsia" w:cs="Times New Roman"/>
                <w:b/>
                <w:bCs/>
                <w:color w:val="000000"/>
                <w:sz w:val="24"/>
                <w:szCs w:val="24"/>
                <w:u w:val="none"/>
                <w:lang w:val="en-US" w:eastAsia="zh-CN"/>
              </w:rPr>
              <w:t>6、</w:t>
            </w:r>
            <w:r>
              <w:rPr>
                <w:rFonts w:hint="eastAsia" w:cs="Times New Roman"/>
                <w:b/>
                <w:bCs/>
                <w:color w:val="000000"/>
                <w:sz w:val="24"/>
                <w:szCs w:val="24"/>
                <w:u w:val="single"/>
                <w:lang w:val="en-US" w:eastAsia="zh-CN"/>
              </w:rPr>
              <w:t>企业绩效分级</w:t>
            </w:r>
            <w:r>
              <w:rPr>
                <w:rFonts w:hint="eastAsia" w:ascii="Times New Roman" w:hAnsi="Times New Roman" w:eastAsia="宋体" w:cs="Times New Roman"/>
                <w:b/>
                <w:bCs/>
                <w:color w:val="000000"/>
                <w:sz w:val="24"/>
                <w:szCs w:val="24"/>
                <w:u w:val="single"/>
                <w:lang w:val="en-US" w:eastAsia="zh-CN"/>
              </w:rPr>
              <w:t>相符性分析</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b w:val="0"/>
                <w:bCs w:val="0"/>
                <w:sz w:val="24"/>
                <w:szCs w:val="24"/>
                <w:u w:val="single"/>
                <w:lang w:eastAsia="zh-CN"/>
              </w:rPr>
            </w:pPr>
            <w:r>
              <w:rPr>
                <w:rFonts w:hint="default" w:ascii="Times New Roman" w:hAnsi="Times New Roman" w:eastAsia="宋体" w:cs="Times New Roman"/>
                <w:b w:val="0"/>
                <w:bCs w:val="0"/>
                <w:color w:val="000000"/>
                <w:sz w:val="24"/>
                <w:szCs w:val="24"/>
                <w:highlight w:val="none"/>
                <w:u w:val="single"/>
                <w:lang w:val="en-US" w:eastAsia="zh-CN"/>
              </w:rPr>
              <w:t>本项目</w:t>
            </w:r>
            <w:r>
              <w:rPr>
                <w:rFonts w:hint="eastAsia" w:cs="Times New Roman"/>
                <w:b w:val="0"/>
                <w:bCs w:val="0"/>
                <w:color w:val="000000"/>
                <w:sz w:val="24"/>
                <w:szCs w:val="24"/>
                <w:highlight w:val="none"/>
                <w:u w:val="single"/>
                <w:lang w:val="en-US" w:eastAsia="zh-CN"/>
              </w:rPr>
              <w:t>为</w:t>
            </w:r>
            <w:r>
              <w:rPr>
                <w:rFonts w:hint="eastAsia" w:cs="Times New Roman"/>
                <w:color w:val="000000"/>
                <w:sz w:val="24"/>
                <w:szCs w:val="24"/>
                <w:u w:val="single"/>
                <w:lang w:eastAsia="zh-CN"/>
              </w:rPr>
              <w:t>C292</w:t>
            </w:r>
            <w:r>
              <w:rPr>
                <w:rFonts w:hint="eastAsia" w:cs="Times New Roman"/>
                <w:color w:val="000000"/>
                <w:sz w:val="24"/>
                <w:szCs w:val="24"/>
                <w:u w:val="single"/>
                <w:lang w:val="en-US" w:eastAsia="zh-CN"/>
              </w:rPr>
              <w:t>2塑料板、管、型材制造</w:t>
            </w:r>
            <w:r>
              <w:rPr>
                <w:rFonts w:hint="eastAsia" w:cs="Times New Roman"/>
                <w:b w:val="0"/>
                <w:bCs w:val="0"/>
                <w:color w:val="000000"/>
                <w:sz w:val="24"/>
                <w:szCs w:val="24"/>
                <w:u w:val="single"/>
                <w:lang w:val="en-US" w:eastAsia="zh-CN"/>
              </w:rPr>
              <w:t>，属于</w:t>
            </w:r>
            <w:r>
              <w:rPr>
                <w:rFonts w:hint="default" w:ascii="Times New Roman" w:hAnsi="Times New Roman" w:eastAsia="宋体" w:cs="Times New Roman"/>
                <w:b w:val="0"/>
                <w:bCs w:val="0"/>
                <w:color w:val="000000"/>
                <w:sz w:val="24"/>
                <w:szCs w:val="24"/>
                <w:u w:val="single"/>
                <w:lang w:val="en-US" w:eastAsia="zh-CN"/>
              </w:rPr>
              <w:t>《</w:t>
            </w:r>
            <w:r>
              <w:rPr>
                <w:rFonts w:hint="eastAsia" w:cs="Times New Roman"/>
                <w:b w:val="0"/>
                <w:bCs w:val="0"/>
                <w:color w:val="000000"/>
                <w:sz w:val="24"/>
                <w:szCs w:val="24"/>
                <w:u w:val="single"/>
                <w:lang w:val="en-US" w:eastAsia="zh-CN"/>
              </w:rPr>
              <w:t>河南省</w:t>
            </w:r>
            <w:r>
              <w:rPr>
                <w:rFonts w:hint="default" w:ascii="Times New Roman" w:hAnsi="Times New Roman" w:eastAsia="宋体" w:cs="Times New Roman"/>
                <w:b w:val="0"/>
                <w:bCs w:val="0"/>
                <w:color w:val="000000"/>
                <w:sz w:val="24"/>
                <w:szCs w:val="24"/>
                <w:u w:val="single"/>
                <w:lang w:val="en-US" w:eastAsia="zh-CN"/>
              </w:rPr>
              <w:t>重污染天气重点行业应急减排措施制定技术指南（202</w:t>
            </w:r>
            <w:r>
              <w:rPr>
                <w:rFonts w:hint="eastAsia" w:cs="Times New Roman"/>
                <w:b w:val="0"/>
                <w:bCs w:val="0"/>
                <w:color w:val="000000"/>
                <w:sz w:val="24"/>
                <w:szCs w:val="24"/>
                <w:u w:val="single"/>
                <w:lang w:val="en-US" w:eastAsia="zh-CN"/>
              </w:rPr>
              <w:t>1</w:t>
            </w:r>
            <w:r>
              <w:rPr>
                <w:rFonts w:hint="default" w:ascii="Times New Roman" w:hAnsi="Times New Roman" w:eastAsia="宋体" w:cs="Times New Roman"/>
                <w:b w:val="0"/>
                <w:bCs w:val="0"/>
                <w:color w:val="000000"/>
                <w:sz w:val="24"/>
                <w:szCs w:val="24"/>
                <w:u w:val="single"/>
                <w:lang w:val="en-US" w:eastAsia="zh-CN"/>
              </w:rPr>
              <w:t>年修订版）》</w:t>
            </w:r>
            <w:r>
              <w:rPr>
                <w:rFonts w:hint="eastAsia" w:cs="Times New Roman"/>
                <w:b w:val="0"/>
                <w:bCs w:val="0"/>
                <w:color w:val="000000"/>
                <w:sz w:val="24"/>
                <w:szCs w:val="24"/>
                <w:u w:val="single"/>
                <w:lang w:val="en-US" w:eastAsia="zh-CN"/>
              </w:rPr>
              <w:t>六、塑料制品</w:t>
            </w:r>
            <w:r>
              <w:rPr>
                <w:rFonts w:hint="default" w:ascii="Times New Roman" w:hAnsi="Times New Roman" w:eastAsia="宋体" w:cs="Times New Roman"/>
                <w:b w:val="0"/>
                <w:bCs w:val="0"/>
                <w:color w:val="000000"/>
                <w:sz w:val="24"/>
                <w:szCs w:val="24"/>
                <w:u w:val="single"/>
                <w:lang w:val="en-US" w:eastAsia="zh-CN"/>
              </w:rPr>
              <w:t>，本项目与</w:t>
            </w:r>
            <w:r>
              <w:rPr>
                <w:rFonts w:hint="eastAsia" w:cs="Times New Roman"/>
                <w:b w:val="0"/>
                <w:bCs w:val="0"/>
                <w:sz w:val="24"/>
                <w:szCs w:val="24"/>
                <w:u w:val="single"/>
                <w:lang w:eastAsia="zh-CN"/>
              </w:rPr>
              <w:t>塑料制品</w:t>
            </w:r>
            <w:r>
              <w:rPr>
                <w:rFonts w:hint="default" w:ascii="Times New Roman" w:hAnsi="Times New Roman" w:eastAsia="宋体" w:cs="Times New Roman"/>
                <w:b w:val="0"/>
                <w:bCs w:val="0"/>
                <w:sz w:val="24"/>
                <w:szCs w:val="24"/>
                <w:u w:val="single"/>
              </w:rPr>
              <w:t>绩效分级</w:t>
            </w:r>
            <w:r>
              <w:rPr>
                <w:rFonts w:hint="eastAsia" w:cs="Times New Roman"/>
                <w:b w:val="0"/>
                <w:bCs w:val="0"/>
                <w:sz w:val="24"/>
                <w:szCs w:val="24"/>
                <w:u w:val="single"/>
                <w:lang w:val="en-US" w:eastAsia="zh-CN"/>
              </w:rPr>
              <w:t>A级</w:t>
            </w:r>
            <w:r>
              <w:rPr>
                <w:rFonts w:hint="default" w:ascii="Times New Roman" w:hAnsi="Times New Roman" w:eastAsia="宋体" w:cs="Times New Roman"/>
                <w:b w:val="0"/>
                <w:bCs w:val="0"/>
                <w:sz w:val="24"/>
                <w:szCs w:val="24"/>
                <w:u w:val="single"/>
              </w:rPr>
              <w:t>指标</w:t>
            </w:r>
            <w:r>
              <w:rPr>
                <w:rFonts w:hint="default" w:ascii="Times New Roman" w:hAnsi="Times New Roman" w:eastAsia="宋体" w:cs="Times New Roman"/>
                <w:b w:val="0"/>
                <w:bCs w:val="0"/>
                <w:sz w:val="24"/>
                <w:szCs w:val="24"/>
                <w:u w:val="single"/>
                <w:lang w:eastAsia="zh-CN"/>
              </w:rPr>
              <w:t>对比见下表。</w:t>
            </w:r>
          </w:p>
          <w:p>
            <w:pPr>
              <w:pStyle w:val="79"/>
              <w:spacing w:line="240" w:lineRule="auto"/>
              <w:ind w:firstLine="420"/>
              <w:jc w:val="center"/>
              <w:rPr>
                <w:rFonts w:hint="default" w:ascii="Times New Roman" w:hAnsi="Times New Roman" w:eastAsia="宋体" w:cs="Times New Roman"/>
                <w:b/>
                <w:bCs/>
                <w:color w:val="000000"/>
                <w:sz w:val="24"/>
                <w:szCs w:val="24"/>
                <w:highlight w:val="none"/>
                <w:u w:val="single"/>
              </w:rPr>
            </w:pPr>
            <w:r>
              <w:rPr>
                <w:rFonts w:hint="default" w:ascii="Times New Roman" w:hAnsi="Times New Roman" w:eastAsia="宋体" w:cs="Times New Roman"/>
                <w:b/>
                <w:bCs/>
                <w:color w:val="000000"/>
                <w:sz w:val="24"/>
                <w:szCs w:val="24"/>
                <w:highlight w:val="none"/>
                <w:u w:val="single"/>
              </w:rPr>
              <w:t>表</w:t>
            </w:r>
            <w:r>
              <w:rPr>
                <w:rFonts w:hint="eastAsia" w:eastAsia="宋体" w:cs="Times New Roman"/>
                <w:b/>
                <w:bCs/>
                <w:color w:val="000000"/>
                <w:sz w:val="24"/>
                <w:szCs w:val="24"/>
                <w:highlight w:val="none"/>
                <w:u w:val="single"/>
                <w:lang w:val="en-US" w:eastAsia="zh-CN"/>
              </w:rPr>
              <w:t>4</w:t>
            </w:r>
            <w:r>
              <w:rPr>
                <w:rFonts w:hint="default" w:ascii="Times New Roman" w:hAnsi="Times New Roman" w:eastAsia="宋体" w:cs="Times New Roman"/>
                <w:b/>
                <w:bCs/>
                <w:color w:val="000000"/>
                <w:sz w:val="24"/>
                <w:szCs w:val="24"/>
                <w:highlight w:val="none"/>
                <w:u w:val="single"/>
                <w:lang w:val="en-US" w:eastAsia="zh-CN"/>
              </w:rPr>
              <w:t xml:space="preserve">   </w:t>
            </w:r>
            <w:r>
              <w:rPr>
                <w:rFonts w:hint="default" w:ascii="Times New Roman" w:hAnsi="Times New Roman" w:eastAsia="宋体" w:cs="Times New Roman"/>
                <w:b/>
                <w:bCs/>
                <w:color w:val="000000"/>
                <w:sz w:val="24"/>
                <w:szCs w:val="24"/>
                <w:highlight w:val="none"/>
                <w:u w:val="single"/>
              </w:rPr>
              <w:t>项目与</w:t>
            </w:r>
            <w:r>
              <w:rPr>
                <w:rFonts w:hint="eastAsia" w:eastAsia="宋体" w:cs="Times New Roman"/>
                <w:b/>
                <w:bCs/>
                <w:color w:val="000000"/>
                <w:sz w:val="24"/>
                <w:szCs w:val="24"/>
                <w:highlight w:val="none"/>
                <w:u w:val="single"/>
                <w:lang w:eastAsia="zh-CN"/>
              </w:rPr>
              <w:t>塑料制品</w:t>
            </w:r>
            <w:r>
              <w:rPr>
                <w:rFonts w:hint="default" w:ascii="Times New Roman" w:hAnsi="Times New Roman" w:eastAsia="宋体" w:cs="Times New Roman"/>
                <w:b/>
                <w:bCs/>
                <w:color w:val="000000"/>
                <w:sz w:val="24"/>
                <w:szCs w:val="24"/>
                <w:highlight w:val="none"/>
                <w:u w:val="single"/>
              </w:rPr>
              <w:t>绩效分级指标相符性分析</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30" w:type="dxa"/>
              </w:tblCellMar>
            </w:tblPr>
            <w:tblGrid>
              <w:gridCol w:w="614"/>
              <w:gridCol w:w="3633"/>
              <w:gridCol w:w="2333"/>
              <w:gridCol w:w="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差异化指标</w:t>
                  </w:r>
                </w:p>
              </w:tc>
              <w:tc>
                <w:tcPr>
                  <w:tcW w:w="2467"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lang w:val="en-US" w:eastAsia="zh-CN"/>
                    </w:rPr>
                    <w:t>A</w:t>
                  </w:r>
                  <w:r>
                    <w:rPr>
                      <w:rFonts w:hint="default" w:ascii="Times New Roman" w:hAnsi="Times New Roman" w:eastAsia="宋体" w:cs="Times New Roman"/>
                      <w:sz w:val="21"/>
                      <w:szCs w:val="21"/>
                      <w:u w:val="single"/>
                    </w:rPr>
                    <w:t>级绩效指标要求</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项目情况</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原料、能源</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类型</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1.原料全部使用非再生料(即使用原包料，非废旧塑料)；</w:t>
                  </w:r>
                </w:p>
                <w:p>
                  <w:pPr>
                    <w:jc w:val="both"/>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2.能源使用电、天然气、液化石油气等能源。</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rPr>
                    <w:t>本项目采用</w:t>
                  </w:r>
                  <w:r>
                    <w:rPr>
                      <w:rFonts w:hint="eastAsia" w:ascii="Times New Roman" w:hAnsi="Times New Roman" w:eastAsia="宋体" w:cs="Times New Roman"/>
                      <w:sz w:val="21"/>
                      <w:szCs w:val="21"/>
                      <w:u w:val="single"/>
                      <w:lang w:val="en-US" w:eastAsia="zh-CN"/>
                    </w:rPr>
                    <w:t>外购P</w:t>
                  </w:r>
                  <w:r>
                    <w:rPr>
                      <w:rFonts w:hint="eastAsia" w:eastAsia="宋体" w:cs="Times New Roman"/>
                      <w:sz w:val="21"/>
                      <w:szCs w:val="21"/>
                      <w:u w:val="single"/>
                      <w:lang w:val="en-US" w:eastAsia="zh-CN"/>
                    </w:rPr>
                    <w:t>E</w:t>
                  </w:r>
                  <w:r>
                    <w:rPr>
                      <w:rFonts w:hint="eastAsia" w:ascii="Times New Roman" w:hAnsi="Times New Roman" w:eastAsia="宋体" w:cs="Times New Roman"/>
                      <w:sz w:val="21"/>
                      <w:szCs w:val="21"/>
                      <w:u w:val="single"/>
                      <w:lang w:val="en-US" w:eastAsia="zh-CN"/>
                    </w:rPr>
                    <w:t>塑料</w:t>
                  </w:r>
                  <w:r>
                    <w:rPr>
                      <w:rFonts w:hint="eastAsia" w:cs="Times New Roman"/>
                      <w:sz w:val="21"/>
                      <w:szCs w:val="21"/>
                      <w:u w:val="single"/>
                      <w:lang w:val="en-US" w:eastAsia="zh-CN"/>
                    </w:rPr>
                    <w:t>，非再生料</w:t>
                  </w:r>
                  <w:r>
                    <w:rPr>
                      <w:rFonts w:hint="eastAsia" w:ascii="Times New Roman" w:hAnsi="Times New Roman" w:eastAsia="宋体" w:cs="Times New Roman"/>
                      <w:sz w:val="21"/>
                      <w:szCs w:val="21"/>
                      <w:u w:val="single"/>
                      <w:lang w:val="en-US" w:eastAsia="zh-CN"/>
                    </w:rPr>
                    <w:t>，使用电能。</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生产工艺及</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装备水平</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1.属于《产业结构调整指导目录(2019年版)》鼓励类和允许类；2.符合相关行业产业政策；3.符合河南省相关政策要求；4.符合市级规划。</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u w:val="single"/>
                      <w:lang w:val="en-US" w:eastAsia="zh-CN"/>
                    </w:rPr>
                  </w:pPr>
                  <w:r>
                    <w:rPr>
                      <w:rFonts w:hint="eastAsia" w:ascii="Times New Roman" w:hAnsi="Times New Roman" w:eastAsia="宋体" w:cs="Times New Roman"/>
                      <w:sz w:val="21"/>
                      <w:szCs w:val="21"/>
                      <w:u w:val="single"/>
                      <w:lang w:val="en-US" w:eastAsia="zh-CN"/>
                    </w:rPr>
                    <w:t>本项目属于允许类，满足产业政策，符合河南省及洛阳市相关政策要求。</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废气收集及 处理工艺</w:t>
                  </w:r>
                </w:p>
              </w:tc>
              <w:tc>
                <w:tcPr>
                  <w:tcW w:w="2467" w:type="pct"/>
                  <w:tcBorders>
                    <w:tl2br w:val="nil"/>
                    <w:tr2bl w:val="nil"/>
                  </w:tcBorders>
                  <w:noWrap w:val="0"/>
                  <w:vAlign w:val="center"/>
                </w:tcPr>
                <w:p>
                  <w:pPr>
                    <w:jc w:val="both"/>
                    <w:rPr>
                      <w:rFonts w:hint="default" w:ascii="Times New Roman" w:hAnsi="Times New Roman" w:eastAsia="宋体" w:cs="Times New Roman"/>
                      <w:b w:val="0"/>
                      <w:bCs w:val="0"/>
                      <w:sz w:val="21"/>
                      <w:szCs w:val="21"/>
                      <w:u w:val="single"/>
                    </w:rPr>
                  </w:pPr>
                  <w:r>
                    <w:rPr>
                      <w:rFonts w:hint="default" w:ascii="Times New Roman" w:hAnsi="Times New Roman" w:eastAsia="宋体" w:cs="Times New Roman"/>
                      <w:b w:val="0"/>
                      <w:bCs w:val="0"/>
                      <w:sz w:val="21"/>
                      <w:szCs w:val="21"/>
                      <w:u w:val="single"/>
                    </w:rPr>
                    <w:t>1.投料、挤塑、注塑、滚塑、吹塑、压延、挤出、造粒、热定型、冷却、发泡、熟化、干燥等涉VO</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s工序采用密闭设备或在密闭空间内操作，废气有效收集至VO</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s废气处理系统，车间外无异味；采用局部集气罩的，距集气罩开口面最远处的VO</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s无组织排放位置，控制风速不低于0.3米/秒；</w:t>
                  </w:r>
                </w:p>
                <w:p>
                  <w:pPr>
                    <w:jc w:val="both"/>
                    <w:rPr>
                      <w:rFonts w:hint="default" w:ascii="Times New Roman" w:hAnsi="Times New Roman" w:eastAsia="宋体" w:cs="Times New Roman"/>
                      <w:b w:val="0"/>
                      <w:bCs w:val="0"/>
                      <w:sz w:val="21"/>
                      <w:szCs w:val="21"/>
                      <w:u w:val="single"/>
                    </w:rPr>
                  </w:pPr>
                  <w:r>
                    <w:rPr>
                      <w:rFonts w:hint="default" w:ascii="Times New Roman" w:hAnsi="Times New Roman" w:eastAsia="宋体" w:cs="Times New Roman"/>
                      <w:b w:val="0"/>
                      <w:bCs w:val="0"/>
                      <w:sz w:val="21"/>
                      <w:szCs w:val="21"/>
                      <w:u w:val="single"/>
                    </w:rPr>
                    <w:t>2.VO</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s治理采用燃烧工艺(包括直接燃烧、催化燃烧和蓄热燃烧)，或静电、吸附、低温等离子、生物法等两级及以上组合工艺处理(采用一次性活性炭吸附的，活性炭碘值在800mg/g及以上)；</w:t>
                  </w:r>
                </w:p>
                <w:p>
                  <w:pPr>
                    <w:jc w:val="both"/>
                    <w:rPr>
                      <w:rFonts w:hint="default" w:ascii="Times New Roman" w:hAnsi="Times New Roman" w:eastAsia="宋体" w:cs="Times New Roman"/>
                      <w:b w:val="0"/>
                      <w:bCs w:val="0"/>
                      <w:sz w:val="21"/>
                      <w:szCs w:val="21"/>
                      <w:u w:val="single"/>
                    </w:rPr>
                  </w:pPr>
                  <w:r>
                    <w:rPr>
                      <w:rFonts w:hint="default" w:ascii="Times New Roman" w:hAnsi="Times New Roman" w:eastAsia="宋体" w:cs="Times New Roman"/>
                      <w:b w:val="0"/>
                      <w:bCs w:val="0"/>
                      <w:sz w:val="21"/>
                      <w:szCs w:val="21"/>
                      <w:u w:val="single"/>
                    </w:rPr>
                    <w:t>3、粉状、粒状物料采用自动投料器投加和配混， 投加和混配工序在封闭车间内进行，PM有效收集，采用覆膜滤袋、</w:t>
                  </w:r>
                  <w:r>
                    <w:rPr>
                      <w:rFonts w:hint="default" w:ascii="Times New Roman" w:hAnsi="Times New Roman" w:eastAsia="宋体" w:cs="Times New Roman"/>
                      <w:b w:val="0"/>
                      <w:bCs w:val="0"/>
                      <w:sz w:val="21"/>
                      <w:szCs w:val="21"/>
                      <w:u w:val="single"/>
                      <w:lang w:eastAsia="zh-CN"/>
                    </w:rPr>
                    <w:t>袋式</w:t>
                  </w:r>
                  <w:r>
                    <w:rPr>
                      <w:rFonts w:hint="default" w:ascii="Times New Roman" w:hAnsi="Times New Roman" w:eastAsia="宋体" w:cs="Times New Roman"/>
                      <w:b w:val="0"/>
                      <w:bCs w:val="0"/>
                      <w:sz w:val="21"/>
                      <w:szCs w:val="21"/>
                      <w:u w:val="single"/>
                    </w:rPr>
                    <w:t>等高效除尘技术；</w:t>
                  </w:r>
                </w:p>
                <w:p>
                  <w:pPr>
                    <w:jc w:val="both"/>
                    <w:rPr>
                      <w:rFonts w:hint="default" w:ascii="Times New Roman" w:hAnsi="Times New Roman" w:eastAsia="宋体" w:cs="Times New Roman"/>
                      <w:b w:val="0"/>
                      <w:bCs w:val="0"/>
                      <w:sz w:val="21"/>
                      <w:szCs w:val="21"/>
                      <w:u w:val="single"/>
                    </w:rPr>
                  </w:pPr>
                  <w:r>
                    <w:rPr>
                      <w:rFonts w:hint="default" w:ascii="Times New Roman" w:hAnsi="Times New Roman" w:eastAsia="宋体" w:cs="Times New Roman"/>
                      <w:b w:val="0"/>
                      <w:bCs w:val="0"/>
                      <w:sz w:val="21"/>
                      <w:szCs w:val="21"/>
                      <w:u w:val="single"/>
                    </w:rPr>
                    <w:t>4、废吸附剂应密闭</w:t>
                  </w:r>
                  <w:r>
                    <w:rPr>
                      <w:rFonts w:hint="default" w:ascii="Times New Roman" w:hAnsi="Times New Roman" w:eastAsia="宋体" w:cs="Times New Roman"/>
                      <w:b w:val="0"/>
                      <w:bCs w:val="0"/>
                      <w:sz w:val="21"/>
                      <w:szCs w:val="21"/>
                      <w:u w:val="single"/>
                      <w:lang w:eastAsia="zh-CN"/>
                    </w:rPr>
                    <w:t>地</w:t>
                  </w:r>
                  <w:r>
                    <w:rPr>
                      <w:rFonts w:hint="default" w:ascii="Times New Roman" w:hAnsi="Times New Roman" w:eastAsia="宋体" w:cs="Times New Roman"/>
                      <w:b w:val="0"/>
                      <w:bCs w:val="0"/>
                      <w:sz w:val="21"/>
                      <w:szCs w:val="21"/>
                      <w:u w:val="single"/>
                    </w:rPr>
                    <w:t>包装袋或容器储存、转运，并建立储存、处置台账；</w:t>
                  </w:r>
                </w:p>
                <w:p>
                  <w:pPr>
                    <w:jc w:val="both"/>
                    <w:rPr>
                      <w:rFonts w:hint="default" w:ascii="Times New Roman" w:hAnsi="Times New Roman" w:eastAsia="宋体" w:cs="Times New Roman"/>
                      <w:b w:val="0"/>
                      <w:bCs w:val="0"/>
                      <w:sz w:val="21"/>
                      <w:szCs w:val="21"/>
                      <w:u w:val="single"/>
                      <w:lang w:eastAsia="zh-CN"/>
                    </w:rPr>
                  </w:pPr>
                  <w:r>
                    <w:rPr>
                      <w:rFonts w:hint="default" w:ascii="Times New Roman" w:hAnsi="Times New Roman" w:eastAsia="宋体" w:cs="Times New Roman"/>
                      <w:b w:val="0"/>
                      <w:bCs w:val="0"/>
                      <w:sz w:val="21"/>
                      <w:szCs w:val="21"/>
                      <w:u w:val="single"/>
                    </w:rPr>
                    <w:t>5、NOx治理采用低氮燃烧、SN</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R/S</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R等适宜技术。</w:t>
                  </w:r>
                </w:p>
              </w:tc>
              <w:tc>
                <w:tcPr>
                  <w:tcW w:w="1584" w:type="pct"/>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firstLine="0"/>
                    <w:jc w:val="both"/>
                    <w:textAlignment w:val="auto"/>
                    <w:outlineLvl w:val="9"/>
                    <w:rPr>
                      <w:rFonts w:hint="default" w:ascii="Times New Roman" w:hAnsi="Times New Roman" w:eastAsia="宋体" w:cs="Times New Roman"/>
                      <w:b w:val="0"/>
                      <w:bCs w:val="0"/>
                      <w:sz w:val="21"/>
                      <w:szCs w:val="21"/>
                      <w:u w:val="single"/>
                      <w:lang w:eastAsia="zh-CN"/>
                    </w:rPr>
                  </w:pPr>
                  <w:r>
                    <w:rPr>
                      <w:rFonts w:hint="default" w:ascii="Times New Roman" w:hAnsi="Times New Roman" w:eastAsia="宋体" w:cs="Times New Roman"/>
                      <w:b w:val="0"/>
                      <w:bCs w:val="0"/>
                      <w:sz w:val="21"/>
                      <w:szCs w:val="21"/>
                      <w:u w:val="single"/>
                      <w:lang w:val="en-US" w:eastAsia="zh-CN"/>
                    </w:rPr>
                    <w:t>1、</w:t>
                  </w:r>
                  <w:r>
                    <w:rPr>
                      <w:rFonts w:hint="default" w:ascii="Times New Roman" w:hAnsi="Times New Roman" w:eastAsia="宋体" w:cs="Times New Roman"/>
                      <w:b w:val="0"/>
                      <w:bCs w:val="0"/>
                      <w:sz w:val="21"/>
                      <w:szCs w:val="21"/>
                      <w:u w:val="single"/>
                    </w:rPr>
                    <w:t>本项目</w:t>
                  </w:r>
                  <w:r>
                    <w:rPr>
                      <w:rFonts w:hint="default" w:ascii="Times New Roman" w:hAnsi="Times New Roman" w:eastAsia="宋体" w:cs="Times New Roman"/>
                      <w:b w:val="0"/>
                      <w:bCs w:val="0"/>
                      <w:sz w:val="21"/>
                      <w:szCs w:val="21"/>
                      <w:u w:val="single"/>
                      <w:lang w:val="en-US" w:eastAsia="zh-CN"/>
                    </w:rPr>
                    <w:t>挤出口采用集气罩收集废气经UV光氧+活性炭吸附处理后达标排放，集气罩</w:t>
                  </w:r>
                  <w:r>
                    <w:rPr>
                      <w:rFonts w:hint="default" w:ascii="Times New Roman" w:hAnsi="Times New Roman" w:eastAsia="宋体" w:cs="Times New Roman"/>
                      <w:b w:val="0"/>
                      <w:bCs w:val="0"/>
                      <w:sz w:val="21"/>
                      <w:szCs w:val="21"/>
                      <w:u w:val="single"/>
                    </w:rPr>
                    <w:t>控制风速不低于0.</w:t>
                  </w:r>
                  <w:r>
                    <w:rPr>
                      <w:rFonts w:hint="default" w:ascii="Times New Roman" w:hAnsi="Times New Roman" w:eastAsia="宋体" w:cs="Times New Roman"/>
                      <w:b w:val="0"/>
                      <w:bCs w:val="0"/>
                      <w:sz w:val="21"/>
                      <w:szCs w:val="21"/>
                      <w:u w:val="single"/>
                      <w:lang w:val="en-US" w:eastAsia="zh-CN"/>
                    </w:rPr>
                    <w:t>4</w:t>
                  </w:r>
                  <w:r>
                    <w:rPr>
                      <w:rFonts w:hint="default" w:ascii="Times New Roman" w:hAnsi="Times New Roman" w:eastAsia="宋体" w:cs="Times New Roman"/>
                      <w:b w:val="0"/>
                      <w:bCs w:val="0"/>
                      <w:sz w:val="21"/>
                      <w:szCs w:val="21"/>
                      <w:u w:val="single"/>
                    </w:rPr>
                    <w:t>米/秒</w:t>
                  </w:r>
                  <w:r>
                    <w:rPr>
                      <w:rFonts w:hint="default" w:ascii="Times New Roman" w:hAnsi="Times New Roman" w:eastAsia="宋体" w:cs="Times New Roman"/>
                      <w:b w:val="0"/>
                      <w:bCs w:val="0"/>
                      <w:sz w:val="21"/>
                      <w:szCs w:val="21"/>
                      <w:u w:val="single"/>
                      <w:lang w:eastAsia="zh-CN"/>
                    </w:rPr>
                    <w:t>。</w:t>
                  </w:r>
                </w:p>
                <w:p>
                  <w:pPr>
                    <w:keepLines w:val="0"/>
                    <w:pageBreakBefore w:val="0"/>
                    <w:widowControl w:val="0"/>
                    <w:kinsoku/>
                    <w:wordWrap/>
                    <w:topLinePunct w:val="0"/>
                    <w:autoSpaceDE/>
                    <w:autoSpaceDN/>
                    <w:bidi w:val="0"/>
                    <w:adjustRightInd/>
                    <w:spacing w:before="0" w:after="0" w:line="240" w:lineRule="auto"/>
                    <w:ind w:left="0" w:firstLine="0"/>
                    <w:jc w:val="both"/>
                    <w:textAlignment w:val="auto"/>
                    <w:outlineLvl w:val="9"/>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2、</w:t>
                  </w:r>
                  <w:r>
                    <w:rPr>
                      <w:rFonts w:hint="default" w:ascii="Times New Roman" w:hAnsi="Times New Roman" w:eastAsia="宋体" w:cs="Times New Roman"/>
                      <w:b w:val="0"/>
                      <w:bCs w:val="0"/>
                      <w:sz w:val="21"/>
                      <w:szCs w:val="21"/>
                      <w:u w:val="single"/>
                    </w:rPr>
                    <w:t>VO</w:t>
                  </w:r>
                  <w:r>
                    <w:rPr>
                      <w:rFonts w:hint="default" w:ascii="Times New Roman" w:hAnsi="Times New Roman" w:eastAsia="宋体" w:cs="Times New Roman"/>
                      <w:b w:val="0"/>
                      <w:bCs w:val="0"/>
                      <w:sz w:val="21"/>
                      <w:szCs w:val="21"/>
                      <w:u w:val="single"/>
                      <w:lang w:eastAsia="zh-CN"/>
                    </w:rPr>
                    <w:t>C</w:t>
                  </w:r>
                  <w:r>
                    <w:rPr>
                      <w:rFonts w:hint="default" w:ascii="Times New Roman" w:hAnsi="Times New Roman" w:eastAsia="宋体" w:cs="Times New Roman"/>
                      <w:b w:val="0"/>
                      <w:bCs w:val="0"/>
                      <w:sz w:val="21"/>
                      <w:szCs w:val="21"/>
                      <w:u w:val="single"/>
                    </w:rPr>
                    <w:t>s治理</w:t>
                  </w:r>
                  <w:r>
                    <w:rPr>
                      <w:rFonts w:hint="default" w:ascii="Times New Roman" w:hAnsi="Times New Roman" w:eastAsia="宋体" w:cs="Times New Roman"/>
                      <w:b w:val="0"/>
                      <w:bCs w:val="0"/>
                      <w:sz w:val="21"/>
                      <w:szCs w:val="21"/>
                      <w:u w:val="single"/>
                      <w:lang w:val="en-US" w:eastAsia="zh-CN"/>
                    </w:rPr>
                    <w:t>采用UV光</w:t>
                  </w:r>
                </w:p>
                <w:p>
                  <w:pPr>
                    <w:keepLines w:val="0"/>
                    <w:pageBreakBefore w:val="0"/>
                    <w:widowControl w:val="0"/>
                    <w:kinsoku/>
                    <w:wordWrap/>
                    <w:topLinePunct w:val="0"/>
                    <w:autoSpaceDE/>
                    <w:autoSpaceDN/>
                    <w:bidi w:val="0"/>
                    <w:adjustRightInd/>
                    <w:spacing w:before="0" w:after="0" w:line="240" w:lineRule="auto"/>
                    <w:ind w:left="0" w:firstLine="0"/>
                    <w:jc w:val="both"/>
                    <w:textAlignment w:val="auto"/>
                    <w:outlineLvl w:val="9"/>
                    <w:rPr>
                      <w:rFonts w:hint="default" w:ascii="Times New Roman" w:hAnsi="Times New Roman" w:eastAsia="宋体" w:cs="Times New Roman"/>
                      <w:b w:val="0"/>
                      <w:bCs w:val="0"/>
                      <w:sz w:val="21"/>
                      <w:szCs w:val="21"/>
                      <w:u w:val="single"/>
                    </w:rPr>
                  </w:pPr>
                  <w:r>
                    <w:rPr>
                      <w:rFonts w:hint="default" w:ascii="Times New Roman" w:hAnsi="Times New Roman" w:eastAsia="宋体" w:cs="Times New Roman"/>
                      <w:b w:val="0"/>
                      <w:bCs w:val="0"/>
                      <w:sz w:val="21"/>
                      <w:szCs w:val="21"/>
                      <w:u w:val="single"/>
                      <w:lang w:val="en-US" w:eastAsia="zh-CN"/>
                    </w:rPr>
                    <w:t>氧+活性炭复合治理，</w:t>
                  </w:r>
                  <w:r>
                    <w:rPr>
                      <w:rFonts w:hint="default" w:ascii="Times New Roman" w:hAnsi="Times New Roman" w:eastAsia="宋体" w:cs="Times New Roman"/>
                      <w:b w:val="0"/>
                      <w:bCs w:val="0"/>
                      <w:sz w:val="21"/>
                      <w:szCs w:val="21"/>
                      <w:u w:val="single"/>
                    </w:rPr>
                    <w:t>活</w:t>
                  </w:r>
                </w:p>
                <w:p>
                  <w:pPr>
                    <w:keepLines w:val="0"/>
                    <w:pageBreakBefore w:val="0"/>
                    <w:widowControl w:val="0"/>
                    <w:kinsoku/>
                    <w:wordWrap/>
                    <w:topLinePunct w:val="0"/>
                    <w:autoSpaceDE/>
                    <w:autoSpaceDN/>
                    <w:bidi w:val="0"/>
                    <w:adjustRightInd/>
                    <w:spacing w:before="0" w:after="0" w:line="240" w:lineRule="auto"/>
                    <w:ind w:left="0" w:firstLine="0"/>
                    <w:jc w:val="both"/>
                    <w:textAlignment w:val="auto"/>
                    <w:outlineLvl w:val="9"/>
                    <w:rPr>
                      <w:rFonts w:hint="default" w:ascii="Times New Roman" w:hAnsi="Times New Roman" w:eastAsia="宋体" w:cs="Times New Roman"/>
                      <w:b w:val="0"/>
                      <w:bCs w:val="0"/>
                      <w:sz w:val="21"/>
                      <w:szCs w:val="21"/>
                      <w:u w:val="single"/>
                      <w:lang w:eastAsia="zh-CN"/>
                    </w:rPr>
                  </w:pPr>
                  <w:r>
                    <w:rPr>
                      <w:rFonts w:hint="default" w:ascii="Times New Roman" w:hAnsi="Times New Roman" w:eastAsia="宋体" w:cs="Times New Roman"/>
                      <w:b w:val="0"/>
                      <w:bCs w:val="0"/>
                      <w:sz w:val="21"/>
                      <w:szCs w:val="21"/>
                      <w:u w:val="single"/>
                    </w:rPr>
                    <w:t>性炭碘值在800mg/g及以上</w:t>
                  </w:r>
                  <w:r>
                    <w:rPr>
                      <w:rFonts w:hint="default" w:ascii="Times New Roman" w:hAnsi="Times New Roman" w:eastAsia="宋体" w:cs="Times New Roman"/>
                      <w:b w:val="0"/>
                      <w:bCs w:val="0"/>
                      <w:sz w:val="21"/>
                      <w:szCs w:val="21"/>
                      <w:u w:val="single"/>
                      <w:lang w:eastAsia="zh-CN"/>
                    </w:rPr>
                    <w:t>。</w:t>
                  </w:r>
                </w:p>
                <w:p>
                  <w:pPr>
                    <w:keepLines w:val="0"/>
                    <w:pageBreakBefore w:val="0"/>
                    <w:widowControl w:val="0"/>
                    <w:kinsoku/>
                    <w:wordWrap/>
                    <w:topLinePunct w:val="0"/>
                    <w:autoSpaceDE/>
                    <w:autoSpaceDN/>
                    <w:bidi w:val="0"/>
                    <w:adjustRightInd/>
                    <w:spacing w:line="240" w:lineRule="auto"/>
                    <w:ind w:left="0" w:firstLine="0"/>
                    <w:jc w:val="both"/>
                    <w:textAlignment w:val="auto"/>
                    <w:outlineLvl w:val="9"/>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3、</w:t>
                  </w:r>
                  <w:r>
                    <w:rPr>
                      <w:rFonts w:hint="eastAsia" w:ascii="Times New Roman" w:hAnsi="Times New Roman" w:eastAsia="宋体" w:cs="Times New Roman"/>
                      <w:b w:val="0"/>
                      <w:bCs w:val="0"/>
                      <w:sz w:val="21"/>
                      <w:szCs w:val="21"/>
                      <w:u w:val="single"/>
                      <w:lang w:val="en-US" w:eastAsia="zh-CN"/>
                    </w:rPr>
                    <w:t>评价要求企业</w:t>
                  </w:r>
                  <w:r>
                    <w:rPr>
                      <w:rFonts w:hint="default" w:ascii="Times New Roman" w:hAnsi="Times New Roman" w:eastAsia="宋体" w:cs="Times New Roman"/>
                      <w:b w:val="0"/>
                      <w:bCs w:val="0"/>
                      <w:sz w:val="21"/>
                      <w:szCs w:val="21"/>
                      <w:u w:val="single"/>
                      <w:lang w:val="en-US" w:eastAsia="zh-CN"/>
                    </w:rPr>
                    <w:t>粉状、粒状物料采用自动投料器投加和配混，投加和混配工序在封闭车间内进行，PM有效收集，采用覆膜滤袋、袋式等高效除尘技术；</w:t>
                  </w:r>
                </w:p>
                <w:p>
                  <w:pPr>
                    <w:keepLines w:val="0"/>
                    <w:pageBreakBefore w:val="0"/>
                    <w:widowControl w:val="0"/>
                    <w:kinsoku/>
                    <w:wordWrap/>
                    <w:topLinePunct w:val="0"/>
                    <w:autoSpaceDE/>
                    <w:autoSpaceDN/>
                    <w:bidi w:val="0"/>
                    <w:adjustRightInd/>
                    <w:spacing w:line="240" w:lineRule="auto"/>
                    <w:ind w:left="0" w:firstLine="0"/>
                    <w:jc w:val="both"/>
                    <w:textAlignment w:val="auto"/>
                    <w:outlineLvl w:val="9"/>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4、废</w:t>
                  </w:r>
                  <w:r>
                    <w:rPr>
                      <w:rFonts w:hint="eastAsia" w:ascii="Times New Roman" w:hAnsi="Times New Roman" w:eastAsia="宋体" w:cs="Times New Roman"/>
                      <w:b w:val="0"/>
                      <w:bCs w:val="0"/>
                      <w:sz w:val="21"/>
                      <w:szCs w:val="21"/>
                      <w:u w:val="single"/>
                      <w:lang w:val="en-US" w:eastAsia="zh-CN"/>
                    </w:rPr>
                    <w:t>活性炭</w:t>
                  </w:r>
                  <w:r>
                    <w:rPr>
                      <w:rFonts w:hint="default" w:ascii="Times New Roman" w:hAnsi="Times New Roman" w:eastAsia="宋体" w:cs="Times New Roman"/>
                      <w:b w:val="0"/>
                      <w:bCs w:val="0"/>
                      <w:sz w:val="21"/>
                      <w:szCs w:val="21"/>
                      <w:u w:val="single"/>
                      <w:lang w:val="en-US" w:eastAsia="zh-CN"/>
                    </w:rPr>
                    <w:t>密闭容器储存、转运， 并建立储存、处置台账；</w:t>
                  </w:r>
                </w:p>
                <w:p>
                  <w:pPr>
                    <w:rPr>
                      <w:rFonts w:hint="default" w:ascii="Times New Roman" w:hAnsi="Times New Roman" w:eastAsia="宋体" w:cs="Times New Roman"/>
                      <w:b w:val="0"/>
                      <w:bCs w:val="0"/>
                      <w:sz w:val="21"/>
                      <w:szCs w:val="21"/>
                      <w:u w:val="single"/>
                      <w:lang w:val="en-US" w:eastAsia="zh-CN"/>
                    </w:rPr>
                  </w:pP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无组织管控</w:t>
                  </w:r>
                </w:p>
              </w:tc>
              <w:tc>
                <w:tcPr>
                  <w:tcW w:w="2467" w:type="pct"/>
                  <w:tcBorders>
                    <w:tl2br w:val="nil"/>
                    <w:tr2bl w:val="nil"/>
                  </w:tcBorders>
                  <w:noWrap w:val="0"/>
                  <w:vAlign w:val="center"/>
                </w:tcPr>
                <w:p>
                  <w:pPr>
                    <w:numPr>
                      <w:ilvl w:val="0"/>
                      <w:numId w:val="6"/>
                    </w:num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s物料存储于密闭的容器、包装袋、储罐、储库、料仓中；盛装VO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s物料的容器或包装袋存放于室内；盛装VO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s物料的容器或包装袋在非取用状态时应加盖、封口，保持密闭；</w:t>
                  </w:r>
                </w:p>
                <w:p>
                  <w:pPr>
                    <w:numPr>
                      <w:ilvl w:val="0"/>
                      <w:numId w:val="0"/>
                    </w:num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2.粉状物料采用气力输送、管状带式输送机、螺旋输送机等自动化、密闭输送方式；粒状物料采用封闭皮带等自动化、封闭输送方式；液态VO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s物料采用密闭管道输送；</w:t>
                  </w:r>
                </w:p>
                <w:p>
                  <w:pPr>
                    <w:jc w:val="both"/>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3.产生VO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s的生产工序和装置应设置有效集气装置并引至VO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s末端处理设施；                                           4.厂区道路及车间地面硬化，车间地面、墙壁、设备顶部整洁无积尘；厂内地面全部硬化或绿化，无成片裸露土地。</w:t>
                  </w:r>
                </w:p>
              </w:tc>
              <w:tc>
                <w:tcPr>
                  <w:tcW w:w="1584" w:type="pct"/>
                  <w:tcBorders>
                    <w:tl2br w:val="nil"/>
                    <w:tr2bl w:val="nil"/>
                  </w:tcBorders>
                  <w:noWrap w:val="0"/>
                  <w:vAlign w:val="center"/>
                </w:tcPr>
                <w:p>
                  <w:pPr>
                    <w:jc w:val="center"/>
                    <w:rPr>
                      <w:rFonts w:hint="eastAsia" w:cs="Times New Roman"/>
                      <w:b/>
                      <w:bCs/>
                      <w:sz w:val="21"/>
                      <w:szCs w:val="21"/>
                      <w:u w:val="single"/>
                      <w:lang w:val="en-US" w:eastAsia="zh-CN"/>
                    </w:rPr>
                  </w:pPr>
                  <w:r>
                    <w:rPr>
                      <w:rFonts w:hint="eastAsia" w:cs="Times New Roman"/>
                      <w:b/>
                      <w:bCs/>
                      <w:sz w:val="21"/>
                      <w:szCs w:val="21"/>
                      <w:u w:val="single"/>
                      <w:lang w:val="en-US" w:eastAsia="zh-CN"/>
                    </w:rPr>
                    <w:t>1、</w:t>
                  </w:r>
                  <w:r>
                    <w:rPr>
                      <w:rFonts w:hint="eastAsia" w:ascii="Times New Roman" w:hAnsi="Times New Roman" w:eastAsia="宋体" w:cs="Times New Roman"/>
                      <w:b/>
                      <w:bCs/>
                      <w:sz w:val="21"/>
                      <w:szCs w:val="21"/>
                      <w:u w:val="single"/>
                      <w:lang w:val="en-US" w:eastAsia="zh-CN"/>
                    </w:rPr>
                    <w:t>本项目</w:t>
                  </w:r>
                  <w:r>
                    <w:rPr>
                      <w:rFonts w:hint="eastAsia" w:cs="Times New Roman"/>
                      <w:b/>
                      <w:bCs/>
                      <w:sz w:val="21"/>
                      <w:szCs w:val="21"/>
                      <w:u w:val="single"/>
                      <w:lang w:val="en-US" w:eastAsia="zh-CN"/>
                    </w:rPr>
                    <w:t>PE</w:t>
                  </w:r>
                  <w:r>
                    <w:rPr>
                      <w:rFonts w:hint="eastAsia" w:ascii="Times New Roman" w:hAnsi="Times New Roman" w:eastAsia="宋体" w:cs="Times New Roman"/>
                      <w:b/>
                      <w:bCs/>
                      <w:sz w:val="21"/>
                      <w:szCs w:val="21"/>
                      <w:u w:val="single"/>
                      <w:lang w:val="en-US" w:eastAsia="zh-CN"/>
                    </w:rPr>
                    <w:t>颗粒袋装储存，在上料桶内加盖，通过气力管道输送</w:t>
                  </w:r>
                  <w:r>
                    <w:rPr>
                      <w:rFonts w:hint="eastAsia" w:cs="Times New Roman"/>
                      <w:b/>
                      <w:bCs/>
                      <w:sz w:val="21"/>
                      <w:szCs w:val="21"/>
                      <w:u w:val="single"/>
                      <w:lang w:val="en-US" w:eastAsia="zh-CN"/>
                    </w:rPr>
                    <w:t>。</w:t>
                  </w:r>
                </w:p>
                <w:p>
                  <w:pPr>
                    <w:jc w:val="center"/>
                    <w:rPr>
                      <w:rFonts w:hint="eastAsia" w:cs="Times New Roman"/>
                      <w:b/>
                      <w:bCs/>
                      <w:sz w:val="21"/>
                      <w:szCs w:val="21"/>
                      <w:u w:val="single"/>
                      <w:lang w:val="en-US" w:eastAsia="zh-CN"/>
                    </w:rPr>
                  </w:pPr>
                  <w:r>
                    <w:rPr>
                      <w:rFonts w:hint="eastAsia" w:cs="Times New Roman"/>
                      <w:b/>
                      <w:bCs/>
                      <w:sz w:val="21"/>
                      <w:szCs w:val="21"/>
                      <w:u w:val="single"/>
                      <w:lang w:val="en-US" w:eastAsia="zh-CN"/>
                    </w:rPr>
                    <w:t>2、本项目粉料通过管道密闭输送。</w:t>
                  </w:r>
                </w:p>
                <w:p>
                  <w:pPr>
                    <w:jc w:val="center"/>
                    <w:rPr>
                      <w:rFonts w:hint="eastAsia" w:cs="Times New Roman"/>
                      <w:b/>
                      <w:bCs/>
                      <w:sz w:val="21"/>
                      <w:szCs w:val="21"/>
                      <w:u w:val="single"/>
                      <w:lang w:val="en-US" w:eastAsia="zh-CN"/>
                    </w:rPr>
                  </w:pPr>
                  <w:r>
                    <w:rPr>
                      <w:rFonts w:hint="eastAsia" w:cs="Times New Roman"/>
                      <w:b/>
                      <w:bCs/>
                      <w:sz w:val="21"/>
                      <w:szCs w:val="21"/>
                      <w:u w:val="single"/>
                      <w:lang w:val="en-US" w:eastAsia="zh-CN"/>
                    </w:rPr>
                    <w:t>3、注塑挤出机和包覆机</w:t>
                  </w:r>
                  <w:r>
                    <w:rPr>
                      <w:rFonts w:hint="eastAsia" w:ascii="Times New Roman" w:hAnsi="Times New Roman" w:eastAsia="宋体" w:cs="Times New Roman"/>
                      <w:b/>
                      <w:bCs/>
                      <w:sz w:val="21"/>
                      <w:szCs w:val="21"/>
                      <w:u w:val="single"/>
                      <w:lang w:val="en-US" w:eastAsia="zh-CN"/>
                    </w:rPr>
                    <w:t>，</w:t>
                  </w:r>
                  <w:r>
                    <w:rPr>
                      <w:rFonts w:hint="eastAsia" w:cs="Times New Roman"/>
                      <w:b/>
                      <w:bCs/>
                      <w:sz w:val="21"/>
                      <w:szCs w:val="21"/>
                      <w:u w:val="single"/>
                      <w:lang w:val="en-US" w:eastAsia="zh-CN"/>
                    </w:rPr>
                    <w:t>VOCs产生工序上方设置集齐设施，</w:t>
                  </w:r>
                  <w:r>
                    <w:rPr>
                      <w:rFonts w:hint="default" w:ascii="Times New Roman" w:hAnsi="Times New Roman" w:eastAsia="宋体" w:cs="Times New Roman"/>
                      <w:b/>
                      <w:bCs/>
                      <w:sz w:val="21"/>
                      <w:szCs w:val="21"/>
                      <w:u w:val="single"/>
                    </w:rPr>
                    <w:t>VO</w:t>
                  </w:r>
                  <w:r>
                    <w:rPr>
                      <w:rFonts w:hint="eastAsia" w:cs="Times New Roman"/>
                      <w:b/>
                      <w:bCs/>
                      <w:sz w:val="21"/>
                      <w:szCs w:val="21"/>
                      <w:u w:val="single"/>
                      <w:lang w:eastAsia="zh-CN"/>
                    </w:rPr>
                    <w:t>C</w:t>
                  </w:r>
                  <w:r>
                    <w:rPr>
                      <w:rFonts w:hint="default" w:ascii="Times New Roman" w:hAnsi="Times New Roman" w:eastAsia="宋体" w:cs="Times New Roman"/>
                      <w:b/>
                      <w:bCs/>
                      <w:sz w:val="21"/>
                      <w:szCs w:val="21"/>
                      <w:u w:val="single"/>
                    </w:rPr>
                    <w:t>s</w:t>
                  </w:r>
                  <w:r>
                    <w:rPr>
                      <w:rFonts w:hint="eastAsia" w:cs="Times New Roman"/>
                      <w:b/>
                      <w:bCs/>
                      <w:sz w:val="21"/>
                      <w:szCs w:val="21"/>
                      <w:u w:val="single"/>
                      <w:lang w:val="en-US" w:eastAsia="zh-CN"/>
                    </w:rPr>
                    <w:t>经集气罩收集+</w:t>
                  </w:r>
                  <w:r>
                    <w:rPr>
                      <w:rFonts w:hint="eastAsia" w:ascii="Times New Roman" w:hAnsi="Times New Roman" w:eastAsia="宋体" w:cs="Times New Roman"/>
                      <w:b/>
                      <w:bCs/>
                      <w:sz w:val="21"/>
                      <w:szCs w:val="21"/>
                      <w:u w:val="single"/>
                      <w:lang w:val="en-US" w:eastAsia="zh-CN"/>
                    </w:rPr>
                    <w:t>UV光氧+活性炭吸附处理后达标排放</w:t>
                  </w:r>
                  <w:r>
                    <w:rPr>
                      <w:rFonts w:hint="eastAsia" w:cs="Times New Roman"/>
                      <w:b/>
                      <w:bCs/>
                      <w:sz w:val="21"/>
                      <w:szCs w:val="21"/>
                      <w:u w:val="single"/>
                      <w:lang w:val="en-US" w:eastAsia="zh-CN"/>
                    </w:rPr>
                    <w:t>。</w:t>
                  </w:r>
                </w:p>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厂区道路及车间地面硬化，车间地面、墙壁、设备顶部整洁无积尘；厂内地面全部硬化或绿化，无成片裸露土地</w:t>
                  </w:r>
                </w:p>
              </w:tc>
              <w:tc>
                <w:tcPr>
                  <w:tcW w:w="530" w:type="pct"/>
                  <w:vMerge w:val="restar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排放限值</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1.全厂有组织PM、NMH</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有组织排放浓度分别不高于10、10mg/</w:t>
                  </w:r>
                  <w:r>
                    <w:rPr>
                      <w:rFonts w:hint="eastAsia" w:cs="Times New Roman"/>
                      <w:sz w:val="21"/>
                      <w:szCs w:val="21"/>
                      <w:u w:val="single"/>
                      <w:lang w:eastAsia="zh-CN"/>
                    </w:rPr>
                    <w:t>m³</w:t>
                  </w:r>
                  <w:r>
                    <w:rPr>
                      <w:rFonts w:hint="default" w:ascii="Times New Roman" w:hAnsi="Times New Roman" w:eastAsia="宋体" w:cs="Times New Roman"/>
                      <w:sz w:val="21"/>
                      <w:szCs w:val="21"/>
                      <w:u w:val="single"/>
                    </w:rPr>
                    <w:t>；</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2.VO</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s治理设施同步运行率和去除率分别达到100%和80%；去除率确实达不到的，生产车间或生产设备的无组织排放监控点NMH</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浓度低于4mg/m³，企业边界1hNMH</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平均浓度低于 2mg/m³；</w:t>
                  </w:r>
                </w:p>
                <w:p>
                  <w:pPr>
                    <w:jc w:val="both"/>
                    <w:rPr>
                      <w:rFonts w:hint="eastAsia"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3.锅炉烟气排放限值要求：燃气锅炉PM、SO</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、NOx排放浓度分别不高于：5、10、50/30【1】mg/</w:t>
                  </w:r>
                  <w:r>
                    <w:rPr>
                      <w:rFonts w:hint="eastAsia" w:cs="Times New Roman"/>
                      <w:sz w:val="21"/>
                      <w:szCs w:val="21"/>
                      <w:u w:val="single"/>
                      <w:lang w:eastAsia="zh-CN"/>
                    </w:rPr>
                    <w:t>m³</w:t>
                  </w:r>
                </w:p>
              </w:tc>
              <w:tc>
                <w:tcPr>
                  <w:tcW w:w="1584" w:type="pct"/>
                  <w:tcBorders>
                    <w:tl2br w:val="nil"/>
                    <w:tr2bl w:val="nil"/>
                  </w:tcBorders>
                  <w:noWrap w:val="0"/>
                  <w:vAlign w:val="center"/>
                </w:tcPr>
                <w:p>
                  <w:pPr>
                    <w:jc w:val="both"/>
                    <w:rPr>
                      <w:rFonts w:hint="default" w:ascii="Times New Roman" w:hAnsi="Times New Roman" w:eastAsia="宋体" w:cs="Times New Roman"/>
                      <w:b/>
                      <w:bCs/>
                      <w:sz w:val="21"/>
                      <w:szCs w:val="21"/>
                      <w:u w:val="single"/>
                    </w:rPr>
                  </w:pPr>
                  <w:r>
                    <w:rPr>
                      <w:rFonts w:hint="eastAsia" w:cs="Times New Roman"/>
                      <w:b/>
                      <w:bCs/>
                      <w:sz w:val="21"/>
                      <w:szCs w:val="21"/>
                      <w:u w:val="single"/>
                      <w:lang w:val="en-US" w:eastAsia="zh-CN"/>
                    </w:rPr>
                    <w:t>1、</w:t>
                  </w:r>
                  <w:r>
                    <w:rPr>
                      <w:rFonts w:hint="default" w:ascii="Times New Roman" w:hAnsi="Times New Roman" w:eastAsia="宋体" w:cs="Times New Roman"/>
                      <w:b/>
                      <w:bCs/>
                      <w:sz w:val="21"/>
                      <w:szCs w:val="21"/>
                      <w:u w:val="single"/>
                    </w:rPr>
                    <w:t>全厂有组织PM</w:t>
                  </w:r>
                  <w:r>
                    <w:rPr>
                      <w:rFonts w:hint="eastAsia" w:cs="Times New Roman"/>
                      <w:b/>
                      <w:bCs/>
                      <w:sz w:val="21"/>
                      <w:szCs w:val="21"/>
                      <w:u w:val="single"/>
                      <w:lang w:eastAsia="zh-CN"/>
                    </w:rPr>
                    <w:t>、</w:t>
                  </w:r>
                  <w:r>
                    <w:rPr>
                      <w:rFonts w:hint="default" w:ascii="Times New Roman" w:hAnsi="Times New Roman" w:eastAsia="宋体" w:cs="Times New Roman"/>
                      <w:b/>
                      <w:bCs/>
                      <w:sz w:val="21"/>
                      <w:szCs w:val="21"/>
                      <w:u w:val="single"/>
                    </w:rPr>
                    <w:t>NMH</w:t>
                  </w:r>
                  <w:r>
                    <w:rPr>
                      <w:rFonts w:hint="eastAsia" w:cs="Times New Roman"/>
                      <w:b/>
                      <w:bCs/>
                      <w:sz w:val="21"/>
                      <w:szCs w:val="21"/>
                      <w:u w:val="single"/>
                      <w:lang w:eastAsia="zh-CN"/>
                    </w:rPr>
                    <w:t>C</w:t>
                  </w:r>
                  <w:r>
                    <w:rPr>
                      <w:rFonts w:hint="default" w:ascii="Times New Roman" w:hAnsi="Times New Roman" w:eastAsia="宋体" w:cs="Times New Roman"/>
                      <w:b/>
                      <w:bCs/>
                      <w:sz w:val="21"/>
                      <w:szCs w:val="21"/>
                      <w:u w:val="single"/>
                    </w:rPr>
                    <w:t>有组织排放浓度</w:t>
                  </w:r>
                  <w:r>
                    <w:rPr>
                      <w:rFonts w:hint="eastAsia" w:cs="Times New Roman"/>
                      <w:b/>
                      <w:bCs/>
                      <w:sz w:val="21"/>
                      <w:szCs w:val="21"/>
                      <w:u w:val="single"/>
                      <w:lang w:val="en-US" w:eastAsia="zh-CN"/>
                    </w:rPr>
                    <w:t>均</w:t>
                  </w:r>
                  <w:r>
                    <w:rPr>
                      <w:rFonts w:hint="default" w:ascii="Times New Roman" w:hAnsi="Times New Roman" w:eastAsia="宋体" w:cs="Times New Roman"/>
                      <w:b/>
                      <w:bCs/>
                      <w:sz w:val="21"/>
                      <w:szCs w:val="21"/>
                      <w:u w:val="single"/>
                    </w:rPr>
                    <w:t>不高于10mg/</w:t>
                  </w:r>
                  <w:r>
                    <w:rPr>
                      <w:rFonts w:hint="eastAsia" w:cs="Times New Roman"/>
                      <w:b/>
                      <w:bCs/>
                      <w:sz w:val="21"/>
                      <w:szCs w:val="21"/>
                      <w:u w:val="single"/>
                      <w:lang w:eastAsia="zh-CN"/>
                    </w:rPr>
                    <w:t>m³</w:t>
                  </w:r>
                  <w:r>
                    <w:rPr>
                      <w:rFonts w:hint="default" w:ascii="Times New Roman" w:hAnsi="Times New Roman" w:eastAsia="宋体" w:cs="Times New Roman"/>
                      <w:b/>
                      <w:bCs/>
                      <w:sz w:val="21"/>
                      <w:szCs w:val="21"/>
                      <w:u w:val="single"/>
                    </w:rPr>
                    <w:t>；</w:t>
                  </w:r>
                </w:p>
                <w:p>
                  <w:pPr>
                    <w:jc w:val="both"/>
                    <w:rPr>
                      <w:rFonts w:hint="eastAsia" w:cs="Times New Roman"/>
                      <w:b/>
                      <w:bCs/>
                      <w:sz w:val="21"/>
                      <w:szCs w:val="21"/>
                      <w:u w:val="single"/>
                      <w:lang w:eastAsia="zh-CN"/>
                    </w:rPr>
                  </w:pPr>
                  <w:r>
                    <w:rPr>
                      <w:rFonts w:hint="eastAsia" w:cs="Times New Roman"/>
                      <w:b/>
                      <w:bCs/>
                      <w:sz w:val="21"/>
                      <w:szCs w:val="21"/>
                      <w:u w:val="single"/>
                      <w:lang w:val="en-US" w:eastAsia="zh-CN"/>
                    </w:rPr>
                    <w:t>2、</w:t>
                  </w:r>
                  <w:r>
                    <w:rPr>
                      <w:rFonts w:hint="default" w:ascii="Times New Roman" w:hAnsi="Times New Roman" w:eastAsia="宋体" w:cs="Times New Roman"/>
                      <w:b/>
                      <w:bCs/>
                      <w:sz w:val="21"/>
                      <w:szCs w:val="21"/>
                      <w:u w:val="single"/>
                    </w:rPr>
                    <w:t>VO</w:t>
                  </w:r>
                  <w:r>
                    <w:rPr>
                      <w:rFonts w:hint="eastAsia" w:cs="Times New Roman"/>
                      <w:b/>
                      <w:bCs/>
                      <w:sz w:val="21"/>
                      <w:szCs w:val="21"/>
                      <w:u w:val="single"/>
                      <w:lang w:eastAsia="zh-CN"/>
                    </w:rPr>
                    <w:t>C</w:t>
                  </w:r>
                  <w:r>
                    <w:rPr>
                      <w:rFonts w:hint="default" w:ascii="Times New Roman" w:hAnsi="Times New Roman" w:eastAsia="宋体" w:cs="Times New Roman"/>
                      <w:b/>
                      <w:bCs/>
                      <w:sz w:val="21"/>
                      <w:szCs w:val="21"/>
                      <w:u w:val="single"/>
                    </w:rPr>
                    <w:t>s治理设施同步运行率和去除率分别达到100%和80%</w:t>
                  </w:r>
                  <w:r>
                    <w:rPr>
                      <w:rFonts w:hint="eastAsia" w:cs="Times New Roman"/>
                      <w:b/>
                      <w:bCs/>
                      <w:sz w:val="21"/>
                      <w:szCs w:val="21"/>
                      <w:u w:val="single"/>
                      <w:lang w:eastAsia="zh-CN"/>
                    </w:rPr>
                    <w:t>。</w:t>
                  </w:r>
                </w:p>
                <w:p>
                  <w:pPr>
                    <w:pStyle w:val="2"/>
                    <w:ind w:left="0" w:leftChars="0" w:firstLine="0" w:firstLineChars="0"/>
                    <w:rPr>
                      <w:rFonts w:hint="default"/>
                      <w:b/>
                      <w:bCs/>
                      <w:lang w:val="en-US" w:eastAsia="zh-CN"/>
                    </w:rPr>
                  </w:pPr>
                  <w:r>
                    <w:rPr>
                      <w:rFonts w:hint="eastAsia" w:cs="Times New Roman"/>
                      <w:b/>
                      <w:bCs/>
                      <w:sz w:val="21"/>
                      <w:szCs w:val="21"/>
                      <w:u w:val="single"/>
                      <w:lang w:val="en-US" w:eastAsia="zh-CN"/>
                    </w:rPr>
                    <w:t>3、不涉及</w:t>
                  </w:r>
                </w:p>
                <w:p>
                  <w:pPr>
                    <w:jc w:val="center"/>
                    <w:rPr>
                      <w:rFonts w:hint="default" w:ascii="Times New Roman" w:hAnsi="Times New Roman" w:eastAsia="宋体" w:cs="Times New Roman"/>
                      <w:b/>
                      <w:bCs/>
                      <w:sz w:val="21"/>
                      <w:szCs w:val="21"/>
                      <w:u w:val="single"/>
                      <w:lang w:val="en-US" w:eastAsia="zh-CN"/>
                    </w:rPr>
                  </w:pPr>
                </w:p>
              </w:tc>
              <w:tc>
                <w:tcPr>
                  <w:tcW w:w="530" w:type="pct"/>
                  <w:vMerge w:val="continue"/>
                  <w:tcBorders>
                    <w:tl2br w:val="nil"/>
                    <w:tr2bl w:val="nil"/>
                  </w:tcBorders>
                  <w:noWrap w:val="0"/>
                  <w:vAlign w:val="center"/>
                </w:tcPr>
                <w:p>
                  <w:pPr>
                    <w:jc w:val="center"/>
                    <w:rPr>
                      <w:rFonts w:hint="default" w:ascii="Times New Roman" w:hAnsi="Times New Roman" w:eastAsia="宋体"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监测监控水 平</w:t>
                  </w:r>
                </w:p>
              </w:tc>
              <w:tc>
                <w:tcPr>
                  <w:tcW w:w="2467" w:type="pct"/>
                  <w:tcBorders>
                    <w:tl2br w:val="nil"/>
                    <w:tr2bl w:val="nil"/>
                  </w:tcBorders>
                  <w:noWrap w:val="0"/>
                  <w:vAlign w:val="center"/>
                </w:tcPr>
                <w:p>
                  <w:pPr>
                    <w:jc w:val="lef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1.有组织排放口按生态环境部门要求安装烟气排放自动监控设施(</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EMS)，并按要求联网；  2.有组织排放口按照排污许可证要求开展自行监测；                                                     3.涉气生产工序、生产装置及污染治理设施按生态环境部门要求安装用电监管设备，用电监管设备与省、市生态环境部门用电监管平台联网。</w:t>
                  </w:r>
                </w:p>
              </w:tc>
              <w:tc>
                <w:tcPr>
                  <w:tcW w:w="1584" w:type="pct"/>
                  <w:tcBorders>
                    <w:tl2br w:val="nil"/>
                    <w:tr2bl w:val="nil"/>
                  </w:tcBorders>
                  <w:noWrap w:val="0"/>
                  <w:vAlign w:val="center"/>
                </w:tcPr>
                <w:p>
                  <w:pPr>
                    <w:jc w:val="left"/>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1、本项目按照当地</w:t>
                  </w:r>
                  <w:r>
                    <w:rPr>
                      <w:rFonts w:hint="default" w:ascii="Times New Roman" w:hAnsi="Times New Roman" w:eastAsia="宋体" w:cs="Times New Roman"/>
                      <w:sz w:val="21"/>
                      <w:szCs w:val="21"/>
                      <w:u w:val="single"/>
                    </w:rPr>
                    <w:t>生态环境部门要求安装烟气排放自动监控设施(</w:t>
                  </w:r>
                  <w:r>
                    <w:rPr>
                      <w:rFonts w:hint="eastAsia" w:cs="Times New Roman"/>
                      <w:sz w:val="21"/>
                      <w:szCs w:val="21"/>
                      <w:u w:val="single"/>
                      <w:lang w:eastAsia="zh-CN"/>
                    </w:rPr>
                    <w:t>C</w:t>
                  </w:r>
                  <w:r>
                    <w:rPr>
                      <w:rFonts w:hint="default" w:ascii="Times New Roman" w:hAnsi="Times New Roman" w:eastAsia="宋体" w:cs="Times New Roman"/>
                      <w:sz w:val="21"/>
                      <w:szCs w:val="21"/>
                      <w:u w:val="single"/>
                    </w:rPr>
                    <w:t>EMS)； 2.</w:t>
                  </w:r>
                  <w:r>
                    <w:rPr>
                      <w:rFonts w:hint="eastAsia" w:cs="Times New Roman"/>
                      <w:sz w:val="21"/>
                      <w:szCs w:val="21"/>
                      <w:u w:val="single"/>
                      <w:lang w:val="en-US" w:eastAsia="zh-CN"/>
                    </w:rPr>
                    <w:t>本项目</w:t>
                  </w:r>
                  <w:r>
                    <w:rPr>
                      <w:rFonts w:hint="default" w:ascii="Times New Roman" w:hAnsi="Times New Roman" w:eastAsia="宋体" w:cs="Times New Roman"/>
                      <w:sz w:val="21"/>
                      <w:szCs w:val="21"/>
                      <w:u w:val="single"/>
                    </w:rPr>
                    <w:t>有组织排放口按照排污许可证要求开展自行监测</w:t>
                  </w:r>
                  <w:r>
                    <w:rPr>
                      <w:rFonts w:hint="eastAsia" w:cs="Times New Roman"/>
                      <w:sz w:val="21"/>
                      <w:szCs w:val="21"/>
                      <w:u w:val="single"/>
                      <w:lang w:eastAsia="zh-CN"/>
                    </w:rPr>
                    <w:t>；</w:t>
                  </w:r>
                  <w:r>
                    <w:rPr>
                      <w:rFonts w:hint="default" w:ascii="Times New Roman" w:hAnsi="Times New Roman" w:eastAsia="宋体" w:cs="Times New Roman"/>
                      <w:sz w:val="21"/>
                      <w:szCs w:val="21"/>
                      <w:u w:val="single"/>
                    </w:rPr>
                    <w:t xml:space="preserve">                                   </w:t>
                  </w:r>
                  <w:r>
                    <w:rPr>
                      <w:rFonts w:hint="eastAsia" w:cs="Times New Roman"/>
                      <w:sz w:val="21"/>
                      <w:szCs w:val="21"/>
                      <w:u w:val="single"/>
                      <w:lang w:val="en-US" w:eastAsia="zh-CN"/>
                    </w:rPr>
                    <w:t>3、</w:t>
                  </w:r>
                  <w:r>
                    <w:rPr>
                      <w:rFonts w:hint="default" w:ascii="Times New Roman" w:hAnsi="Times New Roman" w:eastAsia="宋体" w:cs="Times New Roman"/>
                      <w:sz w:val="21"/>
                      <w:szCs w:val="21"/>
                      <w:u w:val="single"/>
                    </w:rPr>
                    <w:t>涉气生产工序、生产装置及污染治理设施按生态环境部门要求安装用电监管设备，用电监管设备与省、市生态环境部门用电监管平台联网。</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vMerge w:val="restar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环境 管理 水平</w:t>
                  </w:r>
                </w:p>
              </w:tc>
              <w:tc>
                <w:tcPr>
                  <w:tcW w:w="2467" w:type="pct"/>
                  <w:tcBorders>
                    <w:tl2br w:val="nil"/>
                    <w:tr2bl w:val="nil"/>
                  </w:tcBorders>
                  <w:noWrap w:val="0"/>
                  <w:vAlign w:val="center"/>
                </w:tcPr>
                <w:p>
                  <w:pPr>
                    <w:jc w:val="lef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环保档案</w:t>
                  </w:r>
                  <w:r>
                    <w:rPr>
                      <w:rFonts w:hint="eastAsia" w:cs="Times New Roman"/>
                      <w:sz w:val="21"/>
                      <w:szCs w:val="21"/>
                      <w:u w:val="single"/>
                      <w:lang w:eastAsia="zh-CN"/>
                    </w:rPr>
                    <w:t>：</w:t>
                  </w:r>
                  <w:r>
                    <w:rPr>
                      <w:rFonts w:hint="default" w:ascii="Times New Roman" w:hAnsi="Times New Roman" w:eastAsia="宋体" w:cs="Times New Roman"/>
                      <w:sz w:val="21"/>
                      <w:szCs w:val="21"/>
                      <w:u w:val="single"/>
                    </w:rPr>
                    <w:t>1.环评批复文件和竣工环保验收文件或环境现状评估备案证明；</w:t>
                  </w:r>
                </w:p>
                <w:p>
                  <w:pPr>
                    <w:jc w:val="left"/>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2.国家版排污许可证；                                                                               3.环境管理制度(有组织、无组织排放长效管理机制，主要包括岗位责任制度、达标公示制度和定期巡查维护制度等)；</w:t>
                  </w:r>
                </w:p>
              </w:tc>
              <w:tc>
                <w:tcPr>
                  <w:tcW w:w="1584" w:type="pct"/>
                  <w:tcBorders>
                    <w:tl2br w:val="nil"/>
                    <w:tr2bl w:val="nil"/>
                  </w:tcBorders>
                  <w:noWrap w:val="0"/>
                  <w:vAlign w:val="center"/>
                </w:tcPr>
                <w:p>
                  <w:pPr>
                    <w:jc w:val="left"/>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rPr>
                    <w:t>1.</w:t>
                  </w:r>
                  <w:r>
                    <w:rPr>
                      <w:rFonts w:hint="eastAsia" w:cs="Times New Roman"/>
                      <w:sz w:val="21"/>
                      <w:szCs w:val="21"/>
                      <w:u w:val="single"/>
                      <w:lang w:val="en-US" w:eastAsia="zh-CN"/>
                    </w:rPr>
                    <w:t>环评手续办理中</w:t>
                  </w:r>
                </w:p>
                <w:p>
                  <w:pPr>
                    <w:jc w:val="lef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2.国家版排污许可证</w:t>
                  </w:r>
                  <w:r>
                    <w:rPr>
                      <w:rFonts w:hint="eastAsia" w:cs="Times New Roman"/>
                      <w:sz w:val="21"/>
                      <w:szCs w:val="21"/>
                      <w:u w:val="single"/>
                      <w:lang w:val="en-US" w:eastAsia="zh-CN"/>
                    </w:rPr>
                    <w:t>办理中</w:t>
                  </w:r>
                  <w:r>
                    <w:rPr>
                      <w:rFonts w:hint="default" w:ascii="Times New Roman" w:hAnsi="Times New Roman" w:eastAsia="宋体" w:cs="Times New Roman"/>
                      <w:sz w:val="21"/>
                      <w:szCs w:val="21"/>
                      <w:u w:val="single"/>
                    </w:rPr>
                    <w:t>；                                                                               3.环境管理制度(有组织、无组织排放长效管理机制，主要包括岗位责任制度、达标公示制度和定期巡查维护制度等)；</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vMerge w:val="continue"/>
                  <w:tcBorders>
                    <w:tl2br w:val="nil"/>
                    <w:tr2bl w:val="nil"/>
                  </w:tcBorders>
                  <w:noWrap w:val="0"/>
                  <w:vAlign w:val="center"/>
                </w:tcPr>
                <w:p>
                  <w:pPr>
                    <w:jc w:val="both"/>
                    <w:rPr>
                      <w:rFonts w:hint="default" w:ascii="Times New Roman" w:hAnsi="Times New Roman" w:eastAsia="宋体" w:cs="Times New Roman"/>
                      <w:sz w:val="21"/>
                      <w:szCs w:val="21"/>
                      <w:u w:val="single"/>
                    </w:rPr>
                  </w:pP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台账记录</w:t>
                  </w:r>
                  <w:r>
                    <w:rPr>
                      <w:rFonts w:hint="eastAsia" w:cs="Times New Roman"/>
                      <w:sz w:val="21"/>
                      <w:szCs w:val="21"/>
                      <w:u w:val="single"/>
                      <w:lang w:eastAsia="zh-CN"/>
                    </w:rPr>
                    <w:t>：</w:t>
                  </w:r>
                  <w:r>
                    <w:rPr>
                      <w:rFonts w:hint="default" w:ascii="Times New Roman" w:hAnsi="Times New Roman" w:eastAsia="宋体" w:cs="Times New Roman"/>
                      <w:sz w:val="21"/>
                      <w:szCs w:val="21"/>
                      <w:u w:val="single"/>
                    </w:rPr>
                    <w:t>1.生产设施运行管理信息(生产时间、运行负荷、产品产量等)；</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2.废气污染治理设施运行管理信息；</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3.监测记录信息(主要污染排放口废气排放记录等)；</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4.主要原辅材料消耗记录；</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5.燃料消耗记录；</w:t>
                  </w:r>
                </w:p>
                <w:p>
                  <w:pPr>
                    <w:jc w:val="both"/>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6.固废、危废处理记录。</w:t>
                  </w:r>
                </w:p>
              </w:tc>
              <w:tc>
                <w:tcPr>
                  <w:tcW w:w="1584" w:type="pct"/>
                  <w:tcBorders>
                    <w:tl2br w:val="nil"/>
                    <w:tr2bl w:val="nil"/>
                  </w:tcBorders>
                  <w:noWrap w:val="0"/>
                  <w:vAlign w:val="center"/>
                </w:tcPr>
                <w:p>
                  <w:pPr>
                    <w:jc w:val="both"/>
                    <w:rPr>
                      <w:rFonts w:hint="default" w:ascii="Times New Roman" w:hAnsi="Times New Roman" w:eastAsia="宋体" w:cs="Times New Roman"/>
                      <w:sz w:val="21"/>
                      <w:szCs w:val="21"/>
                      <w:u w:val="single"/>
                      <w:lang w:eastAsia="zh-CN"/>
                    </w:rPr>
                  </w:pPr>
                  <w:r>
                    <w:rPr>
                      <w:rFonts w:hint="eastAsia" w:cs="Times New Roman"/>
                      <w:sz w:val="21"/>
                      <w:szCs w:val="21"/>
                      <w:u w:val="single"/>
                      <w:lang w:val="en-US" w:eastAsia="zh-CN"/>
                    </w:rPr>
                    <w:t>要求企业设置台账记录：</w:t>
                  </w:r>
                  <w:r>
                    <w:rPr>
                      <w:rFonts w:hint="default" w:ascii="Times New Roman" w:hAnsi="Times New Roman" w:eastAsia="宋体" w:cs="Times New Roman"/>
                      <w:sz w:val="21"/>
                      <w:szCs w:val="21"/>
                      <w:u w:val="single"/>
                    </w:rPr>
                    <w:t>1.生产设施运行管理信息(生产时间、运行负荷、产品产量等)；2.废气污染治理设施运行管理信息；3.监测记录信息(主要污染排放口废气排放记录等)；4.主要原辅材料消耗记录；5.</w:t>
                  </w:r>
                  <w:r>
                    <w:rPr>
                      <w:rFonts w:hint="eastAsia" w:cs="Times New Roman"/>
                      <w:sz w:val="21"/>
                      <w:szCs w:val="21"/>
                      <w:u w:val="single"/>
                      <w:lang w:val="en-US" w:eastAsia="zh-CN"/>
                    </w:rPr>
                    <w:t>能源</w:t>
                  </w:r>
                  <w:r>
                    <w:rPr>
                      <w:rFonts w:hint="default" w:ascii="Times New Roman" w:hAnsi="Times New Roman" w:eastAsia="宋体" w:cs="Times New Roman"/>
                      <w:sz w:val="21"/>
                      <w:szCs w:val="21"/>
                      <w:u w:val="single"/>
                    </w:rPr>
                    <w:t>消耗记录；6.固废、危废处理记录</w:t>
                  </w:r>
                  <w:r>
                    <w:rPr>
                      <w:rFonts w:hint="default" w:ascii="Times New Roman" w:hAnsi="Times New Roman" w:eastAsia="宋体" w:cs="Times New Roman"/>
                      <w:sz w:val="21"/>
                      <w:szCs w:val="21"/>
                      <w:u w:val="single"/>
                      <w:lang w:eastAsia="zh-CN"/>
                    </w:rPr>
                    <w:t>。</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vMerge w:val="continue"/>
                  <w:tcBorders>
                    <w:tl2br w:val="nil"/>
                    <w:tr2bl w:val="nil"/>
                  </w:tcBorders>
                  <w:noWrap w:val="0"/>
                  <w:vAlign w:val="center"/>
                </w:tcPr>
                <w:p>
                  <w:pPr>
                    <w:jc w:val="both"/>
                    <w:rPr>
                      <w:rFonts w:hint="default" w:ascii="Times New Roman" w:hAnsi="Times New Roman" w:eastAsia="宋体" w:cs="Times New Roman"/>
                      <w:sz w:val="21"/>
                      <w:szCs w:val="21"/>
                      <w:u w:val="single"/>
                    </w:rPr>
                  </w:pP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人员配置</w:t>
                  </w:r>
                  <w:r>
                    <w:rPr>
                      <w:rFonts w:hint="eastAsia" w:cs="Times New Roman"/>
                      <w:sz w:val="21"/>
                      <w:szCs w:val="21"/>
                      <w:u w:val="single"/>
                      <w:lang w:eastAsia="zh-CN"/>
                    </w:rPr>
                    <w:t>：</w:t>
                  </w:r>
                  <w:r>
                    <w:rPr>
                      <w:rFonts w:hint="default" w:ascii="Times New Roman" w:hAnsi="Times New Roman" w:eastAsia="宋体" w:cs="Times New Roman"/>
                      <w:sz w:val="21"/>
                      <w:szCs w:val="21"/>
                      <w:u w:val="single"/>
                    </w:rPr>
                    <w:t>配备专职环保人员，并具备相应的环境管理能力(学历、培训、从业经验等)。</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lang w:val="en-US" w:eastAsia="zh-CN"/>
                    </w:rPr>
                    <w:t>企业</w:t>
                  </w:r>
                  <w:r>
                    <w:rPr>
                      <w:rFonts w:hint="default" w:ascii="Times New Roman" w:hAnsi="Times New Roman" w:eastAsia="宋体" w:cs="Times New Roman"/>
                      <w:sz w:val="21"/>
                      <w:szCs w:val="21"/>
                      <w:u w:val="single"/>
                    </w:rPr>
                    <w:t>设置</w:t>
                  </w:r>
                  <w:r>
                    <w:rPr>
                      <w:rFonts w:hint="default" w:ascii="Times New Roman" w:hAnsi="Times New Roman" w:eastAsia="宋体" w:cs="Times New Roman"/>
                      <w:sz w:val="21"/>
                      <w:szCs w:val="21"/>
                      <w:u w:val="single"/>
                      <w:lang w:val="en-US" w:eastAsia="zh-CN"/>
                    </w:rPr>
                    <w:t>有</w:t>
                  </w:r>
                  <w:r>
                    <w:rPr>
                      <w:rFonts w:hint="default" w:ascii="Times New Roman" w:hAnsi="Times New Roman" w:eastAsia="宋体" w:cs="Times New Roman"/>
                      <w:sz w:val="21"/>
                      <w:szCs w:val="21"/>
                      <w:u w:val="single"/>
                    </w:rPr>
                    <w:t>环</w:t>
                  </w:r>
                  <w:r>
                    <w:rPr>
                      <w:rFonts w:hint="default" w:ascii="Times New Roman" w:hAnsi="Times New Roman" w:eastAsia="宋体" w:cs="Times New Roman"/>
                      <w:sz w:val="21"/>
                      <w:szCs w:val="21"/>
                      <w:u w:val="single"/>
                      <w:lang w:val="en-US" w:eastAsia="zh-CN"/>
                    </w:rPr>
                    <w:t>保</w:t>
                  </w:r>
                  <w:r>
                    <w:rPr>
                      <w:rFonts w:hint="default" w:ascii="Times New Roman" w:hAnsi="Times New Roman" w:eastAsia="宋体" w:cs="Times New Roman"/>
                      <w:sz w:val="21"/>
                      <w:szCs w:val="21"/>
                      <w:u w:val="single"/>
                    </w:rPr>
                    <w:t>部门配备专职环保人员</w:t>
                  </w:r>
                  <w:r>
                    <w:rPr>
                      <w:rFonts w:hint="default" w:ascii="Times New Roman" w:hAnsi="Times New Roman" w:eastAsia="宋体" w:cs="Times New Roman"/>
                      <w:sz w:val="21"/>
                      <w:szCs w:val="21"/>
                      <w:u w:val="single"/>
                      <w:lang w:eastAsia="zh-CN"/>
                    </w:rPr>
                    <w:t>。</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运输方式</w:t>
                  </w:r>
                </w:p>
              </w:tc>
              <w:tc>
                <w:tcPr>
                  <w:tcW w:w="2467" w:type="pct"/>
                  <w:tcBorders>
                    <w:tl2br w:val="nil"/>
                    <w:tr2bl w:val="nil"/>
                  </w:tcBorders>
                  <w:noWrap w:val="0"/>
                  <w:vAlign w:val="center"/>
                </w:tcPr>
                <w:p>
                  <w:pPr>
                    <w:numPr>
                      <w:ilvl w:val="0"/>
                      <w:numId w:val="0"/>
                    </w:numPr>
                    <w:jc w:val="left"/>
                    <w:rPr>
                      <w:rFonts w:hint="default" w:ascii="Times New Roman" w:hAnsi="Times New Roman" w:eastAsia="宋体" w:cs="Times New Roman"/>
                      <w:sz w:val="21"/>
                      <w:szCs w:val="21"/>
                      <w:u w:val="single"/>
                    </w:rPr>
                  </w:pPr>
                  <w:r>
                    <w:rPr>
                      <w:rFonts w:hint="eastAsia" w:cs="Times New Roman"/>
                      <w:sz w:val="21"/>
                      <w:szCs w:val="21"/>
                      <w:u w:val="single"/>
                      <w:lang w:val="en-US" w:eastAsia="zh-CN"/>
                    </w:rPr>
                    <w:t>1.</w:t>
                  </w:r>
                  <w:r>
                    <w:rPr>
                      <w:rFonts w:hint="default" w:ascii="Times New Roman" w:hAnsi="Times New Roman" w:eastAsia="宋体" w:cs="Times New Roman"/>
                      <w:sz w:val="21"/>
                      <w:szCs w:val="21"/>
                      <w:u w:val="single"/>
                    </w:rPr>
                    <w:t>物料、产品运输全部使用国五及以上排放标准的重型载货车辆(含燃气)或新能源车辆；</w:t>
                  </w:r>
                </w:p>
                <w:p>
                  <w:pPr>
                    <w:numPr>
                      <w:ilvl w:val="0"/>
                      <w:numId w:val="0"/>
                    </w:numPr>
                    <w:jc w:val="left"/>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2.厂区车辆全部达国五及以上排放标准(含燃气) 或使用新能源车辆；                                                     3.厂内非道路移动机械达到国三及以上排放标准或使用新能源机械。</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lang w:eastAsia="zh-CN"/>
                    </w:rPr>
                    <w:t>本项目</w:t>
                  </w:r>
                  <w:r>
                    <w:rPr>
                      <w:rFonts w:hint="default" w:ascii="Times New Roman" w:hAnsi="Times New Roman" w:eastAsia="宋体" w:cs="Times New Roman"/>
                      <w:sz w:val="21"/>
                      <w:szCs w:val="21"/>
                      <w:u w:val="single"/>
                    </w:rPr>
                    <w:t>物料运输</w:t>
                  </w:r>
                  <w:r>
                    <w:rPr>
                      <w:rFonts w:hint="default" w:ascii="Times New Roman" w:hAnsi="Times New Roman" w:eastAsia="宋体" w:cs="Times New Roman"/>
                      <w:sz w:val="21"/>
                      <w:szCs w:val="21"/>
                      <w:u w:val="single"/>
                      <w:lang w:eastAsia="zh-CN"/>
                    </w:rPr>
                    <w:t>均</w:t>
                  </w:r>
                  <w:r>
                    <w:rPr>
                      <w:rFonts w:hint="default" w:ascii="Times New Roman" w:hAnsi="Times New Roman" w:eastAsia="宋体" w:cs="Times New Roman"/>
                      <w:sz w:val="21"/>
                      <w:szCs w:val="21"/>
                      <w:u w:val="single"/>
                    </w:rPr>
                    <w:t>使用达到国五及以上排放标准重型载货车辆（含燃气）或新能源车辆；厂内运输使用达到国五及以上排放标准车辆（含燃气）或新能源车辆；厂内非道路移动机械使用达到国三及以上排放标准或新能源机械。</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运输监管</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日均进出货物150吨(或载货车辆日进出 10 辆次) 及以上(货物包括原料、辅料、燃料、产品和其他与生产相关物料) 的企业， 或纳入我省重点行业年产1000万及以上的企业，应参照《重污染天气重点行业移动源应急管理</w:t>
                  </w:r>
                </w:p>
                <w:p>
                  <w:pPr>
                    <w:jc w:val="both"/>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u w:val="single"/>
                    </w:rPr>
                    <w:t>技术指南》建立门禁视频监控系统和电子台账；其他企业建立门禁视频监控系统和台账。</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b/>
                      <w:bCs/>
                      <w:sz w:val="21"/>
                      <w:szCs w:val="21"/>
                      <w:u w:val="single"/>
                    </w:rPr>
                    <w:t>本项目日均进出货物不足150吨，且非我省重点行业年产值1000万及以上的企业，</w:t>
                  </w:r>
                  <w:r>
                    <w:rPr>
                      <w:rFonts w:hint="eastAsia" w:cs="Times New Roman"/>
                      <w:b/>
                      <w:bCs/>
                      <w:sz w:val="21"/>
                      <w:szCs w:val="21"/>
                      <w:u w:val="single"/>
                      <w:lang w:val="en-US" w:eastAsia="zh-CN"/>
                    </w:rPr>
                    <w:t>根据环保主管部门要求，企业建立</w:t>
                  </w:r>
                  <w:r>
                    <w:rPr>
                      <w:rFonts w:hint="default" w:ascii="Times New Roman" w:hAnsi="Times New Roman" w:eastAsia="宋体" w:cs="Times New Roman"/>
                      <w:b/>
                      <w:bCs/>
                      <w:sz w:val="21"/>
                      <w:szCs w:val="21"/>
                      <w:u w:val="single"/>
                    </w:rPr>
                    <w:t>门禁视频监控系统和台账。</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bl>
          <w:p>
            <w:pPr>
              <w:pStyle w:val="60"/>
              <w:rPr>
                <w:rFonts w:hint="default"/>
                <w:b/>
                <w:bCs/>
                <w:u w:val="single"/>
              </w:rPr>
            </w:pPr>
            <w:r>
              <w:rPr>
                <w:rFonts w:hint="default" w:ascii="Times New Roman" w:hAnsi="Times New Roman" w:eastAsia="宋体" w:cs="Times New Roman"/>
                <w:b/>
                <w:bCs/>
                <w:color w:val="000000"/>
                <w:sz w:val="24"/>
                <w:szCs w:val="24"/>
                <w:u w:val="single"/>
                <w:lang w:val="en-US" w:eastAsia="zh-CN"/>
              </w:rPr>
              <w:t>综上所述</w:t>
            </w:r>
            <w:r>
              <w:rPr>
                <w:rFonts w:hint="eastAsia" w:cs="Times New Roman"/>
                <w:b/>
                <w:bCs/>
                <w:color w:val="000000"/>
                <w:sz w:val="24"/>
                <w:szCs w:val="24"/>
                <w:u w:val="single"/>
                <w:lang w:val="en-US" w:eastAsia="zh-CN"/>
              </w:rPr>
              <w:t>，</w:t>
            </w:r>
            <w:r>
              <w:rPr>
                <w:rFonts w:hint="default" w:ascii="Times New Roman" w:hAnsi="Times New Roman" w:eastAsia="宋体" w:cs="Times New Roman"/>
                <w:b/>
                <w:bCs/>
                <w:color w:val="000000"/>
                <w:sz w:val="24"/>
                <w:szCs w:val="24"/>
                <w:u w:val="single"/>
                <w:lang w:val="en-US" w:eastAsia="zh-CN"/>
              </w:rPr>
              <w:t>本项目符合《</w:t>
            </w:r>
            <w:r>
              <w:rPr>
                <w:rFonts w:hint="eastAsia" w:cs="Times New Roman"/>
                <w:b/>
                <w:bCs/>
                <w:color w:val="000000"/>
                <w:sz w:val="24"/>
                <w:szCs w:val="24"/>
                <w:u w:val="single"/>
                <w:lang w:val="en-US" w:eastAsia="zh-CN"/>
              </w:rPr>
              <w:t>河南省</w:t>
            </w:r>
            <w:r>
              <w:rPr>
                <w:rFonts w:hint="default" w:ascii="Times New Roman" w:hAnsi="Times New Roman" w:eastAsia="宋体" w:cs="Times New Roman"/>
                <w:b/>
                <w:bCs/>
                <w:color w:val="000000"/>
                <w:sz w:val="24"/>
                <w:szCs w:val="24"/>
                <w:u w:val="single"/>
                <w:lang w:val="en-US" w:eastAsia="zh-CN"/>
              </w:rPr>
              <w:t>重污染天气重点行业应急减排措施制定技术指南（202</w:t>
            </w:r>
            <w:r>
              <w:rPr>
                <w:rFonts w:hint="eastAsia" w:cs="Times New Roman"/>
                <w:b/>
                <w:bCs/>
                <w:color w:val="000000"/>
                <w:sz w:val="24"/>
                <w:szCs w:val="24"/>
                <w:u w:val="single"/>
                <w:lang w:val="en-US" w:eastAsia="zh-CN"/>
              </w:rPr>
              <w:t>1</w:t>
            </w:r>
            <w:r>
              <w:rPr>
                <w:rFonts w:hint="default" w:ascii="Times New Roman" w:hAnsi="Times New Roman" w:eastAsia="宋体" w:cs="Times New Roman"/>
                <w:b/>
                <w:bCs/>
                <w:color w:val="000000"/>
                <w:sz w:val="24"/>
                <w:szCs w:val="24"/>
                <w:u w:val="single"/>
                <w:lang w:val="en-US" w:eastAsia="zh-CN"/>
              </w:rPr>
              <w:t>年修订版）</w:t>
            </w:r>
            <w:r>
              <w:rPr>
                <w:rFonts w:hint="eastAsia" w:cs="Times New Roman"/>
                <w:b/>
                <w:bCs/>
                <w:color w:val="000000"/>
                <w:sz w:val="24"/>
                <w:szCs w:val="24"/>
                <w:u w:val="single"/>
                <w:lang w:val="en-US" w:eastAsia="zh-CN"/>
              </w:rPr>
              <w:t>》</w:t>
            </w:r>
            <w:r>
              <w:rPr>
                <w:rFonts w:hint="eastAsia" w:cs="Times New Roman"/>
                <w:b/>
                <w:bCs/>
                <w:sz w:val="24"/>
                <w:szCs w:val="24"/>
                <w:u w:val="single"/>
                <w:lang w:eastAsia="zh-CN"/>
              </w:rPr>
              <w:t>塑料制品</w:t>
            </w:r>
            <w:r>
              <w:rPr>
                <w:rFonts w:hint="default" w:ascii="Times New Roman" w:hAnsi="Times New Roman" w:eastAsia="宋体" w:cs="Times New Roman"/>
                <w:b/>
                <w:bCs/>
                <w:sz w:val="24"/>
                <w:szCs w:val="24"/>
                <w:u w:val="single"/>
              </w:rPr>
              <w:t>绩效分级</w:t>
            </w:r>
            <w:r>
              <w:rPr>
                <w:rFonts w:hint="eastAsia" w:cs="Times New Roman"/>
                <w:b/>
                <w:bCs/>
                <w:sz w:val="24"/>
                <w:szCs w:val="24"/>
                <w:u w:val="single"/>
                <w:lang w:val="en-US" w:eastAsia="zh-CN"/>
              </w:rPr>
              <w:t>A</w:t>
            </w:r>
            <w:r>
              <w:rPr>
                <w:rFonts w:hint="default" w:ascii="Times New Roman" w:hAnsi="Times New Roman" w:eastAsia="宋体" w:cs="Times New Roman"/>
                <w:b/>
                <w:bCs/>
                <w:sz w:val="24"/>
                <w:szCs w:val="24"/>
                <w:u w:val="single"/>
                <w:lang w:val="en-US" w:eastAsia="zh-CN"/>
              </w:rPr>
              <w:t>级</w:t>
            </w:r>
            <w:r>
              <w:rPr>
                <w:rFonts w:hint="default" w:ascii="Times New Roman" w:hAnsi="Times New Roman" w:eastAsia="宋体" w:cs="Times New Roman"/>
                <w:b/>
                <w:bCs/>
                <w:sz w:val="24"/>
                <w:szCs w:val="24"/>
                <w:u w:val="single"/>
              </w:rPr>
              <w:t>指标</w:t>
            </w:r>
            <w:r>
              <w:rPr>
                <w:rFonts w:ascii="Times New Roman" w:hAnsi="Times New Roman"/>
                <w:b/>
                <w:bCs/>
                <w:color w:val="000000"/>
                <w:sz w:val="24"/>
                <w:u w:val="single"/>
              </w:rPr>
              <w:t>。</w:t>
            </w:r>
          </w:p>
          <w:p>
            <w:pPr>
              <w:pStyle w:val="93"/>
              <w:spacing w:line="460" w:lineRule="exact"/>
              <w:rPr>
                <w:b/>
                <w:bCs w:val="0"/>
                <w:szCs w:val="20"/>
                <w:u w:val="single"/>
              </w:rPr>
            </w:pPr>
            <w:r>
              <w:rPr>
                <w:rFonts w:hint="eastAsia"/>
                <w:b/>
                <w:bCs w:val="0"/>
                <w:szCs w:val="20"/>
                <w:u w:val="single"/>
                <w:lang w:val="en-US" w:eastAsia="zh-CN"/>
              </w:rPr>
              <w:t>7、</w:t>
            </w:r>
            <w:r>
              <w:rPr>
                <w:b/>
                <w:bCs w:val="0"/>
                <w:szCs w:val="20"/>
                <w:u w:val="single"/>
              </w:rPr>
              <w:t>《黄河流域生态保护和高质量发展规划纲要》</w:t>
            </w:r>
          </w:p>
          <w:p>
            <w:pPr>
              <w:pStyle w:val="79"/>
              <w:ind w:left="0" w:leftChars="0" w:firstLine="0" w:firstLineChars="0"/>
              <w:jc w:val="center"/>
              <w:rPr>
                <w:rFonts w:hint="default" w:ascii="Times New Roman" w:hAnsi="Times New Roman" w:eastAsia="宋体" w:cs="Times New Roman"/>
                <w:bCs/>
                <w:color w:val="000000" w:themeColor="text1"/>
                <w:u w:val="single"/>
                <w14:textFill>
                  <w14:solidFill>
                    <w14:schemeClr w14:val="tx1"/>
                  </w14:solidFill>
                </w14:textFill>
              </w:rPr>
            </w:pPr>
            <w:r>
              <w:rPr>
                <w:rFonts w:hint="default" w:ascii="Times New Roman" w:hAnsi="Times New Roman" w:eastAsia="宋体" w:cs="Times New Roman"/>
                <w:b/>
                <w:bCs w:val="0"/>
                <w:color w:val="000000" w:themeColor="text1"/>
                <w:u w:val="single"/>
                <w14:textFill>
                  <w14:solidFill>
                    <w14:schemeClr w14:val="tx1"/>
                  </w14:solidFill>
                </w14:textFill>
              </w:rPr>
              <w:t>表</w:t>
            </w:r>
            <w:r>
              <w:rPr>
                <w:rFonts w:hint="default" w:ascii="Times New Roman" w:hAnsi="Times New Roman" w:eastAsia="宋体" w:cs="Times New Roman"/>
                <w:b/>
                <w:bCs w:val="0"/>
                <w:color w:val="000000" w:themeColor="text1"/>
                <w:u w:val="single"/>
                <w:lang w:val="en-US" w:eastAsia="zh-CN"/>
                <w14:textFill>
                  <w14:solidFill>
                    <w14:schemeClr w14:val="tx1"/>
                  </w14:solidFill>
                </w14:textFill>
              </w:rPr>
              <w:t>5</w:t>
            </w:r>
            <w:r>
              <w:rPr>
                <w:rFonts w:hint="default" w:ascii="Times New Roman" w:hAnsi="Times New Roman" w:eastAsia="宋体" w:cs="Times New Roman"/>
                <w:b/>
                <w:bCs w:val="0"/>
                <w:color w:val="000000" w:themeColor="text1"/>
                <w:u w:val="single"/>
                <w14:textFill>
                  <w14:solidFill>
                    <w14:schemeClr w14:val="tx1"/>
                  </w14:solidFill>
                </w14:textFill>
              </w:rPr>
              <w:t xml:space="preserve">   与《黄河流域生态保护和高质量发展规划纲要》相符性分析</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69"/>
              <w:gridCol w:w="2179"/>
              <w:gridCol w:w="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66"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文件要求</w:t>
                  </w:r>
                </w:p>
              </w:tc>
              <w:tc>
                <w:tcPr>
                  <w:tcW w:w="1478" w:type="pct"/>
                  <w:noWrap w:val="0"/>
                  <w:vAlign w:val="center"/>
                </w:tcPr>
                <w:p>
                  <w:pPr>
                    <w:spacing w:line="400" w:lineRule="exact"/>
                    <w:jc w:val="center"/>
                    <w:rPr>
                      <w:rFonts w:hint="default" w:ascii="Times New Roman" w:hAnsi="Times New Roman" w:eastAsia="宋体" w:cs="Times New Roman"/>
                      <w:color w:val="000000" w:themeColor="text1"/>
                      <w:szCs w:val="21"/>
                      <w:highlight w:val="yellow"/>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项目特点</w:t>
                  </w:r>
                </w:p>
              </w:tc>
              <w:tc>
                <w:tcPr>
                  <w:tcW w:w="354"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66"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第二节加大工业污染协同治理力度</w:t>
                  </w:r>
                </w:p>
                <w:p>
                  <w:pPr>
                    <w:spacing w:line="400" w:lineRule="exact"/>
                    <w:ind w:firstLine="420" w:firstLineChars="200"/>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tc>
              <w:tc>
                <w:tcPr>
                  <w:tcW w:w="1478" w:type="pct"/>
                  <w:noWrap w:val="0"/>
                  <w:vAlign w:val="center"/>
                </w:tcPr>
                <w:p>
                  <w:pPr>
                    <w:spacing w:line="400" w:lineRule="exact"/>
                    <w:rPr>
                      <w:rFonts w:hint="eastAsia"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u w:val="single"/>
                      <w14:textFill>
                        <w14:solidFill>
                          <w14:schemeClr w14:val="tx1"/>
                        </w14:solidFill>
                      </w14:textFill>
                    </w:rPr>
                    <w:t>本项目为</w:t>
                  </w:r>
                  <w:r>
                    <w:rPr>
                      <w:rFonts w:hint="default" w:ascii="Times New Roman" w:hAnsi="Times New Roman" w:eastAsia="宋体" w:cs="Times New Roman"/>
                      <w:color w:val="000000" w:themeColor="text1"/>
                      <w:u w:val="single"/>
                      <w:lang w:eastAsia="zh-CN"/>
                      <w14:textFill>
                        <w14:solidFill>
                          <w14:schemeClr w14:val="tx1"/>
                        </w14:solidFill>
                      </w14:textFill>
                    </w:rPr>
                    <w:t>C292</w:t>
                  </w:r>
                  <w:r>
                    <w:rPr>
                      <w:rFonts w:hint="default" w:ascii="Times New Roman" w:hAnsi="Times New Roman" w:eastAsia="宋体" w:cs="Times New Roman"/>
                      <w:color w:val="000000" w:themeColor="text1"/>
                      <w:u w:val="single"/>
                      <w:lang w:val="en-US" w:eastAsia="zh-CN"/>
                      <w14:textFill>
                        <w14:solidFill>
                          <w14:schemeClr w14:val="tx1"/>
                        </w14:solidFill>
                      </w14:textFill>
                    </w:rPr>
                    <w:t>2塑料板、管、型材制造</w:t>
                  </w:r>
                  <w:r>
                    <w:rPr>
                      <w:rFonts w:hint="default" w:ascii="Times New Roman" w:hAnsi="Times New Roman" w:eastAsia="宋体" w:cs="Times New Roman"/>
                      <w:color w:val="000000" w:themeColor="text1"/>
                      <w:szCs w:val="21"/>
                      <w:u w:val="single"/>
                      <w14:textFill>
                        <w14:solidFill>
                          <w14:schemeClr w14:val="tx1"/>
                        </w14:solidFill>
                      </w14:textFill>
                    </w:rPr>
                    <w:t>项目</w:t>
                  </w:r>
                  <w:r>
                    <w:rPr>
                      <w:rFonts w:hint="default" w:ascii="Times New Roman" w:hAnsi="Times New Roman" w:eastAsia="宋体" w:cs="Times New Roman"/>
                      <w:color w:val="000000" w:themeColor="text1"/>
                      <w:u w:val="single"/>
                      <w14:textFill>
                        <w14:solidFill>
                          <w14:schemeClr w14:val="tx1"/>
                        </w14:solidFill>
                      </w14:textFill>
                    </w:rPr>
                    <w:t>，不属于</w:t>
                  </w:r>
                  <w:r>
                    <w:rPr>
                      <w:rFonts w:hint="default" w:ascii="Times New Roman" w:hAnsi="Times New Roman" w:eastAsia="宋体" w:cs="Times New Roman"/>
                      <w:color w:val="000000" w:themeColor="text1"/>
                      <w:szCs w:val="21"/>
                      <w:u w:val="single"/>
                      <w14:textFill>
                        <w14:solidFill>
                          <w14:schemeClr w14:val="tx1"/>
                        </w14:solidFill>
                      </w14:textFill>
                    </w:rPr>
                    <w:t>“两高一资”项目；</w:t>
                  </w:r>
                  <w:r>
                    <w:rPr>
                      <w:rFonts w:hint="default" w:ascii="Times New Roman" w:hAnsi="Times New Roman" w:eastAsia="宋体" w:cs="Times New Roman"/>
                      <w:b w:val="0"/>
                      <w:bCs/>
                      <w:color w:val="000000" w:themeColor="text1"/>
                      <w:szCs w:val="21"/>
                      <w:u w:val="single"/>
                      <w14:textFill>
                        <w14:solidFill>
                          <w14:schemeClr w14:val="tx1"/>
                        </w14:solidFill>
                      </w14:textFill>
                    </w:rPr>
                    <w:t>本项目注塑生产线有机废气经集气系统收集后经1套UV光氧+活性炭吸附装置处理后通过</w:t>
                  </w:r>
                  <w:r>
                    <w:rPr>
                      <w:rFonts w:hint="eastAsia" w:ascii="Times New Roman" w:hAnsi="Times New Roman" w:eastAsia="宋体" w:cs="Times New Roman"/>
                      <w:b w:val="0"/>
                      <w:bCs/>
                      <w:color w:val="000000" w:themeColor="text1"/>
                      <w:szCs w:val="21"/>
                      <w:u w:val="single"/>
                      <w:lang w:val="en-US" w:eastAsia="zh-CN"/>
                      <w14:textFill>
                        <w14:solidFill>
                          <w14:schemeClr w14:val="tx1"/>
                        </w14:solidFill>
                      </w14:textFill>
                    </w:rPr>
                    <w:t>15</w:t>
                  </w:r>
                  <w:r>
                    <w:rPr>
                      <w:rFonts w:hint="default" w:ascii="Times New Roman" w:hAnsi="Times New Roman" w:eastAsia="宋体" w:cs="Times New Roman"/>
                      <w:b w:val="0"/>
                      <w:bCs/>
                      <w:color w:val="000000" w:themeColor="text1"/>
                      <w:szCs w:val="21"/>
                      <w:u w:val="single"/>
                      <w14:textFill>
                        <w14:solidFill>
                          <w14:schemeClr w14:val="tx1"/>
                        </w14:solidFill>
                      </w14:textFill>
                    </w:rPr>
                    <w:t>m高排气筒排放；</w:t>
                  </w:r>
                  <w:r>
                    <w:rPr>
                      <w:rFonts w:hint="default" w:ascii="Times New Roman" w:hAnsi="Times New Roman" w:eastAsia="宋体" w:cs="Times New Roman"/>
                      <w:color w:val="000000" w:themeColor="text1"/>
                      <w:szCs w:val="21"/>
                      <w:u w:val="single"/>
                      <w14:textFill>
                        <w14:solidFill>
                          <w14:schemeClr w14:val="tx1"/>
                        </w14:solidFill>
                      </w14:textFill>
                    </w:rPr>
                    <w:t>含尘废气经布袋除尘器通过</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15</w:t>
                  </w:r>
                  <w:r>
                    <w:rPr>
                      <w:rFonts w:hint="default" w:ascii="Times New Roman" w:hAnsi="Times New Roman" w:eastAsia="宋体" w:cs="Times New Roman"/>
                      <w:color w:val="000000" w:themeColor="text1"/>
                      <w:szCs w:val="21"/>
                      <w:u w:val="single"/>
                      <w14:textFill>
                        <w14:solidFill>
                          <w14:schemeClr w14:val="tx1"/>
                        </w14:solidFill>
                      </w14:textFill>
                    </w:rPr>
                    <w:t>m高排气筒排放，满足污染物特别排放限值要求；生活污水经化粪池处理后，</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清淘肥田。</w:t>
                  </w:r>
                </w:p>
                <w:p>
                  <w:pPr>
                    <w:spacing w:line="400" w:lineRule="exact"/>
                    <w:rPr>
                      <w:rFonts w:hint="default" w:ascii="Times New Roman" w:hAnsi="Times New Roman" w:eastAsia="宋体" w:cs="Times New Roman"/>
                      <w:color w:val="000000" w:themeColor="text1"/>
                      <w:szCs w:val="21"/>
                      <w:highlight w:val="yellow"/>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危险废物厂区危废暂存间暂存后委托有资质单位处置。</w:t>
                  </w:r>
                </w:p>
              </w:tc>
              <w:tc>
                <w:tcPr>
                  <w:tcW w:w="354"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相符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bCs/>
                <w:sz w:val="24"/>
                <w:szCs w:val="24"/>
                <w:u w:val="single"/>
              </w:rPr>
            </w:pPr>
            <w:r>
              <w:rPr>
                <w:bCs/>
                <w:sz w:val="24"/>
                <w:szCs w:val="24"/>
                <w:u w:val="single"/>
              </w:rPr>
              <w:t>由上表可知，本项目满足《黄河流域生态保护和高质量发展规划纲要》相关要求。</w:t>
            </w:r>
          </w:p>
          <w:p>
            <w:pPr>
              <w:pStyle w:val="93"/>
              <w:spacing w:line="460" w:lineRule="exact"/>
              <w:rPr>
                <w:rFonts w:hint="eastAsia"/>
                <w:b/>
                <w:bCs w:val="0"/>
                <w:szCs w:val="20"/>
                <w:u w:val="single"/>
              </w:rPr>
            </w:pPr>
            <w:r>
              <w:rPr>
                <w:rFonts w:hint="eastAsia"/>
                <w:b/>
                <w:bCs w:val="0"/>
                <w:szCs w:val="20"/>
                <w:u w:val="single"/>
                <w:lang w:val="en-US" w:eastAsia="zh-CN"/>
              </w:rPr>
              <w:t>8、</w:t>
            </w:r>
            <w:r>
              <w:rPr>
                <w:rFonts w:hint="eastAsia"/>
                <w:b/>
                <w:bCs w:val="0"/>
                <w:szCs w:val="20"/>
                <w:u w:val="single"/>
              </w:rPr>
              <w:t>本项目与洛阳市人民政府关于印发《洛阳市“十四五”生态环境保护和生态经济发展规划的通知》（洛政〔2022〕32号）相符性分析</w:t>
            </w:r>
          </w:p>
          <w:p>
            <w:pPr>
              <w:pStyle w:val="94"/>
              <w:ind w:left="0" w:leftChars="0" w:firstLine="0" w:firstLineChars="0"/>
              <w:jc w:val="center"/>
              <w:rPr>
                <w:rFonts w:hint="default" w:ascii="Times New Roman" w:hAnsi="Times New Roman" w:cs="Times New Roman" w:eastAsiaTheme="majorEastAsia"/>
                <w:b/>
                <w:bCs/>
                <w:u w:val="single"/>
                <w:lang w:val="en-US" w:eastAsia="zh-CN"/>
              </w:rPr>
            </w:pPr>
            <w:r>
              <w:rPr>
                <w:rFonts w:hint="default" w:ascii="Times New Roman" w:hAnsi="Times New Roman" w:cs="Times New Roman" w:eastAsiaTheme="majorEastAsia"/>
                <w:b/>
                <w:bCs/>
                <w:u w:val="single"/>
                <w:lang w:val="en-US" w:eastAsia="zh-CN"/>
              </w:rPr>
              <w:t>表4  洛阳市“十四五”生态环境保护和生态经济发展规划符合性分析</w:t>
            </w:r>
          </w:p>
          <w:tbl>
            <w:tblPr>
              <w:tblStyle w:val="2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9"/>
              <w:gridCol w:w="1664"/>
              <w:gridCol w:w="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77" w:type="pct"/>
                  <w:noWrap w:val="0"/>
                  <w:vAlign w:val="center"/>
                </w:tcPr>
                <w:p>
                  <w:pPr>
                    <w:spacing w:line="400" w:lineRule="exact"/>
                    <w:jc w:val="center"/>
                    <w:rPr>
                      <w:szCs w:val="21"/>
                      <w:u w:val="single"/>
                    </w:rPr>
                  </w:pPr>
                  <w:r>
                    <w:rPr>
                      <w:rFonts w:hint="eastAsia"/>
                      <w:szCs w:val="21"/>
                      <w:u w:val="single"/>
                    </w:rPr>
                    <w:t>管控要求</w:t>
                  </w:r>
                </w:p>
              </w:tc>
              <w:tc>
                <w:tcPr>
                  <w:tcW w:w="657" w:type="pct"/>
                  <w:noWrap w:val="0"/>
                  <w:vAlign w:val="center"/>
                </w:tcPr>
                <w:p>
                  <w:pPr>
                    <w:spacing w:line="400" w:lineRule="exact"/>
                    <w:jc w:val="center"/>
                    <w:rPr>
                      <w:szCs w:val="21"/>
                      <w:highlight w:val="yellow"/>
                      <w:u w:val="single"/>
                    </w:rPr>
                  </w:pPr>
                  <w:r>
                    <w:rPr>
                      <w:rFonts w:hint="eastAsia"/>
                      <w:szCs w:val="21"/>
                      <w:u w:val="single"/>
                    </w:rPr>
                    <w:t>本项目情况</w:t>
                  </w:r>
                </w:p>
              </w:tc>
              <w:tc>
                <w:tcPr>
                  <w:tcW w:w="565" w:type="pct"/>
                  <w:noWrap w:val="0"/>
                  <w:vAlign w:val="center"/>
                </w:tcPr>
                <w:p>
                  <w:pPr>
                    <w:spacing w:line="400" w:lineRule="exact"/>
                    <w:jc w:val="center"/>
                    <w:rPr>
                      <w:szCs w:val="21"/>
                      <w:u w:val="single"/>
                    </w:rPr>
                  </w:pPr>
                  <w:r>
                    <w:rPr>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77" w:type="pct"/>
                  <w:noWrap w:val="0"/>
                  <w:vAlign w:val="center"/>
                </w:tcPr>
                <w:p>
                  <w:pPr>
                    <w:spacing w:line="400" w:lineRule="exact"/>
                    <w:jc w:val="both"/>
                    <w:rPr>
                      <w:rFonts w:hint="eastAsia"/>
                      <w:szCs w:val="21"/>
                      <w:u w:val="single"/>
                    </w:rPr>
                  </w:pPr>
                  <w:r>
                    <w:rPr>
                      <w:rFonts w:hint="eastAsia"/>
                      <w:szCs w:val="21"/>
                      <w:u w:val="single"/>
                    </w:rPr>
                    <w:t>第五章、推进生态环境提升行动，深化污染防治</w:t>
                  </w:r>
                  <w:r>
                    <w:rPr>
                      <w:rFonts w:hint="eastAsia"/>
                      <w:szCs w:val="21"/>
                      <w:u w:val="single"/>
                      <w:lang w:eastAsia="zh-CN"/>
                    </w:rPr>
                    <w:t>：</w:t>
                  </w:r>
                  <w:r>
                    <w:rPr>
                      <w:rFonts w:hint="eastAsia"/>
                      <w:szCs w:val="21"/>
                      <w:u w:val="single"/>
                    </w:rPr>
                    <w:t>加强VOCs 全过程治理。严格VOCs 产品准入和监控，推进重点行业VOCs 污染物全过程综合整治。按照“可替尽替、应代尽代”的原则，全面推进使用低VOCs 含量涂料、油墨、胶粘剂、清洗剂等。建立低VOCs 含量产品标志制度和源头替代力度，加大抽检力度。加大工业涂装、包装印刷、家具制造等行业源头替代力度，在化工行业推广使用低（无）VOCs 含量、低反应活性的原辅材料，加快芳香烃、含卤素有机化合物的绿色替代。</w:t>
                  </w:r>
                </w:p>
                <w:p>
                  <w:pPr>
                    <w:spacing w:line="400" w:lineRule="exact"/>
                    <w:ind w:firstLine="420" w:firstLineChars="200"/>
                    <w:jc w:val="both"/>
                    <w:rPr>
                      <w:szCs w:val="21"/>
                      <w:u w:val="single"/>
                    </w:rPr>
                  </w:pPr>
                  <w:r>
                    <w:rPr>
                      <w:rFonts w:hint="eastAsia"/>
                      <w:szCs w:val="21"/>
                      <w:u w:val="single"/>
                    </w:rPr>
                    <w:t>强化重点行业VOCs 治理减排，实施VOCs 排放总量控制。逐步取消炼油、石化、煤化工、制药、农药、化工、工业涂装、包装印刷等企业非必要的VOCs 废气排放系统旁路（因安全生产等原因除外）。引导重点行业合理安排停检修计划，减少非正常工况VOCs 排放。深化工业园区和企业集群综合治理，加快推进涉VOCs 工业园区“绿岛”项目，鼓励其他具备条件、有需求的开发区规划建设喷涂中心、活性炭回收再生处理中心、溶剂处理中心等“共享工厂”。加强VOCs 无组织排放控制，实施含VOCs 物料全方位、全链条、全环节管理，强化储存、转移和输送、设备与管线组件泄漏、敞开液面逸散以及工艺过程等无组织排放环节的污染收集处理。建筑涂装行业全面使用符合环保要求的涂料产品，加强汽修行业VOCs 综合治理。</w:t>
                  </w:r>
                </w:p>
              </w:tc>
              <w:tc>
                <w:tcPr>
                  <w:tcW w:w="657" w:type="pct"/>
                  <w:noWrap w:val="0"/>
                  <w:vAlign w:val="center"/>
                </w:tcPr>
                <w:p>
                  <w:pPr>
                    <w:spacing w:line="400" w:lineRule="exact"/>
                    <w:jc w:val="both"/>
                    <w:rPr>
                      <w:rFonts w:hint="default" w:eastAsia="宋体"/>
                      <w:szCs w:val="21"/>
                      <w:highlight w:val="yellow"/>
                      <w:u w:val="single"/>
                      <w:lang w:val="en-US" w:eastAsia="zh-CN"/>
                    </w:rPr>
                  </w:pPr>
                  <w:r>
                    <w:rPr>
                      <w:rFonts w:hint="eastAsia"/>
                      <w:szCs w:val="21"/>
                      <w:u w:val="single"/>
                    </w:rPr>
                    <w:t>本项目属于</w:t>
                  </w:r>
                  <w:r>
                    <w:rPr>
                      <w:rFonts w:hint="eastAsia"/>
                      <w:szCs w:val="21"/>
                      <w:u w:val="single"/>
                      <w:lang w:eastAsia="zh-CN"/>
                    </w:rPr>
                    <w:t>C292</w:t>
                  </w:r>
                  <w:r>
                    <w:rPr>
                      <w:rFonts w:hint="eastAsia"/>
                      <w:szCs w:val="21"/>
                      <w:u w:val="single"/>
                      <w:lang w:val="en-US" w:eastAsia="zh-CN"/>
                    </w:rPr>
                    <w:t>2塑料板、管、型材制造</w:t>
                  </w:r>
                  <w:r>
                    <w:rPr>
                      <w:rFonts w:hint="eastAsia"/>
                      <w:szCs w:val="21"/>
                      <w:u w:val="single"/>
                    </w:rPr>
                    <w:t>，</w:t>
                  </w:r>
                  <w:r>
                    <w:rPr>
                      <w:rFonts w:hint="eastAsia"/>
                      <w:szCs w:val="21"/>
                      <w:u w:val="single"/>
                      <w:lang w:val="en-US" w:eastAsia="zh-CN"/>
                    </w:rPr>
                    <w:t>本项目采用PE颗粒、</w:t>
                  </w:r>
                  <w:r>
                    <w:rPr>
                      <w:rFonts w:hint="eastAsia"/>
                      <w:szCs w:val="21"/>
                      <w:u w:val="single"/>
                    </w:rPr>
                    <w:t>低VOCS含量</w:t>
                  </w:r>
                  <w:r>
                    <w:rPr>
                      <w:rFonts w:hint="eastAsia"/>
                      <w:szCs w:val="21"/>
                      <w:u w:val="single"/>
                      <w:lang w:val="en-US" w:eastAsia="zh-CN"/>
                    </w:rPr>
                    <w:t>热熔胶</w:t>
                  </w:r>
                  <w:r>
                    <w:rPr>
                      <w:rFonts w:hint="eastAsia"/>
                      <w:szCs w:val="21"/>
                      <w:u w:val="single"/>
                    </w:rPr>
                    <w:t>胶，VOCs含量为</w:t>
                  </w:r>
                  <w:r>
                    <w:rPr>
                      <w:rFonts w:hint="eastAsia"/>
                      <w:szCs w:val="21"/>
                      <w:u w:val="single"/>
                      <w:lang w:val="en-US" w:eastAsia="zh-CN"/>
                    </w:rPr>
                    <w:t>40</w:t>
                  </w:r>
                  <w:r>
                    <w:rPr>
                      <w:rFonts w:hint="eastAsia"/>
                      <w:szCs w:val="21"/>
                      <w:u w:val="single"/>
                    </w:rPr>
                    <w:t>g/L（见企业提供的检测报告）,符合《胶粘剂挥发性有机化合物限量》(GB33372-2020)要求（表2水基型胶粘剂VOCs含量限值≤50g/L）</w:t>
                  </w:r>
                  <w:r>
                    <w:rPr>
                      <w:rFonts w:hint="eastAsia"/>
                      <w:szCs w:val="21"/>
                      <w:u w:val="single"/>
                      <w:lang w:eastAsia="zh-CN"/>
                    </w:rPr>
                    <w:t>。</w:t>
                  </w:r>
                </w:p>
              </w:tc>
              <w:tc>
                <w:tcPr>
                  <w:tcW w:w="565" w:type="pct"/>
                  <w:noWrap w:val="0"/>
                  <w:vAlign w:val="center"/>
                </w:tcPr>
                <w:p>
                  <w:pPr>
                    <w:spacing w:line="400" w:lineRule="exact"/>
                    <w:jc w:val="center"/>
                    <w:rPr>
                      <w:szCs w:val="21"/>
                      <w:u w:val="single"/>
                    </w:rPr>
                  </w:pPr>
                  <w:r>
                    <w:rPr>
                      <w:szCs w:val="21"/>
                      <w:u w:val="single"/>
                    </w:rPr>
                    <w:t>相符</w:t>
                  </w:r>
                </w:p>
              </w:tc>
            </w:tr>
          </w:tbl>
          <w:p>
            <w:pPr>
              <w:pStyle w:val="60"/>
              <w:ind w:firstLine="480"/>
              <w:rPr>
                <w:bCs/>
                <w:u w:val="single"/>
              </w:rPr>
            </w:pPr>
            <w:r>
              <w:rPr>
                <w:bCs/>
                <w:u w:val="single"/>
              </w:rPr>
              <w:t>由上表可知，本项目满足</w:t>
            </w:r>
            <w:r>
              <w:rPr>
                <w:rFonts w:hint="eastAsia"/>
                <w:bCs/>
                <w:u w:val="single"/>
              </w:rPr>
              <w:t>《洛阳市“十四五”生态环境保护和生态经济发展规划的通知》（洛政〔2022〕32号）</w:t>
            </w:r>
            <w:r>
              <w:rPr>
                <w:bCs/>
                <w:u w:val="single"/>
              </w:rPr>
              <w:t>相关要求。</w:t>
            </w:r>
          </w:p>
          <w:p>
            <w:pPr>
              <w:keepNext w:val="0"/>
              <w:keepLines w:val="0"/>
              <w:pageBreakBefore w:val="0"/>
              <w:widowControl w:val="0"/>
              <w:kinsoku/>
              <w:wordWrap/>
              <w:overflowPunct/>
              <w:topLinePunct w:val="0"/>
              <w:bidi w:val="0"/>
              <w:adjustRightInd w:val="0"/>
              <w:snapToGrid w:val="0"/>
              <w:spacing w:line="360" w:lineRule="auto"/>
              <w:textAlignment w:val="baseline"/>
              <w:rPr>
                <w:rFonts w:hint="default" w:ascii="Times New Roman" w:hAnsi="Times New Roman" w:cs="Times New Roman"/>
                <w:b/>
                <w:bCs/>
                <w:color w:val="auto"/>
                <w:sz w:val="24"/>
              </w:rPr>
            </w:pPr>
            <w:r>
              <w:rPr>
                <w:rFonts w:hint="eastAsia" w:cs="Times New Roman"/>
                <w:b/>
                <w:bCs/>
                <w:color w:val="auto"/>
                <w:sz w:val="24"/>
                <w:lang w:val="en-US" w:eastAsia="zh-CN"/>
              </w:rPr>
              <w:t>9</w:t>
            </w:r>
            <w:r>
              <w:rPr>
                <w:rFonts w:hint="eastAsia" w:ascii="Times New Roman" w:hAnsi="Times New Roman" w:cs="Times New Roman"/>
                <w:b/>
                <w:bCs/>
                <w:color w:val="auto"/>
                <w:sz w:val="24"/>
                <w:lang w:val="en-US" w:eastAsia="zh-CN"/>
              </w:rPr>
              <w:t>、</w:t>
            </w:r>
            <w:r>
              <w:rPr>
                <w:rFonts w:hint="default" w:ascii="Times New Roman" w:hAnsi="Times New Roman" w:cs="Times New Roman"/>
                <w:b/>
                <w:bCs/>
                <w:color w:val="auto"/>
                <w:sz w:val="24"/>
              </w:rPr>
              <w:t>文物</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偃师区是夏、商、东周、东汉、曹魏、西晋、北魏等七朝古都，是全国黄河重点旅游热线及全省“三点一线”旅游线路和以洛阳为中心的河洛文化的重要组成部分，素有洛阳“九朝古都半在偃”之称。境内有二里头文化、西亳商城、汉魏古城遗址；有中国最早的国立大学东汉太学等遗址；西周伯夷叔齐墓、秦相吕不韦墓、唐太子李弘墓，又有唐代武则天亲书的升仙太子碑、东汉灵台等古迹，是唐代高僧玄奘、宋朝名相吕蒙正的故乡</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bidi w:val="0"/>
              <w:spacing w:line="360" w:lineRule="auto"/>
              <w:ind w:firstLine="480" w:firstLineChars="200"/>
              <w:jc w:val="left"/>
              <w:rPr>
                <w:rFonts w:hint="default" w:ascii="Times New Roman" w:hAnsi="Times New Roman" w:cs="Times New Roman"/>
                <w:color w:val="auto"/>
                <w:sz w:val="24"/>
                <w:highlight w:val="yellow"/>
              </w:rPr>
            </w:pPr>
            <w:r>
              <w:rPr>
                <w:rFonts w:hint="default" w:ascii="Times New Roman" w:hAnsi="Times New Roman" w:cs="Times New Roman"/>
                <w:color w:val="auto"/>
                <w:sz w:val="24"/>
              </w:rPr>
              <w:t>项目厂址位于</w:t>
            </w:r>
            <w:r>
              <w:rPr>
                <w:rFonts w:hint="eastAsia" w:cs="Times New Roman"/>
                <w:color w:val="000000"/>
                <w:sz w:val="24"/>
                <w:szCs w:val="24"/>
                <w:u w:val="none"/>
                <w:lang w:val="en-US" w:eastAsia="zh-CN"/>
              </w:rPr>
              <w:t>洛阳市偃师市顾县镇回龙湾工业区1号</w:t>
            </w:r>
            <w:r>
              <w:rPr>
                <w:rFonts w:hint="default" w:ascii="Times New Roman" w:hAnsi="Times New Roman" w:cs="Times New Roman"/>
                <w:color w:val="auto"/>
                <w:sz w:val="24"/>
              </w:rPr>
              <w:t>，不在大遗址保护区（</w:t>
            </w:r>
            <w:r>
              <w:rPr>
                <w:rFonts w:hint="eastAsia" w:ascii="Times New Roman" w:hAnsi="Times New Roman" w:cs="Times New Roman"/>
                <w:color w:val="auto"/>
                <w:sz w:val="24"/>
                <w:lang w:eastAsia="zh-CN"/>
              </w:rPr>
              <w:t>见</w:t>
            </w:r>
            <w:r>
              <w:rPr>
                <w:rFonts w:hint="default" w:ascii="Times New Roman" w:hAnsi="Times New Roman" w:cs="Times New Roman"/>
                <w:color w:val="auto"/>
                <w:sz w:val="24"/>
              </w:rPr>
              <w:t>附图</w:t>
            </w:r>
            <w:r>
              <w:rPr>
                <w:rFonts w:hint="eastAsia" w:cs="Times New Roman"/>
                <w:color w:val="auto"/>
                <w:sz w:val="24"/>
                <w:lang w:val="en-US" w:eastAsia="zh-CN"/>
              </w:rPr>
              <w:t>7</w:t>
            </w:r>
            <w:r>
              <w:rPr>
                <w:rFonts w:hint="default" w:ascii="Times New Roman" w:hAnsi="Times New Roman" w:cs="Times New Roman"/>
                <w:color w:val="auto"/>
                <w:sz w:val="24"/>
              </w:rPr>
              <w:t>）。本项目</w:t>
            </w:r>
            <w:r>
              <w:rPr>
                <w:rFonts w:hint="eastAsia" w:cs="Times New Roman"/>
                <w:color w:val="auto"/>
                <w:sz w:val="24"/>
                <w:lang w:val="en-US" w:eastAsia="zh-CN"/>
              </w:rPr>
              <w:t>利用</w:t>
            </w:r>
            <w:r>
              <w:rPr>
                <w:rFonts w:hint="default" w:ascii="Times New Roman" w:hAnsi="Times New Roman" w:cs="Times New Roman"/>
                <w:color w:val="auto"/>
                <w:sz w:val="24"/>
              </w:rPr>
              <w:t>现有厂房</w:t>
            </w:r>
            <w:r>
              <w:rPr>
                <w:rFonts w:hint="default" w:ascii="Times New Roman" w:hAnsi="Times New Roman" w:eastAsia="宋体" w:cs="Times New Roman"/>
                <w:color w:val="auto"/>
                <w:sz w:val="24"/>
                <w:lang w:eastAsia="zh-CN"/>
              </w:rPr>
              <w:t>进行建设</w:t>
            </w:r>
            <w:r>
              <w:rPr>
                <w:rFonts w:hint="default" w:ascii="Times New Roman" w:hAnsi="Times New Roman" w:cs="Times New Roman"/>
                <w:color w:val="auto"/>
                <w:sz w:val="24"/>
              </w:rPr>
              <w:t>，不</w:t>
            </w:r>
            <w:r>
              <w:rPr>
                <w:rFonts w:hint="eastAsia" w:cs="Times New Roman"/>
                <w:color w:val="auto"/>
                <w:sz w:val="24"/>
                <w:lang w:val="en-US" w:eastAsia="zh-CN"/>
              </w:rPr>
              <w:t>进行土建</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bCs/>
                <w:sz w:val="24"/>
                <w:szCs w:val="28"/>
                <w:u w:val="none"/>
              </w:rPr>
            </w:pPr>
            <w:r>
              <w:rPr>
                <w:rFonts w:hint="eastAsia" w:cs="Times New Roman"/>
                <w:b/>
                <w:bCs/>
                <w:sz w:val="24"/>
                <w:szCs w:val="28"/>
                <w:u w:val="none"/>
                <w:lang w:val="en-US" w:eastAsia="zh-CN"/>
              </w:rPr>
              <w:t>8</w:t>
            </w:r>
            <w:r>
              <w:rPr>
                <w:rFonts w:hint="default" w:ascii="Times New Roman" w:hAnsi="Times New Roman" w:eastAsia="宋体" w:cs="Times New Roman"/>
                <w:b/>
                <w:bCs/>
                <w:sz w:val="24"/>
                <w:szCs w:val="28"/>
                <w:u w:val="none"/>
                <w:lang w:eastAsia="zh-CN"/>
              </w:rPr>
              <w:t>、</w:t>
            </w:r>
            <w:r>
              <w:rPr>
                <w:rFonts w:hint="default" w:ascii="Times New Roman" w:hAnsi="Times New Roman" w:eastAsia="宋体" w:cs="Times New Roman"/>
                <w:b/>
                <w:bCs/>
                <w:sz w:val="24"/>
                <w:szCs w:val="28"/>
                <w:u w:val="none"/>
              </w:rPr>
              <w:t>饮用水源地保护区划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u w:val="none"/>
                <w:lang w:val="en-US"/>
              </w:rPr>
            </w:pPr>
            <w:r>
              <w:rPr>
                <w:rFonts w:hint="eastAsia"/>
                <w:bCs/>
                <w:sz w:val="24"/>
                <w:u w:val="none"/>
                <w:lang w:val="en-US" w:eastAsia="zh-CN"/>
              </w:rPr>
              <w:t>本项目位于</w:t>
            </w:r>
            <w:r>
              <w:rPr>
                <w:rFonts w:hint="eastAsia" w:cs="Times New Roman"/>
                <w:color w:val="000000"/>
                <w:sz w:val="24"/>
                <w:szCs w:val="24"/>
                <w:u w:val="none"/>
                <w:lang w:val="en-US" w:eastAsia="zh-CN"/>
              </w:rPr>
              <w:t>洛阳市偃师市顾县镇回龙湾工业区1号</w:t>
            </w:r>
            <w:r>
              <w:rPr>
                <w:rFonts w:hint="eastAsia"/>
                <w:bCs/>
                <w:sz w:val="24"/>
                <w:u w:val="none"/>
                <w:lang w:val="en-US" w:eastAsia="zh-CN"/>
              </w:rPr>
              <w:t>，</w:t>
            </w:r>
            <w:r>
              <w:rPr>
                <w:rFonts w:hint="eastAsia" w:ascii="Times New Roman" w:hAnsi="Times New Roman"/>
                <w:bCs/>
                <w:color w:val="000000"/>
                <w:sz w:val="24"/>
                <w:szCs w:val="24"/>
              </w:rPr>
              <w:t>顾县镇饮用水</w:t>
            </w:r>
            <w:r>
              <w:rPr>
                <w:rFonts w:ascii="Times New Roman" w:hAnsi="Times New Roman"/>
                <w:bCs/>
                <w:color w:val="000000"/>
                <w:sz w:val="24"/>
                <w:szCs w:val="24"/>
              </w:rPr>
              <w:t>水源地</w:t>
            </w:r>
            <w:r>
              <w:rPr>
                <w:rFonts w:hint="eastAsia" w:ascii="Times New Roman" w:hAnsi="Times New Roman"/>
                <w:bCs/>
                <w:color w:val="000000"/>
                <w:sz w:val="24"/>
                <w:szCs w:val="24"/>
              </w:rPr>
              <w:t>位</w:t>
            </w:r>
            <w:r>
              <w:rPr>
                <w:rFonts w:ascii="Times New Roman" w:hAnsi="Times New Roman" w:cs="Times New Roman"/>
                <w:bCs/>
                <w:color w:val="000000"/>
                <w:sz w:val="24"/>
                <w:szCs w:val="24"/>
              </w:rPr>
              <w:t>于</w:t>
            </w:r>
            <w:r>
              <w:rPr>
                <w:rFonts w:hint="eastAsia" w:cs="Times New Roman"/>
                <w:bCs/>
                <w:color w:val="000000"/>
                <w:sz w:val="24"/>
                <w:szCs w:val="24"/>
                <w:lang w:eastAsia="zh-CN"/>
              </w:rPr>
              <w:t>回龙湾村</w:t>
            </w:r>
            <w:r>
              <w:rPr>
                <w:rFonts w:ascii="Times New Roman" w:hAnsi="Times New Roman" w:cs="Times New Roman"/>
                <w:bCs/>
                <w:color w:val="000000"/>
                <w:sz w:val="24"/>
                <w:szCs w:val="24"/>
              </w:rPr>
              <w:t>，</w:t>
            </w:r>
            <w:r>
              <w:rPr>
                <w:rFonts w:ascii="Times New Roman" w:cs="Times New Roman"/>
                <w:bCs/>
                <w:color w:val="000000"/>
                <w:sz w:val="24"/>
                <w:szCs w:val="24"/>
              </w:rPr>
              <w:t>饮用水水源点共</w:t>
            </w:r>
            <w:r>
              <w:rPr>
                <w:rFonts w:ascii="Times New Roman" w:hAnsi="Times New Roman" w:cs="Times New Roman"/>
                <w:bCs/>
                <w:color w:val="000000"/>
                <w:sz w:val="24"/>
                <w:szCs w:val="24"/>
              </w:rPr>
              <w:t>2</w:t>
            </w:r>
            <w:r>
              <w:rPr>
                <w:rFonts w:ascii="Times New Roman" w:cs="Times New Roman"/>
                <w:bCs/>
                <w:color w:val="000000"/>
                <w:sz w:val="24"/>
                <w:szCs w:val="24"/>
              </w:rPr>
              <w:t>处，</w:t>
            </w:r>
            <w:r>
              <w:rPr>
                <w:rFonts w:ascii="Times New Roman" w:hAnsi="Times New Roman" w:cs="Times New Roman"/>
                <w:bCs/>
                <w:color w:val="000000"/>
                <w:sz w:val="24"/>
                <w:szCs w:val="24"/>
              </w:rPr>
              <w:t>1#</w:t>
            </w:r>
            <w:r>
              <w:rPr>
                <w:rFonts w:ascii="Times New Roman" w:cs="Times New Roman"/>
                <w:bCs/>
                <w:color w:val="000000"/>
                <w:sz w:val="24"/>
                <w:szCs w:val="24"/>
              </w:rPr>
              <w:t>位于顾县水厂内，坐标为</w:t>
            </w:r>
            <w:r>
              <w:rPr>
                <w:rFonts w:ascii="Times New Roman" w:cs="Times New Roman"/>
                <w:color w:val="000000"/>
                <w:sz w:val="24"/>
                <w:szCs w:val="24"/>
              </w:rPr>
              <w:t>东经</w:t>
            </w:r>
            <w:r>
              <w:rPr>
                <w:rFonts w:ascii="Times New Roman" w:hAnsi="Times New Roman" w:cs="Times New Roman"/>
                <w:color w:val="000000"/>
                <w:sz w:val="24"/>
                <w:szCs w:val="24"/>
              </w:rPr>
              <w:t>112° 48'22.0"</w:t>
            </w:r>
            <w:r>
              <w:rPr>
                <w:rFonts w:ascii="Times New Roman" w:cs="Times New Roman"/>
                <w:color w:val="000000"/>
                <w:sz w:val="24"/>
                <w:szCs w:val="24"/>
              </w:rPr>
              <w:t>，北纬</w:t>
            </w:r>
            <w:r>
              <w:rPr>
                <w:rFonts w:ascii="Times New Roman" w:hAnsi="Times New Roman" w:cs="Times New Roman"/>
                <w:color w:val="000000"/>
                <w:sz w:val="24"/>
                <w:szCs w:val="24"/>
              </w:rPr>
              <w:t>34°39'6.5"</w:t>
            </w:r>
            <w:r>
              <w:rPr>
                <w:rFonts w:ascii="Times New Roman" w:cs="Times New Roman"/>
                <w:bCs/>
                <w:color w:val="000000"/>
                <w:sz w:val="24"/>
                <w:szCs w:val="24"/>
              </w:rPr>
              <w:t>，</w:t>
            </w:r>
            <w:r>
              <w:rPr>
                <w:rFonts w:ascii="Times New Roman" w:hAnsi="Times New Roman" w:cs="Times New Roman"/>
                <w:bCs/>
                <w:color w:val="000000"/>
                <w:sz w:val="24"/>
                <w:szCs w:val="24"/>
              </w:rPr>
              <w:t>2#</w:t>
            </w:r>
            <w:r>
              <w:rPr>
                <w:rFonts w:ascii="Times New Roman" w:cs="Times New Roman"/>
                <w:bCs/>
                <w:color w:val="000000"/>
                <w:sz w:val="24"/>
                <w:szCs w:val="24"/>
              </w:rPr>
              <w:t>位于农田内，坐标</w:t>
            </w:r>
            <w:r>
              <w:rPr>
                <w:rFonts w:ascii="Times New Roman" w:cs="Times New Roman"/>
                <w:color w:val="000000"/>
                <w:sz w:val="24"/>
                <w:szCs w:val="24"/>
              </w:rPr>
              <w:t>东经</w:t>
            </w:r>
            <w:r>
              <w:rPr>
                <w:rFonts w:ascii="Times New Roman" w:hAnsi="Times New Roman" w:cs="Times New Roman"/>
                <w:color w:val="000000"/>
                <w:sz w:val="24"/>
                <w:szCs w:val="24"/>
              </w:rPr>
              <w:t>112° 48'7.7"</w:t>
            </w:r>
            <w:r>
              <w:rPr>
                <w:rFonts w:ascii="Times New Roman" w:cs="Times New Roman"/>
                <w:color w:val="000000"/>
                <w:sz w:val="24"/>
                <w:szCs w:val="24"/>
              </w:rPr>
              <w:t>，北纬</w:t>
            </w:r>
            <w:r>
              <w:rPr>
                <w:rFonts w:ascii="Times New Roman" w:hAnsi="Times New Roman" w:cs="Times New Roman"/>
                <w:color w:val="000000"/>
                <w:sz w:val="24"/>
                <w:szCs w:val="24"/>
              </w:rPr>
              <w:t>34°39'4.8"</w:t>
            </w:r>
            <w:r>
              <w:rPr>
                <w:rFonts w:ascii="Times New Roman" w:cs="Times New Roman"/>
                <w:bCs/>
                <w:color w:val="000000"/>
                <w:sz w:val="24"/>
                <w:szCs w:val="24"/>
              </w:rPr>
              <w:t>。</w:t>
            </w:r>
            <w:r>
              <w:rPr>
                <w:rFonts w:hint="eastAsia"/>
                <w:color w:val="000000"/>
                <w:sz w:val="24"/>
                <w:szCs w:val="24"/>
              </w:rPr>
              <w:t>根据</w:t>
            </w:r>
            <w:r>
              <w:rPr>
                <w:rFonts w:hint="eastAsia" w:ascii="宋体" w:hAnsi="宋体" w:cs="Times New Roman"/>
                <w:color w:val="000000"/>
                <w:sz w:val="24"/>
                <w:szCs w:val="24"/>
                <w:u w:val="none"/>
              </w:rPr>
              <w:t>《河南省乡镇级集中式饮用水源保</w:t>
            </w:r>
            <w:r>
              <w:rPr>
                <w:rFonts w:ascii="Times New Roman" w:hAnsi="Times New Roman" w:cs="Times New Roman"/>
                <w:color w:val="000000"/>
                <w:sz w:val="24"/>
                <w:szCs w:val="24"/>
                <w:u w:val="none"/>
              </w:rPr>
              <w:t>护区划（豫政办〔2016〕23号）》</w:t>
            </w:r>
            <w:r>
              <w:rPr>
                <w:rFonts w:ascii="Times New Roman" w:hAnsi="Times New Roman" w:cs="Times New Roman"/>
                <w:color w:val="000000"/>
                <w:sz w:val="24"/>
                <w:szCs w:val="24"/>
              </w:rPr>
              <w:t>，</w:t>
            </w:r>
            <w:r>
              <w:rPr>
                <w:rFonts w:ascii="Times New Roman" w:hAnsi="Times New Roman" w:cs="Times New Roman"/>
                <w:bCs/>
                <w:color w:val="000000"/>
                <w:sz w:val="24"/>
                <w:szCs w:val="24"/>
              </w:rPr>
              <w:t>顾县镇</w:t>
            </w:r>
            <w:r>
              <w:rPr>
                <w:rFonts w:ascii="Times New Roman" w:hAnsi="Times New Roman" w:cs="Times New Roman"/>
                <w:color w:val="000000"/>
                <w:sz w:val="24"/>
                <w:szCs w:val="24"/>
              </w:rPr>
              <w:t>饮用水源保护区划分仅划定一级保护区，不划分二级保护区及准保护区。一级保护区范围为：以水源井为中心以50米为半径的圆形区域。</w:t>
            </w:r>
            <w:r>
              <w:rPr>
                <w:rFonts w:hint="eastAsia" w:ascii="Times New Roman" w:hAnsi="Times New Roman" w:cs="Times New Roman"/>
                <w:color w:val="000000"/>
                <w:sz w:val="24"/>
                <w:szCs w:val="24"/>
                <w:lang w:val="en-US" w:eastAsia="zh-CN"/>
              </w:rPr>
              <w:t>本</w:t>
            </w:r>
            <w:r>
              <w:rPr>
                <w:rFonts w:ascii="Times New Roman" w:hAnsi="Times New Roman" w:cs="Times New Roman"/>
                <w:color w:val="000000"/>
                <w:sz w:val="24"/>
                <w:szCs w:val="24"/>
              </w:rPr>
              <w:t>项目位于1#水源井一级保护区边界东北约</w:t>
            </w:r>
            <w:r>
              <w:rPr>
                <w:rFonts w:hint="eastAsia" w:cs="Times New Roman"/>
                <w:color w:val="000000"/>
                <w:sz w:val="24"/>
                <w:szCs w:val="24"/>
                <w:lang w:val="en-US" w:eastAsia="zh-CN"/>
              </w:rPr>
              <w:t>2.7</w:t>
            </w:r>
            <w:r>
              <w:rPr>
                <w:rFonts w:ascii="Times New Roman" w:hAnsi="Times New Roman" w:cs="Times New Roman"/>
                <w:color w:val="000000"/>
                <w:sz w:val="24"/>
                <w:szCs w:val="24"/>
              </w:rPr>
              <w:t>km、2#水源井一级保护区边界东北约</w:t>
            </w:r>
            <w:r>
              <w:rPr>
                <w:rFonts w:hint="eastAsia" w:ascii="Times New Roman" w:hAnsi="Times New Roman" w:cs="Times New Roman"/>
                <w:color w:val="000000"/>
                <w:sz w:val="24"/>
                <w:szCs w:val="24"/>
                <w:lang w:val="en-US" w:eastAsia="zh-CN"/>
              </w:rPr>
              <w:t>2.</w:t>
            </w:r>
            <w:r>
              <w:rPr>
                <w:rFonts w:hint="eastAsia" w:cs="Times New Roman"/>
                <w:color w:val="000000"/>
                <w:sz w:val="24"/>
                <w:szCs w:val="24"/>
                <w:lang w:val="en-US" w:eastAsia="zh-CN"/>
              </w:rPr>
              <w:t>9</w:t>
            </w:r>
            <w:r>
              <w:rPr>
                <w:rFonts w:ascii="Times New Roman" w:hAnsi="Times New Roman" w:cs="Times New Roman"/>
                <w:color w:val="000000"/>
                <w:sz w:val="24"/>
                <w:szCs w:val="24"/>
              </w:rPr>
              <w:t>km，均不</w:t>
            </w:r>
            <w:r>
              <w:rPr>
                <w:color w:val="000000"/>
                <w:sz w:val="24"/>
                <w:szCs w:val="24"/>
              </w:rPr>
              <w:t>在</w:t>
            </w:r>
            <w:r>
              <w:rPr>
                <w:rFonts w:hint="eastAsia"/>
                <w:color w:val="000000"/>
                <w:sz w:val="24"/>
                <w:szCs w:val="24"/>
              </w:rPr>
              <w:t>顾县镇</w:t>
            </w:r>
            <w:r>
              <w:rPr>
                <w:color w:val="000000"/>
                <w:sz w:val="24"/>
                <w:szCs w:val="24"/>
              </w:rPr>
              <w:t>饮用水水源地的保护区范围内</w:t>
            </w:r>
            <w:r>
              <w:rPr>
                <w:rFonts w:hint="eastAsia"/>
                <w:color w:val="000000"/>
                <w:sz w:val="24"/>
                <w:szCs w:val="24"/>
              </w:rPr>
              <w:t>，</w:t>
            </w:r>
            <w:r>
              <w:rPr>
                <w:rFonts w:hint="eastAsia"/>
                <w:bCs/>
                <w:sz w:val="24"/>
                <w:highlight w:val="none"/>
                <w:u w:val="none"/>
                <w:lang w:val="en-US" w:eastAsia="zh-CN"/>
              </w:rPr>
              <w:t>位置关系见附图5。</w:t>
            </w:r>
          </w:p>
        </w:tc>
      </w:tr>
    </w:tbl>
    <w:p>
      <w:pPr>
        <w:spacing w:line="360" w:lineRule="auto"/>
        <w:outlineLvl w:val="0"/>
        <w:rPr>
          <w:rFonts w:eastAsia="黑体"/>
          <w:color w:val="000000"/>
          <w:sz w:val="30"/>
          <w:u w:val="none"/>
        </w:rPr>
        <w:sectPr>
          <w:footerReference r:id="rId3"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0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建设内容</w:t>
            </w: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8201"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sz w:val="24"/>
                <w:szCs w:val="24"/>
              </w:rPr>
              <w:t>随着我国经济的高速发展，建筑家居装饰的需求量也随之增加</w:t>
            </w:r>
            <w:r>
              <w:rPr>
                <w:rFonts w:hint="eastAsia"/>
                <w:color w:val="000000" w:themeColor="text1"/>
                <w:sz w:val="24"/>
                <w:szCs w:val="24"/>
                <w:u w:val="none"/>
                <w:lang w:val="en-US" w:eastAsia="zh-CN"/>
                <w14:textFill>
                  <w14:solidFill>
                    <w14:schemeClr w14:val="tx1"/>
                  </w14:solidFill>
                </w14:textFill>
              </w:rPr>
              <w:t>。在此背景下洛阳兰台智信建材有限公司拟投资50万元在</w:t>
            </w:r>
            <w:r>
              <w:rPr>
                <w:rFonts w:hint="eastAsia" w:cs="Times New Roman"/>
                <w:color w:val="000000"/>
                <w:sz w:val="24"/>
                <w:szCs w:val="24"/>
                <w:u w:val="none"/>
                <w:lang w:val="en-US" w:eastAsia="zh-CN"/>
              </w:rPr>
              <w:t>洛阳市偃师市顾县镇回龙湾工业区1号</w:t>
            </w:r>
            <w:r>
              <w:rPr>
                <w:rFonts w:hint="eastAsia"/>
                <w:color w:val="000000" w:themeColor="text1"/>
                <w:sz w:val="24"/>
                <w:szCs w:val="24"/>
                <w:u w:val="none"/>
                <w:lang w:val="en-US" w:eastAsia="zh-CN"/>
                <w14:textFill>
                  <w14:solidFill>
                    <w14:schemeClr w14:val="tx1"/>
                  </w14:solidFill>
                </w14:textFill>
              </w:rPr>
              <w:t>建设年生产50万平方米装饰板和40万支装饰线条项目</w:t>
            </w:r>
            <w:r>
              <w:rPr>
                <w:rFonts w:hint="eastAsia"/>
                <w:color w:val="000000" w:themeColor="text1"/>
                <w:sz w:val="24"/>
                <w:szCs w:val="24"/>
                <w:u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经查阅《产业结构调整指导目录（201</w:t>
            </w:r>
            <w:r>
              <w:rPr>
                <w:rFonts w:hint="default"/>
                <w:color w:val="000000" w:themeColor="text1"/>
                <w:sz w:val="24"/>
                <w:szCs w:val="24"/>
                <w:u w:val="none"/>
                <w:lang w:val="en-US" w:eastAsia="zh-CN"/>
                <w14:textFill>
                  <w14:solidFill>
                    <w14:schemeClr w14:val="tx1"/>
                  </w14:solidFill>
                </w14:textFill>
              </w:rPr>
              <w:t>9</w:t>
            </w:r>
            <w:r>
              <w:rPr>
                <w:rFonts w:hint="default"/>
                <w:color w:val="000000" w:themeColor="text1"/>
                <w:sz w:val="24"/>
                <w:szCs w:val="24"/>
                <w:u w:val="none"/>
                <w14:textFill>
                  <w14:solidFill>
                    <w14:schemeClr w14:val="tx1"/>
                  </w14:solidFill>
                </w14:textFill>
              </w:rPr>
              <w:t>年本）》，本项目主要产品和生产工艺均不属于限制类和淘汰类，为允许建设项目，项目建设符合目前国家产业政策。</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本项目已经在</w:t>
            </w:r>
            <w:r>
              <w:rPr>
                <w:rFonts w:hint="eastAsia" w:cs="Times New Roman"/>
                <w:color w:val="000000" w:themeColor="text1"/>
                <w:sz w:val="24"/>
                <w:szCs w:val="24"/>
                <w:u w:val="none"/>
                <w:lang w:val="en-US" w:eastAsia="zh-CN"/>
                <w14:textFill>
                  <w14:solidFill>
                    <w14:schemeClr w14:val="tx1"/>
                  </w14:solidFill>
                </w14:textFill>
              </w:rPr>
              <w:t>洛阳市</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偃师</w:t>
            </w:r>
            <w:r>
              <w:rPr>
                <w:rFonts w:hint="eastAsia" w:cs="Times New Roman"/>
                <w:color w:val="000000" w:themeColor="text1"/>
                <w:sz w:val="24"/>
                <w:szCs w:val="24"/>
                <w:u w:val="none"/>
                <w:lang w:val="en-US" w:eastAsia="zh-CN"/>
                <w14:textFill>
                  <w14:solidFill>
                    <w14:schemeClr w14:val="tx1"/>
                  </w14:solidFill>
                </w14:textFill>
              </w:rPr>
              <w:t>区</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发展和改革委员会审核同意备案，项目代码：</w:t>
            </w:r>
            <w:r>
              <w:rPr>
                <w:rFonts w:hint="eastAsia" w:cs="Times New Roman"/>
                <w:color w:val="000000" w:themeColor="text1"/>
                <w:sz w:val="24"/>
                <w:szCs w:val="24"/>
                <w:highlight w:val="none"/>
                <w:u w:val="none"/>
                <w:lang w:val="en-US" w:eastAsia="zh-CN"/>
                <w14:textFill>
                  <w14:solidFill>
                    <w14:schemeClr w14:val="tx1"/>
                  </w14:solidFill>
                </w14:textFill>
              </w:rPr>
              <w:t>2306-410381-04-05-873024</w:t>
            </w:r>
            <w:r>
              <w:rPr>
                <w:rFonts w:hint="default"/>
                <w:color w:val="000000" w:themeColor="text1"/>
                <w:sz w:val="24"/>
                <w:szCs w:val="24"/>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根据《中华人民共和国环境保护法</w:t>
            </w:r>
            <w:r>
              <w:rPr>
                <w:rFonts w:hint="eastAsia" w:cs="Times New Roman"/>
                <w:sz w:val="24"/>
                <w:szCs w:val="24"/>
                <w:u w:val="none"/>
                <w:lang w:eastAsia="zh-CN"/>
              </w:rPr>
              <w:t>》《</w:t>
            </w:r>
            <w:r>
              <w:rPr>
                <w:rFonts w:hint="default" w:ascii="Times New Roman" w:hAnsi="Times New Roman" w:eastAsia="宋体" w:cs="Times New Roman"/>
                <w:sz w:val="24"/>
                <w:szCs w:val="24"/>
                <w:u w:val="none"/>
              </w:rPr>
              <w:t>中华人民共和国环境影响评价法》等规定，本项目应进行环境影响评价</w:t>
            </w:r>
            <w:r>
              <w:rPr>
                <w:rFonts w:hint="default"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rPr>
              <w:t>经查阅《建设项目环境影响评价分类管理名录（</w:t>
            </w:r>
            <w:r>
              <w:rPr>
                <w:rFonts w:hint="default" w:ascii="Times New Roman" w:hAnsi="Times New Roman" w:eastAsia="宋体" w:cs="Times New Roman"/>
                <w:sz w:val="24"/>
                <w:szCs w:val="24"/>
                <w:u w:val="none"/>
                <w:lang w:val="en-US" w:eastAsia="zh-CN"/>
              </w:rPr>
              <w:t>2021</w:t>
            </w:r>
            <w:r>
              <w:rPr>
                <w:rFonts w:hint="eastAsia" w:cs="Times New Roman"/>
                <w:sz w:val="24"/>
                <w:szCs w:val="24"/>
                <w:u w:val="none"/>
                <w:lang w:val="en-US" w:eastAsia="zh-CN"/>
              </w:rPr>
              <w:t>年版</w:t>
            </w:r>
            <w:r>
              <w:rPr>
                <w:rFonts w:hint="default"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none"/>
                <w:lang w:eastAsia="zh-CN"/>
              </w:rPr>
              <w:t>本项目</w:t>
            </w:r>
            <w:r>
              <w:rPr>
                <w:rFonts w:hint="default" w:ascii="Times New Roman" w:hAnsi="Times New Roman" w:eastAsia="宋体" w:cs="Times New Roman"/>
                <w:sz w:val="24"/>
                <w:szCs w:val="24"/>
                <w:u w:val="none"/>
              </w:rPr>
              <w:t>属于</w:t>
            </w:r>
            <w:r>
              <w:rPr>
                <w:rFonts w:hint="eastAsia" w:cs="Times New Roman"/>
                <w:color w:val="000000"/>
                <w:kern w:val="2"/>
                <w:sz w:val="24"/>
                <w:szCs w:val="24"/>
                <w:u w:val="none"/>
                <w:lang w:val="en-US" w:eastAsia="zh-CN" w:bidi="ar-SA"/>
              </w:rPr>
              <w:t>二十六、橡胶和塑料制品业29、53塑料制品业292，</w:t>
            </w:r>
            <w:r>
              <w:rPr>
                <w:rFonts w:hint="default" w:ascii="Times New Roman" w:hAnsi="Times New Roman" w:eastAsia="宋体" w:cs="Times New Roman"/>
                <w:sz w:val="24"/>
                <w:szCs w:val="24"/>
                <w:u w:val="none"/>
              </w:rPr>
              <w:t>应编制环境影响报告表。</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1、建设地点及周围环境概况</w:t>
            </w:r>
          </w:p>
          <w:p>
            <w:pPr>
              <w:pStyle w:val="13"/>
              <w:keepNext w:val="0"/>
              <w:keepLines w:val="0"/>
              <w:pageBreakBefore w:val="0"/>
              <w:widowControl w:val="0"/>
              <w:kinsoku/>
              <w:wordWrap/>
              <w:overflowPunct/>
              <w:topLinePunct w:val="0"/>
              <w:bidi w:val="0"/>
              <w:spacing w:line="360" w:lineRule="auto"/>
              <w:ind w:left="0" w:right="0"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本项目位于</w:t>
            </w:r>
            <w:r>
              <w:rPr>
                <w:rFonts w:hint="eastAsia" w:cs="Times New Roman"/>
                <w:color w:val="000000"/>
                <w:sz w:val="24"/>
                <w:szCs w:val="24"/>
                <w:u w:val="none"/>
                <w:lang w:val="en-US" w:eastAsia="zh-CN"/>
              </w:rPr>
              <w:t>洛阳市偃师市顾县镇回龙湾工业区1号</w:t>
            </w:r>
            <w:r>
              <w:rPr>
                <w:rFonts w:hint="default"/>
                <w:color w:val="000000" w:themeColor="text1"/>
                <w:sz w:val="24"/>
                <w:szCs w:val="24"/>
                <w:u w:val="none"/>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租赁</w:t>
            </w:r>
            <w:r>
              <w:rPr>
                <w:rFonts w:hint="eastAsia" w:ascii="Times New Roman" w:hAnsi="Times New Roman" w:cs="Times New Roman"/>
                <w:color w:val="000000" w:themeColor="text1"/>
                <w:sz w:val="24"/>
                <w:szCs w:val="24"/>
                <w:u w:val="none"/>
                <w:lang w:val="en-US" w:eastAsia="zh-CN"/>
                <w14:textFill>
                  <w14:solidFill>
                    <w14:schemeClr w14:val="tx1"/>
                  </w14:solidFill>
                </w14:textFill>
              </w:rPr>
              <w:t>现有</w:t>
            </w:r>
            <w:r>
              <w:rPr>
                <w:rFonts w:hint="eastAsia" w:cs="Times New Roman"/>
                <w:color w:val="000000" w:themeColor="text1"/>
                <w:sz w:val="24"/>
                <w:szCs w:val="24"/>
                <w:u w:val="none"/>
                <w:lang w:val="en-US" w:eastAsia="zh-CN"/>
                <w14:textFill>
                  <w14:solidFill>
                    <w14:schemeClr w14:val="tx1"/>
                  </w14:solidFill>
                </w14:textFill>
              </w:rPr>
              <w:t>厂房</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建设</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。厂区东侧为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洛阳兄弟塑料制品有限公司</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，西侧为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李鑫金属有限公司，南侧为闲置厂房，北侧为空地</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项目</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地理位置见</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附图</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1</w:t>
            </w:r>
            <w:r>
              <w:rPr>
                <w:rFonts w:hint="eastAsia" w:ascii="Times New Roman" w:hAnsi="Times New Roman" w:eastAsia="宋体" w:cs="Times New Roman"/>
                <w:bCs/>
                <w:color w:val="000000" w:themeColor="text1"/>
                <w:sz w:val="24"/>
                <w:szCs w:val="24"/>
                <w:highlight w:val="none"/>
                <w:u w:val="none"/>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厂区平面布置图见附图</w:t>
            </w:r>
            <w:r>
              <w:rPr>
                <w:rFonts w:hint="eastAsia" w:cs="Times New Roman"/>
                <w:bCs/>
                <w:color w:val="000000" w:themeColor="text1"/>
                <w:sz w:val="24"/>
                <w:szCs w:val="24"/>
                <w:highlight w:val="none"/>
                <w:u w:val="none"/>
                <w:lang w:val="en-US" w:eastAsia="zh-CN"/>
                <w14:textFill>
                  <w14:solidFill>
                    <w14:schemeClr w14:val="tx1"/>
                  </w14:solidFill>
                </w14:textFill>
              </w:rPr>
              <w:t>3</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w:t>
            </w:r>
            <w:r>
              <w:rPr>
                <w:rFonts w:hint="default"/>
                <w:color w:val="000000" w:themeColor="text1"/>
                <w:sz w:val="24"/>
                <w:szCs w:val="24"/>
                <w:u w:val="none"/>
                <w14:textFill>
                  <w14:solidFill>
                    <w14:schemeClr w14:val="tx1"/>
                  </w14:solidFill>
                </w14:textFill>
              </w:rPr>
              <w:t>距离项目最近的敏感点为</w:t>
            </w:r>
            <w:r>
              <w:rPr>
                <w:rFonts w:hint="eastAsia"/>
                <w:color w:val="000000" w:themeColor="text1"/>
                <w:sz w:val="24"/>
                <w:szCs w:val="24"/>
                <w:u w:val="none"/>
                <w:lang w:val="en-US" w:eastAsia="zh-CN"/>
                <w14:textFill>
                  <w14:solidFill>
                    <w14:schemeClr w14:val="tx1"/>
                  </w14:solidFill>
                </w14:textFill>
              </w:rPr>
              <w:t>东南</w:t>
            </w:r>
            <w:r>
              <w:rPr>
                <w:rFonts w:hint="default"/>
                <w:color w:val="000000" w:themeColor="text1"/>
                <w:sz w:val="24"/>
                <w:szCs w:val="24"/>
                <w:u w:val="none"/>
                <w14:textFill>
                  <w14:solidFill>
                    <w14:schemeClr w14:val="tx1"/>
                  </w14:solidFill>
                </w14:textFill>
              </w:rPr>
              <w:t>侧</w:t>
            </w:r>
            <w:r>
              <w:rPr>
                <w:rFonts w:hint="eastAsia"/>
                <w:color w:val="000000" w:themeColor="text1"/>
                <w:sz w:val="24"/>
                <w:szCs w:val="24"/>
                <w:u w:val="none"/>
                <w:lang w:val="en-US" w:eastAsia="zh-CN"/>
                <w14:textFill>
                  <w14:solidFill>
                    <w14:schemeClr w14:val="tx1"/>
                  </w14:solidFill>
                </w14:textFill>
              </w:rPr>
              <w:t>180</w:t>
            </w:r>
            <w:r>
              <w:rPr>
                <w:rFonts w:hint="default"/>
                <w:color w:val="000000" w:themeColor="text1"/>
                <w:sz w:val="24"/>
                <w:szCs w:val="24"/>
                <w:u w:val="none"/>
                <w14:textFill>
                  <w14:solidFill>
                    <w14:schemeClr w14:val="tx1"/>
                  </w14:solidFill>
                </w14:textFill>
              </w:rPr>
              <w:t>m的</w:t>
            </w:r>
            <w:r>
              <w:rPr>
                <w:rFonts w:hint="eastAsia"/>
                <w:color w:val="000000" w:themeColor="text1"/>
                <w:sz w:val="24"/>
                <w:szCs w:val="24"/>
                <w:u w:val="none"/>
                <w:lang w:val="en-US" w:eastAsia="zh-CN"/>
                <w14:textFill>
                  <w14:solidFill>
                    <w14:schemeClr w14:val="tx1"/>
                  </w14:solidFill>
                </w14:textFill>
              </w:rPr>
              <w:t>回龙湾村，项目周边环境见附图2</w:t>
            </w:r>
            <w:r>
              <w:rPr>
                <w:rFonts w:hint="default"/>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2、项目建设基本情况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lang w:val="en-US" w:eastAsia="zh-CN"/>
                <w14:textFill>
                  <w14:solidFill>
                    <w14:schemeClr w14:val="tx1"/>
                  </w14:solidFill>
                </w14:textFill>
              </w:rPr>
              <w:t>本项目基本情况及主要建设内容见下表。</w:t>
            </w:r>
          </w:p>
          <w:p>
            <w:pPr>
              <w:pStyle w:val="79"/>
              <w:spacing w:line="240" w:lineRule="auto"/>
              <w:ind w:firstLine="48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eastAsia="宋体" w:cs="Times New Roman"/>
                <w:b/>
                <w:bCs/>
                <w:color w:val="000000" w:themeColor="text1"/>
                <w:u w:val="none"/>
                <w:lang w:val="en-US" w:eastAsia="zh-CN"/>
                <w14:textFill>
                  <w14:solidFill>
                    <w14:schemeClr w14:val="tx1"/>
                  </w14:solidFill>
                </w14:textFill>
              </w:rPr>
              <w:t>5</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项目基本情况一览表</w:t>
            </w:r>
          </w:p>
          <w:tbl>
            <w:tblPr>
              <w:tblStyle w:val="25"/>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5989"/>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项  目</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内     容</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项目名称</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洛阳兰台智信建材有限公司年生产50万平方米装饰板和40万支装饰线条项目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建设单位</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洛阳兰台智信建材有限公司</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统一社会信用代码</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法人代表</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xxx</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工程性质</w:t>
                  </w:r>
                </w:p>
              </w:tc>
              <w:tc>
                <w:tcPr>
                  <w:tcW w:w="5700" w:type="dxa"/>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新建</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厂址中心点地理坐标</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eastAsia="zh-CN"/>
                      <w14:textFill>
                        <w14:solidFill>
                          <w14:schemeClr w14:val="tx1"/>
                        </w14:solidFill>
                      </w14:textFill>
                    </w:rPr>
                    <w:t>112°49′17.32</w:t>
                  </w:r>
                  <w:r>
                    <w:rPr>
                      <w:rFonts w:hint="eastAsia" w:cs="Times New Roman"/>
                      <w:color w:val="000000" w:themeColor="text1"/>
                      <w:sz w:val="21"/>
                      <w:szCs w:val="21"/>
                      <w:u w:val="none"/>
                      <w:lang w:val="en-US" w:eastAsia="zh-CN"/>
                      <w14:textFill>
                        <w14:solidFill>
                          <w14:schemeClr w14:val="tx1"/>
                        </w14:solidFill>
                      </w14:textFill>
                    </w:rPr>
                    <w:t>2</w:t>
                  </w:r>
                  <w:r>
                    <w:rPr>
                      <w:rFonts w:hint="eastAsia" w:cs="Times New Roman"/>
                      <w:color w:val="000000" w:themeColor="text1"/>
                      <w:sz w:val="21"/>
                      <w:szCs w:val="21"/>
                      <w:u w:val="none"/>
                      <w:lang w:eastAsia="zh-CN"/>
                      <w14:textFill>
                        <w14:solidFill>
                          <w14:schemeClr w14:val="tx1"/>
                        </w14:solidFill>
                      </w14:textFill>
                    </w:rPr>
                    <w:t>″， 34°40′25.29</w:t>
                  </w:r>
                  <w:r>
                    <w:rPr>
                      <w:rFonts w:hint="eastAsia" w:cs="Times New Roman"/>
                      <w:color w:val="000000" w:themeColor="text1"/>
                      <w:sz w:val="21"/>
                      <w:szCs w:val="21"/>
                      <w:u w:val="none"/>
                      <w:lang w:val="en-US" w:eastAsia="zh-CN"/>
                      <w14:textFill>
                        <w14:solidFill>
                          <w14:schemeClr w14:val="tx1"/>
                        </w14:solidFill>
                      </w14:textFill>
                    </w:rPr>
                    <w:t>2</w:t>
                  </w:r>
                  <w:r>
                    <w:rPr>
                      <w:rFonts w:hint="eastAsia" w:cs="Times New Roman"/>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，海拔</w:t>
                  </w:r>
                  <w:r>
                    <w:rPr>
                      <w:rFonts w:hint="eastAsia" w:cs="Times New Roman"/>
                      <w:color w:val="000000" w:themeColor="text1"/>
                      <w:sz w:val="21"/>
                      <w:szCs w:val="21"/>
                      <w:u w:val="none"/>
                      <w:lang w:val="en-US" w:eastAsia="zh-CN"/>
                      <w14:textFill>
                        <w14:solidFill>
                          <w14:schemeClr w14:val="tx1"/>
                        </w14:solidFill>
                      </w14:textFill>
                    </w:rPr>
                    <w:t>116</w:t>
                  </w:r>
                  <w:r>
                    <w:rPr>
                      <w:rFonts w:hint="default" w:ascii="Times New Roman" w:hAnsi="Times New Roman" w:eastAsia="宋体" w:cs="Times New Roman"/>
                      <w:color w:val="000000" w:themeColor="text1"/>
                      <w:sz w:val="21"/>
                      <w:szCs w:val="21"/>
                      <w:u w:val="none"/>
                      <w14:textFill>
                        <w14:solidFill>
                          <w14:schemeClr w14:val="tx1"/>
                        </w14:solidFill>
                      </w14:textFill>
                    </w:rPr>
                    <w:t>米</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产品方案及生产规模</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年生产50万平方米装饰板和40万支装饰线条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生产工艺</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原料一混合一挤出一冷却</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成型一牵引一</w:t>
                  </w:r>
                  <w:r>
                    <w:rPr>
                      <w:rFonts w:hint="eastAsia" w:cs="Times New Roman"/>
                      <w:color w:val="000000" w:themeColor="text1"/>
                      <w:sz w:val="21"/>
                      <w:szCs w:val="21"/>
                      <w:u w:val="none"/>
                      <w:lang w:val="en-US" w:eastAsia="zh-CN"/>
                      <w14:textFill>
                        <w14:solidFill>
                          <w14:schemeClr w14:val="tx1"/>
                        </w14:solidFill>
                      </w14:textFill>
                    </w:rPr>
                    <w:t>覆</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膜一分切一</w:t>
                  </w:r>
                  <w:r>
                    <w:rPr>
                      <w:rFonts w:hint="eastAsia" w:cs="Times New Roman"/>
                      <w:color w:val="000000" w:themeColor="text1"/>
                      <w:sz w:val="21"/>
                      <w:szCs w:val="21"/>
                      <w:u w:val="none"/>
                      <w:lang w:val="en-US" w:eastAsia="zh-CN"/>
                      <w14:textFill>
                        <w14:solidFill>
                          <w14:schemeClr w14:val="tx1"/>
                        </w14:solidFill>
                      </w14:textFill>
                    </w:rPr>
                    <w:t>包装</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入库</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占地面积</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vertAlign w:val="superscript"/>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1100m</w:t>
                  </w:r>
                  <w:r>
                    <w:rPr>
                      <w:rFonts w:hint="eastAsia" w:cs="Times New Roman"/>
                      <w:color w:val="000000" w:themeColor="text1"/>
                      <w:sz w:val="21"/>
                      <w:szCs w:val="21"/>
                      <w:u w:val="none"/>
                      <w:vertAlign w:val="superscript"/>
                      <w:lang w:val="en-US" w:eastAsia="zh-CN"/>
                      <w14:textFill>
                        <w14:solidFill>
                          <w14:schemeClr w14:val="tx1"/>
                        </w14:solidFill>
                      </w14:textFill>
                    </w:rPr>
                    <w:t>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工程投资</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总投资</w:t>
                  </w:r>
                  <w:r>
                    <w:rPr>
                      <w:rFonts w:hint="eastAsia" w:cs="Times New Roman"/>
                      <w:color w:val="000000" w:themeColor="text1"/>
                      <w:sz w:val="21"/>
                      <w:szCs w:val="21"/>
                      <w:u w:val="none"/>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u w:val="none"/>
                      <w14:textFill>
                        <w14:solidFill>
                          <w14:schemeClr w14:val="tx1"/>
                        </w14:solidFill>
                      </w14:textFill>
                    </w:rPr>
                    <w:t>万元，</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其中环保投资</w:t>
                  </w:r>
                  <w:r>
                    <w:rPr>
                      <w:rFonts w:hint="eastAsia" w:cs="Times New Roman"/>
                      <w:color w:val="000000" w:themeColor="text1"/>
                      <w:sz w:val="21"/>
                      <w:szCs w:val="21"/>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万元</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工作制度</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年工作3</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u w:val="none"/>
                      <w14:textFill>
                        <w14:solidFill>
                          <w14:schemeClr w14:val="tx1"/>
                        </w14:solidFill>
                      </w14:textFill>
                    </w:rPr>
                    <w:t>0天，1班/天，8小时/班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劳动定员</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10人</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表</w:t>
            </w: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本项目主要建设内容</w:t>
            </w:r>
          </w:p>
          <w:tbl>
            <w:tblPr>
              <w:tblStyle w:val="26"/>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670"/>
              <w:gridCol w:w="2793"/>
              <w:gridCol w:w="1546"/>
              <w:gridCol w:w="1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类别</w:t>
                  </w: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项目</w:t>
                  </w:r>
                </w:p>
              </w:tc>
              <w:tc>
                <w:tcPr>
                  <w:tcW w:w="1669"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建设内容及规模</w:t>
                  </w:r>
                </w:p>
              </w:tc>
              <w:tc>
                <w:tcPr>
                  <w:tcW w:w="92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功能</w:t>
                  </w:r>
                </w:p>
              </w:tc>
              <w:tc>
                <w:tcPr>
                  <w:tcW w:w="857"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主体</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生产车间</w:t>
                  </w:r>
                </w:p>
              </w:tc>
              <w:tc>
                <w:tcPr>
                  <w:tcW w:w="166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themeColor="text1"/>
                      <w:sz w:val="21"/>
                      <w:szCs w:val="21"/>
                      <w:highlight w:val="none"/>
                      <w:u w:val="none"/>
                      <w:lang w:val="en-US"/>
                      <w14:textFill>
                        <w14:solidFill>
                          <w14:schemeClr w14:val="tx1"/>
                        </w14:solidFill>
                      </w14:textFill>
                    </w:rPr>
                  </w:pPr>
                  <w:r>
                    <w:rPr>
                      <w:rFonts w:hint="eastAsia" w:cs="Times New Roman"/>
                      <w:color w:val="000000" w:themeColor="text1"/>
                      <w:kern w:val="0"/>
                      <w:sz w:val="21"/>
                      <w:szCs w:val="21"/>
                      <w:highlight w:val="none"/>
                      <w:u w:val="none"/>
                      <w:lang w:val="en-US" w:eastAsia="zh-CN" w:bidi="ar"/>
                      <w14:textFill>
                        <w14:solidFill>
                          <w14:schemeClr w14:val="tx1"/>
                        </w14:solidFill>
                      </w14:textFill>
                    </w:rPr>
                    <w:t>1100m</w:t>
                  </w:r>
                  <w:r>
                    <w:rPr>
                      <w:rFonts w:hint="eastAsia" w:cs="Times New Roman"/>
                      <w:color w:val="000000" w:themeColor="text1"/>
                      <w:kern w:val="0"/>
                      <w:sz w:val="21"/>
                      <w:szCs w:val="21"/>
                      <w:highlight w:val="none"/>
                      <w:u w:val="none"/>
                      <w:vertAlign w:val="superscript"/>
                      <w:lang w:val="en-US" w:eastAsia="zh-CN" w:bidi="ar"/>
                      <w14:textFill>
                        <w14:solidFill>
                          <w14:schemeClr w14:val="tx1"/>
                        </w14:solidFill>
                      </w14:textFill>
                    </w:rPr>
                    <w:t>2</w:t>
                  </w:r>
                </w:p>
              </w:tc>
              <w:tc>
                <w:tcPr>
                  <w:tcW w:w="923"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产品生产</w:t>
                  </w:r>
                </w:p>
              </w:tc>
              <w:tc>
                <w:tcPr>
                  <w:tcW w:w="857"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租赁</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现有厂房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51" w:type="pct"/>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公用</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供电</w:t>
                  </w:r>
                </w:p>
              </w:tc>
              <w:tc>
                <w:tcPr>
                  <w:tcW w:w="2593" w:type="pct"/>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顾县镇</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电网供电</w:t>
                  </w:r>
                </w:p>
              </w:tc>
              <w:tc>
                <w:tcPr>
                  <w:tcW w:w="8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供水</w:t>
                  </w:r>
                </w:p>
              </w:tc>
              <w:tc>
                <w:tcPr>
                  <w:tcW w:w="2593" w:type="pct"/>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顾县镇供水管网</w:t>
                  </w:r>
                </w:p>
              </w:tc>
              <w:tc>
                <w:tcPr>
                  <w:tcW w:w="8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环保</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废气处理设施</w:t>
                  </w:r>
                </w:p>
              </w:tc>
              <w:tc>
                <w:tcPr>
                  <w:tcW w:w="2593" w:type="pct"/>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UV光氧</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r>
                    <w:rPr>
                      <w:rFonts w:hint="eastAsia" w:cs="Times New Roman"/>
                      <w:color w:val="000000" w:themeColor="text1"/>
                      <w:sz w:val="21"/>
                      <w:szCs w:val="21"/>
                      <w:highlight w:val="none"/>
                      <w:u w:val="none"/>
                      <w:lang w:val="en-US" w:eastAsia="zh-CN"/>
                      <w14:textFill>
                        <w14:solidFill>
                          <w14:schemeClr w14:val="tx1"/>
                        </w14:solidFill>
                      </w14:textFill>
                    </w:rPr>
                    <w:t>活性炭吸附+15m排气筒</w:t>
                  </w:r>
                </w:p>
              </w:tc>
              <w:tc>
                <w:tcPr>
                  <w:tcW w:w="8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废水处理设施</w:t>
                  </w:r>
                </w:p>
              </w:tc>
              <w:tc>
                <w:tcPr>
                  <w:tcW w:w="2593" w:type="pct"/>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化粪池</w:t>
                  </w:r>
                </w:p>
              </w:tc>
              <w:tc>
                <w:tcPr>
                  <w:tcW w:w="8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噪声处理设施</w:t>
                  </w:r>
                </w:p>
              </w:tc>
              <w:tc>
                <w:tcPr>
                  <w:tcW w:w="2593" w:type="pct"/>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厂房隔声</w:t>
                  </w:r>
                </w:p>
              </w:tc>
              <w:tc>
                <w:tcPr>
                  <w:tcW w:w="8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1" w:type="pct"/>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998" w:type="pc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固废处理设施</w:t>
                  </w:r>
                </w:p>
              </w:tc>
              <w:tc>
                <w:tcPr>
                  <w:tcW w:w="2593" w:type="pct"/>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一般固废暂存</w:t>
                  </w:r>
                  <w:r>
                    <w:rPr>
                      <w:rFonts w:hint="eastAsia" w:cs="Times New Roman"/>
                      <w:color w:val="000000" w:themeColor="text1"/>
                      <w:sz w:val="21"/>
                      <w:szCs w:val="21"/>
                      <w:highlight w:val="none"/>
                      <w:u w:val="none"/>
                      <w:lang w:val="en-US" w:eastAsia="zh-CN"/>
                      <w14:textFill>
                        <w14:solidFill>
                          <w14:schemeClr w14:val="tx1"/>
                        </w14:solidFill>
                      </w14:textFill>
                    </w:rPr>
                    <w:t>处10</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，危废暂存间</w:t>
                  </w:r>
                  <w:r>
                    <w:rPr>
                      <w:rFonts w:hint="eastAsia" w:cs="Times New Roman"/>
                      <w:color w:val="000000" w:themeColor="text1"/>
                      <w:sz w:val="21"/>
                      <w:szCs w:val="21"/>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lang w:val="en-US" w:eastAsia="zh-CN"/>
                      <w14:textFill>
                        <w14:solidFill>
                          <w14:schemeClr w14:val="tx1"/>
                        </w14:solidFill>
                      </w14:textFill>
                    </w:rPr>
                    <w:t>2</w:t>
                  </w:r>
                </w:p>
              </w:tc>
              <w:tc>
                <w:tcPr>
                  <w:tcW w:w="8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3、主要产品及产能</w:t>
            </w:r>
          </w:p>
          <w:p>
            <w:pPr>
              <w:adjustRightInd w:val="0"/>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本项目实施后，其具体产品及生产规模详见</w:t>
            </w:r>
            <w:r>
              <w:rPr>
                <w:rFonts w:hint="eastAsia" w:cs="Times New Roman"/>
                <w:color w:val="000000"/>
                <w:sz w:val="24"/>
                <w:lang w:val="en-US" w:eastAsia="zh-CN"/>
              </w:rPr>
              <w:t>下</w:t>
            </w:r>
            <w:r>
              <w:rPr>
                <w:rFonts w:hint="default" w:ascii="Times New Roman" w:hAnsi="Times New Roman" w:cs="Times New Roman"/>
                <w:color w:val="000000"/>
                <w:sz w:val="24"/>
              </w:rPr>
              <w:t>表。</w:t>
            </w:r>
          </w:p>
          <w:p>
            <w:pPr>
              <w:jc w:val="center"/>
              <w:rPr>
                <w:rFonts w:hint="eastAsia" w:ascii="黑体" w:hAnsi="黑体" w:eastAsia="黑体" w:cs="黑体"/>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eastAsia="zh-CN"/>
                <w14:textFill>
                  <w14:solidFill>
                    <w14:schemeClr w14:val="tx1"/>
                  </w14:solidFill>
                </w14:textFill>
              </w:rPr>
              <w:t>表</w:t>
            </w:r>
            <w:r>
              <w:rPr>
                <w:rFonts w:hint="eastAsia" w:cs="Times New Roman"/>
                <w:b/>
                <w:bCs/>
                <w:color w:val="000000" w:themeColor="text1"/>
                <w:sz w:val="24"/>
                <w:szCs w:val="24"/>
                <w:u w:val="singl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 xml:space="preserve">   产品规格</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202"/>
              <w:gridCol w:w="2968"/>
              <w:gridCol w:w="2099"/>
              <w:gridCol w:w="1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u w:val="single"/>
                      <w14:textFill>
                        <w14:solidFill>
                          <w14:schemeClr w14:val="tx1"/>
                        </w14:solidFill>
                      </w14:textFill>
                    </w:rPr>
                  </w:pPr>
                  <w:r>
                    <w:rPr>
                      <w:rFonts w:hint="default" w:ascii="Times New Roman" w:hAnsi="Times New Roman" w:cs="Times New Roman"/>
                      <w:b w:val="0"/>
                      <w:bCs w:val="0"/>
                      <w:color w:val="000000" w:themeColor="text1"/>
                      <w:sz w:val="21"/>
                      <w:szCs w:val="21"/>
                      <w:u w:val="single"/>
                      <w14:textFill>
                        <w14:solidFill>
                          <w14:schemeClr w14:val="tx1"/>
                        </w14:solidFill>
                      </w14:textFill>
                    </w:rPr>
                    <w:t>序号</w:t>
                  </w:r>
                </w:p>
              </w:tc>
              <w:tc>
                <w:tcPr>
                  <w:tcW w:w="71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u w:val="single"/>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产品</w:t>
                  </w:r>
                  <w:r>
                    <w:rPr>
                      <w:rFonts w:hint="default" w:ascii="Times New Roman" w:hAnsi="Times New Roman" w:cs="Times New Roman"/>
                      <w:b w:val="0"/>
                      <w:bCs w:val="0"/>
                      <w:color w:val="000000" w:themeColor="text1"/>
                      <w:sz w:val="21"/>
                      <w:szCs w:val="21"/>
                      <w:u w:val="single"/>
                      <w14:textFill>
                        <w14:solidFill>
                          <w14:schemeClr w14:val="tx1"/>
                        </w14:solidFill>
                      </w14:textFill>
                    </w:rPr>
                    <w:t>名称</w:t>
                  </w:r>
                </w:p>
              </w:tc>
              <w:tc>
                <w:tcPr>
                  <w:tcW w:w="1773" w:type="pct"/>
                  <w:tcBorders>
                    <w:tl2br w:val="nil"/>
                    <w:tr2bl w:val="nil"/>
                  </w:tcBorders>
                  <w:noWrap w:val="0"/>
                  <w:vAlign w:val="center"/>
                </w:tcPr>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规格</w:t>
                  </w:r>
                </w:p>
              </w:tc>
              <w:tc>
                <w:tcPr>
                  <w:tcW w:w="1254"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规模</w:t>
                  </w:r>
                </w:p>
              </w:tc>
              <w:tc>
                <w:tcPr>
                  <w:tcW w:w="702"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u w:val="single"/>
                      <w14:textFill>
                        <w14:solidFill>
                          <w14:schemeClr w14:val="tx1"/>
                        </w14:solidFill>
                      </w14:textFill>
                    </w:rPr>
                  </w:pPr>
                  <w:r>
                    <w:rPr>
                      <w:rFonts w:hint="default" w:ascii="Times New Roman" w:hAnsi="Times New Roman" w:cs="Times New Roman"/>
                      <w:b w:val="0"/>
                      <w:bCs w:val="0"/>
                      <w:color w:val="000000" w:themeColor="text1"/>
                      <w:sz w:val="21"/>
                      <w:szCs w:val="21"/>
                      <w:u w:val="singl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tcBorders>
                    <w:tl2br w:val="nil"/>
                    <w:tr2bl w:val="nil"/>
                  </w:tcBorders>
                  <w:noWrap w:val="0"/>
                  <w:vAlign w:val="center"/>
                </w:tcPr>
                <w:p>
                  <w:pPr>
                    <w:jc w:val="cente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1</w:t>
                  </w:r>
                </w:p>
              </w:tc>
              <w:tc>
                <w:tcPr>
                  <w:tcW w:w="718" w:type="pct"/>
                  <w:tcBorders>
                    <w:tl2br w:val="nil"/>
                    <w:tr2bl w:val="nil"/>
                  </w:tcBorders>
                  <w:noWrap w:val="0"/>
                  <w:vAlign w:val="center"/>
                </w:tcPr>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装饰板</w:t>
                  </w:r>
                </w:p>
              </w:tc>
              <w:tc>
                <w:tcPr>
                  <w:tcW w:w="1773" w:type="pct"/>
                  <w:tcBorders>
                    <w:tl2br w:val="nil"/>
                    <w:tr2bl w:val="nil"/>
                  </w:tcBorders>
                  <w:noWrap w:val="0"/>
                  <w:vAlign w:val="center"/>
                </w:tcPr>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宽400mm—600mm、长2m—4m，厚0.9mm</w:t>
                  </w:r>
                </w:p>
              </w:tc>
              <w:tc>
                <w:tcPr>
                  <w:tcW w:w="1254" w:type="pct"/>
                  <w:tcBorders>
                    <w:tl2br w:val="nil"/>
                    <w:tr2bl w:val="nil"/>
                  </w:tcBorders>
                  <w:noWrap w:val="0"/>
                  <w:vAlign w:val="center"/>
                </w:tcPr>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50万平方米/a</w:t>
                  </w:r>
                </w:p>
              </w:tc>
              <w:tc>
                <w:tcPr>
                  <w:tcW w:w="702" w:type="pct"/>
                  <w:vMerge w:val="restar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具体规格根据订单确定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tcBorders>
                    <w:tl2br w:val="nil"/>
                    <w:tr2bl w:val="nil"/>
                  </w:tcBorders>
                  <w:noWrap w:val="0"/>
                  <w:vAlign w:val="center"/>
                </w:tcPr>
                <w:p>
                  <w:pPr>
                    <w:jc w:val="cente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2</w:t>
                  </w:r>
                </w:p>
              </w:tc>
              <w:tc>
                <w:tcPr>
                  <w:tcW w:w="718" w:type="pct"/>
                  <w:tcBorders>
                    <w:tl2br w:val="nil"/>
                    <w:tr2bl w:val="nil"/>
                  </w:tcBorders>
                  <w:noWrap w:val="0"/>
                  <w:vAlign w:val="center"/>
                </w:tcPr>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装饰线条</w:t>
                  </w:r>
                </w:p>
              </w:tc>
              <w:tc>
                <w:tcPr>
                  <w:tcW w:w="1773" w:type="pct"/>
                  <w:tcBorders>
                    <w:tl2br w:val="nil"/>
                    <w:tr2bl w:val="nil"/>
                  </w:tcBorders>
                  <w:noWrap w:val="0"/>
                  <w:vAlign w:val="center"/>
                </w:tcPr>
                <w:p>
                  <w:pPr>
                    <w:jc w:val="center"/>
                    <w:rPr>
                      <w:rFonts w:hint="eastAsia"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长3m，宽2cm—10cm，</w:t>
                  </w:r>
                </w:p>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厚0.9mm</w:t>
                  </w:r>
                </w:p>
              </w:tc>
              <w:tc>
                <w:tcPr>
                  <w:tcW w:w="1254" w:type="pct"/>
                  <w:tcBorders>
                    <w:tl2br w:val="nil"/>
                    <w:tr2bl w:val="nil"/>
                  </w:tcBorders>
                  <w:noWrap w:val="0"/>
                  <w:vAlign w:val="center"/>
                </w:tcPr>
                <w:p>
                  <w:pPr>
                    <w:jc w:val="center"/>
                    <w:rPr>
                      <w:rFonts w:hint="default" w:cs="Times New Roman"/>
                      <w:b w:val="0"/>
                      <w:bCs w:val="0"/>
                      <w:color w:val="000000" w:themeColor="text1"/>
                      <w:sz w:val="21"/>
                      <w:szCs w:val="21"/>
                      <w:u w:val="single"/>
                      <w:lang w:val="en-US" w:eastAsia="zh-CN"/>
                      <w14:textFill>
                        <w14:solidFill>
                          <w14:schemeClr w14:val="tx1"/>
                        </w14:solidFill>
                      </w14:textFill>
                    </w:rPr>
                  </w:pPr>
                  <w:r>
                    <w:rPr>
                      <w:rFonts w:hint="eastAsia" w:cs="Times New Roman"/>
                      <w:b w:val="0"/>
                      <w:bCs w:val="0"/>
                      <w:color w:val="000000" w:themeColor="text1"/>
                      <w:sz w:val="21"/>
                      <w:szCs w:val="21"/>
                      <w:u w:val="single"/>
                      <w:lang w:val="en-US" w:eastAsia="zh-CN"/>
                      <w14:textFill>
                        <w14:solidFill>
                          <w14:schemeClr w14:val="tx1"/>
                        </w14:solidFill>
                      </w14:textFill>
                    </w:rPr>
                    <w:t>40万支/a</w:t>
                  </w:r>
                </w:p>
              </w:tc>
              <w:tc>
                <w:tcPr>
                  <w:tcW w:w="702"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u w:val="singl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4、主要生产设备</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color w:val="000000" w:themeColor="text1"/>
                <w:u w:val="none"/>
                <w:lang w:eastAsia="zh-CN"/>
                <w14:textFill>
                  <w14:solidFill>
                    <w14:schemeClr w14:val="tx1"/>
                  </w14:solidFill>
                </w14:textFill>
              </w:rPr>
            </w:pPr>
            <w:r>
              <w:rPr>
                <w:rFonts w:hint="default"/>
                <w:color w:val="000000" w:themeColor="text1"/>
                <w:u w:val="none"/>
                <w14:textFill>
                  <w14:solidFill>
                    <w14:schemeClr w14:val="tx1"/>
                  </w14:solidFill>
                </w14:textFill>
              </w:rPr>
              <w:t>本项目主要生产设备设施见</w:t>
            </w:r>
            <w:r>
              <w:rPr>
                <w:rFonts w:hint="default"/>
                <w:color w:val="000000" w:themeColor="text1"/>
                <w:u w:val="none"/>
                <w:lang w:eastAsia="zh-CN"/>
                <w14:textFill>
                  <w14:solidFill>
                    <w14:schemeClr w14:val="tx1"/>
                  </w14:solidFill>
                </w14:textFill>
              </w:rPr>
              <w:t>下</w:t>
            </w:r>
            <w:r>
              <w:rPr>
                <w:rFonts w:hint="default"/>
                <w:color w:val="000000" w:themeColor="text1"/>
                <w:u w:val="none"/>
                <w14:textFill>
                  <w14:solidFill>
                    <w14:schemeClr w14:val="tx1"/>
                  </w14:solidFill>
                </w14:textFill>
              </w:rPr>
              <w:t>表</w:t>
            </w:r>
            <w:r>
              <w:rPr>
                <w:rFonts w:hint="default"/>
                <w:color w:val="000000" w:themeColor="text1"/>
                <w:u w:val="none"/>
                <w:lang w:eastAsia="zh-CN"/>
                <w14:textFill>
                  <w14:solidFill>
                    <w14:schemeClr w14:val="tx1"/>
                  </w14:solidFill>
                </w14:textFill>
              </w:rPr>
              <w:t>。</w:t>
            </w:r>
          </w:p>
          <w:p>
            <w:pPr>
              <w:pStyle w:val="13"/>
              <w:spacing w:line="240" w:lineRule="auto"/>
              <w:ind w:left="0" w:right="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cs="Times New Roman"/>
                <w:b/>
                <w:bCs/>
                <w:color w:val="000000" w:themeColor="text1"/>
                <w:u w:val="none"/>
                <w:lang w:val="en-US" w:eastAsia="zh-CN"/>
                <w14:textFill>
                  <w14:solidFill>
                    <w14:schemeClr w14:val="tx1"/>
                  </w14:solidFill>
                </w14:textFill>
              </w:rPr>
              <w:t>8</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eastAsia"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主要生产设备设施一览表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05"/>
              <w:gridCol w:w="2361"/>
              <w:gridCol w:w="1087"/>
              <w:gridCol w:w="2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序号</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设备名称</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规格/型号</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数量台</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混合机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SRL-W300</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2</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上料机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MF-300G</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2</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挤出机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LY-180</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包覆机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FC-BFA-600</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5</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分切机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FC-1350B</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破碎机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XP-700</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7</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磨粉机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sz w:val="21"/>
                      <w:szCs w:val="21"/>
                    </w:rPr>
                    <w:t>YX3-225M-2</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sz w:val="24"/>
                <w:szCs w:val="24"/>
                <w:u w:val="none"/>
                <w:lang w:val="en-US" w:eastAsia="zh-CN"/>
                <w14:textFill>
                  <w14:solidFill>
                    <w14:schemeClr w14:val="tx1"/>
                  </w14:solidFill>
                </w14:textFill>
              </w:rPr>
            </w:pPr>
            <w:r>
              <w:rPr>
                <w:rFonts w:hint="default"/>
                <w:color w:val="000000" w:themeColor="text1"/>
                <w:sz w:val="24"/>
                <w:szCs w:val="24"/>
                <w:u w:val="none"/>
                <w:lang w:val="en-US" w:eastAsia="zh-CN"/>
                <w14:textFill>
                  <w14:solidFill>
                    <w14:schemeClr w14:val="tx1"/>
                  </w14:solidFill>
                </w14:textFill>
              </w:rPr>
              <w:t>对比《产业结构调整指导目录》（2019年本），《高耗能落后机电设备（产品）淘汰目录（第一批、第二批、第三批、第四批）</w:t>
            </w:r>
            <w:r>
              <w:rPr>
                <w:rFonts w:hint="eastAsia"/>
                <w:color w:val="000000" w:themeColor="text1"/>
                <w:sz w:val="24"/>
                <w:szCs w:val="24"/>
                <w:u w:val="none"/>
                <w:lang w:val="en-US" w:eastAsia="zh-CN"/>
                <w14:textFill>
                  <w14:solidFill>
                    <w14:schemeClr w14:val="tx1"/>
                  </w14:solidFill>
                </w14:textFill>
              </w:rPr>
              <w:t>》《</w:t>
            </w:r>
            <w:r>
              <w:rPr>
                <w:rFonts w:hint="default"/>
                <w:color w:val="000000" w:themeColor="text1"/>
                <w:sz w:val="24"/>
                <w:szCs w:val="24"/>
                <w:u w:val="none"/>
                <w:lang w:val="en-US" w:eastAsia="zh-CN"/>
                <w14:textFill>
                  <w14:solidFill>
                    <w14:schemeClr w14:val="tx1"/>
                  </w14:solidFill>
                </w14:textFill>
              </w:rPr>
              <w:t>河南省部分工业行业淘汰落后生产工艺装备和产品目录》无淘汰类生产设备。</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5、主要原辅材料、能源</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本项目主要原辅材料及能源</w:t>
            </w:r>
            <w:r>
              <w:rPr>
                <w:rFonts w:hint="default"/>
                <w:color w:val="000000" w:themeColor="text1"/>
                <w:sz w:val="24"/>
                <w:szCs w:val="24"/>
                <w:highlight w:val="none"/>
                <w:u w:val="none"/>
                <w14:textFill>
                  <w14:solidFill>
                    <w14:schemeClr w14:val="tx1"/>
                  </w14:solidFill>
                </w14:textFill>
              </w:rPr>
              <w:t>消耗见</w:t>
            </w:r>
            <w:r>
              <w:rPr>
                <w:rFonts w:hint="default"/>
                <w:color w:val="000000" w:themeColor="text1"/>
                <w:sz w:val="24"/>
                <w:szCs w:val="24"/>
                <w:u w:val="none"/>
                <w:lang w:eastAsia="zh-CN"/>
                <w14:textFill>
                  <w14:solidFill>
                    <w14:schemeClr w14:val="tx1"/>
                  </w14:solidFill>
                </w14:textFill>
              </w:rPr>
              <w:t>下</w:t>
            </w:r>
            <w:r>
              <w:rPr>
                <w:rFonts w:hint="default"/>
                <w:color w:val="000000" w:themeColor="text1"/>
                <w:sz w:val="24"/>
                <w:szCs w:val="24"/>
                <w:u w:val="none"/>
                <w14:textFill>
                  <w14:solidFill>
                    <w14:schemeClr w14:val="tx1"/>
                  </w14:solidFill>
                </w14:textFill>
              </w:rPr>
              <w:t>表。</w:t>
            </w:r>
          </w:p>
          <w:p>
            <w:pPr>
              <w:pStyle w:val="13"/>
              <w:spacing w:line="240" w:lineRule="auto"/>
              <w:ind w:left="0" w:right="0"/>
              <w:jc w:val="center"/>
              <w:rPr>
                <w:rFonts w:hint="default" w:ascii="Times New Roman" w:hAnsi="Times New Roman" w:eastAsia="宋体"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u w:val="single"/>
                <w14:textFill>
                  <w14:solidFill>
                    <w14:schemeClr w14:val="tx1"/>
                  </w14:solidFill>
                </w14:textFill>
              </w:rPr>
              <w:t>表</w:t>
            </w:r>
            <w:r>
              <w:rPr>
                <w:rFonts w:hint="eastAsia" w:cs="Times New Roman"/>
                <w:b/>
                <w:bCs/>
                <w:color w:val="000000" w:themeColor="text1"/>
                <w:u w:val="single"/>
                <w:lang w:val="en-US" w:eastAsia="zh-CN"/>
                <w14:textFill>
                  <w14:solidFill>
                    <w14:schemeClr w14:val="tx1"/>
                  </w14:solidFill>
                </w14:textFill>
              </w:rPr>
              <w:t>9</w:t>
            </w:r>
            <w:r>
              <w:rPr>
                <w:rFonts w:hint="default" w:ascii="Times New Roman" w:hAnsi="Times New Roman" w:eastAsia="宋体" w:cs="Times New Roman"/>
                <w:b/>
                <w:bCs/>
                <w:color w:val="000000" w:themeColor="text1"/>
                <w:u w:val="single"/>
                <w:lang w:val="en-US" w:eastAsia="zh-CN"/>
                <w14:textFill>
                  <w14:solidFill>
                    <w14:schemeClr w14:val="tx1"/>
                  </w14:solidFill>
                </w14:textFill>
              </w:rPr>
              <w:t xml:space="preserve">  </w:t>
            </w:r>
            <w:r>
              <w:rPr>
                <w:rFonts w:hint="eastAsia" w:cs="Times New Roman"/>
                <w:b/>
                <w:bCs/>
                <w:color w:val="000000" w:themeColor="text1"/>
                <w:u w:val="singl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single"/>
                <w14:textFill>
                  <w14:solidFill>
                    <w14:schemeClr w14:val="tx1"/>
                  </w14:solidFill>
                </w14:textFill>
              </w:rPr>
              <w:t>本项目主要原辅材料及能源消耗一览表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55"/>
              <w:gridCol w:w="812"/>
              <w:gridCol w:w="1964"/>
              <w:gridCol w:w="1085"/>
              <w:gridCol w:w="1011"/>
              <w:gridCol w:w="2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690"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类型</w:t>
                  </w:r>
                </w:p>
              </w:tc>
              <w:tc>
                <w:tcPr>
                  <w:tcW w:w="485"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序号</w:t>
                  </w:r>
                </w:p>
              </w:tc>
              <w:tc>
                <w:tcPr>
                  <w:tcW w:w="1173"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材料名称</w:t>
                  </w:r>
                </w:p>
              </w:tc>
              <w:tc>
                <w:tcPr>
                  <w:tcW w:w="648"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单位</w:t>
                  </w:r>
                </w:p>
              </w:tc>
              <w:tc>
                <w:tcPr>
                  <w:tcW w:w="604"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000000"/>
                      <w:u w:val="single"/>
                      <w:lang w:val="en-US" w:eastAsia="zh-CN"/>
                    </w:rPr>
                  </w:pPr>
                  <w:r>
                    <w:rPr>
                      <w:rFonts w:hint="eastAsia" w:cs="Times New Roman"/>
                      <w:b/>
                      <w:bCs/>
                      <w:color w:val="000000"/>
                      <w:u w:val="single"/>
                      <w:lang w:val="en-US" w:eastAsia="zh-CN"/>
                    </w:rPr>
                    <w:t>用量</w:t>
                  </w:r>
                </w:p>
              </w:tc>
              <w:tc>
                <w:tcPr>
                  <w:tcW w:w="1397"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restar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原辅材料</w:t>
                  </w:r>
                </w:p>
              </w:tc>
              <w:tc>
                <w:tcPr>
                  <w:tcW w:w="485"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1</w:t>
                  </w:r>
                </w:p>
              </w:tc>
              <w:tc>
                <w:tcPr>
                  <w:tcW w:w="1173" w:type="pct"/>
                  <w:tcBorders>
                    <w:tl2br w:val="nil"/>
                    <w:tr2bl w:val="nil"/>
                  </w:tcBorders>
                  <w:noWrap w:val="0"/>
                  <w:vAlign w:val="center"/>
                </w:tcPr>
                <w:p>
                  <w:pPr>
                    <w:widowControl/>
                    <w:spacing w:line="320" w:lineRule="exact"/>
                    <w:jc w:val="center"/>
                    <w:rPr>
                      <w:rFonts w:hint="default" w:ascii="Times New Roman" w:hAnsi="Times New Roman" w:eastAsia="宋体" w:cs="Times New Roman"/>
                      <w:b w:val="0"/>
                      <w:bCs w:val="0"/>
                      <w:color w:val="000000"/>
                      <w:u w:val="single"/>
                      <w:lang w:val="en-US" w:eastAsia="zh-CN"/>
                    </w:rPr>
                  </w:pPr>
                  <w:r>
                    <w:rPr>
                      <w:rFonts w:hint="eastAsia" w:cs="Times New Roman"/>
                      <w:b w:val="0"/>
                      <w:bCs w:val="0"/>
                      <w:color w:val="000000"/>
                      <w:kern w:val="0"/>
                      <w:szCs w:val="21"/>
                      <w:u w:val="single"/>
                      <w:lang w:val="en-US" w:eastAsia="zh-CN"/>
                    </w:rPr>
                    <w:t>轻质碳酸钙</w:t>
                  </w:r>
                </w:p>
              </w:tc>
              <w:tc>
                <w:tcPr>
                  <w:tcW w:w="648" w:type="pct"/>
                  <w:tcBorders>
                    <w:tl2br w:val="nil"/>
                    <w:tr2bl w:val="nil"/>
                  </w:tcBorders>
                  <w:noWrap w:val="0"/>
                  <w:vAlign w:val="center"/>
                </w:tcPr>
                <w:p>
                  <w:pPr>
                    <w:pStyle w:val="42"/>
                    <w:spacing w:before="24" w:after="24" w:line="320" w:lineRule="exact"/>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ascii="Times New Roman" w:hAnsi="Times New Roman" w:eastAsia="宋体" w:cs="Times New Roman"/>
                      <w:b w:val="0"/>
                      <w:bCs w:val="0"/>
                      <w:color w:val="000000"/>
                      <w:u w:val="single"/>
                      <w:lang w:val="en-US" w:eastAsia="zh-CN"/>
                    </w:rPr>
                  </w:pPr>
                  <w:r>
                    <w:rPr>
                      <w:rFonts w:hint="eastAsia" w:cs="Times New Roman"/>
                      <w:b w:val="0"/>
                      <w:bCs w:val="0"/>
                      <w:color w:val="000000"/>
                      <w:u w:val="single"/>
                      <w:lang w:val="en-US" w:eastAsia="zh-CN"/>
                    </w:rPr>
                    <w:t>1100</w:t>
                  </w:r>
                </w:p>
              </w:tc>
              <w:tc>
                <w:tcPr>
                  <w:tcW w:w="1397" w:type="pct"/>
                  <w:tcBorders>
                    <w:tl2br w:val="nil"/>
                    <w:tr2bl w:val="nil"/>
                  </w:tcBorders>
                  <w:noWrap w:val="0"/>
                  <w:vAlign w:val="center"/>
                </w:tcPr>
                <w:p>
                  <w:pPr>
                    <w:spacing w:line="320" w:lineRule="exact"/>
                    <w:jc w:val="center"/>
                    <w:rPr>
                      <w:rFonts w:hint="default" w:cs="Times New Roman"/>
                      <w:b w:val="0"/>
                      <w:bCs w:val="0"/>
                      <w:color w:val="000000"/>
                      <w:szCs w:val="21"/>
                      <w:u w:val="single"/>
                      <w:lang w:val="en-US" w:eastAsia="zh-CN"/>
                    </w:rPr>
                  </w:pPr>
                  <w:r>
                    <w:rPr>
                      <w:rFonts w:hint="eastAsia" w:cs="Times New Roman"/>
                      <w:b w:val="0"/>
                      <w:bCs w:val="0"/>
                      <w:color w:val="000000"/>
                      <w:szCs w:val="21"/>
                      <w:u w:val="single"/>
                      <w:lang w:val="en-US" w:eastAsia="zh-CN"/>
                    </w:rPr>
                    <w:t>粉料，25kg/袋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eastAsia" w:ascii="Times New Roman" w:hAnsi="Times New Roman" w:eastAsia="宋体" w:cs="Times New Roman"/>
                      <w:b w:val="0"/>
                      <w:bCs w:val="0"/>
                      <w:color w:val="000000"/>
                      <w:u w:val="single"/>
                      <w:lang w:val="en-US" w:eastAsia="zh-CN"/>
                    </w:rPr>
                  </w:pPr>
                  <w:r>
                    <w:rPr>
                      <w:rFonts w:hint="eastAsia" w:cs="Times New Roman"/>
                      <w:b w:val="0"/>
                      <w:bCs w:val="0"/>
                      <w:color w:val="000000"/>
                      <w:u w:val="single"/>
                      <w:lang w:val="en-US" w:eastAsia="zh-CN"/>
                    </w:rPr>
                    <w:t>2</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PE颗粒</w:t>
                  </w:r>
                </w:p>
              </w:tc>
              <w:tc>
                <w:tcPr>
                  <w:tcW w:w="648" w:type="pct"/>
                  <w:tcBorders>
                    <w:tl2br w:val="nil"/>
                    <w:tr2bl w:val="nil"/>
                  </w:tcBorders>
                  <w:noWrap w:val="0"/>
                  <w:vAlign w:val="center"/>
                </w:tcPr>
                <w:p>
                  <w:pPr>
                    <w:pStyle w:val="42"/>
                    <w:spacing w:before="24" w:after="24" w:line="320" w:lineRule="exact"/>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740</w:t>
                  </w:r>
                </w:p>
              </w:tc>
              <w:tc>
                <w:tcPr>
                  <w:tcW w:w="1397" w:type="pct"/>
                  <w:tcBorders>
                    <w:tl2br w:val="nil"/>
                    <w:tr2bl w:val="nil"/>
                  </w:tcBorders>
                  <w:noWrap w:val="0"/>
                  <w:vAlign w:val="center"/>
                </w:tcPr>
                <w:p>
                  <w:pPr>
                    <w:spacing w:line="320" w:lineRule="exact"/>
                    <w:jc w:val="center"/>
                    <w:rPr>
                      <w:rFonts w:hint="default" w:cs="Times New Roman"/>
                      <w:b w:val="0"/>
                      <w:bCs w:val="0"/>
                      <w:color w:val="000000"/>
                      <w:szCs w:val="21"/>
                      <w:u w:val="single"/>
                      <w:lang w:val="en-US" w:eastAsia="zh-CN"/>
                    </w:rPr>
                  </w:pPr>
                  <w:r>
                    <w:rPr>
                      <w:rFonts w:hint="eastAsia" w:cs="Times New Roman"/>
                      <w:b w:val="0"/>
                      <w:bCs w:val="0"/>
                      <w:color w:val="000000"/>
                      <w:szCs w:val="21"/>
                      <w:u w:val="single"/>
                      <w:lang w:val="en-US" w:eastAsia="zh-CN"/>
                    </w:rPr>
                    <w:t>颗粒料，25kg/袋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3</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硬脂酸</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3.0</w:t>
                  </w:r>
                </w:p>
              </w:tc>
              <w:tc>
                <w:tcPr>
                  <w:tcW w:w="1397" w:type="pct"/>
                  <w:tcBorders>
                    <w:tl2br w:val="nil"/>
                    <w:tr2bl w:val="nil"/>
                  </w:tcBorders>
                  <w:noWrap w:val="0"/>
                  <w:vAlign w:val="center"/>
                </w:tcPr>
                <w:p>
                  <w:pPr>
                    <w:spacing w:line="320" w:lineRule="exact"/>
                    <w:jc w:val="center"/>
                    <w:rPr>
                      <w:rFonts w:hint="eastAsia" w:cs="Times New Roman"/>
                      <w:b w:val="0"/>
                      <w:bCs w:val="0"/>
                      <w:color w:val="000000"/>
                      <w:kern w:val="0"/>
                      <w:szCs w:val="21"/>
                      <w:u w:val="single"/>
                      <w:lang w:val="en-US" w:eastAsia="zh-CN"/>
                    </w:rPr>
                  </w:pPr>
                  <w:r>
                    <w:rPr>
                      <w:rFonts w:hint="eastAsia" w:cs="Times New Roman"/>
                      <w:b w:val="0"/>
                      <w:bCs w:val="0"/>
                      <w:color w:val="000000"/>
                      <w:szCs w:val="21"/>
                      <w:u w:val="single"/>
                      <w:lang w:val="en-US" w:eastAsia="zh-CN"/>
                    </w:rPr>
                    <w:t>颗粒料，25kg/袋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4</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稳定剂</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30</w:t>
                  </w:r>
                </w:p>
              </w:tc>
              <w:tc>
                <w:tcPr>
                  <w:tcW w:w="1397" w:type="pct"/>
                  <w:tcBorders>
                    <w:tl2br w:val="nil"/>
                    <w:tr2bl w:val="nil"/>
                  </w:tcBorders>
                  <w:noWrap w:val="0"/>
                  <w:vAlign w:val="center"/>
                </w:tcPr>
                <w:p>
                  <w:pPr>
                    <w:spacing w:line="320" w:lineRule="exact"/>
                    <w:jc w:val="center"/>
                    <w:rPr>
                      <w:rFonts w:hint="eastAsia" w:cs="Times New Roman"/>
                      <w:b w:val="0"/>
                      <w:bCs w:val="0"/>
                      <w:color w:val="000000"/>
                      <w:kern w:val="0"/>
                      <w:szCs w:val="21"/>
                      <w:u w:val="single"/>
                      <w:lang w:val="en-US" w:eastAsia="zh-CN"/>
                    </w:rPr>
                  </w:pPr>
                  <w:r>
                    <w:rPr>
                      <w:rFonts w:hint="eastAsia" w:cs="Times New Roman"/>
                      <w:b w:val="0"/>
                      <w:bCs w:val="0"/>
                      <w:color w:val="000000"/>
                      <w:szCs w:val="21"/>
                      <w:u w:val="single"/>
                      <w:lang w:val="en-US" w:eastAsia="zh-CN"/>
                    </w:rPr>
                    <w:t>颗粒料，25kg/袋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5</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调节剂</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86</w:t>
                  </w:r>
                </w:p>
              </w:tc>
              <w:tc>
                <w:tcPr>
                  <w:tcW w:w="1397" w:type="pct"/>
                  <w:tcBorders>
                    <w:tl2br w:val="nil"/>
                    <w:tr2bl w:val="nil"/>
                  </w:tcBorders>
                  <w:noWrap w:val="0"/>
                  <w:vAlign w:val="center"/>
                </w:tcPr>
                <w:p>
                  <w:pPr>
                    <w:spacing w:line="320" w:lineRule="exact"/>
                    <w:jc w:val="center"/>
                    <w:rPr>
                      <w:rFonts w:hint="eastAsia" w:cs="Times New Roman"/>
                      <w:b w:val="0"/>
                      <w:bCs w:val="0"/>
                      <w:color w:val="000000"/>
                      <w:kern w:val="0"/>
                      <w:szCs w:val="21"/>
                      <w:u w:val="single"/>
                      <w:lang w:val="en-US" w:eastAsia="zh-CN"/>
                    </w:rPr>
                  </w:pPr>
                  <w:r>
                    <w:rPr>
                      <w:rFonts w:hint="eastAsia" w:cs="Times New Roman"/>
                      <w:b w:val="0"/>
                      <w:bCs w:val="0"/>
                      <w:color w:val="000000"/>
                      <w:szCs w:val="21"/>
                      <w:u w:val="single"/>
                      <w:lang w:val="en-US" w:eastAsia="zh-CN"/>
                    </w:rPr>
                    <w:t>颗粒料，25kg/袋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6</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PE蜡</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6.6</w:t>
                  </w:r>
                </w:p>
              </w:tc>
              <w:tc>
                <w:tcPr>
                  <w:tcW w:w="1397" w:type="pct"/>
                  <w:tcBorders>
                    <w:tl2br w:val="nil"/>
                    <w:tr2bl w:val="nil"/>
                  </w:tcBorders>
                  <w:noWrap w:val="0"/>
                  <w:vAlign w:val="center"/>
                </w:tcPr>
                <w:p>
                  <w:pPr>
                    <w:spacing w:line="320" w:lineRule="exact"/>
                    <w:jc w:val="center"/>
                    <w:rPr>
                      <w:rFonts w:hint="eastAsia" w:cs="Times New Roman"/>
                      <w:b w:val="0"/>
                      <w:bCs w:val="0"/>
                      <w:color w:val="000000"/>
                      <w:kern w:val="0"/>
                      <w:szCs w:val="21"/>
                      <w:u w:val="single"/>
                      <w:lang w:val="en-US" w:eastAsia="zh-CN"/>
                    </w:rPr>
                  </w:pPr>
                  <w:r>
                    <w:rPr>
                      <w:rFonts w:hint="eastAsia" w:cs="Times New Roman"/>
                      <w:b w:val="0"/>
                      <w:bCs w:val="0"/>
                      <w:color w:val="000000"/>
                      <w:szCs w:val="21"/>
                      <w:u w:val="single"/>
                      <w:lang w:val="en-US" w:eastAsia="zh-CN"/>
                    </w:rPr>
                    <w:t>颗粒料，25kg/袋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7</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色粉</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2.4</w:t>
                  </w:r>
                </w:p>
              </w:tc>
              <w:tc>
                <w:tcPr>
                  <w:tcW w:w="1397" w:type="pct"/>
                  <w:tcBorders>
                    <w:tl2br w:val="nil"/>
                    <w:tr2bl w:val="nil"/>
                  </w:tcBorders>
                  <w:noWrap w:val="0"/>
                  <w:vAlign w:val="center"/>
                </w:tcPr>
                <w:p>
                  <w:pPr>
                    <w:spacing w:line="320" w:lineRule="exact"/>
                    <w:jc w:val="center"/>
                    <w:rPr>
                      <w:rFonts w:hint="eastAsia" w:cs="Times New Roman"/>
                      <w:b w:val="0"/>
                      <w:bCs w:val="0"/>
                      <w:color w:val="000000"/>
                      <w:kern w:val="0"/>
                      <w:szCs w:val="21"/>
                      <w:u w:val="single"/>
                      <w:lang w:val="en-US" w:eastAsia="zh-CN"/>
                    </w:rPr>
                  </w:pPr>
                  <w:r>
                    <w:rPr>
                      <w:rFonts w:hint="eastAsia" w:cs="Times New Roman"/>
                      <w:b w:val="0"/>
                      <w:bCs w:val="0"/>
                      <w:color w:val="000000"/>
                      <w:szCs w:val="21"/>
                      <w:u w:val="single"/>
                      <w:lang w:val="en-US" w:eastAsia="zh-CN"/>
                    </w:rPr>
                    <w:t>粉料，25kg/袋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8</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发泡剂</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32</w:t>
                  </w:r>
                </w:p>
              </w:tc>
              <w:tc>
                <w:tcPr>
                  <w:tcW w:w="1397" w:type="pct"/>
                  <w:tcBorders>
                    <w:tl2br w:val="nil"/>
                    <w:tr2bl w:val="nil"/>
                  </w:tcBorders>
                  <w:noWrap w:val="0"/>
                  <w:vAlign w:val="center"/>
                </w:tcPr>
                <w:p>
                  <w:pPr>
                    <w:spacing w:line="320" w:lineRule="exact"/>
                    <w:jc w:val="center"/>
                    <w:rPr>
                      <w:rFonts w:hint="eastAsia" w:cs="Times New Roman"/>
                      <w:b w:val="0"/>
                      <w:bCs w:val="0"/>
                      <w:color w:val="000000"/>
                      <w:kern w:val="0"/>
                      <w:szCs w:val="21"/>
                      <w:u w:val="single"/>
                      <w:lang w:val="en-US" w:eastAsia="zh-CN"/>
                    </w:rPr>
                  </w:pPr>
                  <w:r>
                    <w:rPr>
                      <w:rFonts w:hint="eastAsia" w:cs="Times New Roman"/>
                      <w:b w:val="0"/>
                      <w:bCs w:val="0"/>
                      <w:color w:val="000000"/>
                      <w:szCs w:val="21"/>
                      <w:u w:val="single"/>
                      <w:lang w:val="en-US" w:eastAsia="zh-CN"/>
                    </w:rPr>
                    <w:t>粉料，25kg/袋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9</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塑料膜</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1</w:t>
                  </w:r>
                </w:p>
              </w:tc>
              <w:tc>
                <w:tcPr>
                  <w:tcW w:w="1397" w:type="pct"/>
                  <w:tcBorders>
                    <w:tl2br w:val="nil"/>
                    <w:tr2bl w:val="nil"/>
                  </w:tcBorders>
                  <w:noWrap w:val="0"/>
                  <w:vAlign w:val="center"/>
                </w:tcPr>
                <w:p>
                  <w:pPr>
                    <w:spacing w:line="320" w:lineRule="exact"/>
                    <w:jc w:val="center"/>
                    <w:rPr>
                      <w:rFonts w:hint="default" w:cs="Times New Roman"/>
                      <w:b w:val="0"/>
                      <w:bCs w:val="0"/>
                      <w:color w:val="000000"/>
                      <w:kern w:val="0"/>
                      <w:szCs w:val="21"/>
                      <w:u w:val="single"/>
                      <w:lang w:val="en-US" w:eastAsia="zh-CN"/>
                    </w:rPr>
                  </w:pPr>
                  <w:r>
                    <w:rPr>
                      <w:rFonts w:hint="eastAsia" w:cs="Times New Roman"/>
                      <w:b w:val="0"/>
                      <w:bCs w:val="0"/>
                      <w:color w:val="000000"/>
                      <w:kern w:val="0"/>
                      <w:szCs w:val="21"/>
                      <w:u w:val="single"/>
                      <w:lang w:val="en-US" w:eastAsia="zh-CN"/>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10</w:t>
                  </w:r>
                </w:p>
              </w:tc>
              <w:tc>
                <w:tcPr>
                  <w:tcW w:w="1173" w:type="pct"/>
                  <w:tcBorders>
                    <w:tl2br w:val="nil"/>
                    <w:tr2bl w:val="nil"/>
                  </w:tcBorders>
                  <w:noWrap w:val="0"/>
                  <w:vAlign w:val="center"/>
                </w:tcPr>
                <w:p>
                  <w:pPr>
                    <w:widowControl/>
                    <w:spacing w:line="320" w:lineRule="exact"/>
                    <w:jc w:val="center"/>
                    <w:rPr>
                      <w:rFonts w:hint="default" w:cs="Times New Roman"/>
                      <w:b w:val="0"/>
                      <w:bCs w:val="0"/>
                      <w:color w:val="000000"/>
                      <w:kern w:val="0"/>
                      <w:szCs w:val="21"/>
                      <w:highlight w:val="none"/>
                      <w:u w:val="single"/>
                      <w:lang w:val="en-US" w:eastAsia="zh-CN"/>
                    </w:rPr>
                  </w:pPr>
                  <w:r>
                    <w:rPr>
                      <w:rFonts w:hint="eastAsia" w:cs="Times New Roman"/>
                      <w:b w:val="0"/>
                      <w:bCs w:val="0"/>
                      <w:color w:val="000000"/>
                      <w:kern w:val="0"/>
                      <w:szCs w:val="21"/>
                      <w:highlight w:val="none"/>
                      <w:u w:val="single"/>
                      <w:lang w:val="en-US" w:eastAsia="zh-CN"/>
                    </w:rPr>
                    <w:t>覆膜胶</w:t>
                  </w:r>
                </w:p>
              </w:tc>
              <w:tc>
                <w:tcPr>
                  <w:tcW w:w="648" w:type="pct"/>
                  <w:tcBorders>
                    <w:tl2br w:val="nil"/>
                    <w:tr2bl w:val="nil"/>
                  </w:tcBorders>
                  <w:noWrap w:val="0"/>
                  <w:vAlign w:val="center"/>
                </w:tcPr>
                <w:p>
                  <w:pPr>
                    <w:spacing w:before="24" w:after="24" w:line="320" w:lineRule="exact"/>
                    <w:jc w:val="center"/>
                    <w:rPr>
                      <w:rFonts w:hint="default" w:ascii="Times New Roman" w:hAnsi="Times New Roman" w:cs="Times New Roman"/>
                      <w:b w:val="0"/>
                      <w:bCs w:val="0"/>
                      <w:color w:val="000000"/>
                      <w:highlight w:val="none"/>
                      <w:u w:val="single"/>
                    </w:rPr>
                  </w:pPr>
                  <w:r>
                    <w:rPr>
                      <w:rFonts w:hint="default" w:ascii="Times New Roman" w:hAnsi="Times New Roman" w:cs="Times New Roman"/>
                      <w:b w:val="0"/>
                      <w:bCs w:val="0"/>
                      <w:color w:val="000000"/>
                      <w:highlight w:val="none"/>
                      <w:u w:val="single"/>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12.5</w:t>
                  </w:r>
                </w:p>
              </w:tc>
              <w:tc>
                <w:tcPr>
                  <w:tcW w:w="1397" w:type="pct"/>
                  <w:tcBorders>
                    <w:tl2br w:val="nil"/>
                    <w:tr2bl w:val="nil"/>
                  </w:tcBorders>
                  <w:noWrap w:val="0"/>
                  <w:vAlign w:val="center"/>
                </w:tcPr>
                <w:p>
                  <w:pPr>
                    <w:spacing w:line="320" w:lineRule="exact"/>
                    <w:jc w:val="center"/>
                    <w:rPr>
                      <w:rFonts w:hint="default" w:cs="Times New Roman"/>
                      <w:b w:val="0"/>
                      <w:bCs w:val="0"/>
                      <w:color w:val="000000"/>
                      <w:kern w:val="0"/>
                      <w:szCs w:val="21"/>
                      <w:highlight w:val="none"/>
                      <w:u w:val="single"/>
                      <w:lang w:val="en-US" w:eastAsia="zh-CN"/>
                    </w:rPr>
                  </w:pPr>
                  <w:r>
                    <w:rPr>
                      <w:rFonts w:hint="eastAsia" w:cs="Times New Roman"/>
                      <w:b w:val="0"/>
                      <w:bCs w:val="0"/>
                      <w:color w:val="000000"/>
                      <w:kern w:val="0"/>
                      <w:szCs w:val="21"/>
                      <w:highlight w:val="none"/>
                      <w:u w:val="single"/>
                      <w:lang w:val="en-US" w:eastAsia="zh-CN"/>
                    </w:rPr>
                    <w:t>覆膜胶为塑料膜自带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restar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能源消耗</w:t>
                  </w:r>
                </w:p>
              </w:tc>
              <w:tc>
                <w:tcPr>
                  <w:tcW w:w="485"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u w:val="single"/>
                      <w:lang w:val="en-US" w:eastAsia="zh-CN"/>
                    </w:rPr>
                  </w:pPr>
                  <w:r>
                    <w:rPr>
                      <w:rFonts w:hint="eastAsia" w:cs="Times New Roman"/>
                      <w:b w:val="0"/>
                      <w:bCs w:val="0"/>
                      <w:color w:val="000000"/>
                      <w:u w:val="single"/>
                      <w:lang w:val="en-US" w:eastAsia="zh-CN"/>
                    </w:rPr>
                    <w:t>11</w:t>
                  </w:r>
                </w:p>
              </w:tc>
              <w:tc>
                <w:tcPr>
                  <w:tcW w:w="1173"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highlight w:val="none"/>
                      <w:u w:val="single"/>
                    </w:rPr>
                  </w:pPr>
                  <w:r>
                    <w:rPr>
                      <w:rFonts w:hint="default" w:ascii="Times New Roman" w:hAnsi="Times New Roman" w:cs="Times New Roman"/>
                      <w:b w:val="0"/>
                      <w:bCs w:val="0"/>
                      <w:color w:val="000000"/>
                      <w:highlight w:val="none"/>
                      <w:u w:val="single"/>
                    </w:rPr>
                    <w:t>电</w:t>
                  </w:r>
                </w:p>
              </w:tc>
              <w:tc>
                <w:tcPr>
                  <w:tcW w:w="648"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highlight w:val="none"/>
                      <w:u w:val="single"/>
                    </w:rPr>
                  </w:pPr>
                  <w:r>
                    <w:rPr>
                      <w:rFonts w:hint="default" w:ascii="Times New Roman" w:hAnsi="Times New Roman" w:cs="Times New Roman"/>
                      <w:b w:val="0"/>
                      <w:bCs w:val="0"/>
                      <w:color w:val="000000"/>
                      <w:highlight w:val="none"/>
                      <w:u w:val="single"/>
                    </w:rPr>
                    <w:t>万kWh/a</w:t>
                  </w:r>
                </w:p>
              </w:tc>
              <w:tc>
                <w:tcPr>
                  <w:tcW w:w="604"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10</w:t>
                  </w:r>
                </w:p>
              </w:tc>
              <w:tc>
                <w:tcPr>
                  <w:tcW w:w="1397"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lang w:eastAsia="zh-CN"/>
                    </w:rPr>
                    <w:t>市政</w:t>
                  </w:r>
                  <w:r>
                    <w:rPr>
                      <w:rFonts w:hint="default" w:ascii="Times New Roman" w:hAnsi="Times New Roman" w:cs="Times New Roman"/>
                      <w:b w:val="0"/>
                      <w:bCs w:val="0"/>
                      <w:color w:val="000000"/>
                      <w:u w:val="single"/>
                    </w:rPr>
                    <w:t>电网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485"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12</w:t>
                  </w:r>
                </w:p>
              </w:tc>
              <w:tc>
                <w:tcPr>
                  <w:tcW w:w="1173" w:type="pct"/>
                  <w:tcBorders>
                    <w:tl2br w:val="nil"/>
                    <w:tr2bl w:val="nil"/>
                  </w:tcBorders>
                  <w:noWrap w:val="0"/>
                  <w:vAlign w:val="center"/>
                </w:tcPr>
                <w:p>
                  <w:pPr>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水</w:t>
                  </w:r>
                </w:p>
              </w:tc>
              <w:tc>
                <w:tcPr>
                  <w:tcW w:w="648" w:type="pct"/>
                  <w:tcBorders>
                    <w:tl2br w:val="nil"/>
                    <w:tr2bl w:val="nil"/>
                  </w:tcBorders>
                  <w:noWrap w:val="0"/>
                  <w:vAlign w:val="center"/>
                </w:tcPr>
                <w:p>
                  <w:pPr>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t/a</w:t>
                  </w:r>
                </w:p>
              </w:tc>
              <w:tc>
                <w:tcPr>
                  <w:tcW w:w="604" w:type="pct"/>
                  <w:tcBorders>
                    <w:tl2br w:val="nil"/>
                    <w:tr2bl w:val="nil"/>
                  </w:tcBorders>
                  <w:noWrap w:val="0"/>
                  <w:vAlign w:val="center"/>
                </w:tcPr>
                <w:p>
                  <w:pPr>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170</w:t>
                  </w:r>
                </w:p>
              </w:tc>
              <w:tc>
                <w:tcPr>
                  <w:tcW w:w="1397"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自来水管网</w:t>
                  </w: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482" w:firstLineChars="200"/>
              <w:textAlignment w:val="auto"/>
              <w:outlineLvl w:val="9"/>
              <w:rPr>
                <w:rFonts w:hint="default" w:ascii="Times New Roman" w:hAnsi="Times New Roman" w:eastAsia="宋体" w:cs="Times New Roman"/>
                <w:b/>
                <w:bCs/>
                <w:color w:val="000000" w:themeColor="text1"/>
                <w:sz w:val="24"/>
                <w:szCs w:val="24"/>
                <w:u w:val="singl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装饰板体积为500000×0.0009m=450m</w:t>
            </w:r>
            <w:r>
              <w:rPr>
                <w:rFonts w:hint="default" w:ascii="Times New Roman" w:hAnsi="Times New Roman" w:eastAsia="宋体" w:cs="Times New Roman"/>
                <w:b/>
                <w:bCs/>
                <w:color w:val="000000" w:themeColor="text1"/>
                <w:sz w:val="24"/>
                <w:szCs w:val="24"/>
                <w:u w:val="single"/>
                <w:vertAlign w:val="superscript"/>
                <w:lang w:val="en-US" w:eastAsia="zh-CN"/>
                <w14:textFill>
                  <w14:solidFill>
                    <w14:schemeClr w14:val="tx1"/>
                  </w14:solidFill>
                </w14:textFill>
              </w:rPr>
              <w:t>3</w:t>
            </w:r>
            <w:r>
              <w:rPr>
                <w:rFonts w:hint="eastAsia" w:cs="Times New Roman"/>
                <w:b/>
                <w:bCs/>
                <w:color w:val="000000" w:themeColor="text1"/>
                <w:sz w:val="24"/>
                <w:szCs w:val="24"/>
                <w:u w:val="single"/>
                <w:vertAlign w:val="baseline"/>
                <w:lang w:val="en-US" w:eastAsia="zh-CN"/>
                <w14:textFill>
                  <w14:solidFill>
                    <w14:schemeClr w14:val="tx1"/>
                  </w14:solidFill>
                </w14:textFill>
              </w:rPr>
              <w:t>；</w:t>
            </w:r>
          </w:p>
          <w:p>
            <w:pPr>
              <w:keepLines w:val="0"/>
              <w:pageBreakBefore w:val="0"/>
              <w:widowControl w:val="0"/>
              <w:kinsoku/>
              <w:wordWrap/>
              <w:topLinePunct w:val="0"/>
              <w:bidi w:val="0"/>
              <w:adjustRightInd w:val="0"/>
              <w:snapToGrid w:val="0"/>
              <w:spacing w:after="0" w:line="360" w:lineRule="auto"/>
              <w:ind w:left="0" w:firstLine="482" w:firstLineChars="200"/>
              <w:textAlignment w:val="auto"/>
              <w:outlineLvl w:val="9"/>
              <w:rPr>
                <w:rFonts w:hint="default" w:ascii="Times New Roman" w:hAnsi="Times New Roman" w:eastAsia="宋体" w:cs="Times New Roman"/>
                <w:b/>
                <w:bCs/>
                <w:sz w:val="24"/>
                <w:szCs w:val="24"/>
                <w:u w:val="single"/>
                <w:vertAlign w:val="baseline"/>
                <w:lang w:val="en-US" w:eastAsia="zh-CN"/>
              </w:rPr>
            </w:pPr>
            <w:r>
              <w:rPr>
                <w:rFonts w:hint="default" w:ascii="Times New Roman" w:hAnsi="Times New Roman" w:eastAsia="宋体" w:cs="Times New Roman"/>
                <w:b/>
                <w:bCs/>
                <w:sz w:val="24"/>
                <w:szCs w:val="24"/>
                <w:u w:val="single"/>
                <w:vertAlign w:val="baseline"/>
                <w:lang w:val="en-US" w:eastAsia="zh-CN"/>
              </w:rPr>
              <w:t>装饰线条体积为400000</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×0.0009m×3m×0.06m=64.8m</w:t>
            </w:r>
            <w:r>
              <w:rPr>
                <w:rFonts w:hint="default" w:ascii="Times New Roman" w:hAnsi="Times New Roman" w:eastAsia="宋体" w:cs="Times New Roman"/>
                <w:b/>
                <w:bCs/>
                <w:color w:val="000000" w:themeColor="text1"/>
                <w:sz w:val="24"/>
                <w:szCs w:val="24"/>
                <w:u w:val="single"/>
                <w:vertAlign w:val="superscript"/>
                <w:lang w:val="en-US" w:eastAsia="zh-CN"/>
                <w14:textFill>
                  <w14:solidFill>
                    <w14:schemeClr w14:val="tx1"/>
                  </w14:solidFill>
                </w14:textFill>
              </w:rPr>
              <w:t>3</w:t>
            </w:r>
            <w:r>
              <w:rPr>
                <w:rFonts w:hint="eastAsia" w:eastAsia="宋体" w:cs="Times New Roman"/>
                <w:b/>
                <w:bCs/>
                <w:color w:val="000000" w:themeColor="text1"/>
                <w:sz w:val="24"/>
                <w:szCs w:val="24"/>
                <w:u w:val="singl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outlineLvl w:val="9"/>
              <w:rPr>
                <w:rFonts w:hint="default"/>
                <w:b/>
                <w:bCs/>
                <w:color w:val="000000" w:themeColor="text1"/>
                <w:sz w:val="24"/>
                <w:szCs w:val="24"/>
                <w:u w:val="single"/>
                <w:vertAlign w:val="baselin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总体积为514.8m</w:t>
            </w:r>
            <w:r>
              <w:rPr>
                <w:rFonts w:hint="eastAsia"/>
                <w:b/>
                <w:bCs/>
                <w:color w:val="000000" w:themeColor="text1"/>
                <w:sz w:val="24"/>
                <w:szCs w:val="24"/>
                <w:u w:val="single"/>
                <w:vertAlign w:val="superscript"/>
                <w:lang w:val="en-US" w:eastAsia="zh-CN"/>
                <w14:textFill>
                  <w14:solidFill>
                    <w14:schemeClr w14:val="tx1"/>
                  </w14:solidFill>
                </w14:textFill>
              </w:rPr>
              <w:t>3</w:t>
            </w:r>
            <w:r>
              <w:rPr>
                <w:rFonts w:hint="eastAsia"/>
                <w:b/>
                <w:bCs/>
                <w:color w:val="000000" w:themeColor="text1"/>
                <w:sz w:val="24"/>
                <w:szCs w:val="24"/>
                <w:u w:val="single"/>
                <w:vertAlign w:val="baseline"/>
                <w:lang w:val="en-US" w:eastAsia="zh-CN"/>
                <w14:textFill>
                  <w14:solidFill>
                    <w14:schemeClr w14:val="tx1"/>
                  </w14:solidFill>
                </w14:textFill>
              </w:rPr>
              <w:t>，产品密度为3.85t/m</w:t>
            </w:r>
            <w:r>
              <w:rPr>
                <w:rFonts w:hint="eastAsia"/>
                <w:b/>
                <w:bCs/>
                <w:color w:val="000000" w:themeColor="text1"/>
                <w:sz w:val="24"/>
                <w:szCs w:val="24"/>
                <w:u w:val="single"/>
                <w:vertAlign w:val="superscript"/>
                <w:lang w:val="en-US" w:eastAsia="zh-CN"/>
                <w14:textFill>
                  <w14:solidFill>
                    <w14:schemeClr w14:val="tx1"/>
                  </w14:solidFill>
                </w14:textFill>
              </w:rPr>
              <w:t>3</w:t>
            </w:r>
            <w:r>
              <w:rPr>
                <w:rFonts w:hint="eastAsia"/>
                <w:b/>
                <w:bCs/>
                <w:color w:val="000000" w:themeColor="text1"/>
                <w:sz w:val="24"/>
                <w:szCs w:val="24"/>
                <w:u w:val="single"/>
                <w:vertAlign w:val="baseline"/>
                <w:lang w:val="en-US" w:eastAsia="zh-CN"/>
                <w14:textFill>
                  <w14:solidFill>
                    <w14:schemeClr w14:val="tx1"/>
                  </w14:solidFill>
                </w14:textFill>
              </w:rPr>
              <w:t>，则所需原料量为1981.98t，考虑到生产过程中的损耗，本项目原料量为2000t/a。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u w:val="none"/>
              </w:rPr>
            </w:pPr>
            <w:r>
              <w:rPr>
                <w:rFonts w:hint="eastAsia" w:ascii="宋体" w:hAnsi="宋体" w:eastAsia="宋体" w:cs="宋体"/>
                <w:b/>
                <w:bCs/>
                <w:color w:val="000000"/>
                <w:sz w:val="24"/>
                <w:u w:val="none"/>
              </w:rPr>
              <w:t>主要原辅材理化性质：</w:t>
            </w:r>
          </w:p>
          <w:p>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PE颗粒</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聚乙烯为白色蜡状半透明材料，柔而韧，比水轻，比重为0.94～0.96g/cm</w:t>
            </w:r>
            <w:r>
              <w:rPr>
                <w:rFonts w:hint="default" w:ascii="Times New Roman" w:hAnsi="Times New Roman" w:eastAsia="宋体" w:cs="Times New Roman"/>
                <w:b w:val="0"/>
                <w:bCs w:val="0"/>
                <w:sz w:val="24"/>
                <w:szCs w:val="24"/>
                <w:vertAlign w:val="superscript"/>
                <w:lang w:val="en-US" w:eastAsia="zh-CN"/>
              </w:rPr>
              <w:t>3</w:t>
            </w:r>
            <w:r>
              <w:rPr>
                <w:rFonts w:hint="default" w:ascii="Times New Roman" w:hAnsi="Times New Roman" w:eastAsia="宋体" w:cs="Times New Roman"/>
                <w:b w:val="0"/>
                <w:bCs w:val="0"/>
                <w:sz w:val="24"/>
                <w:szCs w:val="24"/>
                <w:lang w:val="en-US" w:eastAsia="zh-CN"/>
              </w:rPr>
              <w:t>，具有优越的介电性能。透水率低，对有机蒸汽透过率则较大，聚乙烯的透明度随结晶度增加而下降，在一定结晶度下，透明度随分子量增大而提高。高密度聚乙烯熔点范围为132～135℃，低密度聚乙烯熔点较低（112℃）。分解温度300℃以上。</w:t>
            </w:r>
          </w:p>
          <w:p>
            <w:pPr>
              <w:pStyle w:val="9"/>
              <w:snapToGrid w:val="0"/>
              <w:spacing w:line="360" w:lineRule="auto"/>
              <w:ind w:firstLine="480" w:firstLineChars="200"/>
              <w:rPr>
                <w:rFonts w:hint="eastAsia" w:eastAsia="宋体"/>
                <w:sz w:val="24"/>
                <w:szCs w:val="24"/>
                <w:lang w:eastAsia="zh-CN"/>
              </w:rPr>
            </w:pPr>
            <w:r>
              <w:rPr>
                <w:rFonts w:hint="eastAsia"/>
                <w:sz w:val="24"/>
                <w:szCs w:val="24"/>
                <w:lang w:val="en-US" w:eastAsia="zh-CN"/>
              </w:rPr>
              <w:t>轻质碳酸钙：白色固体状，无味、无臭、无刺激性，有无定型和结晶型两种形态。结晶型中又可分为斜方晶系和六方晶系，呈柱状或菱形。轻质碳酸钙与所有的强酸发生反应分解水和适当的钙盐，同时释放出二氧化碳</w:t>
            </w:r>
            <w:r>
              <w:rPr>
                <w:rFonts w:hint="eastAsia"/>
                <w:sz w:val="24"/>
                <w:szCs w:val="24"/>
                <w:lang w:eastAsia="zh-CN"/>
              </w:rPr>
              <w:t>，在常温(25℃条件下，轻质碳酸钙在水中的溶解度为0.0014，轻质碳酸钙水溶液的PH值为9.5~10.2，空气饱和状态轻质碳酸水液PH值为8.0-8.6。在825-896.6℃分解，约825℃时分解为氧化钙和二氧化碳。熔点1339℃，10.7MPa下熔点为1289℃。难溶于水和醇。</w:t>
            </w:r>
          </w:p>
          <w:p>
            <w:pPr>
              <w:pStyle w:val="9"/>
              <w:snapToGrid w:val="0"/>
              <w:spacing w:line="360" w:lineRule="auto"/>
              <w:ind w:firstLine="480" w:firstLineChars="200"/>
              <w:rPr>
                <w:rFonts w:hint="eastAsia"/>
                <w:sz w:val="24"/>
                <w:szCs w:val="24"/>
              </w:rPr>
            </w:pPr>
            <w:r>
              <w:rPr>
                <w:rFonts w:hint="eastAsia"/>
                <w:sz w:val="24"/>
                <w:szCs w:val="24"/>
                <w:lang w:val="en-US" w:eastAsia="zh-CN"/>
              </w:rPr>
              <w:t>硬脂酸：白色或类白色有滑腻感的粉末，剖面有微带光泽的细针状结晶，无味，广泛应用于塑料管材、板材、型材、薄膜的制造。几乎不溶于水(20C时，100毫升水只溶解0.00029g)，稍溶于冷乙醇，溶于丙酮、苯、乙醚、四氯化碳、二氧化硫、三氯甲烷、热乙醇、甲苯、醋酸戊酯等。在90-100C下缓慢挥发。具有很好的润滑性和较好的光、热稳定作用</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稳定剂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白色晶体颗粒，主要是指保持高聚物塑料、橡胶、合成纤维等稳定防止其分解、老化的试剂。本项目所使用的稳定剂为钙锌稳定剂，是由钙盐、锌盐、润滑剂、抗氧剂等为主要组分采用特殊复合工艺而合成，加工性能良好，热稳定作用相当于铅盐类稳定剂，是一种良好的无毒稳定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PE蜡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是乙烯经聚合制得的一种热塑性树脂。聚乙烯无臭，无毒，手感似蜡，具有优良的耐低温性能(最低使用温度可达-70~-100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化学稳定性好，能耐大多数酸碱的侵蚀(不耐具有氧化性质的酸)，常温下不溶于一般溶剂，吸水性小，电绝缘性能优良。乙烯对于环境应力(化学与机械作用)是很敏感的，耐热老化性差。聚乙烯的性质因品种而异，主要取决于分子结构和密度。一般高密度聚乙烯熔点为142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，热分解温度335~450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。采用不同的生产方法可得不同密度(0.91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0.96g/</w:t>
            </w:r>
            <w:r>
              <w:rPr>
                <w:rFonts w:hint="default" w:ascii="Times New Roman" w:hAnsi="Times New Roman" w:eastAsia="宋体" w:cs="Times New Roman"/>
                <w:b w:val="0"/>
                <w:bCs w:val="0"/>
                <w:sz w:val="24"/>
                <w:szCs w:val="24"/>
                <w:lang w:val="en-US" w:eastAsia="zh-CN"/>
              </w:rPr>
              <w:t>m</w:t>
            </w:r>
            <w:r>
              <w:rPr>
                <w:rFonts w:hint="default" w:ascii="Times New Roman" w:hAnsi="Times New Roman" w:eastAsia="宋体" w:cs="Times New Roman"/>
                <w:b w:val="0"/>
                <w:bCs w:val="0"/>
                <w:sz w:val="24"/>
                <w:szCs w:val="24"/>
                <w:vertAlign w:val="superscript"/>
                <w:lang w:val="en-US" w:eastAsia="zh-CN"/>
              </w:rPr>
              <w:t>3</w:t>
            </w:r>
            <w:r>
              <w:rPr>
                <w:rFonts w:hint="default" w:ascii="Times New Roman" w:hAnsi="Times New Roman" w:eastAsia="宋体" w:cs="Times New Roman"/>
                <w:sz w:val="24"/>
                <w:szCs w:val="24"/>
              </w:rPr>
              <w:t>)的产物。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色粉</w:t>
            </w:r>
            <w:r>
              <w:rPr>
                <w:rFonts w:hint="eastAsia" w:ascii="Times New Roman" w:hAnsi="Times New Roman" w:eastAsia="宋体" w:cs="Times New Roman"/>
                <w:b/>
                <w:bCs/>
                <w:sz w:val="24"/>
                <w:szCs w:val="24"/>
                <w:u w:val="single"/>
                <w:lang w:eastAsia="zh-CN"/>
              </w:rPr>
              <w:t>：色粉颜料的成分是颜料、扩散粉、滑石粉。</w:t>
            </w:r>
            <w:r>
              <w:rPr>
                <w:rFonts w:hint="default" w:ascii="Times New Roman" w:hAnsi="Times New Roman" w:eastAsia="宋体" w:cs="Times New Roman"/>
                <w:b/>
                <w:bCs/>
                <w:sz w:val="24"/>
                <w:szCs w:val="24"/>
                <w:u w:val="single"/>
              </w:rPr>
              <w:t>粉状物质</w:t>
            </w:r>
            <w:r>
              <w:rPr>
                <w:rFonts w:hint="eastAsia"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rPr>
              <w:t>主要品种有黄色粉、红色粉、蓝色粉，无味，微溶于水常温(25</w:t>
            </w:r>
            <w:r>
              <w:rPr>
                <w:rFonts w:hint="eastAsia" w:ascii="Times New Roman" w:hAnsi="Times New Roman" w:eastAsia="宋体" w:cs="Times New Roman"/>
                <w:b/>
                <w:bCs/>
                <w:sz w:val="24"/>
                <w:szCs w:val="24"/>
                <w:u w:val="single"/>
                <w:lang w:val="en-US" w:eastAsia="zh-CN"/>
              </w:rPr>
              <w:t>℃</w:t>
            </w:r>
            <w:r>
              <w:rPr>
                <w:rFonts w:hint="default" w:ascii="Times New Roman" w:hAnsi="Times New Roman" w:eastAsia="宋体" w:cs="Times New Roman"/>
                <w:b/>
                <w:bCs/>
                <w:sz w:val="24"/>
                <w:szCs w:val="24"/>
                <w:u w:val="single"/>
              </w:rPr>
              <w:t>)条件下比重为0.78-0.86g/</w:t>
            </w:r>
            <w:r>
              <w:rPr>
                <w:rFonts w:hint="default" w:ascii="Times New Roman" w:hAnsi="Times New Roman" w:eastAsia="宋体" w:cs="Times New Roman"/>
                <w:b/>
                <w:bCs/>
                <w:sz w:val="24"/>
                <w:szCs w:val="24"/>
                <w:u w:val="single"/>
                <w:lang w:val="en-US" w:eastAsia="zh-CN"/>
              </w:rPr>
              <w:t>m</w:t>
            </w:r>
            <w:r>
              <w:rPr>
                <w:rFonts w:hint="default" w:ascii="Times New Roman" w:hAnsi="Times New Roman" w:eastAsia="宋体" w:cs="Times New Roman"/>
                <w:b/>
                <w:bCs/>
                <w:sz w:val="24"/>
                <w:szCs w:val="24"/>
                <w:u w:val="single"/>
                <w:vertAlign w:val="superscript"/>
                <w:lang w:val="en-US" w:eastAsia="zh-CN"/>
              </w:rPr>
              <w:t>3</w:t>
            </w:r>
            <w:r>
              <w:rPr>
                <w:rFonts w:hint="default" w:ascii="Times New Roman" w:hAnsi="Times New Roman" w:eastAsia="宋体" w:cs="Times New Roman"/>
                <w:b/>
                <w:bCs/>
                <w:sz w:val="24"/>
                <w:szCs w:val="24"/>
                <w:u w:val="single"/>
              </w:rPr>
              <w:t>，不易燃，溶于油。具有</w:t>
            </w:r>
            <w:r>
              <w:rPr>
                <w:rFonts w:hint="eastAsia" w:ascii="Times New Roman" w:hAnsi="Times New Roman" w:eastAsia="宋体" w:cs="Times New Roman"/>
                <w:b/>
                <w:bCs/>
                <w:sz w:val="24"/>
                <w:szCs w:val="24"/>
                <w:u w:val="single"/>
                <w:lang w:eastAsia="zh-CN"/>
              </w:rPr>
              <w:t>易</w:t>
            </w:r>
            <w:r>
              <w:rPr>
                <w:rFonts w:hint="default" w:ascii="Times New Roman" w:hAnsi="Times New Roman" w:eastAsia="宋体" w:cs="Times New Roman"/>
                <w:b/>
                <w:bCs/>
                <w:sz w:val="24"/>
                <w:szCs w:val="24"/>
                <w:u w:val="single"/>
              </w:rPr>
              <w:t>调配、色泽纯正上</w:t>
            </w:r>
            <w:r>
              <w:rPr>
                <w:rFonts w:hint="eastAsia" w:ascii="Times New Roman" w:hAnsi="Times New Roman" w:eastAsia="宋体" w:cs="Times New Roman"/>
                <w:b/>
                <w:bCs/>
                <w:sz w:val="24"/>
                <w:szCs w:val="24"/>
                <w:u w:val="single"/>
                <w:lang w:eastAsia="zh-CN"/>
              </w:rPr>
              <w:t>色块</w:t>
            </w:r>
            <w:r>
              <w:rPr>
                <w:rFonts w:hint="default" w:ascii="Times New Roman" w:hAnsi="Times New Roman" w:eastAsia="宋体" w:cs="Times New Roman"/>
                <w:b/>
                <w:bCs/>
                <w:sz w:val="24"/>
                <w:szCs w:val="24"/>
                <w:u w:val="single"/>
              </w:rPr>
              <w:t>、不褪色且色泽自然等特点。与空气接触无氧化聚合，一般情况下稳定。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u w:val="single"/>
                <w:lang w:eastAsia="zh-CN"/>
              </w:rPr>
            </w:pPr>
            <w:r>
              <w:rPr>
                <w:rFonts w:hint="eastAsia" w:ascii="Times New Roman" w:hAnsi="Times New Roman" w:eastAsia="宋体" w:cs="Times New Roman"/>
                <w:b/>
                <w:bCs/>
                <w:sz w:val="24"/>
                <w:szCs w:val="24"/>
                <w:u w:val="single"/>
                <w:lang w:eastAsia="zh-CN"/>
              </w:rPr>
              <w:t>颜料：颜料的主要成分是钛白粉，丙烯酸酯类聚合物和一些矿物粉。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u w:val="single"/>
                <w:lang w:eastAsia="zh-CN"/>
              </w:rPr>
            </w:pPr>
            <w:r>
              <w:rPr>
                <w:rFonts w:hint="eastAsia" w:ascii="Times New Roman" w:hAnsi="Times New Roman" w:eastAsia="宋体" w:cs="Times New Roman"/>
                <w:b/>
                <w:bCs/>
                <w:sz w:val="24"/>
                <w:szCs w:val="24"/>
                <w:u w:val="single"/>
                <w:lang w:eastAsia="zh-CN"/>
              </w:rPr>
              <w:t>扩散粉：它是一类蜡状的酰胺，具有高的熔点，并在熔融状态时保持低粘度。在高温熔融态时，树脂和溶剂有良好的相容性。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u w:val="single"/>
                <w:lang w:eastAsia="zh-CN"/>
              </w:rPr>
            </w:pPr>
            <w:r>
              <w:rPr>
                <w:rFonts w:hint="eastAsia" w:ascii="Times New Roman" w:hAnsi="Times New Roman" w:eastAsia="宋体" w:cs="Times New Roman"/>
                <w:b/>
                <w:bCs/>
                <w:sz w:val="24"/>
                <w:szCs w:val="24"/>
                <w:u w:val="single"/>
                <w:lang w:eastAsia="zh-CN"/>
              </w:rPr>
              <w:t>滑石粉：主要成分为含水硅酸镁，经粉碎后，用盐酸处理，水洗，干燥而成</w:t>
            </w:r>
            <w:r>
              <w:rPr>
                <w:rFonts w:hint="eastAsia" w:cs="Times New Roman"/>
                <w:b/>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u w:val="single"/>
                <w:lang w:val="en-US" w:eastAsia="zh-CN"/>
              </w:rPr>
            </w:pPr>
            <w:r>
              <w:rPr>
                <w:rFonts w:hint="eastAsia" w:cs="Times New Roman"/>
                <w:sz w:val="24"/>
                <w:szCs w:val="24"/>
                <w:u w:val="single"/>
                <w:lang w:val="en-US" w:eastAsia="zh-CN"/>
              </w:rPr>
              <w:t>调节剂：密度：0.98 g/cm</w:t>
            </w:r>
            <w:r>
              <w:rPr>
                <w:rFonts w:hint="eastAsia" w:cs="Times New Roman"/>
                <w:sz w:val="24"/>
                <w:szCs w:val="24"/>
                <w:u w:val="single"/>
                <w:vertAlign w:val="superscript"/>
                <w:lang w:val="en-US" w:eastAsia="zh-CN"/>
              </w:rPr>
              <w:t>3</w:t>
            </w:r>
            <w:r>
              <w:rPr>
                <w:rFonts w:hint="eastAsia" w:cs="Times New Roman"/>
                <w:sz w:val="24"/>
                <w:szCs w:val="24"/>
                <w:u w:val="single"/>
                <w:lang w:val="en-US" w:eastAsia="zh-CN"/>
              </w:rPr>
              <w:t>，分解温度：＞315℃熔指：≥100g/10min分子量:＞120000，灰份含量:＜0.05%，水份含量:＜0.5%，产品特点：本产品主要成分为聚酯、环氧酯，低碳环保，符合FDA、ROHS、REACH、PHAS、EN71-9等环保标准，耐酸、碱，不析出，不影响塑料其他性能。产品用途：A-490用于提高PP塑料熔指，降低PE塑料熔指；改善流动性，增加光泽度，并对大件制品熔接痕脆裂有明显改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AC发泡剂</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偶氮二甲</w:t>
            </w:r>
            <w:r>
              <w:rPr>
                <w:rFonts w:hint="eastAsia" w:ascii="Times New Roman" w:hAnsi="Times New Roman" w:eastAsia="宋体" w:cs="Times New Roman"/>
                <w:sz w:val="24"/>
                <w:szCs w:val="24"/>
                <w:u w:val="single"/>
                <w:lang w:eastAsia="zh-CN"/>
              </w:rPr>
              <w:t>酰</w:t>
            </w:r>
            <w:r>
              <w:rPr>
                <w:rFonts w:hint="default" w:ascii="Times New Roman" w:hAnsi="Times New Roman" w:eastAsia="宋体" w:cs="Times New Roman"/>
                <w:sz w:val="24"/>
                <w:szCs w:val="24"/>
                <w:u w:val="single"/>
              </w:rPr>
              <w:t>胺(英文名称azodicarbonamide)又</w:t>
            </w:r>
            <w:r>
              <w:rPr>
                <w:rFonts w:hint="eastAsia" w:ascii="Times New Roman" w:hAnsi="Times New Roman" w:eastAsia="宋体" w:cs="Times New Roman"/>
                <w:sz w:val="24"/>
                <w:szCs w:val="24"/>
                <w:u w:val="single"/>
                <w:lang w:val="en-US" w:eastAsia="zh-CN"/>
              </w:rPr>
              <w:t>名</w:t>
            </w:r>
            <w:r>
              <w:rPr>
                <w:rFonts w:hint="default" w:ascii="Times New Roman" w:hAnsi="Times New Roman" w:eastAsia="宋体" w:cs="Times New Roman"/>
                <w:sz w:val="24"/>
                <w:szCs w:val="24"/>
                <w:u w:val="single"/>
              </w:rPr>
              <w:t>偶氮二</w:t>
            </w:r>
            <w:r>
              <w:rPr>
                <w:rFonts w:hint="eastAsia" w:ascii="Times New Roman" w:hAnsi="Times New Roman" w:eastAsia="宋体" w:cs="Times New Roman"/>
                <w:sz w:val="24"/>
                <w:szCs w:val="24"/>
                <w:u w:val="single"/>
                <w:lang w:eastAsia="zh-CN"/>
              </w:rPr>
              <w:t>酰</w:t>
            </w:r>
            <w:r>
              <w:rPr>
                <w:rFonts w:hint="default" w:ascii="Times New Roman" w:hAnsi="Times New Roman" w:eastAsia="宋体" w:cs="Times New Roman"/>
                <w:sz w:val="24"/>
                <w:szCs w:val="24"/>
                <w:u w:val="single"/>
              </w:rPr>
              <w:t>胺</w:t>
            </w:r>
            <w:r>
              <w:rPr>
                <w:rFonts w:hint="eastAsia"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rPr>
              <w:t>商品名为发泡剂AC或发泡剂ADC(FoamerADC)，是一种白色或淡黄色粉末，无毒，无嗅，不易燃烧，具有自熄性。溶于碱，不溶于汽油、醇、苯、毗淀和水，受热分解释放一氧化碳。</w:t>
            </w:r>
            <w:r>
              <w:rPr>
                <w:rFonts w:hint="eastAsia" w:cs="Times New Roman"/>
                <w:sz w:val="24"/>
                <w:szCs w:val="24"/>
                <w:u w:val="single"/>
                <w:lang w:val="en-US" w:eastAsia="zh-CN"/>
              </w:rPr>
              <w:t>分解温度为200±0.5℃，</w:t>
            </w:r>
            <w:r>
              <w:rPr>
                <w:rFonts w:hint="default" w:ascii="Times New Roman" w:hAnsi="Times New Roman" w:eastAsia="宋体" w:cs="Times New Roman"/>
                <w:sz w:val="24"/>
                <w:szCs w:val="24"/>
                <w:u w:val="single"/>
              </w:rPr>
              <w:t>可作为发泡剂用于多种泡沫塑料发泡，例如PVC、EVC、PP、PE、PS等塑料的发泡。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覆膜胶:复膜胶是指将BOPP薄膜复合在纸张上的一种胶水。本项目所用覆膜胶是水性覆膜胶，又叫水性聚氨酣胶粘剂，具有软硬度可调节、耐低温、柔韧性好、粘接强度大等优点,能粘接金属、非金属等多种材料。水性聚氨醋胶粘剂是以天然高分子或合成高分子为黏料，以水为溶剂或分散剂，取代对环境有污染的有毒有机溶剂而制备成的一种环境友好型胶黏剂。现有水性聚氨酷胶粘剂可能含有有限的挥发性有机化合物作为其水性介质的助剂，以便控制粘度或流动性。优点主要是无毒害、无污染、不燃烧、使用安全易实现清洁生产工艺等</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000000"/>
                <w:sz w:val="24"/>
              </w:rPr>
            </w:pPr>
            <w:r>
              <w:rPr>
                <w:rFonts w:hint="eastAsia" w:cs="Times New Roman"/>
                <w:b/>
                <w:bCs/>
                <w:color w:val="000000"/>
                <w:sz w:val="24"/>
                <w:lang w:val="en-US" w:eastAsia="zh-CN"/>
              </w:rPr>
              <w:t>6</w:t>
            </w:r>
            <w:r>
              <w:rPr>
                <w:rFonts w:hint="default" w:ascii="Times New Roman" w:hAnsi="Times New Roman" w:cs="Times New Roman"/>
                <w:b/>
                <w:bCs/>
                <w:color w:val="000000"/>
                <w:sz w:val="24"/>
              </w:rPr>
              <w:t>、公用工程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 w:val="0"/>
                <w:bCs w:val="0"/>
                <w:color w:val="000000"/>
                <w:sz w:val="24"/>
              </w:rPr>
            </w:pPr>
            <w:r>
              <w:rPr>
                <w:rFonts w:hint="eastAsia" w:cs="Times New Roman"/>
                <w:b w:val="0"/>
                <w:bCs w:val="0"/>
                <w:color w:val="000000"/>
                <w:sz w:val="24"/>
                <w:lang w:val="en-US" w:eastAsia="zh-CN"/>
              </w:rPr>
              <w:t>6</w:t>
            </w:r>
            <w:r>
              <w:rPr>
                <w:rFonts w:hint="default" w:ascii="Times New Roman" w:hAnsi="Times New Roman" w:cs="Times New Roman"/>
                <w:b w:val="0"/>
                <w:bCs w:val="0"/>
                <w:color w:val="000000"/>
                <w:sz w:val="24"/>
              </w:rPr>
              <w:t>.1供电系统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000000"/>
                <w:sz w:val="24"/>
                <w:lang w:eastAsia="zh-CN"/>
              </w:rPr>
            </w:pPr>
            <w:r>
              <w:rPr>
                <w:rFonts w:hint="default" w:ascii="Times New Roman" w:hAnsi="Times New Roman" w:cs="Times New Roman"/>
                <w:b w:val="0"/>
                <w:bCs w:val="0"/>
                <w:color w:val="000000"/>
                <w:sz w:val="24"/>
              </w:rPr>
              <w:t>本项目</w:t>
            </w:r>
            <w:r>
              <w:rPr>
                <w:rFonts w:hint="default" w:ascii="Times New Roman" w:hAnsi="Times New Roman" w:cs="Times New Roman"/>
                <w:b w:val="0"/>
                <w:bCs w:val="0"/>
                <w:sz w:val="24"/>
                <w:lang w:eastAsia="zh-CN"/>
              </w:rPr>
              <w:t>用电</w:t>
            </w:r>
            <w:r>
              <w:rPr>
                <w:rFonts w:hint="default" w:ascii="Times New Roman" w:hAnsi="Times New Roman" w:cs="Times New Roman"/>
                <w:b w:val="0"/>
                <w:bCs w:val="0"/>
                <w:sz w:val="24"/>
              </w:rPr>
              <w:t>由</w:t>
            </w:r>
            <w:r>
              <w:rPr>
                <w:rFonts w:hint="eastAsia" w:cs="Times New Roman"/>
                <w:b w:val="0"/>
                <w:bCs w:val="0"/>
                <w:sz w:val="24"/>
                <w:lang w:val="en-US" w:eastAsia="zh-CN"/>
              </w:rPr>
              <w:t>顾县镇</w:t>
            </w:r>
            <w:r>
              <w:rPr>
                <w:rFonts w:hint="default" w:ascii="Times New Roman" w:hAnsi="Times New Roman" w:cs="Times New Roman"/>
                <w:b w:val="0"/>
                <w:bCs w:val="0"/>
                <w:sz w:val="24"/>
              </w:rPr>
              <w:t>供电系统供给，可以满足项目的用电需求</w:t>
            </w:r>
            <w:r>
              <w:rPr>
                <w:rFonts w:hint="default" w:ascii="Times New Roman" w:hAnsi="Times New Roman" w:cs="Times New Roman"/>
                <w:b w:val="0"/>
                <w:bCs w:val="0"/>
                <w:color w:val="00000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sz w:val="24"/>
                <w:lang w:val="en-US" w:eastAsia="zh-CN"/>
              </w:rPr>
            </w:pPr>
            <w:r>
              <w:rPr>
                <w:rFonts w:hint="eastAsia" w:cs="Times New Roman"/>
                <w:b w:val="0"/>
                <w:bCs w:val="0"/>
                <w:color w:val="000000"/>
                <w:sz w:val="24"/>
                <w:lang w:val="en-US" w:eastAsia="zh-CN"/>
              </w:rPr>
              <w:t>6.2供水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rPr>
              <w:t>（1）</w:t>
            </w:r>
            <w:r>
              <w:rPr>
                <w:rFonts w:hint="default" w:ascii="Times New Roman" w:hAnsi="Times New Roman" w:cs="Times New Roman"/>
                <w:kern w:val="0"/>
                <w:sz w:val="24"/>
                <w:lang w:val="en-US" w:eastAsia="zh-CN"/>
              </w:rPr>
              <w:t>职工办公生活用水</w:t>
            </w:r>
          </w:p>
          <w:p>
            <w:pPr>
              <w:keepNext w:val="0"/>
              <w:keepLines w:val="0"/>
              <w:pageBreakBefore w:val="0"/>
              <w:widowControl/>
              <w:suppressLineNumbers w:val="0"/>
              <w:kinsoku/>
              <w:wordWrap/>
              <w:overflowPunct/>
              <w:topLinePunct w:val="0"/>
              <w:autoSpaceDE/>
              <w:autoSpaceDN/>
              <w:bidi w:val="0"/>
              <w:snapToGrid w:val="0"/>
              <w:spacing w:line="360" w:lineRule="auto"/>
              <w:ind w:firstLine="480" w:firstLineChars="200"/>
              <w:jc w:val="both"/>
              <w:textAlignment w:val="auto"/>
              <w:rPr>
                <w:rFonts w:hint="eastAsia"/>
                <w:kern w:val="24"/>
                <w:sz w:val="24"/>
              </w:rPr>
            </w:pPr>
            <w:r>
              <w:rPr>
                <w:rFonts w:hint="default" w:ascii="Times New Roman" w:hAnsi="Times New Roman" w:cs="Times New Roman"/>
                <w:kern w:val="0"/>
                <w:sz w:val="24"/>
              </w:rPr>
              <w:t>项目</w:t>
            </w:r>
            <w:r>
              <w:rPr>
                <w:rFonts w:hint="default" w:ascii="Times New Roman" w:hAnsi="Times New Roman" w:cs="Times New Roman"/>
                <w:kern w:val="0"/>
                <w:sz w:val="24"/>
                <w:lang w:val="en-US" w:eastAsia="zh-CN"/>
              </w:rPr>
              <w:t>运营期</w:t>
            </w:r>
            <w:r>
              <w:rPr>
                <w:rFonts w:hint="default" w:ascii="Times New Roman" w:hAnsi="Times New Roman" w:cs="Times New Roman"/>
                <w:kern w:val="0"/>
                <w:sz w:val="24"/>
              </w:rPr>
              <w:t>劳动定员</w:t>
            </w:r>
            <w:r>
              <w:rPr>
                <w:rFonts w:hint="default" w:ascii="Times New Roman" w:hAnsi="Times New Roman" w:cs="Times New Roman"/>
                <w:kern w:val="0"/>
                <w:sz w:val="24"/>
                <w:lang w:val="en-US" w:eastAsia="zh-CN"/>
              </w:rPr>
              <w:t>10</w:t>
            </w:r>
            <w:r>
              <w:rPr>
                <w:rFonts w:hint="default" w:ascii="Times New Roman" w:hAnsi="Times New Roman" w:cs="Times New Roman"/>
                <w:kern w:val="0"/>
                <w:sz w:val="24"/>
              </w:rPr>
              <w:t>人（均不在厂内食宿），</w:t>
            </w:r>
            <w:r>
              <w:rPr>
                <w:rFonts w:hint="default" w:ascii="Times New Roman" w:hAnsi="Times New Roman" w:cs="Times New Roman"/>
                <w:kern w:val="0"/>
                <w:sz w:val="24"/>
                <w:lang w:val="en-US" w:eastAsia="zh-CN"/>
              </w:rPr>
              <w:t>年工作300天。</w:t>
            </w:r>
            <w:r>
              <w:rPr>
                <w:rFonts w:hint="default" w:ascii="Times New Roman" w:hAnsi="Times New Roman" w:eastAsia="宋体" w:cs="Times New Roman"/>
                <w:kern w:val="0"/>
                <w:sz w:val="24"/>
                <w:lang w:val="en-US" w:eastAsia="zh-CN"/>
              </w:rPr>
              <w:t>根据河南省地方标准《工业与城镇生活用水定额》（DB41/T385-2020）：企业管理人员、车间工人的生活用水一般宜采用30～50L/人，本项目按40L/人•d，</w:t>
            </w:r>
            <w:r>
              <w:rPr>
                <w:rFonts w:hint="default" w:ascii="Times New Roman" w:hAnsi="Times New Roman" w:cs="Times New Roman"/>
                <w:kern w:val="0"/>
                <w:sz w:val="24"/>
              </w:rPr>
              <w:t>则生活用水量为</w:t>
            </w:r>
            <w:r>
              <w:rPr>
                <w:rFonts w:hint="default" w:ascii="Times New Roman" w:hAnsi="Times New Roman" w:cs="Times New Roman"/>
                <w:sz w:val="24"/>
                <w:lang w:val="en-US" w:eastAsia="zh-CN"/>
              </w:rPr>
              <w:t>0.4</w:t>
            </w:r>
            <w:r>
              <w:rPr>
                <w:rFonts w:hint="default" w:ascii="Times New Roman" w:hAnsi="Times New Roman" w:cs="Times New Roman"/>
                <w:kern w:val="24"/>
                <w:sz w:val="24"/>
              </w:rPr>
              <w:t>m</w:t>
            </w:r>
            <w:r>
              <w:rPr>
                <w:rFonts w:hint="default" w:ascii="Times New Roman" w:hAnsi="Times New Roman" w:cs="Times New Roman"/>
                <w:kern w:val="24"/>
                <w:sz w:val="24"/>
                <w:vertAlign w:val="superscript"/>
              </w:rPr>
              <w:t>3</w:t>
            </w:r>
            <w:r>
              <w:rPr>
                <w:rFonts w:hint="default" w:ascii="Times New Roman" w:hAnsi="Times New Roman" w:cs="Times New Roman"/>
                <w:kern w:val="24"/>
                <w:sz w:val="24"/>
              </w:rPr>
              <w:t>/d（</w:t>
            </w:r>
            <w:r>
              <w:rPr>
                <w:rFonts w:hint="default" w:ascii="Times New Roman" w:hAnsi="Times New Roman" w:cs="Times New Roman"/>
                <w:kern w:val="24"/>
                <w:sz w:val="24"/>
                <w:lang w:val="en-US" w:eastAsia="zh-CN"/>
              </w:rPr>
              <w:t>120</w:t>
            </w:r>
            <w:r>
              <w:rPr>
                <w:rFonts w:hint="default" w:ascii="Times New Roman" w:hAnsi="Times New Roman" w:cs="Times New Roman"/>
                <w:kern w:val="24"/>
                <w:sz w:val="24"/>
              </w:rPr>
              <w:t>m</w:t>
            </w:r>
            <w:r>
              <w:rPr>
                <w:rFonts w:hint="default" w:ascii="Times New Roman" w:hAnsi="Times New Roman" w:cs="Times New Roman"/>
                <w:kern w:val="24"/>
                <w:sz w:val="24"/>
                <w:vertAlign w:val="superscript"/>
              </w:rPr>
              <w:t>3</w:t>
            </w:r>
            <w:r>
              <w:rPr>
                <w:rFonts w:hint="default" w:ascii="Times New Roman" w:hAnsi="Times New Roman" w:cs="Times New Roman"/>
                <w:kern w:val="24"/>
                <w:sz w:val="24"/>
              </w:rPr>
              <w:t>/a）</w:t>
            </w:r>
            <w:r>
              <w:rPr>
                <w:rFonts w:hint="default" w:ascii="Times New Roman" w:hAnsi="Times New Roman" w:eastAsia="宋体" w:cs="Times New Roman"/>
                <w:kern w:val="0"/>
                <w:sz w:val="24"/>
                <w:lang w:val="en-US" w:eastAsia="zh-CN"/>
              </w:rPr>
              <w:t>。</w:t>
            </w:r>
          </w:p>
          <w:p>
            <w:pPr>
              <w:keepNext w:val="0"/>
              <w:keepLines w:val="0"/>
              <w:pageBreakBefore w:val="0"/>
              <w:widowControl/>
              <w:numPr>
                <w:ilvl w:val="0"/>
                <w:numId w:val="7"/>
              </w:numPr>
              <w:suppressLineNumbers w:val="0"/>
              <w:kinsoku/>
              <w:wordWrap/>
              <w:overflowPunct/>
              <w:topLinePunct w:val="0"/>
              <w:autoSpaceDE/>
              <w:autoSpaceDN/>
              <w:bidi w:val="0"/>
              <w:snapToGrid w:val="0"/>
              <w:spacing w:line="360" w:lineRule="auto"/>
              <w:ind w:firstLine="480" w:firstLineChars="200"/>
              <w:jc w:val="left"/>
              <w:textAlignment w:val="auto"/>
              <w:rPr>
                <w:rFonts w:hint="eastAsia"/>
                <w:kern w:val="24"/>
                <w:sz w:val="24"/>
                <w:lang w:val="en-US" w:eastAsia="zh-CN"/>
              </w:rPr>
            </w:pPr>
            <w:r>
              <w:rPr>
                <w:rFonts w:hint="eastAsia"/>
                <w:kern w:val="24"/>
                <w:sz w:val="24"/>
                <w:lang w:val="en-US" w:eastAsia="zh-CN"/>
              </w:rPr>
              <w:t>生产用水</w:t>
            </w:r>
          </w:p>
          <w:p>
            <w:pPr>
              <w:pStyle w:val="13"/>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textAlignment w:val="auto"/>
              <w:rPr>
                <w:rFonts w:hint="default" w:cs="Times New Roman"/>
                <w:kern w:val="0"/>
                <w:sz w:val="24"/>
                <w:lang w:val="en-US" w:eastAsia="zh-CN"/>
              </w:rPr>
            </w:pPr>
            <w:r>
              <w:rPr>
                <w:rFonts w:hint="eastAsia" w:ascii="Times New Roman" w:hAnsi="Times New Roman" w:eastAsia="宋体" w:cs="Times New Roman"/>
                <w:kern w:val="0"/>
                <w:sz w:val="24"/>
                <w:lang w:val="en-US" w:eastAsia="zh-CN"/>
              </w:rPr>
              <w:t>项目</w:t>
            </w:r>
            <w:r>
              <w:rPr>
                <w:rFonts w:hint="eastAsia" w:cs="Times New Roman"/>
                <w:kern w:val="0"/>
                <w:sz w:val="24"/>
                <w:lang w:val="en-US" w:eastAsia="zh-CN"/>
              </w:rPr>
              <w:t>生产用水为冷却用水</w:t>
            </w:r>
            <w:r>
              <w:rPr>
                <w:rFonts w:hint="eastAsia" w:ascii="Times New Roman" w:hAnsi="Times New Roman" w:eastAsia="宋体" w:cs="Times New Roman"/>
                <w:kern w:val="0"/>
                <w:sz w:val="24"/>
                <w:lang w:val="en-US" w:eastAsia="zh-CN"/>
              </w:rPr>
              <w:t>，</w:t>
            </w:r>
            <w:r>
              <w:rPr>
                <w:rFonts w:hint="eastAsia" w:cs="Times New Roman"/>
                <w:kern w:val="0"/>
                <w:sz w:val="24"/>
                <w:lang w:val="en-US" w:eastAsia="zh-CN"/>
              </w:rPr>
              <w:t>冷却用水重复使用不外排，定期向冷却水槽内补充新鲜水（0.10m</w:t>
            </w:r>
            <w:r>
              <w:rPr>
                <w:rFonts w:hint="eastAsia" w:cs="Times New Roman"/>
                <w:kern w:val="0"/>
                <w:sz w:val="24"/>
                <w:vertAlign w:val="superscript"/>
                <w:lang w:val="en-US" w:eastAsia="zh-CN"/>
              </w:rPr>
              <w:t>3</w:t>
            </w:r>
            <w:r>
              <w:rPr>
                <w:rFonts w:hint="eastAsia" w:cs="Times New Roman"/>
                <w:kern w:val="0"/>
                <w:sz w:val="24"/>
                <w:vertAlign w:val="baseline"/>
                <w:lang w:val="en-US" w:eastAsia="zh-CN"/>
              </w:rPr>
              <w:t>/d</w:t>
            </w:r>
            <w:r>
              <w:rPr>
                <w:rFonts w:hint="eastAsia" w:cs="Times New Roman"/>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color w:val="000000"/>
                <w:sz w:val="24"/>
              </w:rPr>
            </w:pPr>
            <w:r>
              <w:rPr>
                <w:rFonts w:hint="eastAsia" w:cs="Times New Roman"/>
                <w:b w:val="0"/>
                <w:bCs w:val="0"/>
                <w:color w:val="000000"/>
                <w:sz w:val="24"/>
                <w:lang w:val="en-US" w:eastAsia="zh-CN"/>
              </w:rPr>
              <w:t>6</w:t>
            </w:r>
            <w:r>
              <w:rPr>
                <w:rFonts w:hint="default" w:ascii="Times New Roman" w:hAnsi="Times New Roman" w:cs="Times New Roman"/>
                <w:b w:val="0"/>
                <w:bCs w:val="0"/>
                <w:color w:val="000000"/>
                <w:sz w:val="24"/>
              </w:rPr>
              <w:t>.</w:t>
            </w:r>
            <w:r>
              <w:rPr>
                <w:rFonts w:hint="eastAsia" w:cs="Times New Roman"/>
                <w:b w:val="0"/>
                <w:bCs w:val="0"/>
                <w:color w:val="000000"/>
                <w:sz w:val="24"/>
                <w:lang w:val="en-US" w:eastAsia="zh-CN"/>
              </w:rPr>
              <w:t>3</w:t>
            </w:r>
            <w:r>
              <w:rPr>
                <w:rFonts w:hint="default" w:ascii="Times New Roman" w:hAnsi="Times New Roman" w:cs="Times New Roman"/>
                <w:b w:val="0"/>
                <w:bCs w:val="0"/>
                <w:color w:val="000000"/>
                <w:sz w:val="24"/>
              </w:rPr>
              <w:t>排水</w:t>
            </w:r>
          </w:p>
          <w:p>
            <w:pPr>
              <w:pStyle w:val="85"/>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color w:val="000000"/>
                <w:sz w:val="24"/>
                <w:lang w:val="en-US"/>
              </w:rPr>
            </w:pPr>
            <w:r>
              <w:rPr>
                <w:rFonts w:hint="default" w:ascii="Times New Roman" w:hAnsi="Times New Roman" w:cs="Times New Roman"/>
                <w:b w:val="0"/>
                <w:bCs w:val="0"/>
                <w:color w:val="auto"/>
                <w:sz w:val="24"/>
                <w:u w:val="none"/>
                <w:lang w:val="en-US" w:eastAsia="zh-CN"/>
              </w:rPr>
              <w:t>本项目厂区排水采用雨污分流制。雨水排入雨水管道，</w:t>
            </w:r>
            <w:r>
              <w:rPr>
                <w:rFonts w:hint="default" w:ascii="Times New Roman" w:hAnsi="Times New Roman" w:cs="Times New Roman"/>
                <w:b w:val="0"/>
                <w:bCs w:val="0"/>
                <w:color w:val="auto"/>
                <w:sz w:val="24"/>
                <w:u w:val="none"/>
              </w:rPr>
              <w:t>生活污水经</w:t>
            </w:r>
            <w:r>
              <w:rPr>
                <w:rFonts w:hint="default" w:ascii="Times New Roman" w:hAnsi="Times New Roman" w:cs="Times New Roman"/>
                <w:b w:val="0"/>
                <w:bCs w:val="0"/>
                <w:color w:val="000000"/>
                <w:sz w:val="24"/>
              </w:rPr>
              <w:t>化粪池预处理后</w:t>
            </w:r>
            <w:r>
              <w:rPr>
                <w:rFonts w:hint="eastAsia" w:cs="Times New Roman"/>
                <w:b w:val="0"/>
                <w:bCs w:val="0"/>
                <w:color w:val="000000"/>
                <w:sz w:val="24"/>
                <w:lang w:val="en-US" w:eastAsia="zh-CN"/>
              </w:rPr>
              <w:t>清淘肥田</w:t>
            </w:r>
            <w:r>
              <w:rPr>
                <w:rFonts w:hint="default" w:ascii="Times New Roman" w:hAnsi="Times New Roman" w:cs="Times New Roman"/>
                <w:b w:val="0"/>
                <w:bCs w:val="0"/>
                <w:color w:val="000000"/>
                <w:sz w:val="24"/>
              </w:rPr>
              <w:t>。</w:t>
            </w:r>
            <w:r>
              <w:rPr>
                <w:rFonts w:hint="eastAsia" w:cs="Times New Roman"/>
                <w:b w:val="0"/>
                <w:bCs w:val="0"/>
                <w:color w:val="000000"/>
                <w:sz w:val="24"/>
                <w:lang w:val="en-US" w:eastAsia="zh-CN"/>
              </w:rPr>
              <w:t>生活污水产生系数按0.8计算，则职工生活污水产生量为0.32m</w:t>
            </w:r>
            <w:r>
              <w:rPr>
                <w:rFonts w:hint="eastAsia" w:cs="Times New Roman"/>
                <w:b w:val="0"/>
                <w:bCs w:val="0"/>
                <w:color w:val="000000"/>
                <w:sz w:val="24"/>
                <w:vertAlign w:val="superscript"/>
                <w:lang w:val="en-US" w:eastAsia="zh-CN"/>
              </w:rPr>
              <w:t>3</w:t>
            </w:r>
            <w:r>
              <w:rPr>
                <w:rFonts w:hint="eastAsia" w:cs="Times New Roman"/>
                <w:b w:val="0"/>
                <w:bCs w:val="0"/>
                <w:color w:val="000000"/>
                <w:sz w:val="24"/>
                <w:vertAlign w:val="baseline"/>
                <w:lang w:val="en-US" w:eastAsia="zh-CN"/>
              </w:rPr>
              <w:t>/d（96m</w:t>
            </w:r>
            <w:r>
              <w:rPr>
                <w:rFonts w:hint="eastAsia" w:cs="Times New Roman"/>
                <w:kern w:val="0"/>
                <w:sz w:val="24"/>
                <w:vertAlign w:val="superscript"/>
                <w:lang w:val="en-US" w:eastAsia="zh-CN"/>
              </w:rPr>
              <w:t>3</w:t>
            </w:r>
            <w:r>
              <w:rPr>
                <w:rFonts w:hint="eastAsia" w:cs="Times New Roman"/>
                <w:kern w:val="0"/>
                <w:sz w:val="24"/>
                <w:vertAlign w:val="baseline"/>
                <w:lang w:val="en-US" w:eastAsia="zh-CN"/>
              </w:rPr>
              <w:t>/a</w:t>
            </w:r>
            <w:r>
              <w:rPr>
                <w:rFonts w:hint="eastAsia" w:cs="Times New Roman"/>
                <w:b w:val="0"/>
                <w:bCs w:val="0"/>
                <w:color w:val="000000"/>
                <w:sz w:val="24"/>
                <w:vertAlign w:val="baseline"/>
                <w:lang w:val="en-US" w:eastAsia="zh-CN"/>
              </w:rPr>
              <w:t>）。</w:t>
            </w:r>
            <w:r>
              <w:rPr>
                <w:rFonts w:hint="eastAsia" w:cs="Times New Roman"/>
                <w:kern w:val="0"/>
                <w:sz w:val="24"/>
                <w:lang w:val="en-US" w:eastAsia="zh-CN"/>
              </w:rPr>
              <w:t>冷却用水重复使用不外排。</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7、劳动定员及生产制度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本项目新增劳动定员10人，</w:t>
            </w:r>
            <w:r>
              <w:rPr>
                <w:rFonts w:hint="default"/>
                <w:color w:val="000000" w:themeColor="text1"/>
                <w:sz w:val="24"/>
                <w:szCs w:val="24"/>
                <w:u w:val="none"/>
                <w:lang w:val="en-US" w:eastAsia="zh-CN"/>
                <w14:textFill>
                  <w14:solidFill>
                    <w14:schemeClr w14:val="tx1"/>
                  </w14:solidFill>
                </w14:textFill>
              </w:rPr>
              <w:t>年工作3</w:t>
            </w:r>
            <w:r>
              <w:rPr>
                <w:rFonts w:hint="eastAsia"/>
                <w:color w:val="000000" w:themeColor="text1"/>
                <w:sz w:val="24"/>
                <w:szCs w:val="24"/>
                <w:u w:val="none"/>
                <w:lang w:val="en-US" w:eastAsia="zh-CN"/>
                <w14:textFill>
                  <w14:solidFill>
                    <w14:schemeClr w14:val="tx1"/>
                  </w14:solidFill>
                </w14:textFill>
              </w:rPr>
              <w:t>0</w:t>
            </w:r>
            <w:r>
              <w:rPr>
                <w:rFonts w:hint="default"/>
                <w:color w:val="000000" w:themeColor="text1"/>
                <w:sz w:val="24"/>
                <w:szCs w:val="24"/>
                <w:u w:val="none"/>
                <w:lang w:val="en-US" w:eastAsia="zh-CN"/>
                <w14:textFill>
                  <w14:solidFill>
                    <w14:schemeClr w14:val="tx1"/>
                  </w14:solidFill>
                </w14:textFill>
              </w:rPr>
              <w:t>0天，每天</w:t>
            </w:r>
            <w:r>
              <w:rPr>
                <w:rFonts w:hint="eastAsia"/>
                <w:color w:val="000000" w:themeColor="text1"/>
                <w:sz w:val="24"/>
                <w:szCs w:val="24"/>
                <w:u w:val="none"/>
                <w:lang w:val="en-US" w:eastAsia="zh-CN"/>
                <w14:textFill>
                  <w14:solidFill>
                    <w14:schemeClr w14:val="tx1"/>
                  </w14:solidFill>
                </w14:textFill>
              </w:rPr>
              <w:t>1</w:t>
            </w:r>
            <w:r>
              <w:rPr>
                <w:rFonts w:hint="default"/>
                <w:color w:val="000000" w:themeColor="text1"/>
                <w:sz w:val="24"/>
                <w:szCs w:val="24"/>
                <w:u w:val="none"/>
                <w:lang w:val="en-US" w:eastAsia="zh-CN"/>
                <w14:textFill>
                  <w14:solidFill>
                    <w14:schemeClr w14:val="tx1"/>
                  </w14:solidFill>
                </w14:textFill>
              </w:rPr>
              <w:t>班8小时</w:t>
            </w:r>
            <w:r>
              <w:rPr>
                <w:rFonts w:hint="eastAsia"/>
                <w:color w:val="000000" w:themeColor="text1"/>
                <w:sz w:val="24"/>
                <w:szCs w:val="24"/>
                <w:u w:val="none"/>
                <w:lang w:val="en-US" w:eastAsia="zh-CN"/>
                <w14:textFill>
                  <w14:solidFill>
                    <w14:schemeClr w14:val="tx1"/>
                  </w14:solidFill>
                </w14:textFill>
              </w:rPr>
              <w:t>工作制。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sz w:val="24"/>
                <w:szCs w:val="24"/>
              </w:rPr>
            </w:pPr>
            <w:r>
              <w:rPr>
                <w:rFonts w:hint="eastAsia" w:ascii="Times New Roman" w:hAnsi="Times New Roman" w:eastAsia="宋体" w:cs="Times New Roman"/>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、项目水平衡分析</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default"/>
                <w:b/>
                <w:bCs/>
                <w:color w:val="000000" w:themeColor="text1"/>
                <w:sz w:val="24"/>
                <w:szCs w:val="24"/>
                <w:u w:val="singl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drawing>
                <wp:inline distT="0" distB="0" distL="114300" distR="114300">
                  <wp:extent cx="5290820" cy="2816860"/>
                  <wp:effectExtent l="0" t="0" r="0" b="0"/>
                  <wp:docPr id="3" name="ECB019B1-382A-4266-B25C-5B523AA43C14-1" descr="C:/Users/Administrator/AppData/Local/Temp/wps.Pmswj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PmswjVwps"/>
                          <pic:cNvPicPr>
                            <a:picLocks noChangeAspect="1"/>
                          </pic:cNvPicPr>
                        </pic:nvPicPr>
                        <pic:blipFill>
                          <a:blip r:embed="rId6"/>
                          <a:stretch>
                            <a:fillRect/>
                          </a:stretch>
                        </pic:blipFill>
                        <pic:spPr>
                          <a:xfrm>
                            <a:off x="0" y="0"/>
                            <a:ext cx="5290820" cy="281686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jc w:val="center"/>
              <w:textAlignment w:val="auto"/>
              <w:rPr>
                <w:rFonts w:hint="default"/>
                <w:b/>
                <w:bCs/>
                <w:color w:val="000000" w:themeColor="text1"/>
                <w:sz w:val="24"/>
                <w:szCs w:val="24"/>
                <w:u w:val="none"/>
                <w:vertAlign w:val="baseli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图1   水平衡图   单位m³</w:t>
            </w:r>
            <w:r>
              <w:rPr>
                <w:rFonts w:hint="eastAsia"/>
                <w:b/>
                <w:bCs/>
                <w:color w:val="000000" w:themeColor="text1"/>
                <w:sz w:val="24"/>
                <w:szCs w:val="24"/>
                <w:u w:val="none"/>
                <w:vertAlign w:val="baseline"/>
                <w:lang w:val="en-US" w:eastAsia="zh-CN"/>
                <w14:textFill>
                  <w14:solidFill>
                    <w14:schemeClr w14:val="tx1"/>
                  </w14:solidFill>
                </w14:textFill>
              </w:rPr>
              <w:t>/d</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9</w:t>
            </w:r>
            <w:r>
              <w:rPr>
                <w:rFonts w:hint="default"/>
                <w:b/>
                <w:bCs/>
                <w:color w:val="000000" w:themeColor="text1"/>
                <w:sz w:val="24"/>
                <w:szCs w:val="24"/>
                <w:u w:val="none"/>
                <w:lang w:val="en-US" w:eastAsia="zh-CN"/>
                <w14:textFill>
                  <w14:solidFill>
                    <w14:schemeClr w14:val="tx1"/>
                  </w14:solidFill>
                </w14:textFill>
              </w:rPr>
              <w:t>、厂区平面布置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洛阳兰台智信建材有限公司租赁现有厂房进行建设，</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本项目车间南侧为线缆厂，西侧为线缆厂，东侧为办公楼，厂区平面布置见附图3</w:t>
            </w:r>
            <w:r>
              <w:rPr>
                <w:rFonts w:hint="eastAsia"/>
                <w:color w:val="000000" w:themeColor="text1"/>
                <w:sz w:val="24"/>
                <w:szCs w:val="24"/>
                <w:u w:val="none"/>
                <w:lang w:val="en-US" w:eastAsia="zh-CN"/>
                <w14:textFill>
                  <w14:solidFill>
                    <w14:schemeClr w14:val="tx1"/>
                  </w14:solidFill>
                </w14:textFill>
              </w:rPr>
              <w:t xml:space="preserve">。本项目生产车间东北侧为注塑挤出、覆膜区。东南侧为原料上料、不合格产品破碎回用区，车间西北侧为产品储存区，车间西南侧为原料储存区，车间平面布置见附图4。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000000" w:themeColor="text1"/>
                <w:sz w:val="24"/>
                <w:szCs w:val="2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工艺流程和产排污环节</w:t>
            </w: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工艺流程和产排污环节</w:t>
            </w: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r>
              <w:rPr>
                <w:rFonts w:hint="default" w:ascii="Times New Roman" w:hAnsi="Times New Roman" w:cs="Times New Roman"/>
                <w:bCs/>
                <w:color w:val="000000" w:themeColor="text1"/>
                <w:kern w:val="2"/>
                <w:szCs w:val="24"/>
                <w:u w:val="none"/>
                <w:lang w:val="en-US" w:eastAsia="zh-CN"/>
                <w14:textFill>
                  <w14:solidFill>
                    <w14:schemeClr w14:val="tx1"/>
                  </w14:solidFill>
                </w14:textFill>
              </w:rPr>
              <w:t>与项目有关的原有环境污染问题</w:t>
            </w: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both"/>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tc>
        <w:tc>
          <w:tcPr>
            <w:tcW w:w="8201"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2" w:firstLineChars="200"/>
              <w:textAlignment w:val="auto"/>
              <w:rPr>
                <w:rFonts w:hint="default" w:ascii="Times New Roman" w:hAnsi="Times New Roman"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1、生产工艺流程</w:t>
            </w:r>
          </w:p>
          <w:p>
            <w:pPr>
              <w:jc w:val="center"/>
              <w:rPr>
                <w:rFonts w:hint="eastAsia"/>
                <w:u w:val="none"/>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4658995</wp:posOffset>
                      </wp:positionH>
                      <wp:positionV relativeFrom="paragraph">
                        <wp:posOffset>367030</wp:posOffset>
                      </wp:positionV>
                      <wp:extent cx="592455" cy="471170"/>
                      <wp:effectExtent l="4445" t="4445" r="12700" b="19685"/>
                      <wp:wrapNone/>
                      <wp:docPr id="11" name="文本框 11"/>
                      <wp:cNvGraphicFramePr/>
                      <a:graphic xmlns:a="http://schemas.openxmlformats.org/drawingml/2006/main">
                        <a:graphicData uri="http://schemas.microsoft.com/office/word/2010/wordprocessingShape">
                          <wps:wsp>
                            <wps:cNvSpPr txBox="1"/>
                            <wps:spPr>
                              <a:xfrm>
                                <a:off x="0" y="0"/>
                                <a:ext cx="592455" cy="471170"/>
                              </a:xfrm>
                              <a:prstGeom prst="rect">
                                <a:avLst/>
                              </a:prstGeom>
                              <a:solidFill>
                                <a:schemeClr val="lt1"/>
                              </a:solid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废气</w:t>
                                  </w:r>
                                </w:p>
                                <w:p>
                                  <w:pPr>
                                    <w:rPr>
                                      <w:rFonts w:hint="default" w:eastAsia="宋体"/>
                                      <w:lang w:val="en-US" w:eastAsia="zh-CN"/>
                                    </w:rPr>
                                  </w:pPr>
                                  <w:r>
                                    <w:rPr>
                                      <w:rFonts w:hint="eastAsia"/>
                                      <w:lang w:val="en-US" w:eastAsia="zh-CN"/>
                                    </w:rPr>
                                    <w:t>噪音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85pt;margin-top:28.9pt;height:37.1pt;width:46.65pt;z-index:251666432;mso-width-relative:page;mso-height-relative:page;" fillcolor="#FFFFFF [3201]" filled="t" stroked="t" coordsize="21600,21600" o:gfxdata="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MhlG1wAAAAoBAAAPAAAAAAAAAAEAIAAAACIAAABkcnMvZG93bnJldi54bWxQSwECFAAUAAAA&#10;CACHTuJAtqNTp2ECAADRBAAADgAAAAAAAAABACAAAAAmAQAAZHJzL2Uyb0RvYy54bWxQSwUGAAAA&#10;AAYABgBZAQAA+QUAAAAA&#10;">
                      <v:fill on="t" focussize="0,0"/>
                      <v:stroke weight="0.5pt" color="#000000 [3213]" joinstyle="round" dashstyle="dash"/>
                      <v:imagedata o:title=""/>
                      <o:lock v:ext="edit" aspectratio="f"/>
                      <v:textbox>
                        <w:txbxContent>
                          <w:p>
                            <w:pPr>
                              <w:rPr>
                                <w:rFonts w:hint="eastAsia"/>
                                <w:lang w:val="en-US" w:eastAsia="zh-CN"/>
                              </w:rPr>
                            </w:pPr>
                            <w:r>
                              <w:rPr>
                                <w:rFonts w:hint="eastAsia"/>
                                <w:lang w:val="en-US" w:eastAsia="zh-CN"/>
                              </w:rPr>
                              <w:t>废气</w:t>
                            </w:r>
                          </w:p>
                          <w:p>
                            <w:pPr>
                              <w:rPr>
                                <w:rFonts w:hint="default" w:eastAsia="宋体"/>
                                <w:lang w:val="en-US" w:eastAsia="zh-CN"/>
                              </w:rPr>
                            </w:pPr>
                            <w:r>
                              <w:rPr>
                                <w:rFonts w:hint="eastAsia"/>
                                <w:lang w:val="en-US" w:eastAsia="zh-CN"/>
                              </w:rPr>
                              <w:t>噪音</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4933950</wp:posOffset>
                      </wp:positionH>
                      <wp:positionV relativeFrom="paragraph">
                        <wp:posOffset>828675</wp:posOffset>
                      </wp:positionV>
                      <wp:extent cx="2540" cy="179070"/>
                      <wp:effectExtent l="36830" t="0" r="36830" b="11430"/>
                      <wp:wrapNone/>
                      <wp:docPr id="10" name="直接箭头连接符 10"/>
                      <wp:cNvGraphicFramePr/>
                      <a:graphic xmlns:a="http://schemas.openxmlformats.org/drawingml/2006/main">
                        <a:graphicData uri="http://schemas.microsoft.com/office/word/2010/wordprocessingShape">
                          <wps:wsp>
                            <wps:cNvCnPr/>
                            <wps:spPr>
                              <a:xfrm flipV="1">
                                <a:off x="0" y="0"/>
                                <a:ext cx="2540" cy="1790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8.5pt;margin-top:65.25pt;height:14.1pt;width:0.2pt;z-index:251665408;mso-width-relative:page;mso-height-relative:page;" filled="f" stroked="t" coordsize="21600,21600" o:gfxdata="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tKmd2QAAAAsBAAAP&#10;AAAAAAAAAAEAIAAAACIAAABkcnMvZG93bnJldi54bWxQSwECFAAUAAAACACHTuJAx+4COhcCAAAC&#10;BAAADgAAAAAAAAABACAAAAAoAQAAZHJzL2Uyb0RvYy54bWxQSwUGAAAAAAYABgBZAQAAsQUAAAAA&#10;">
                      <v:fill on="f" focussize="0,0"/>
                      <v:stroke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4191000</wp:posOffset>
                      </wp:positionH>
                      <wp:positionV relativeFrom="paragraph">
                        <wp:posOffset>819150</wp:posOffset>
                      </wp:positionV>
                      <wp:extent cx="2540" cy="179070"/>
                      <wp:effectExtent l="36830" t="0" r="36830" b="11430"/>
                      <wp:wrapNone/>
                      <wp:docPr id="9" name="直接箭头连接符 9"/>
                      <wp:cNvGraphicFramePr/>
                      <a:graphic xmlns:a="http://schemas.openxmlformats.org/drawingml/2006/main">
                        <a:graphicData uri="http://schemas.microsoft.com/office/word/2010/wordprocessingShape">
                          <wps:wsp>
                            <wps:cNvCnPr>
                              <a:endCxn id="7" idx="2"/>
                            </wps:cNvCnPr>
                            <wps:spPr>
                              <a:xfrm flipV="1">
                                <a:off x="5414010" y="2207895"/>
                                <a:ext cx="2540" cy="17907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30pt;margin-top:64.5pt;height:14.1pt;width:0.2pt;z-index:251664384;mso-width-relative:page;mso-height-relative:page;" filled="f" stroked="t" coordsize="21600,21600" o:gfxdata="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zafLXAAAACwEAAA8AAAAAAAAAAQAgAAAAIgAAAGRycy9kb3ducmV2Lnht&#10;bFBLAQIUABQAAAAIAIdO4kBrzduqMwIAADMEAAAOAAAAAAAAAAEAIAAAACYBAABkcnMvZTJvRG9j&#10;LnhtbFBLBQYAAAAABgAGAFkBAADLBQAAAAA=&#10;">
                      <v:fill on="f" focussize="0,0"/>
                      <v:stroke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2752725</wp:posOffset>
                      </wp:positionH>
                      <wp:positionV relativeFrom="paragraph">
                        <wp:posOffset>668655</wp:posOffset>
                      </wp:positionV>
                      <wp:extent cx="1058545" cy="5715"/>
                      <wp:effectExtent l="0" t="33020" r="8255" b="37465"/>
                      <wp:wrapNone/>
                      <wp:docPr id="8" name="直接箭头连接符 8"/>
                      <wp:cNvGraphicFramePr/>
                      <a:graphic xmlns:a="http://schemas.openxmlformats.org/drawingml/2006/main">
                        <a:graphicData uri="http://schemas.microsoft.com/office/word/2010/wordprocessingShape">
                          <wps:wsp>
                            <wps:cNvCnPr>
                              <a:stCxn id="7" idx="1"/>
                            </wps:cNvCnPr>
                            <wps:spPr>
                              <a:xfrm flipH="1">
                                <a:off x="4013835" y="2057400"/>
                                <a:ext cx="1058545" cy="57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6.75pt;margin-top:52.65pt;height:0.45pt;width:83.35pt;z-index:251663360;mso-width-relative:page;mso-height-relative:page;" filled="f" stroked="t" coordsize="21600,21600" o:gfxdata="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M3TU9kAAAALAQAADwAAAAAAAAABACAAAAAiAAAAZHJzL2Rvd25yZXYu&#10;eG1sUEsBAhQAFAAAAAgAh07iQDWXBgMzAgAAMwQAAA4AAAAAAAAAAQAgAAAAKAEAAGRycy9lMm9E&#10;b2MueG1sUEsFBgAAAAAGAAYAWQEAAM0FAAAAAA==&#10;">
                      <v:fill on="f" focussize="0,0"/>
                      <v:stroke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3811270</wp:posOffset>
                      </wp:positionH>
                      <wp:positionV relativeFrom="paragraph">
                        <wp:posOffset>517525</wp:posOffset>
                      </wp:positionV>
                      <wp:extent cx="764540" cy="301625"/>
                      <wp:effectExtent l="4445" t="4445" r="12065" b="17780"/>
                      <wp:wrapNone/>
                      <wp:docPr id="7" name="文本框 7"/>
                      <wp:cNvGraphicFramePr/>
                      <a:graphic xmlns:a="http://schemas.openxmlformats.org/drawingml/2006/main">
                        <a:graphicData uri="http://schemas.microsoft.com/office/word/2010/wordprocessingShape">
                          <wps:wsp>
                            <wps:cNvSpPr txBox="1"/>
                            <wps:spPr>
                              <a:xfrm>
                                <a:off x="0" y="0"/>
                                <a:ext cx="764540" cy="30162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不合格品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1pt;margin-top:40.75pt;height:23.75pt;width:60.2pt;z-index:251662336;mso-width-relative:page;mso-height-relative:page;" fillcolor="#FFFFFF [3201]" filled="t" stroked="t" coordsize="21600,21600" o:gfxdata="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jFh7WAAAACgEA&#10;AA8AAAAAAAAAAQAgAAAAIgAAAGRycy9kb3ducmV2LnhtbFBLAQIUABQAAAAIAIdO4kDqUY+6VQIA&#10;ALcEAAAOAAAAAAAAAAEAIAAAACUBAABkcnMvZTJvRG9jLnhtbFBLBQYAAAAABgAGAFkBAADsBQAA&#10;AAA=&#10;">
                      <v:fill on="t" focussize="0,0"/>
                      <v:stroke weight="0.5pt" color="#000000 [3213]" joinstyle="round"/>
                      <v:imagedata o:title=""/>
                      <o:lock v:ext="edit" aspectratio="f"/>
                      <v:textbox>
                        <w:txbxContent>
                          <w:p>
                            <w:pPr>
                              <w:rPr>
                                <w:rFonts w:hint="default" w:eastAsia="宋体"/>
                                <w:lang w:val="en-US" w:eastAsia="zh-CN"/>
                              </w:rPr>
                            </w:pPr>
                            <w:r>
                              <w:rPr>
                                <w:rFonts w:hint="eastAsia"/>
                                <w:lang w:val="en-US" w:eastAsia="zh-CN"/>
                              </w:rPr>
                              <w:t>不合格品</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417830</wp:posOffset>
                      </wp:positionV>
                      <wp:extent cx="1076325" cy="532765"/>
                      <wp:effectExtent l="0" t="0" r="9525" b="635"/>
                      <wp:wrapNone/>
                      <wp:docPr id="6" name="文本框 6"/>
                      <wp:cNvGraphicFramePr/>
                      <a:graphic xmlns:a="http://schemas.openxmlformats.org/drawingml/2006/main">
                        <a:graphicData uri="http://schemas.microsoft.com/office/word/2010/wordprocessingShape">
                          <wps:wsp>
                            <wps:cNvSpPr txBox="1"/>
                            <wps:spPr>
                              <a:xfrm>
                                <a:off x="3956685" y="1901190"/>
                                <a:ext cx="1076325" cy="532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32.9pt;height:41.95pt;width:84.75pt;z-index:251660288;mso-width-relative:page;mso-height-relative:page;" fillcolor="#FFFFFF [3201]" filled="t" stroked="f" coordsize="21600,21600" o:gfxdata="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a5CyL1QAA&#10;AAoBAAAPAAAAAAAAAAEAIAAAACIAAABkcnMvZG93bnJldi54bWxQSwECFAAUAAAACACHTuJAGA4r&#10;F1oCAACbBAAADgAAAAAAAAABACAAAAAkAQAAZHJzL2Uyb0RvYy54bWxQSwUGAAAAAAYABgBZAQAA&#10;8AUAAAAA&#10;">
                      <v:fill on="t" focussize="0,0"/>
                      <v:stroke on="f" weight="0.5pt"/>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1487170</wp:posOffset>
                      </wp:positionH>
                      <wp:positionV relativeFrom="paragraph">
                        <wp:posOffset>1546225</wp:posOffset>
                      </wp:positionV>
                      <wp:extent cx="1069340" cy="254000"/>
                      <wp:effectExtent l="0" t="0" r="16510" b="12700"/>
                      <wp:wrapNone/>
                      <wp:docPr id="1" name="文本框 1"/>
                      <wp:cNvGraphicFramePr/>
                      <a:graphic xmlns:a="http://schemas.openxmlformats.org/drawingml/2006/main">
                        <a:graphicData uri="http://schemas.microsoft.com/office/word/2010/wordprocessingShape">
                          <wps:wsp>
                            <wps:cNvSpPr txBox="1"/>
                            <wps:spPr>
                              <a:xfrm>
                                <a:off x="2748280" y="7031355"/>
                                <a:ext cx="1069340"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废气 噪音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1pt;margin-top:121.75pt;height:20pt;width:84.2pt;z-index:251659264;mso-width-relative:page;mso-height-relative:page;" fillcolor="#FFFFFF [3201]" filled="t" stroked="f" coordsize="21600,21600" o:gfxdata="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G0iNnW&#10;AAAACwEAAA8AAAAAAAAAAQAgAAAAIgAAAGRycy9kb3ducmV2LnhtbFBLAQIUABQAAAAIAIdO4kC/&#10;qzlYWwIAAJsEAAAOAAAAAAAAAAEAIAAAACUBAABkcnMvZTJvRG9jLnhtbFBLBQYAAAAABgAGAFkB&#10;AADyBQAAAAA=&#10;">
                      <v:fill on="t" focussize="0,0"/>
                      <v:stroke on="f" weight="0.5pt"/>
                      <v:imagedata o:title=""/>
                      <o:lock v:ext="edit" aspectratio="f"/>
                      <v:textbox>
                        <w:txbxContent>
                          <w:p>
                            <w:pPr>
                              <w:rPr>
                                <w:rFonts w:hint="default" w:eastAsia="宋体"/>
                                <w:lang w:val="en-US" w:eastAsia="zh-CN"/>
                              </w:rPr>
                            </w:pPr>
                            <w:r>
                              <w:rPr>
                                <w:rFonts w:hint="eastAsia"/>
                                <w:lang w:val="en-US" w:eastAsia="zh-CN"/>
                              </w:rPr>
                              <w:t>废气 噪音</w:t>
                            </w:r>
                          </w:p>
                        </w:txbxContent>
                      </v:textbox>
                    </v:shape>
                  </w:pict>
                </mc:Fallback>
              </mc:AlternateContent>
            </w:r>
            <w:r>
              <w:drawing>
                <wp:inline distT="0" distB="0" distL="114300" distR="114300">
                  <wp:extent cx="5344160" cy="1919605"/>
                  <wp:effectExtent l="0" t="0" r="889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344160" cy="19196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图</w:t>
            </w:r>
            <w:r>
              <w:rPr>
                <w:rFonts w:hint="eastAsia"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 xml:space="preserve">  </w:t>
            </w:r>
            <w:r>
              <w:rPr>
                <w:rFonts w:hint="eastAsia" w:cs="Times New Roman"/>
                <w:b/>
                <w:bCs/>
                <w:color w:val="000000" w:themeColor="text1"/>
                <w:sz w:val="24"/>
                <w:szCs w:val="24"/>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生产工艺流程及产污环节图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000000" w:themeColor="text1"/>
                <w:sz w:val="24"/>
                <w:szCs w:val="24"/>
                <w:u w:val="single"/>
                <w:lang w:val="en-US" w:eastAsia="zh-CN"/>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（1）外购原料</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本项目使用的主要加工原料均为外购袋装粉状成品，使用卡车运至本项目厂区。</w:t>
            </w:r>
            <w:r>
              <w:rPr>
                <w:rFonts w:hint="eastAsia" w:cs="Times New Roman"/>
                <w:color w:val="000000" w:themeColor="text1"/>
                <w:u w:val="single"/>
                <w:lang w:val="en-US" w:eastAsia="zh-CN"/>
                <w14:textFill>
                  <w14:solidFill>
                    <w14:schemeClr w14:val="tx1"/>
                  </w14:solidFill>
                </w14:textFill>
              </w:rPr>
              <w:t>本项目原料为袋装颗粒料和粉料，原料进厂后在原料区进行储存。</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w:t>
            </w:r>
            <w:r>
              <w:rPr>
                <w:rFonts w:hint="eastAsia" w:cs="Times New Roman"/>
                <w:color w:val="000000" w:themeColor="text1"/>
                <w:u w:val="single"/>
                <w:lang w:val="en-US" w:eastAsia="zh-CN"/>
                <w14:textFill>
                  <w14:solidFill>
                    <w14:schemeClr w14:val="tx1"/>
                  </w14:solidFill>
                </w14:textFill>
              </w:rPr>
              <w:t>混合</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原料混合</w:t>
            </w:r>
            <w:r>
              <w:rPr>
                <w:rFonts w:hint="eastAsia" w:cs="Times New Roman"/>
                <w:color w:val="000000" w:themeColor="text1"/>
                <w:u w:val="single"/>
                <w:lang w:val="en-US" w:eastAsia="zh-CN"/>
                <w14:textFill>
                  <w14:solidFill>
                    <w14:schemeClr w14:val="tx1"/>
                  </w14:solidFill>
                </w14:textFill>
              </w:rPr>
              <w:t>：原料拆包后人工放入上料机料斗内，</w:t>
            </w:r>
            <w:r>
              <w:rPr>
                <w:rFonts w:hint="default" w:ascii="Times New Roman" w:hAnsi="Times New Roman" w:cs="Times New Roman"/>
                <w:color w:val="000000" w:themeColor="text1"/>
                <w:u w:val="single"/>
                <w:lang w:val="en-US" w:eastAsia="zh-CN"/>
                <w14:textFill>
                  <w14:solidFill>
                    <w14:schemeClr w14:val="tx1"/>
                  </w14:solidFill>
                </w14:textFill>
              </w:rPr>
              <w:t>上料机出口与混料机进口通过密闭管道紧密连接，物料通过密闭管道</w:t>
            </w:r>
            <w:r>
              <w:rPr>
                <w:rFonts w:hint="eastAsia" w:cs="Times New Roman"/>
                <w:color w:val="000000" w:themeColor="text1"/>
                <w:u w:val="single"/>
                <w:lang w:val="en-US" w:eastAsia="zh-CN"/>
                <w14:textFill>
                  <w14:solidFill>
                    <w14:schemeClr w14:val="tx1"/>
                  </w14:solidFill>
                </w14:textFill>
              </w:rPr>
              <w:t>螺旋输送</w:t>
            </w:r>
            <w:r>
              <w:rPr>
                <w:rFonts w:hint="default" w:ascii="Times New Roman" w:hAnsi="Times New Roman" w:cs="Times New Roman"/>
                <w:color w:val="000000" w:themeColor="text1"/>
                <w:u w:val="single"/>
                <w:lang w:val="en-US" w:eastAsia="zh-CN"/>
                <w14:textFill>
                  <w14:solidFill>
                    <w14:schemeClr w14:val="tx1"/>
                  </w14:solidFill>
                </w14:textFill>
              </w:rPr>
              <w:t>落入密闭式混料机进行搅拌，搅拌过程为全封闭</w:t>
            </w:r>
            <w:r>
              <w:rPr>
                <w:rFonts w:hint="eastAsia" w:cs="Times New Roman"/>
                <w:color w:val="000000" w:themeColor="text1"/>
                <w:u w:val="single"/>
                <w:lang w:val="en-US" w:eastAsia="zh-CN"/>
                <w14:textFill>
                  <w14:solidFill>
                    <w14:schemeClr w14:val="tx1"/>
                  </w14:solidFill>
                </w14:textFill>
              </w:rPr>
              <w:t>，</w:t>
            </w:r>
            <w:r>
              <w:rPr>
                <w:rFonts w:hint="default" w:ascii="Times New Roman" w:hAnsi="Times New Roman" w:cs="Times New Roman"/>
                <w:color w:val="000000" w:themeColor="text1"/>
                <w:u w:val="single"/>
                <w:lang w:val="en-US" w:eastAsia="zh-CN"/>
                <w14:textFill>
                  <w14:solidFill>
                    <w14:schemeClr w14:val="tx1"/>
                  </w14:solidFill>
                </w14:textFill>
              </w:rPr>
              <w:t>混合机组的混合速度较快，一般情况下10</w:t>
            </w:r>
            <w:r>
              <w:rPr>
                <w:rFonts w:hint="eastAsia" w:cs="Times New Roman"/>
                <w:color w:val="000000" w:themeColor="text1"/>
                <w:u w:val="single"/>
                <w:lang w:val="en-US" w:eastAsia="zh-CN"/>
                <w14:textFill>
                  <w14:solidFill>
                    <w14:schemeClr w14:val="tx1"/>
                  </w14:solidFill>
                </w14:textFill>
              </w:rPr>
              <w:t>～</w:t>
            </w:r>
            <w:r>
              <w:rPr>
                <w:rFonts w:hint="default" w:ascii="Times New Roman" w:hAnsi="Times New Roman" w:cs="Times New Roman"/>
                <w:color w:val="000000" w:themeColor="text1"/>
                <w:u w:val="single"/>
                <w:lang w:val="en-US" w:eastAsia="zh-CN"/>
                <w14:textFill>
                  <w14:solidFill>
                    <w14:schemeClr w14:val="tx1"/>
                  </w14:solidFill>
                </w14:textFill>
              </w:rPr>
              <w:t>15分钟即混合均匀，充分搅拌混合后的原料经管道</w:t>
            </w:r>
            <w:r>
              <w:rPr>
                <w:rFonts w:hint="eastAsia" w:cs="Times New Roman"/>
                <w:color w:val="000000" w:themeColor="text1"/>
                <w:u w:val="single"/>
                <w:lang w:val="en-US" w:eastAsia="zh-CN"/>
                <w14:textFill>
                  <w14:solidFill>
                    <w14:schemeClr w14:val="tx1"/>
                  </w14:solidFill>
                </w14:textFill>
              </w:rPr>
              <w:t>螺旋</w:t>
            </w:r>
            <w:r>
              <w:rPr>
                <w:rFonts w:hint="default" w:ascii="Times New Roman" w:hAnsi="Times New Roman" w:cs="Times New Roman"/>
                <w:color w:val="000000" w:themeColor="text1"/>
                <w:u w:val="single"/>
                <w:lang w:val="en-US" w:eastAsia="zh-CN"/>
                <w14:textFill>
                  <w14:solidFill>
                    <w14:schemeClr w14:val="tx1"/>
                  </w14:solidFill>
                </w14:textFill>
              </w:rPr>
              <w:t>输送至密闭容器中，最后通过</w:t>
            </w:r>
            <w:r>
              <w:rPr>
                <w:rFonts w:hint="eastAsia" w:cs="Times New Roman"/>
                <w:color w:val="000000" w:themeColor="text1"/>
                <w:u w:val="single"/>
                <w:lang w:val="en-US" w:eastAsia="zh-CN"/>
                <w14:textFill>
                  <w14:solidFill>
                    <w14:schemeClr w14:val="tx1"/>
                  </w14:solidFill>
                </w14:textFill>
              </w:rPr>
              <w:t>螺旋输送</w:t>
            </w:r>
            <w:r>
              <w:rPr>
                <w:rFonts w:hint="default" w:ascii="Times New Roman" w:hAnsi="Times New Roman" w:cs="Times New Roman"/>
                <w:color w:val="000000" w:themeColor="text1"/>
                <w:u w:val="single"/>
                <w:lang w:val="en-US" w:eastAsia="zh-CN"/>
                <w14:textFill>
                  <w14:solidFill>
                    <w14:schemeClr w14:val="tx1"/>
                  </w14:solidFill>
                </w14:textFill>
              </w:rPr>
              <w:t>至挤出机。</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（3）挤出</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挤出</w:t>
            </w:r>
            <w:r>
              <w:rPr>
                <w:rFonts w:hint="eastAsia" w:cs="Times New Roman"/>
                <w:color w:val="000000" w:themeColor="text1"/>
                <w:u w:val="single"/>
                <w:lang w:val="en-US" w:eastAsia="zh-CN"/>
                <w14:textFill>
                  <w14:solidFill>
                    <w14:schemeClr w14:val="tx1"/>
                  </w14:solidFill>
                </w14:textFill>
              </w:rPr>
              <w:t>：</w:t>
            </w:r>
            <w:r>
              <w:rPr>
                <w:rFonts w:hint="default" w:ascii="Times New Roman" w:hAnsi="Times New Roman" w:cs="Times New Roman"/>
                <w:color w:val="000000" w:themeColor="text1"/>
                <w:u w:val="single"/>
                <w:lang w:val="en-US" w:eastAsia="zh-CN"/>
                <w14:textFill>
                  <w14:solidFill>
                    <w14:schemeClr w14:val="tx1"/>
                  </w14:solidFill>
                </w14:textFill>
              </w:rPr>
              <w:t>搅拌混合后的原料经上料机通过密闭管道</w:t>
            </w:r>
            <w:r>
              <w:rPr>
                <w:rFonts w:hint="eastAsia" w:cs="Times New Roman"/>
                <w:color w:val="000000" w:themeColor="text1"/>
                <w:u w:val="single"/>
                <w:lang w:val="en-US" w:eastAsia="zh-CN"/>
                <w14:textFill>
                  <w14:solidFill>
                    <w14:schemeClr w14:val="tx1"/>
                  </w14:solidFill>
                </w14:textFill>
              </w:rPr>
              <w:t>螺旋输送</w:t>
            </w:r>
            <w:r>
              <w:rPr>
                <w:rFonts w:hint="default" w:ascii="Times New Roman" w:hAnsi="Times New Roman" w:cs="Times New Roman"/>
                <w:color w:val="000000" w:themeColor="text1"/>
                <w:u w:val="single"/>
                <w:lang w:val="en-US" w:eastAsia="zh-CN"/>
                <w14:textFill>
                  <w14:solidFill>
                    <w14:schemeClr w14:val="tx1"/>
                  </w14:solidFill>
                </w14:textFill>
              </w:rPr>
              <w:t>至挤出机中，挤出机的料筒外面有加热器，通过热传导将加热器产生的热量传给料筒内的物料，温度上升，达到熔融温度。机器运转，料筒内的螺杆转动，将物料向前输送，物料在运动过程中与料筒、螺杆以及物料与物料之间相互摩擦、剪切，产生大量的热，与热传导。共同作用使物料不断熔融，熔融后的物料被连续、稳定地输送到已经设置好的模具中，整个挤出过程为全密闭状态。本项目挤出工序所用能源为电，加热温度一般为1</w:t>
            </w:r>
            <w:r>
              <w:rPr>
                <w:rFonts w:hint="eastAsia" w:cs="Times New Roman"/>
                <w:color w:val="000000" w:themeColor="text1"/>
                <w:u w:val="single"/>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0°C左右。加热挤出时</w:t>
            </w:r>
            <w:r>
              <w:rPr>
                <w:rFonts w:hint="eastAsia" w:cs="Times New Roman"/>
                <w:color w:val="000000" w:themeColor="text1"/>
                <w:u w:val="single"/>
                <w:lang w:val="en-US" w:eastAsia="zh-CN"/>
                <w14:textFill>
                  <w14:solidFill>
                    <w14:schemeClr w14:val="tx1"/>
                  </w14:solidFill>
                </w14:textFill>
              </w:rPr>
              <w:t>PE</w:t>
            </w:r>
            <w:r>
              <w:rPr>
                <w:rFonts w:hint="default" w:ascii="Times New Roman" w:hAnsi="Times New Roman" w:cs="Times New Roman"/>
                <w:color w:val="000000" w:themeColor="text1"/>
                <w:u w:val="single"/>
                <w:lang w:val="en-US" w:eastAsia="zh-CN"/>
                <w14:textFill>
                  <w14:solidFill>
                    <w14:schemeClr w14:val="tx1"/>
                  </w14:solidFill>
                </w14:textFill>
              </w:rPr>
              <w:t>树脂颗粒不会分解，产生的低分子非甲烷总烃主要是乙烯、低级有机酸、低级有机醇等游离单体存在。</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（4）冷却</w:t>
            </w:r>
            <w:r>
              <w:rPr>
                <w:rFonts w:hint="eastAsia" w:cs="Times New Roman"/>
                <w:color w:val="000000" w:themeColor="text1"/>
                <w:u w:val="single"/>
                <w:lang w:val="en-US" w:eastAsia="zh-CN"/>
                <w14:textFill>
                  <w14:solidFill>
                    <w14:schemeClr w14:val="tx1"/>
                  </w14:solidFill>
                </w14:textFill>
              </w:rPr>
              <w:t>成型</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根据客户需求调整定型模，原料进入定型模后用</w:t>
            </w:r>
            <w:r>
              <w:rPr>
                <w:rFonts w:hint="eastAsia" w:cs="Times New Roman"/>
                <w:color w:val="000000" w:themeColor="text1"/>
                <w:u w:val="single"/>
                <w:lang w:val="en-US" w:eastAsia="zh-CN"/>
                <w14:textFill>
                  <w14:solidFill>
                    <w14:schemeClr w14:val="tx1"/>
                  </w14:solidFill>
                </w14:textFill>
              </w:rPr>
              <w:t>水冷却定型</w:t>
            </w:r>
            <w:r>
              <w:rPr>
                <w:rFonts w:hint="default" w:ascii="Times New Roman" w:hAnsi="Times New Roman" w:cs="Times New Roman"/>
                <w:color w:val="000000" w:themeColor="text1"/>
                <w:u w:val="single"/>
                <w:lang w:val="en-US" w:eastAsia="zh-CN"/>
                <w14:textFill>
                  <w14:solidFill>
                    <w14:schemeClr w14:val="tx1"/>
                  </w14:solidFill>
                </w14:textFill>
              </w:rPr>
              <w:t>。冷却水采用自来水。</w:t>
            </w:r>
            <w:r>
              <w:rPr>
                <w:rFonts w:hint="eastAsia" w:cs="Times New Roman"/>
                <w:color w:val="000000" w:themeColor="text1"/>
                <w:u w:val="single"/>
                <w:lang w:val="en-US" w:eastAsia="zh-CN"/>
                <w14:textFill>
                  <w14:solidFill>
                    <w14:schemeClr w14:val="tx1"/>
                  </w14:solidFill>
                </w14:textFill>
              </w:rPr>
              <w:t>温度降至60℃后，产品冷却定型完成。</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（6）分切</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冷却后的产品经牵引机连续牵引切割后即为半成品，切割过程采用刀片冲切的全物理切割，实现对板材和线条的无屑切断。定型合格</w:t>
            </w:r>
            <w:r>
              <w:rPr>
                <w:rFonts w:hint="eastAsia" w:cs="Times New Roman"/>
                <w:color w:val="000000" w:themeColor="text1"/>
                <w:u w:val="single"/>
                <w:lang w:val="en-US" w:eastAsia="zh-CN"/>
                <w14:textFill>
                  <w14:solidFill>
                    <w14:schemeClr w14:val="tx1"/>
                  </w14:solidFill>
                </w14:textFill>
              </w:rPr>
              <w:t>分切后的</w:t>
            </w:r>
            <w:r>
              <w:rPr>
                <w:rFonts w:hint="default" w:ascii="Times New Roman" w:hAnsi="Times New Roman" w:cs="Times New Roman"/>
                <w:color w:val="000000" w:themeColor="text1"/>
                <w:u w:val="single"/>
                <w:lang w:val="en-US" w:eastAsia="zh-CN"/>
                <w14:textFill>
                  <w14:solidFill>
                    <w14:schemeClr w14:val="tx1"/>
                  </w14:solidFill>
                </w14:textFill>
              </w:rPr>
              <w:t>产品进行覆膜</w:t>
            </w:r>
            <w:r>
              <w:rPr>
                <w:rFonts w:hint="eastAsia" w:cs="Times New Roman"/>
                <w:color w:val="000000" w:themeColor="text1"/>
                <w:u w:val="single"/>
                <w:lang w:val="en-US" w:eastAsia="zh-CN"/>
                <w14:textFill>
                  <w14:solidFill>
                    <w14:schemeClr w14:val="tx1"/>
                  </w14:solidFill>
                </w14:textFill>
              </w:rPr>
              <w:t>工序</w:t>
            </w:r>
            <w:r>
              <w:rPr>
                <w:rFonts w:hint="default" w:ascii="Times New Roman" w:hAnsi="Times New Roman" w:cs="Times New Roman"/>
                <w:color w:val="000000" w:themeColor="text1"/>
                <w:u w:val="single"/>
                <w:lang w:val="en-US" w:eastAsia="zh-CN"/>
                <w14:textFill>
                  <w14:solidFill>
                    <w14:schemeClr w14:val="tx1"/>
                  </w14:solidFill>
                </w14:textFill>
              </w:rPr>
              <w:t>，不合格的产品重新破碎，磨粉。</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7</w:t>
            </w:r>
            <w:r>
              <w:rPr>
                <w:rFonts w:hint="default" w:ascii="Times New Roman" w:hAnsi="Times New Roman" w:cs="Times New Roman"/>
                <w:color w:val="000000" w:themeColor="text1"/>
                <w:u w:val="single"/>
                <w:lang w:val="en-US" w:eastAsia="zh-CN"/>
                <w14:textFill>
                  <w14:solidFill>
                    <w14:schemeClr w14:val="tx1"/>
                  </w14:solidFill>
                </w14:textFill>
              </w:rPr>
              <w:t>）覆膜</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分切</w:t>
            </w:r>
            <w:r>
              <w:rPr>
                <w:rFonts w:hint="default" w:ascii="Times New Roman" w:hAnsi="Times New Roman" w:cs="Times New Roman"/>
                <w:color w:val="000000" w:themeColor="text1"/>
                <w:u w:val="single"/>
                <w:lang w:val="en-US" w:eastAsia="zh-CN"/>
                <w14:textFill>
                  <w14:solidFill>
                    <w14:schemeClr w14:val="tx1"/>
                  </w14:solidFill>
                </w14:textFill>
              </w:rPr>
              <w:t>后的半成品经过通过</w:t>
            </w:r>
            <w:r>
              <w:rPr>
                <w:rFonts w:hint="eastAsia" w:cs="Times New Roman"/>
                <w:color w:val="000000" w:themeColor="text1"/>
                <w:u w:val="single"/>
                <w:lang w:val="en-US" w:eastAsia="zh-CN"/>
                <w14:textFill>
                  <w14:solidFill>
                    <w14:schemeClr w14:val="tx1"/>
                  </w14:solidFill>
                </w14:textFill>
              </w:rPr>
              <w:t>包覆机</w:t>
            </w:r>
            <w:r>
              <w:rPr>
                <w:rFonts w:hint="default" w:ascii="Times New Roman" w:hAnsi="Times New Roman" w:cs="Times New Roman"/>
                <w:color w:val="000000" w:themeColor="text1"/>
                <w:u w:val="single"/>
                <w:lang w:val="en-US" w:eastAsia="zh-CN"/>
                <w14:textFill>
                  <w14:solidFill>
                    <w14:schemeClr w14:val="tx1"/>
                  </w14:solidFill>
                </w14:textFill>
              </w:rPr>
              <w:t>附上一层花纹薄膜。覆膜采用外购成品花纹薄膜，该薄膜背部自带强力不干胶，通过</w:t>
            </w:r>
            <w:r>
              <w:rPr>
                <w:rFonts w:hint="eastAsia" w:cs="Times New Roman"/>
                <w:color w:val="000000" w:themeColor="text1"/>
                <w:u w:val="single"/>
                <w:lang w:val="en-US" w:eastAsia="zh-CN"/>
                <w14:textFill>
                  <w14:solidFill>
                    <w14:schemeClr w14:val="tx1"/>
                  </w14:solidFill>
                </w14:textFill>
              </w:rPr>
              <w:t>包覆机</w:t>
            </w:r>
            <w:r>
              <w:rPr>
                <w:rFonts w:hint="default" w:ascii="Times New Roman" w:hAnsi="Times New Roman" w:cs="Times New Roman"/>
                <w:color w:val="000000" w:themeColor="text1"/>
                <w:u w:val="single"/>
                <w:lang w:val="en-US" w:eastAsia="zh-CN"/>
                <w14:textFill>
                  <w14:solidFill>
                    <w14:schemeClr w14:val="tx1"/>
                  </w14:solidFill>
                </w14:textFill>
              </w:rPr>
              <w:t>压力</w:t>
            </w:r>
            <w:r>
              <w:rPr>
                <w:rFonts w:hint="eastAsia" w:cs="Times New Roman"/>
                <w:color w:val="000000" w:themeColor="text1"/>
                <w:u w:val="single"/>
                <w:lang w:val="en-US" w:eastAsia="zh-CN"/>
                <w14:textFill>
                  <w14:solidFill>
                    <w14:schemeClr w14:val="tx1"/>
                  </w14:solidFill>
                </w14:textFill>
              </w:rPr>
              <w:t>和热烘1min（加热温度50℃）</w:t>
            </w:r>
            <w:r>
              <w:rPr>
                <w:rFonts w:hint="default" w:ascii="Times New Roman" w:hAnsi="Times New Roman" w:cs="Times New Roman"/>
                <w:color w:val="000000" w:themeColor="text1"/>
                <w:u w:val="single"/>
                <w:lang w:val="en-US" w:eastAsia="zh-CN"/>
                <w14:textFill>
                  <w14:solidFill>
                    <w14:schemeClr w14:val="tx1"/>
                  </w14:solidFill>
                </w14:textFill>
              </w:rPr>
              <w:t>即可直接粘合在本项目产品表面。</w:t>
            </w:r>
            <w:r>
              <w:rPr>
                <w:rFonts w:hint="eastAsia" w:cs="Times New Roman"/>
                <w:color w:val="000000" w:themeColor="text1"/>
                <w:u w:val="single"/>
                <w:lang w:val="en-US" w:eastAsia="zh-CN"/>
                <w14:textFill>
                  <w14:solidFill>
                    <w14:schemeClr w14:val="tx1"/>
                  </w14:solidFill>
                </w14:textFill>
              </w:rPr>
              <w:t>包覆机自带裁剪工序，自动根据产品规格大小对</w:t>
            </w:r>
            <w:r>
              <w:rPr>
                <w:rFonts w:hint="default" w:ascii="Times New Roman" w:hAnsi="Times New Roman" w:cs="Times New Roman"/>
                <w:color w:val="000000" w:themeColor="text1"/>
                <w:u w:val="single"/>
                <w:lang w:val="en-US" w:eastAsia="zh-CN"/>
                <w14:textFill>
                  <w14:solidFill>
                    <w14:schemeClr w14:val="tx1"/>
                  </w14:solidFill>
                </w14:textFill>
              </w:rPr>
              <w:t>薄膜</w:t>
            </w:r>
            <w:r>
              <w:rPr>
                <w:rFonts w:hint="eastAsia" w:cs="Times New Roman"/>
                <w:color w:val="000000" w:themeColor="text1"/>
                <w:u w:val="single"/>
                <w:lang w:val="en-US" w:eastAsia="zh-CN"/>
                <w14:textFill>
                  <w14:solidFill>
                    <w14:schemeClr w14:val="tx1"/>
                  </w14:solidFill>
                </w14:textFill>
              </w:rPr>
              <w:t>进行裁剪</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8</w:t>
            </w:r>
            <w:r>
              <w:rPr>
                <w:rFonts w:hint="default" w:ascii="Times New Roman" w:hAnsi="Times New Roman" w:cs="Times New Roman"/>
                <w:color w:val="000000" w:themeColor="text1"/>
                <w:u w:val="single"/>
                <w:lang w:val="en-US" w:eastAsia="zh-CN"/>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包装入库</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产品经过</w:t>
            </w:r>
            <w:r>
              <w:rPr>
                <w:rFonts w:hint="eastAsia" w:cs="Times New Roman"/>
                <w:color w:val="000000" w:themeColor="text1"/>
                <w:u w:val="single"/>
                <w:lang w:val="en-US" w:eastAsia="zh-CN"/>
                <w14:textFill>
                  <w14:solidFill>
                    <w14:schemeClr w14:val="tx1"/>
                  </w14:solidFill>
                </w14:textFill>
              </w:rPr>
              <w:t>质检</w:t>
            </w:r>
            <w:r>
              <w:rPr>
                <w:rFonts w:hint="default" w:ascii="Times New Roman" w:hAnsi="Times New Roman" w:cs="Times New Roman"/>
                <w:color w:val="000000" w:themeColor="text1"/>
                <w:u w:val="single"/>
                <w:lang w:val="en-US" w:eastAsia="zh-CN"/>
                <w14:textFill>
                  <w14:solidFill>
                    <w14:schemeClr w14:val="tx1"/>
                  </w14:solidFill>
                </w14:textFill>
              </w:rPr>
              <w:t>，确保其平直后即可</w:t>
            </w:r>
            <w:r>
              <w:rPr>
                <w:rFonts w:hint="eastAsia" w:cs="Times New Roman"/>
                <w:color w:val="000000" w:themeColor="text1"/>
                <w:u w:val="single"/>
                <w:lang w:val="en-US" w:eastAsia="zh-CN"/>
                <w14:textFill>
                  <w14:solidFill>
                    <w14:schemeClr w14:val="tx1"/>
                  </w14:solidFill>
                </w14:textFill>
              </w:rPr>
              <w:t>包装</w:t>
            </w:r>
            <w:r>
              <w:rPr>
                <w:rFonts w:hint="default" w:ascii="Times New Roman" w:hAnsi="Times New Roman" w:cs="Times New Roman"/>
                <w:color w:val="000000" w:themeColor="text1"/>
                <w:u w:val="single"/>
                <w:lang w:val="en-US" w:eastAsia="zh-CN"/>
                <w14:textFill>
                  <w14:solidFill>
                    <w14:schemeClr w14:val="tx1"/>
                  </w14:solidFill>
                </w14:textFill>
              </w:rPr>
              <w:t>入库销售</w:t>
            </w:r>
            <w:r>
              <w:rPr>
                <w:rFonts w:hint="eastAsia" w:cs="Times New Roman"/>
                <w:color w:val="000000" w:themeColor="text1"/>
                <w:u w:val="single"/>
                <w:lang w:val="en-US" w:eastAsia="zh-CN"/>
                <w14:textFill>
                  <w14:solidFill>
                    <w14:schemeClr w14:val="tx1"/>
                  </w14:solidFill>
                </w14:textFill>
              </w:rPr>
              <w:t>，人工包装</w:t>
            </w:r>
            <w:r>
              <w:rPr>
                <w:rFonts w:hint="default" w:ascii="Times New Roman" w:hAnsi="Times New Roman" w:cs="Times New Roman"/>
                <w:color w:val="000000" w:themeColor="text1"/>
                <w:u w:val="single"/>
                <w:lang w:val="en-US"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（8）破碎</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人工</w:t>
            </w:r>
            <w:r>
              <w:rPr>
                <w:rFonts w:hint="default" w:ascii="Times New Roman" w:hAnsi="Times New Roman" w:cs="Times New Roman"/>
                <w:color w:val="000000" w:themeColor="text1"/>
                <w:u w:val="single"/>
                <w:lang w:val="en-US" w:eastAsia="zh-CN"/>
                <w14:textFill>
                  <w14:solidFill>
                    <w14:schemeClr w14:val="tx1"/>
                  </w14:solidFill>
                </w14:textFill>
              </w:rPr>
              <w:t>将不合格的产品装饰板回收</w:t>
            </w:r>
            <w:r>
              <w:rPr>
                <w:rFonts w:hint="eastAsia" w:cs="Times New Roman"/>
                <w:color w:val="000000" w:themeColor="text1"/>
                <w:u w:val="single"/>
                <w:lang w:val="en-US" w:eastAsia="zh-CN"/>
                <w14:textFill>
                  <w14:solidFill>
                    <w14:schemeClr w14:val="tx1"/>
                  </w14:solidFill>
                </w14:textFill>
              </w:rPr>
              <w:t>至破碎机进行</w:t>
            </w:r>
            <w:r>
              <w:rPr>
                <w:rFonts w:hint="default" w:ascii="Times New Roman" w:hAnsi="Times New Roman" w:cs="Times New Roman"/>
                <w:color w:val="000000" w:themeColor="text1"/>
                <w:u w:val="single"/>
                <w:lang w:val="en-US" w:eastAsia="zh-CN"/>
                <w14:textFill>
                  <w14:solidFill>
                    <w14:schemeClr w14:val="tx1"/>
                  </w14:solidFill>
                </w14:textFill>
              </w:rPr>
              <w:t>破碎，</w:t>
            </w:r>
            <w:r>
              <w:rPr>
                <w:rFonts w:hint="eastAsia" w:cs="Times New Roman"/>
                <w:color w:val="000000" w:themeColor="text1"/>
                <w:u w:val="single"/>
                <w:lang w:val="en-US" w:eastAsia="zh-CN"/>
                <w14:textFill>
                  <w14:solidFill>
                    <w14:schemeClr w14:val="tx1"/>
                  </w14:solidFill>
                </w14:textFill>
              </w:rPr>
              <w:t>破碎工序密闭进行，破碎后的物料通过，密闭管道螺杆输送至磨粉机</w:t>
            </w:r>
            <w:r>
              <w:rPr>
                <w:rFonts w:hint="default" w:ascii="Times New Roman" w:hAnsi="Times New Roman" w:cs="Times New Roman"/>
                <w:color w:val="000000" w:themeColor="text1"/>
                <w:u w:val="single"/>
                <w:lang w:val="en-US"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（9）磨粉</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磨粉机将破碎回收的原料进行研磨成粉状</w:t>
            </w:r>
            <w:r>
              <w:rPr>
                <w:rFonts w:hint="eastAsia" w:cs="Times New Roman"/>
                <w:color w:val="000000" w:themeColor="text1"/>
                <w:u w:val="single"/>
                <w:lang w:val="en-US" w:eastAsia="zh-CN"/>
                <w14:textFill>
                  <w14:solidFill>
                    <w14:schemeClr w14:val="tx1"/>
                  </w14:solidFill>
                </w14:textFill>
              </w:rPr>
              <w:t>，磨粉后</w:t>
            </w:r>
            <w:r>
              <w:rPr>
                <w:rFonts w:hint="default" w:ascii="Times New Roman" w:hAnsi="Times New Roman" w:cs="Times New Roman"/>
                <w:color w:val="000000" w:themeColor="text1"/>
                <w:u w:val="single"/>
                <w:lang w:val="en-US" w:eastAsia="zh-CN"/>
                <w14:textFill>
                  <w14:solidFill>
                    <w14:schemeClr w14:val="tx1"/>
                  </w14:solidFill>
                </w14:textFill>
              </w:rPr>
              <w:t>以原料形式</w:t>
            </w:r>
            <w:r>
              <w:rPr>
                <w:rFonts w:hint="eastAsia" w:cs="Times New Roman"/>
                <w:color w:val="000000" w:themeColor="text1"/>
                <w:u w:val="single"/>
                <w:lang w:val="en-US" w:eastAsia="zh-CN"/>
                <w14:textFill>
                  <w14:solidFill>
                    <w14:schemeClr w14:val="tx1"/>
                  </w14:solidFill>
                </w14:textFill>
              </w:rPr>
              <w:t>通过管道螺旋输送至混合</w:t>
            </w:r>
            <w:r>
              <w:rPr>
                <w:rFonts w:hint="default" w:ascii="Times New Roman" w:hAnsi="Times New Roman" w:cs="Times New Roman"/>
                <w:color w:val="000000" w:themeColor="text1"/>
                <w:u w:val="single"/>
                <w:lang w:val="en-US" w:eastAsia="zh-CN"/>
                <w14:textFill>
                  <w14:solidFill>
                    <w14:schemeClr w14:val="tx1"/>
                  </w14:solidFill>
                </w14:textFill>
              </w:rPr>
              <w:t>工艺。会产生噪音和粉尘。</w:t>
            </w:r>
            <w:r>
              <w:rPr>
                <w:rFonts w:hint="eastAsia" w:cs="Times New Roman"/>
                <w:color w:val="000000" w:themeColor="text1"/>
                <w:u w:val="single"/>
                <w:lang w:val="en-US" w:eastAsia="zh-CN"/>
                <w14:textFill>
                  <w14:solidFill>
                    <w14:schemeClr w14:val="tx1"/>
                  </w14:solidFill>
                </w14:textFill>
              </w:rPr>
              <w:t>磨粉机密闭工作</w:t>
            </w:r>
            <w:r>
              <w:rPr>
                <w:rFonts w:hint="default" w:ascii="Times New Roman" w:hAnsi="Times New Roman" w:cs="Times New Roman"/>
                <w:color w:val="000000" w:themeColor="text1"/>
                <w:u w:val="singl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主要污染工序：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b/>
                <w:bCs/>
                <w:color w:val="000000"/>
                <w:sz w:val="24"/>
                <w:highlight w:val="none"/>
                <w:u w:val="single"/>
                <w:lang w:val="en-US" w:eastAsia="zh-CN"/>
              </w:rPr>
              <w:t>1、</w:t>
            </w:r>
            <w:r>
              <w:rPr>
                <w:rFonts w:hint="default" w:ascii="Times New Roman" w:hAnsi="Times New Roman" w:eastAsia="宋体" w:cs="Times New Roman"/>
                <w:b/>
                <w:bCs/>
                <w:color w:val="000000"/>
                <w:sz w:val="24"/>
                <w:highlight w:val="none"/>
                <w:u w:val="single"/>
              </w:rPr>
              <w:t>废气</w:t>
            </w:r>
            <w:r>
              <w:rPr>
                <w:rFonts w:hint="eastAsia" w:cs="Times New Roman"/>
                <w:b/>
                <w:bCs/>
                <w:color w:val="000000"/>
                <w:sz w:val="24"/>
                <w:highlight w:val="none"/>
                <w:u w:val="single"/>
                <w:lang w:eastAsia="zh-CN"/>
              </w:rPr>
              <w:t>：</w:t>
            </w:r>
            <w:r>
              <w:rPr>
                <w:rFonts w:hint="default" w:ascii="Times New Roman" w:hAnsi="Times New Roman" w:eastAsia="宋体" w:cs="Times New Roman"/>
                <w:color w:val="000000"/>
                <w:sz w:val="24"/>
                <w:highlight w:val="none"/>
                <w:u w:val="single"/>
              </w:rPr>
              <w:t>本项目营运过程中废气污染源主要为</w:t>
            </w:r>
            <w:r>
              <w:rPr>
                <w:rFonts w:hint="eastAsia" w:cs="Times New Roman"/>
                <w:color w:val="000000"/>
                <w:sz w:val="24"/>
                <w:highlight w:val="none"/>
                <w:u w:val="single"/>
                <w:lang w:val="en-US" w:eastAsia="zh-CN"/>
              </w:rPr>
              <w:t>注塑挤出、覆膜过程中产生的VOCs和拆包、上料工段产生的粉尘</w:t>
            </w:r>
            <w:r>
              <w:rPr>
                <w:rFonts w:hint="default" w:ascii="Times New Roman" w:hAnsi="Times New Roman" w:eastAsia="宋体" w:cs="Times New Roman"/>
                <w:color w:val="000000"/>
                <w:sz w:val="24"/>
                <w:highlight w:val="none"/>
                <w:u w:val="singl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color w:val="000000"/>
                <w:sz w:val="24"/>
                <w:highlight w:val="none"/>
                <w:u w:val="single"/>
                <w:lang w:val="en-US" w:eastAsia="zh-CN"/>
              </w:rPr>
            </w:pPr>
            <w:r>
              <w:rPr>
                <w:rFonts w:hint="default" w:ascii="Times New Roman" w:hAnsi="Times New Roman" w:eastAsia="宋体" w:cs="Times New Roman"/>
                <w:b/>
                <w:bCs/>
                <w:color w:val="000000"/>
                <w:sz w:val="24"/>
                <w:highlight w:val="none"/>
                <w:u w:val="single"/>
                <w:lang w:val="en-US" w:eastAsia="zh-CN"/>
              </w:rPr>
              <w:t>2、</w:t>
            </w:r>
            <w:r>
              <w:rPr>
                <w:rFonts w:hint="default" w:ascii="Times New Roman" w:hAnsi="Times New Roman" w:eastAsia="宋体" w:cs="Times New Roman"/>
                <w:b/>
                <w:bCs/>
                <w:color w:val="000000"/>
                <w:sz w:val="24"/>
                <w:highlight w:val="none"/>
                <w:u w:val="single"/>
              </w:rPr>
              <w:t>废水</w:t>
            </w:r>
            <w:r>
              <w:rPr>
                <w:rFonts w:hint="eastAsia" w:cs="Times New Roman"/>
                <w:b/>
                <w:bCs/>
                <w:color w:val="000000"/>
                <w:sz w:val="24"/>
                <w:highlight w:val="none"/>
                <w:u w:val="single"/>
                <w:lang w:eastAsia="zh-CN"/>
              </w:rPr>
              <w:t>：</w:t>
            </w:r>
            <w:r>
              <w:rPr>
                <w:rFonts w:hint="default" w:ascii="Times New Roman" w:hAnsi="Times New Roman" w:eastAsia="宋体" w:cs="Times New Roman"/>
                <w:color w:val="000000"/>
                <w:sz w:val="24"/>
                <w:highlight w:val="none"/>
                <w:u w:val="single"/>
              </w:rPr>
              <w:t>本项目</w:t>
            </w:r>
            <w:r>
              <w:rPr>
                <w:rFonts w:hint="eastAsia" w:cs="Times New Roman"/>
                <w:color w:val="000000"/>
                <w:sz w:val="24"/>
                <w:highlight w:val="none"/>
                <w:u w:val="single"/>
                <w:lang w:val="en-US" w:eastAsia="zh-CN"/>
              </w:rPr>
              <w:t>废水主要为职工生活污水。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b/>
                <w:bCs/>
                <w:color w:val="000000"/>
                <w:sz w:val="24"/>
                <w:highlight w:val="none"/>
                <w:u w:val="single"/>
                <w:lang w:val="en-US" w:eastAsia="zh-CN"/>
              </w:rPr>
              <w:t>3、</w:t>
            </w:r>
            <w:r>
              <w:rPr>
                <w:rFonts w:hint="default" w:ascii="Times New Roman" w:hAnsi="Times New Roman" w:eastAsia="宋体" w:cs="Times New Roman"/>
                <w:b/>
                <w:bCs/>
                <w:color w:val="000000"/>
                <w:sz w:val="24"/>
                <w:highlight w:val="none"/>
                <w:u w:val="single"/>
              </w:rPr>
              <w:t>噪声</w:t>
            </w:r>
            <w:r>
              <w:rPr>
                <w:rFonts w:hint="eastAsia" w:cs="Times New Roman"/>
                <w:b/>
                <w:bCs/>
                <w:color w:val="000000"/>
                <w:sz w:val="24"/>
                <w:highlight w:val="none"/>
                <w:u w:val="single"/>
                <w:lang w:eastAsia="zh-CN"/>
              </w:rPr>
              <w:t>：</w:t>
            </w:r>
            <w:r>
              <w:rPr>
                <w:rFonts w:hint="default" w:ascii="Times New Roman" w:hAnsi="Times New Roman" w:eastAsia="宋体" w:cs="Times New Roman"/>
                <w:color w:val="000000"/>
                <w:sz w:val="24"/>
                <w:highlight w:val="none"/>
                <w:u w:val="single"/>
              </w:rPr>
              <w:t>本项目运营期噪声主要为设备运行噪声。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sz w:val="24"/>
                <w:szCs w:val="24"/>
                <w:highlight w:val="none"/>
                <w:u w:val="single"/>
                <w:lang w:val="en-US" w:eastAsia="zh-CN"/>
              </w:rPr>
            </w:pPr>
            <w:r>
              <w:rPr>
                <w:rFonts w:hint="default" w:ascii="Times New Roman" w:hAnsi="Times New Roman" w:eastAsia="宋体" w:cs="Times New Roman"/>
                <w:b/>
                <w:bCs/>
                <w:color w:val="000000"/>
                <w:sz w:val="24"/>
                <w:highlight w:val="none"/>
                <w:u w:val="single"/>
              </w:rPr>
              <w:t>4、固体废物</w:t>
            </w:r>
            <w:r>
              <w:rPr>
                <w:rFonts w:hint="eastAsia" w:cs="Times New Roman"/>
                <w:b/>
                <w:bCs/>
                <w:color w:val="000000"/>
                <w:sz w:val="24"/>
                <w:highlight w:val="none"/>
                <w:u w:val="single"/>
                <w:lang w:eastAsia="zh-CN"/>
              </w:rPr>
              <w:t>：</w:t>
            </w:r>
            <w:r>
              <w:rPr>
                <w:rFonts w:hint="default"/>
                <w:sz w:val="24"/>
                <w:szCs w:val="24"/>
                <w:highlight w:val="none"/>
                <w:u w:val="single"/>
              </w:rPr>
              <w:t>本项目产生的固体废物为</w:t>
            </w:r>
            <w:r>
              <w:rPr>
                <w:rFonts w:hint="eastAsia"/>
                <w:sz w:val="24"/>
                <w:szCs w:val="24"/>
                <w:highlight w:val="none"/>
                <w:u w:val="single"/>
                <w:lang w:val="en-US" w:eastAsia="zh-CN"/>
              </w:rPr>
              <w:t>职工生活垃圾、除尘灰、不合格品、废包装材料、废灯管、</w:t>
            </w:r>
            <w:r>
              <w:rPr>
                <w:rFonts w:hint="default"/>
                <w:sz w:val="24"/>
                <w:szCs w:val="24"/>
                <w:highlight w:val="none"/>
                <w:u w:val="single"/>
              </w:rPr>
              <w:t>废活性炭</w:t>
            </w:r>
            <w:r>
              <w:rPr>
                <w:rFonts w:hint="eastAsia"/>
                <w:sz w:val="24"/>
                <w:szCs w:val="24"/>
                <w:highlight w:val="none"/>
                <w:u w:val="single"/>
                <w:lang w:eastAsia="zh-CN"/>
              </w:rPr>
              <w:t>、</w:t>
            </w:r>
            <w:r>
              <w:rPr>
                <w:rFonts w:hint="eastAsia"/>
                <w:sz w:val="24"/>
                <w:szCs w:val="24"/>
                <w:highlight w:val="none"/>
                <w:u w:val="single"/>
                <w:lang w:val="en-US" w:eastAsia="zh-CN"/>
              </w:rPr>
              <w:t>废机油</w:t>
            </w:r>
            <w:r>
              <w:rPr>
                <w:rFonts w:hint="default"/>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cs="Times New Roman"/>
                <w:sz w:val="24"/>
                <w:szCs w:val="24"/>
                <w:lang w:val="en-US" w:eastAsia="zh-CN"/>
              </w:rPr>
              <w:t>本项目为新建项目，无</w:t>
            </w:r>
            <w:r>
              <w:rPr>
                <w:rFonts w:hint="default" w:ascii="Times New Roman" w:hAnsi="Times New Roman" w:cs="Times New Roman"/>
                <w:bCs/>
                <w:color w:val="000000" w:themeColor="text1"/>
                <w:kern w:val="2"/>
                <w:sz w:val="24"/>
                <w:szCs w:val="24"/>
                <w:u w:val="none"/>
                <w:lang w:val="en-US" w:eastAsia="zh-CN"/>
                <w14:textFill>
                  <w14:solidFill>
                    <w14:schemeClr w14:val="tx1"/>
                  </w14:solidFill>
                </w14:textFill>
              </w:rPr>
              <w:t>原有环境污染问题</w:t>
            </w:r>
            <w:r>
              <w:rPr>
                <w:rFonts w:hint="eastAsia" w:ascii="Times New Roman" w:hAnsi="Times New Roman" w:cs="Times New Roman"/>
                <w:bCs/>
                <w:color w:val="000000" w:themeColor="text1"/>
                <w:kern w:val="2"/>
                <w:sz w:val="24"/>
                <w:szCs w:val="24"/>
                <w:u w:val="none"/>
                <w:lang w:val="en-US" w:eastAsia="zh-CN"/>
                <w14:textFill>
                  <w14:solidFill>
                    <w14:schemeClr w14:val="tx1"/>
                  </w14:solidFill>
                </w14:textFill>
              </w:rPr>
              <w:t>。</w:t>
            </w:r>
          </w:p>
        </w:tc>
      </w:tr>
    </w:tbl>
    <w:p>
      <w:pPr>
        <w:pStyle w:val="22"/>
        <w:jc w:val="center"/>
        <w:rPr>
          <w:rFonts w:ascii="黑体" w:hAnsi="黑体" w:eastAsia="黑体"/>
          <w:snapToGrid w:val="0"/>
          <w:color w:val="000000"/>
          <w:sz w:val="36"/>
          <w:szCs w:val="36"/>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14" w:lineRule="auto"/>
        <w:jc w:val="center"/>
        <w:outlineLvl w:val="0"/>
        <w:rPr>
          <w:rFonts w:hint="eastAsia" w:ascii="黑体" w:hAnsi="黑体" w:eastAsia="黑体"/>
          <w:snapToGrid w:val="0"/>
          <w:color w:val="000000"/>
          <w:sz w:val="30"/>
          <w:szCs w:val="30"/>
          <w:u w:val="none"/>
        </w:rPr>
      </w:pPr>
    </w:p>
    <w:p>
      <w:pPr>
        <w:pStyle w:val="22"/>
        <w:jc w:val="center"/>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4" w:hRule="atLeast"/>
          <w:jc w:val="center"/>
        </w:trPr>
        <w:tc>
          <w:tcPr>
            <w:tcW w:w="800" w:type="dxa"/>
            <w:noWrap w:val="0"/>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区域</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环境</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质量</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现状</w:t>
            </w:r>
          </w:p>
        </w:tc>
        <w:tc>
          <w:tcPr>
            <w:tcW w:w="81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eastAsia="宋体" w:cs="Times New Roman"/>
                <w:b/>
                <w:bCs/>
                <w:color w:val="000000"/>
                <w:sz w:val="28"/>
                <w:szCs w:val="28"/>
                <w:u w:val="none"/>
                <w:lang w:val="en-US" w:eastAsia="zh-CN" w:bidi="zh-CN"/>
              </w:rPr>
              <w:t>1、环境空气质量现状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（1）基本污染因子监测</w:t>
            </w:r>
          </w:p>
          <w:p>
            <w:pPr>
              <w:spacing w:line="360" w:lineRule="auto"/>
              <w:ind w:firstLine="480" w:firstLineChars="200"/>
              <w:rPr>
                <w:rFonts w:hint="eastAsia" w:ascii="Times New Roman" w:hAnsi="Times New Roman"/>
                <w:sz w:val="24"/>
                <w:szCs w:val="24"/>
              </w:rPr>
            </w:pPr>
            <w:r>
              <w:rPr>
                <w:rFonts w:ascii="Times New Roman" w:hAnsi="Times New Roman"/>
                <w:sz w:val="24"/>
                <w:szCs w:val="24"/>
              </w:rPr>
              <w:t>根据洛阳市生态环境主管部门公开发布的20</w:t>
            </w:r>
            <w:r>
              <w:rPr>
                <w:rFonts w:hint="eastAsia" w:ascii="Times New Roman" w:hAnsi="Times New Roman"/>
                <w:sz w:val="24"/>
                <w:szCs w:val="24"/>
              </w:rPr>
              <w:t>22</w:t>
            </w:r>
            <w:r>
              <w:rPr>
                <w:rFonts w:ascii="Times New Roman" w:hAnsi="Times New Roman"/>
                <w:sz w:val="24"/>
                <w:szCs w:val="24"/>
              </w:rPr>
              <w:t>年洛阳市生态环境状况公报，监测因子为：细颗粒物（PM</w:t>
            </w:r>
            <w:r>
              <w:rPr>
                <w:rFonts w:ascii="Times New Roman" w:hAnsi="Times New Roman"/>
                <w:sz w:val="24"/>
                <w:szCs w:val="24"/>
                <w:vertAlign w:val="subscript"/>
              </w:rPr>
              <w:t>2.5</w:t>
            </w:r>
            <w:r>
              <w:rPr>
                <w:rFonts w:ascii="Times New Roman" w:hAnsi="Times New Roman"/>
                <w:sz w:val="24"/>
                <w:szCs w:val="24"/>
              </w:rPr>
              <w:t>）、可吸入颗粒物（PM</w:t>
            </w:r>
            <w:r>
              <w:rPr>
                <w:rFonts w:ascii="Times New Roman" w:hAnsi="Times New Roman"/>
                <w:sz w:val="24"/>
                <w:szCs w:val="24"/>
                <w:vertAlign w:val="subscript"/>
              </w:rPr>
              <w:t>10</w:t>
            </w:r>
            <w:r>
              <w:rPr>
                <w:rFonts w:ascii="Times New Roman" w:hAnsi="Times New Roman"/>
                <w:sz w:val="24"/>
                <w:szCs w:val="24"/>
              </w:rPr>
              <w:t>）、臭氧（O</w:t>
            </w:r>
            <w:r>
              <w:rPr>
                <w:rFonts w:ascii="Times New Roman" w:hAnsi="Times New Roman"/>
                <w:sz w:val="24"/>
                <w:szCs w:val="24"/>
                <w:vertAlign w:val="subscript"/>
              </w:rPr>
              <w:t>3</w:t>
            </w:r>
            <w:r>
              <w:rPr>
                <w:rFonts w:ascii="Times New Roman" w:hAnsi="Times New Roman"/>
                <w:sz w:val="24"/>
                <w:szCs w:val="24"/>
              </w:rPr>
              <w:t>）、二氧化氮（NO</w:t>
            </w:r>
            <w:r>
              <w:rPr>
                <w:rFonts w:ascii="Times New Roman" w:hAnsi="Times New Roman"/>
                <w:sz w:val="24"/>
                <w:szCs w:val="24"/>
                <w:vertAlign w:val="subscript"/>
              </w:rPr>
              <w:t>2</w:t>
            </w:r>
            <w:r>
              <w:rPr>
                <w:rFonts w:ascii="Times New Roman" w:hAnsi="Times New Roman"/>
                <w:sz w:val="24"/>
                <w:szCs w:val="24"/>
              </w:rPr>
              <w:t>）、一氧化碳（CO）和二氧化硫（SO</w:t>
            </w:r>
            <w:r>
              <w:rPr>
                <w:rFonts w:ascii="Times New Roman" w:hAnsi="Times New Roman"/>
                <w:sz w:val="24"/>
                <w:szCs w:val="24"/>
                <w:vertAlign w:val="subscript"/>
              </w:rPr>
              <w:t>2</w:t>
            </w:r>
            <w:r>
              <w:rPr>
                <w:rFonts w:ascii="Times New Roman" w:hAnsi="Times New Roman"/>
                <w:sz w:val="24"/>
                <w:szCs w:val="24"/>
              </w:rPr>
              <w:t>），监测结果见下表。</w:t>
            </w:r>
          </w:p>
          <w:p>
            <w:pPr>
              <w:spacing w:before="93" w:beforeLines="30"/>
              <w:ind w:firstLine="482" w:firstLineChars="2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w:t>
            </w:r>
            <w:r>
              <w:rPr>
                <w:rFonts w:hint="default" w:ascii="Times New Roman" w:hAnsi="Times New Roman" w:eastAsia="宋体" w:cs="Times New Roman"/>
                <w:b/>
                <w:bCs/>
                <w:sz w:val="24"/>
                <w:szCs w:val="24"/>
                <w:lang w:val="en-US" w:eastAsia="zh-CN"/>
              </w:rPr>
              <w:t xml:space="preserve">0   </w:t>
            </w:r>
            <w:r>
              <w:rPr>
                <w:rFonts w:hint="default" w:ascii="Times New Roman" w:hAnsi="Times New Roman" w:eastAsia="宋体" w:cs="Times New Roman"/>
                <w:b/>
                <w:bCs/>
                <w:sz w:val="24"/>
                <w:szCs w:val="24"/>
              </w:rPr>
              <w:t>洛阳市区域环境空气质量现状评价表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81"/>
              <w:gridCol w:w="2096"/>
              <w:gridCol w:w="1946"/>
              <w:gridCol w:w="179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污染物</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评价指标</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现状浓度/(μg/m</w:t>
                  </w:r>
                  <w:r>
                    <w:rPr>
                      <w:rStyle w:val="92"/>
                      <w:sz w:val="21"/>
                      <w:szCs w:val="21"/>
                      <w:vertAlign w:val="superscript"/>
                    </w:rPr>
                    <w:t>3</w:t>
                  </w:r>
                  <w:r>
                    <w:rPr>
                      <w:rStyle w:val="92"/>
                      <w:sz w:val="21"/>
                      <w:szCs w:val="21"/>
                    </w:rPr>
                    <w:t>)</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标准值/(μg/m</w:t>
                  </w:r>
                  <w:r>
                    <w:rPr>
                      <w:rStyle w:val="92"/>
                      <w:sz w:val="21"/>
                      <w:szCs w:val="21"/>
                      <w:vertAlign w:val="superscript"/>
                    </w:rPr>
                    <w:t>3</w:t>
                  </w:r>
                  <w:r>
                    <w:rPr>
                      <w:rStyle w:val="92"/>
                      <w:rFonts w:hint="eastAsia"/>
                      <w:sz w:val="21"/>
                      <w:szCs w:val="21"/>
                    </w:rPr>
                    <w:t>)</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2"/>
                      <w:szCs w:val="21"/>
                    </w:rPr>
                  </w:pPr>
                  <w:r>
                    <w:rPr>
                      <w:rFonts w:ascii="Times New Roman" w:hAnsi="Times New Roman"/>
                      <w:kern w:val="0"/>
                      <w:szCs w:val="21"/>
                    </w:rPr>
                    <w:t>PM</w:t>
                  </w:r>
                  <w:r>
                    <w:rPr>
                      <w:rFonts w:ascii="Times New Roman" w:hAnsi="Times New Roman"/>
                      <w:kern w:val="0"/>
                      <w:szCs w:val="21"/>
                      <w:vertAlign w:val="subscript"/>
                    </w:rPr>
                    <w:t>2.5</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rFonts w:hint="eastAsia"/>
                      <w:sz w:val="21"/>
                      <w:szCs w:val="21"/>
                    </w:rPr>
                    <w:t>47</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35</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2"/>
                      <w:szCs w:val="21"/>
                    </w:rPr>
                  </w:pPr>
                  <w:r>
                    <w:rPr>
                      <w:rFonts w:ascii="Times New Roman" w:hAnsi="Times New Roman"/>
                      <w:kern w:val="0"/>
                      <w:szCs w:val="21"/>
                    </w:rPr>
                    <w:t>PM</w:t>
                  </w:r>
                  <w:r>
                    <w:rPr>
                      <w:rFonts w:ascii="Times New Roman" w:hAnsi="Times New Roman"/>
                      <w:kern w:val="0"/>
                      <w:szCs w:val="21"/>
                      <w:vertAlign w:val="subscript"/>
                    </w:rPr>
                    <w:t>10</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rFonts w:hint="eastAsia"/>
                      <w:sz w:val="21"/>
                      <w:szCs w:val="21"/>
                    </w:rPr>
                    <w:t>80</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70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Times New Roman" w:hAnsi="Times New Roman" w:cs="Times New Roman"/>
                      <w:kern w:val="0"/>
                      <w:sz w:val="21"/>
                      <w:szCs w:val="21"/>
                    </w:rPr>
                  </w:pPr>
                  <w:r>
                    <w:rPr>
                      <w:rStyle w:val="92"/>
                      <w:sz w:val="21"/>
                      <w:szCs w:val="21"/>
                    </w:rPr>
                    <w:t>O</w:t>
                  </w:r>
                  <w:r>
                    <w:rPr>
                      <w:rStyle w:val="92"/>
                      <w:sz w:val="21"/>
                      <w:szCs w:val="21"/>
                      <w:vertAlign w:val="subscript"/>
                    </w:rPr>
                    <w:t>3</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日最大8h平均质量浓度第90百分位数</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rFonts w:hint="eastAsia"/>
                      <w:sz w:val="21"/>
                      <w:szCs w:val="21"/>
                    </w:rPr>
                    <w:t>171</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160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kern w:val="0"/>
                      <w:szCs w:val="21"/>
                    </w:rPr>
                  </w:pPr>
                  <w:r>
                    <w:rPr>
                      <w:rStyle w:val="92"/>
                      <w:szCs w:val="21"/>
                    </w:rPr>
                    <w:t>CO</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24h平均质量浓度第95百分位数</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rFonts w:hint="eastAsia"/>
                      <w:sz w:val="21"/>
                      <w:szCs w:val="21"/>
                    </w:rPr>
                    <w:t>1.2</w:t>
                  </w:r>
                  <w:r>
                    <w:rPr>
                      <w:rStyle w:val="92"/>
                      <w:sz w:val="21"/>
                      <w:szCs w:val="21"/>
                    </w:rPr>
                    <w:t>mg/m</w:t>
                  </w:r>
                  <w:r>
                    <w:rPr>
                      <w:rStyle w:val="92"/>
                      <w:sz w:val="21"/>
                      <w:szCs w:val="21"/>
                      <w:vertAlign w:val="superscript"/>
                    </w:rPr>
                    <w:t>3</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4.0mg/m</w:t>
                  </w:r>
                  <w:r>
                    <w:rPr>
                      <w:rStyle w:val="92"/>
                      <w:sz w:val="21"/>
                      <w:szCs w:val="21"/>
                      <w:vertAlign w:val="superscript"/>
                    </w:rPr>
                    <w:t>3</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2"/>
                      <w:szCs w:val="21"/>
                    </w:rPr>
                  </w:pPr>
                  <w:r>
                    <w:rPr>
                      <w:rFonts w:ascii="Times New Roman" w:hAnsi="Times New Roman"/>
                      <w:kern w:val="0"/>
                      <w:szCs w:val="21"/>
                    </w:rPr>
                    <w:t>SO</w:t>
                  </w:r>
                  <w:r>
                    <w:rPr>
                      <w:rFonts w:ascii="Times New Roman" w:hAnsi="Times New Roman"/>
                      <w:kern w:val="0"/>
                      <w:szCs w:val="21"/>
                      <w:vertAlign w:val="subscript"/>
                    </w:rPr>
                    <w:t>2</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rFonts w:hint="eastAsia"/>
                      <w:sz w:val="21"/>
                      <w:szCs w:val="21"/>
                    </w:rPr>
                    <w:t>7</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60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2"/>
                      <w:szCs w:val="21"/>
                    </w:rPr>
                  </w:pPr>
                  <w:r>
                    <w:rPr>
                      <w:rFonts w:ascii="Times New Roman" w:hAnsi="Times New Roman"/>
                      <w:kern w:val="0"/>
                      <w:szCs w:val="21"/>
                    </w:rPr>
                    <w:t>NO</w:t>
                  </w:r>
                  <w:r>
                    <w:rPr>
                      <w:rFonts w:ascii="Times New Roman" w:hAnsi="Times New Roman"/>
                      <w:kern w:val="0"/>
                      <w:szCs w:val="21"/>
                      <w:vertAlign w:val="subscript"/>
                    </w:rPr>
                    <w:t>2</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rFonts w:hint="eastAsia"/>
                      <w:sz w:val="21"/>
                      <w:szCs w:val="21"/>
                    </w:rPr>
                    <w:t>26</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40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2"/>
                      <w:sz w:val="21"/>
                      <w:szCs w:val="21"/>
                    </w:rPr>
                  </w:pPr>
                  <w:r>
                    <w:rPr>
                      <w:rStyle w:val="92"/>
                      <w:sz w:val="21"/>
                      <w:szCs w:val="21"/>
                    </w:rPr>
                    <w:t>达标</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ascii="Times New Roman" w:hAnsi="Times New Roman"/>
                <w:sz w:val="24"/>
                <w:szCs w:val="24"/>
              </w:rPr>
              <w:t>由上表可知，洛阳市区域PM</w:t>
            </w:r>
            <w:r>
              <w:rPr>
                <w:rFonts w:ascii="Times New Roman" w:hAnsi="Times New Roman"/>
                <w:sz w:val="24"/>
                <w:szCs w:val="24"/>
                <w:vertAlign w:val="subscript"/>
              </w:rPr>
              <w:t>2.5</w:t>
            </w:r>
            <w:r>
              <w:rPr>
                <w:rFonts w:ascii="Times New Roman" w:hAnsi="Times New Roman"/>
                <w:sz w:val="24"/>
                <w:szCs w:val="24"/>
              </w:rPr>
              <w:t>和PM</w:t>
            </w:r>
            <w:r>
              <w:rPr>
                <w:rFonts w:ascii="Times New Roman" w:hAnsi="Times New Roman"/>
                <w:sz w:val="24"/>
                <w:szCs w:val="24"/>
                <w:vertAlign w:val="subscript"/>
              </w:rPr>
              <w:t>10</w:t>
            </w:r>
            <w:r>
              <w:rPr>
                <w:rFonts w:ascii="Times New Roman" w:hAnsi="Times New Roman"/>
                <w:sz w:val="24"/>
                <w:szCs w:val="24"/>
              </w:rPr>
              <w:t>的年均浓度、臭氧的日平均浓度不能满足《环境空气质量标准》（GB3095-2012）二级标准浓度限值要求，因此202</w:t>
            </w:r>
            <w:r>
              <w:rPr>
                <w:rFonts w:hint="eastAsia" w:ascii="Times New Roman" w:hAnsi="Times New Roman"/>
                <w:sz w:val="24"/>
                <w:szCs w:val="24"/>
              </w:rPr>
              <w:t>2</w:t>
            </w:r>
            <w:r>
              <w:rPr>
                <w:rFonts w:ascii="Times New Roman" w:hAnsi="Times New Roman"/>
                <w:sz w:val="24"/>
                <w:szCs w:val="24"/>
              </w:rPr>
              <w:t>年度洛阳市属于不达标区</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针对区域大气环境质量现状超标的情况，有关部门出台了《洛阳市生态环境保护委员会办公室关于印发洛阳市2023年蓝天、碧水、净土保卫战实施方案的通知》（洛环委办〔2023〕24号）相关大气治理文件，通过治理区域环境质量状况正在逐步好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val="en-US" w:eastAsia="zh-CN"/>
              </w:rPr>
              <w:t>（2）特征污染因子监测</w:t>
            </w:r>
          </w:p>
          <w:p>
            <w:pPr>
              <w:spacing w:line="360" w:lineRule="auto"/>
              <w:ind w:firstLine="480" w:firstLineChars="200"/>
              <w:rPr>
                <w:rFonts w:ascii="Times New Roman" w:hAnsi="Times New Roman" w:eastAsia="黑体"/>
                <w:color w:val="000000"/>
                <w:sz w:val="24"/>
              </w:rPr>
            </w:pPr>
            <w:r>
              <w:rPr>
                <w:rFonts w:hint="eastAsia"/>
                <w:bCs/>
                <w:color w:val="000000"/>
                <w:sz w:val="24"/>
              </w:rPr>
              <w:t>为了解项目周围环境空气质量中非甲烷总烃现状，本次评价借用《洛阳帝玖电缆有限公司年产10万米矿物质防火电缆和年产10万米1000V电缆扩建项目环境影响报告》中的大气监测资料：监测时间为2021年1月27日—2021年2月2日连续七天，</w:t>
            </w:r>
            <w:r>
              <w:rPr>
                <w:rFonts w:hint="eastAsia"/>
                <w:bCs/>
                <w:color w:val="000000"/>
                <w:sz w:val="24"/>
                <w:lang w:eastAsia="zh-CN"/>
              </w:rPr>
              <w:t>监测点位</w:t>
            </w:r>
            <w:r>
              <w:rPr>
                <w:rFonts w:hint="eastAsia"/>
                <w:bCs/>
                <w:color w:val="000000"/>
                <w:sz w:val="24"/>
              </w:rPr>
              <w:t>虹桥外国语学校（</w:t>
            </w:r>
            <w:r>
              <w:rPr>
                <w:rFonts w:ascii="Times New Roman" w:hAnsi="Times New Roman"/>
                <w:bCs/>
                <w:color w:val="000000"/>
                <w:sz w:val="24"/>
              </w:rPr>
              <w:t>本项目西南</w:t>
            </w:r>
            <w:r>
              <w:rPr>
                <w:rFonts w:hint="eastAsia"/>
                <w:bCs/>
                <w:color w:val="000000"/>
                <w:sz w:val="24"/>
                <w:lang w:val="en-US" w:eastAsia="zh-CN"/>
              </w:rPr>
              <w:t>2.1km</w:t>
            </w:r>
            <w:r>
              <w:rPr>
                <w:rFonts w:ascii="Times New Roman" w:hAnsi="Times New Roman"/>
                <w:bCs/>
                <w:color w:val="000000"/>
                <w:sz w:val="24"/>
              </w:rPr>
              <w:t>）</w:t>
            </w:r>
            <w:r>
              <w:rPr>
                <w:rFonts w:hint="eastAsia" w:ascii="Times New Roman" w:hAnsi="Times New Roman"/>
                <w:bCs/>
                <w:color w:val="000000"/>
                <w:sz w:val="24"/>
                <w:lang w:eastAsia="zh-CN"/>
              </w:rPr>
              <w:t>，</w:t>
            </w:r>
            <w:r>
              <w:rPr>
                <w:rFonts w:ascii="Times New Roman" w:hAnsi="Times New Roman"/>
                <w:bCs/>
                <w:color w:val="000000"/>
                <w:sz w:val="24"/>
              </w:rPr>
              <w:t>监测结果见下表</w:t>
            </w:r>
            <w:r>
              <w:rPr>
                <w:rFonts w:ascii="Times New Roman" w:hAnsi="Times New Roman"/>
                <w:color w:val="000000"/>
                <w:sz w:val="24"/>
              </w:rPr>
              <w:t>。</w:t>
            </w:r>
          </w:p>
          <w:p>
            <w:pPr>
              <w:pStyle w:val="79"/>
              <w:spacing w:line="240" w:lineRule="auto"/>
              <w:ind w:firstLine="480"/>
              <w:jc w:val="center"/>
              <w:rPr>
                <w:rFonts w:hint="default" w:ascii="Times New Roman" w:hAnsi="Times New Roman" w:eastAsia="宋体" w:cs="Times New Roman"/>
                <w:b/>
                <w:bCs/>
                <w:color w:val="000000"/>
                <w:sz w:val="24"/>
                <w:szCs w:val="24"/>
                <w:highlight w:val="none"/>
                <w:u w:val="none"/>
              </w:rPr>
            </w:pPr>
          </w:p>
          <w:p>
            <w:pPr>
              <w:pStyle w:val="79"/>
              <w:spacing w:line="240" w:lineRule="auto"/>
              <w:ind w:firstLine="480"/>
              <w:jc w:val="center"/>
              <w:rPr>
                <w:rFonts w:hint="default" w:ascii="Times New Roman" w:hAnsi="Times New Roman" w:eastAsia="宋体" w:cs="Times New Roman"/>
                <w:b/>
                <w:bCs/>
                <w:color w:val="000000"/>
                <w:sz w:val="24"/>
                <w:szCs w:val="24"/>
                <w:highlight w:val="none"/>
                <w:u w:val="none"/>
              </w:rPr>
            </w:pPr>
          </w:p>
          <w:p>
            <w:pPr>
              <w:pStyle w:val="79"/>
              <w:spacing w:line="240" w:lineRule="auto"/>
              <w:ind w:firstLine="480"/>
              <w:jc w:val="center"/>
              <w:rPr>
                <w:rFonts w:hint="default" w:ascii="Times New Roman" w:hAnsi="Times New Roman" w:eastAsia="宋体" w:cs="Times New Roman"/>
                <w:b/>
                <w:bCs/>
                <w:color w:val="000000"/>
                <w:sz w:val="24"/>
                <w:szCs w:val="24"/>
                <w:highlight w:val="none"/>
                <w:u w:val="none"/>
              </w:rPr>
            </w:pPr>
          </w:p>
          <w:p>
            <w:pPr>
              <w:pStyle w:val="79"/>
              <w:spacing w:line="240" w:lineRule="auto"/>
              <w:ind w:firstLine="480"/>
              <w:jc w:val="center"/>
              <w:rPr>
                <w:rFonts w:hint="default" w:ascii="Times New Roman" w:hAnsi="Times New Roman" w:eastAsia="宋体" w:cs="Times New Roman"/>
                <w:b/>
                <w:bCs/>
                <w:color w:val="000000"/>
                <w:highlight w:val="none"/>
                <w:u w:val="none"/>
              </w:rPr>
            </w:pPr>
            <w:r>
              <w:rPr>
                <w:rFonts w:hint="default" w:ascii="Times New Roman" w:hAnsi="Times New Roman" w:eastAsia="宋体" w:cs="Times New Roman"/>
                <w:b/>
                <w:bCs/>
                <w:color w:val="000000"/>
                <w:sz w:val="24"/>
                <w:szCs w:val="24"/>
                <w:highlight w:val="none"/>
                <w:u w:val="none"/>
              </w:rPr>
              <w:t>表</w:t>
            </w:r>
            <w:r>
              <w:rPr>
                <w:rFonts w:hint="eastAsia" w:eastAsia="宋体" w:cs="Times New Roman"/>
                <w:b/>
                <w:bCs/>
                <w:color w:val="000000"/>
                <w:sz w:val="24"/>
                <w:szCs w:val="24"/>
                <w:highlight w:val="none"/>
                <w:u w:val="none"/>
                <w:lang w:val="en-US" w:eastAsia="zh-CN"/>
              </w:rPr>
              <w:t>11</w:t>
            </w:r>
            <w:r>
              <w:rPr>
                <w:rFonts w:hint="default" w:ascii="Times New Roman" w:hAnsi="Times New Roman" w:eastAsia="宋体" w:cs="Times New Roman"/>
                <w:b/>
                <w:bCs/>
                <w:color w:val="000000"/>
                <w:sz w:val="24"/>
                <w:szCs w:val="24"/>
                <w:highlight w:val="none"/>
                <w:u w:val="none"/>
              </w:rPr>
              <w:t xml:space="preserve">  </w:t>
            </w:r>
            <w:r>
              <w:rPr>
                <w:rFonts w:hint="eastAsia" w:ascii="Times New Roman" w:hAnsi="Times New Roman" w:eastAsia="宋体" w:cs="Times New Roman"/>
                <w:b/>
                <w:bCs/>
                <w:color w:val="000000"/>
                <w:sz w:val="24"/>
                <w:szCs w:val="24"/>
                <w:highlight w:val="none"/>
                <w:u w:val="none"/>
                <w:lang w:val="en-US" w:eastAsia="zh-CN"/>
              </w:rPr>
              <w:t xml:space="preserve"> </w:t>
            </w:r>
            <w:r>
              <w:rPr>
                <w:rFonts w:hint="default" w:ascii="Times New Roman" w:hAnsi="Times New Roman" w:eastAsia="宋体" w:cs="Times New Roman"/>
                <w:b/>
                <w:bCs/>
                <w:color w:val="000000"/>
                <w:sz w:val="24"/>
                <w:szCs w:val="24"/>
                <w:highlight w:val="none"/>
                <w:u w:val="none"/>
              </w:rPr>
              <w:t>项目周边空气质量现状评价表</w:t>
            </w:r>
          </w:p>
          <w:tbl>
            <w:tblPr>
              <w:tblStyle w:val="25"/>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56"/>
              <w:gridCol w:w="982"/>
              <w:gridCol w:w="920"/>
              <w:gridCol w:w="1066"/>
              <w:gridCol w:w="950"/>
              <w:gridCol w:w="1282"/>
              <w:gridCol w:w="740"/>
              <w:gridCol w:w="9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64" w:type="pct"/>
                  <w:noWrap w:val="0"/>
                  <w:vAlign w:val="center"/>
                </w:tcPr>
                <w:p>
                  <w:pPr>
                    <w:jc w:val="center"/>
                    <w:rPr>
                      <w:rFonts w:ascii="Times New Roman" w:hAnsi="Times New Roman"/>
                      <w:color w:val="000000"/>
                      <w:szCs w:val="21"/>
                    </w:rPr>
                  </w:pPr>
                  <w:r>
                    <w:rPr>
                      <w:rFonts w:ascii="Times New Roman" w:hAnsi="Times New Roman"/>
                      <w:color w:val="000000"/>
                      <w:szCs w:val="21"/>
                    </w:rPr>
                    <w:t>监测点位</w:t>
                  </w:r>
                </w:p>
              </w:tc>
              <w:tc>
                <w:tcPr>
                  <w:tcW w:w="617" w:type="pct"/>
                  <w:noWrap w:val="0"/>
                  <w:vAlign w:val="center"/>
                </w:tcPr>
                <w:p>
                  <w:pPr>
                    <w:jc w:val="center"/>
                    <w:rPr>
                      <w:rFonts w:ascii="Times New Roman" w:hAnsi="Times New Roman"/>
                      <w:color w:val="000000"/>
                      <w:szCs w:val="21"/>
                    </w:rPr>
                  </w:pPr>
                  <w:r>
                    <w:rPr>
                      <w:rFonts w:ascii="Times New Roman" w:hAnsi="Times New Roman"/>
                      <w:color w:val="000000"/>
                      <w:szCs w:val="21"/>
                    </w:rPr>
                    <w:t>污染物</w:t>
                  </w:r>
                </w:p>
              </w:tc>
              <w:tc>
                <w:tcPr>
                  <w:tcW w:w="578" w:type="pct"/>
                  <w:noWrap w:val="0"/>
                  <w:vAlign w:val="center"/>
                </w:tcPr>
                <w:p>
                  <w:pPr>
                    <w:jc w:val="center"/>
                    <w:rPr>
                      <w:rFonts w:ascii="Times New Roman" w:hAnsi="Times New Roman"/>
                      <w:color w:val="000000"/>
                      <w:szCs w:val="21"/>
                    </w:rPr>
                  </w:pPr>
                  <w:r>
                    <w:rPr>
                      <w:rFonts w:ascii="Times New Roman" w:hAnsi="Times New Roman"/>
                      <w:color w:val="000000"/>
                      <w:szCs w:val="21"/>
                    </w:rPr>
                    <w:t>评价指标</w:t>
                  </w:r>
                </w:p>
              </w:tc>
              <w:tc>
                <w:tcPr>
                  <w:tcW w:w="670" w:type="pct"/>
                  <w:noWrap w:val="0"/>
                  <w:vAlign w:val="center"/>
                </w:tcPr>
                <w:p>
                  <w:pPr>
                    <w:jc w:val="center"/>
                    <w:rPr>
                      <w:rFonts w:ascii="Times New Roman" w:hAnsi="Times New Roman"/>
                      <w:color w:val="000000"/>
                      <w:szCs w:val="21"/>
                    </w:rPr>
                  </w:pPr>
                  <w:r>
                    <w:rPr>
                      <w:rFonts w:ascii="Times New Roman" w:hAnsi="Times New Roman"/>
                      <w:color w:val="000000"/>
                      <w:szCs w:val="21"/>
                    </w:rPr>
                    <w:t>浓度范围（μg/m</w:t>
                  </w:r>
                  <w:r>
                    <w:rPr>
                      <w:rFonts w:ascii="Times New Roman" w:hAnsi="Times New Roman"/>
                      <w:color w:val="000000"/>
                      <w:szCs w:val="21"/>
                      <w:vertAlign w:val="superscript"/>
                    </w:rPr>
                    <w:t>3</w:t>
                  </w:r>
                  <w:r>
                    <w:rPr>
                      <w:rFonts w:ascii="Times New Roman" w:hAnsi="Times New Roman"/>
                      <w:color w:val="000000"/>
                      <w:szCs w:val="21"/>
                    </w:rPr>
                    <w:t>）</w:t>
                  </w:r>
                </w:p>
              </w:tc>
              <w:tc>
                <w:tcPr>
                  <w:tcW w:w="597" w:type="pct"/>
                  <w:noWrap w:val="0"/>
                  <w:vAlign w:val="center"/>
                </w:tcPr>
                <w:p>
                  <w:pPr>
                    <w:jc w:val="center"/>
                    <w:rPr>
                      <w:rFonts w:ascii="Times New Roman" w:hAnsi="Times New Roman"/>
                      <w:color w:val="000000"/>
                      <w:szCs w:val="21"/>
                    </w:rPr>
                  </w:pPr>
                  <w:r>
                    <w:rPr>
                      <w:rFonts w:ascii="Times New Roman" w:hAnsi="Times New Roman"/>
                      <w:color w:val="000000"/>
                      <w:szCs w:val="21"/>
                    </w:rPr>
                    <w:t>评价标准（μg/m</w:t>
                  </w:r>
                  <w:r>
                    <w:rPr>
                      <w:rFonts w:ascii="Times New Roman" w:hAnsi="Times New Roman"/>
                      <w:color w:val="000000"/>
                      <w:szCs w:val="21"/>
                      <w:vertAlign w:val="superscript"/>
                    </w:rPr>
                    <w:t>3</w:t>
                  </w:r>
                  <w:r>
                    <w:rPr>
                      <w:rFonts w:ascii="Times New Roman" w:hAnsi="Times New Roman"/>
                      <w:color w:val="000000"/>
                      <w:szCs w:val="21"/>
                    </w:rPr>
                    <w:t>）</w:t>
                  </w:r>
                </w:p>
              </w:tc>
              <w:tc>
                <w:tcPr>
                  <w:tcW w:w="806" w:type="pct"/>
                  <w:noWrap w:val="0"/>
                  <w:vAlign w:val="center"/>
                </w:tcPr>
                <w:p>
                  <w:pPr>
                    <w:jc w:val="center"/>
                    <w:rPr>
                      <w:rFonts w:ascii="Times New Roman" w:hAnsi="Times New Roman"/>
                      <w:color w:val="000000"/>
                      <w:szCs w:val="21"/>
                    </w:rPr>
                  </w:pPr>
                  <w:r>
                    <w:rPr>
                      <w:rFonts w:ascii="Times New Roman" w:hAnsi="Times New Roman"/>
                      <w:color w:val="000000"/>
                      <w:szCs w:val="21"/>
                    </w:rPr>
                    <w:t>占标率</w:t>
                  </w:r>
                </w:p>
              </w:tc>
              <w:tc>
                <w:tcPr>
                  <w:tcW w:w="465" w:type="pct"/>
                  <w:noWrap w:val="0"/>
                  <w:vAlign w:val="center"/>
                </w:tcPr>
                <w:p>
                  <w:pPr>
                    <w:jc w:val="center"/>
                    <w:rPr>
                      <w:rFonts w:ascii="Times New Roman" w:hAnsi="Times New Roman"/>
                      <w:color w:val="000000"/>
                      <w:szCs w:val="21"/>
                    </w:rPr>
                  </w:pPr>
                  <w:r>
                    <w:rPr>
                      <w:rFonts w:ascii="Times New Roman" w:hAnsi="Times New Roman"/>
                      <w:color w:val="000000"/>
                      <w:szCs w:val="21"/>
                    </w:rPr>
                    <w:t>超标率（%）</w:t>
                  </w:r>
                </w:p>
              </w:tc>
              <w:tc>
                <w:tcPr>
                  <w:tcW w:w="599" w:type="pct"/>
                  <w:noWrap w:val="0"/>
                  <w:vAlign w:val="center"/>
                </w:tcPr>
                <w:p>
                  <w:pPr>
                    <w:jc w:val="center"/>
                    <w:rPr>
                      <w:rFonts w:ascii="Times New Roman" w:hAnsi="Times New Roman"/>
                      <w:color w:val="000000"/>
                      <w:szCs w:val="21"/>
                    </w:rPr>
                  </w:pPr>
                  <w:r>
                    <w:rPr>
                      <w:rFonts w:ascii="Times New Roman" w:hAnsi="Times New Roman"/>
                      <w:color w:val="000000"/>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64" w:type="pct"/>
                  <w:noWrap w:val="0"/>
                  <w:vAlign w:val="center"/>
                </w:tcPr>
                <w:p>
                  <w:pPr>
                    <w:ind w:left="193" w:leftChars="92"/>
                    <w:jc w:val="center"/>
                    <w:rPr>
                      <w:rFonts w:ascii="Times New Roman" w:hAnsi="Times New Roman"/>
                      <w:color w:val="000000"/>
                      <w:szCs w:val="21"/>
                    </w:rPr>
                  </w:pPr>
                  <w:r>
                    <w:rPr>
                      <w:rFonts w:ascii="Times New Roman" w:hAnsi="Times New Roman"/>
                      <w:color w:val="000000"/>
                      <w:szCs w:val="21"/>
                    </w:rPr>
                    <w:t>虹桥外国语学校</w:t>
                  </w:r>
                </w:p>
              </w:tc>
              <w:tc>
                <w:tcPr>
                  <w:tcW w:w="617" w:type="pct"/>
                  <w:noWrap w:val="0"/>
                  <w:vAlign w:val="center"/>
                </w:tcPr>
                <w:p>
                  <w:pPr>
                    <w:jc w:val="center"/>
                    <w:rPr>
                      <w:rFonts w:ascii="Times New Roman" w:hAnsi="Times New Roman"/>
                      <w:color w:val="000000"/>
                      <w:szCs w:val="21"/>
                    </w:rPr>
                  </w:pPr>
                  <w:r>
                    <w:rPr>
                      <w:rFonts w:ascii="Times New Roman" w:hAnsi="Times New Roman"/>
                      <w:color w:val="000000"/>
                      <w:szCs w:val="21"/>
                    </w:rPr>
                    <w:t>非甲烷</w:t>
                  </w:r>
                </w:p>
                <w:p>
                  <w:pPr>
                    <w:jc w:val="center"/>
                    <w:rPr>
                      <w:rFonts w:ascii="Times New Roman" w:hAnsi="Times New Roman"/>
                      <w:color w:val="000000"/>
                      <w:szCs w:val="21"/>
                    </w:rPr>
                  </w:pPr>
                  <w:r>
                    <w:rPr>
                      <w:rFonts w:ascii="Times New Roman" w:hAnsi="Times New Roman"/>
                      <w:color w:val="000000"/>
                      <w:szCs w:val="21"/>
                    </w:rPr>
                    <w:t>总烃</w:t>
                  </w:r>
                </w:p>
              </w:tc>
              <w:tc>
                <w:tcPr>
                  <w:tcW w:w="578" w:type="pct"/>
                  <w:noWrap w:val="0"/>
                  <w:vAlign w:val="center"/>
                </w:tcPr>
                <w:p>
                  <w:pPr>
                    <w:jc w:val="center"/>
                    <w:rPr>
                      <w:rFonts w:ascii="Times New Roman" w:hAnsi="Times New Roman"/>
                      <w:color w:val="000000"/>
                      <w:szCs w:val="21"/>
                    </w:rPr>
                  </w:pPr>
                  <w:r>
                    <w:rPr>
                      <w:rFonts w:ascii="Times New Roman" w:hAnsi="Times New Roman"/>
                      <w:color w:val="000000"/>
                      <w:szCs w:val="21"/>
                    </w:rPr>
                    <w:t>1h平均浓度</w:t>
                  </w:r>
                </w:p>
              </w:tc>
              <w:tc>
                <w:tcPr>
                  <w:tcW w:w="670" w:type="pct"/>
                  <w:noWrap w:val="0"/>
                  <w:vAlign w:val="center"/>
                </w:tcPr>
                <w:p>
                  <w:pPr>
                    <w:jc w:val="center"/>
                    <w:rPr>
                      <w:rFonts w:ascii="Times New Roman" w:hAnsi="Times New Roman"/>
                      <w:color w:val="000000"/>
                      <w:szCs w:val="21"/>
                    </w:rPr>
                  </w:pPr>
                  <w:r>
                    <w:rPr>
                      <w:rFonts w:ascii="Times New Roman" w:hAnsi="Times New Roman"/>
                      <w:color w:val="000000"/>
                      <w:szCs w:val="21"/>
                    </w:rPr>
                    <w:t>190～280</w:t>
                  </w:r>
                </w:p>
              </w:tc>
              <w:tc>
                <w:tcPr>
                  <w:tcW w:w="597" w:type="pct"/>
                  <w:noWrap w:val="0"/>
                  <w:vAlign w:val="center"/>
                </w:tcPr>
                <w:p>
                  <w:pPr>
                    <w:jc w:val="center"/>
                    <w:rPr>
                      <w:rFonts w:ascii="Times New Roman" w:hAnsi="Times New Roman"/>
                      <w:color w:val="000000"/>
                      <w:szCs w:val="21"/>
                    </w:rPr>
                  </w:pPr>
                  <w:r>
                    <w:rPr>
                      <w:rFonts w:ascii="Times New Roman" w:hAnsi="Times New Roman"/>
                      <w:color w:val="000000"/>
                      <w:szCs w:val="21"/>
                    </w:rPr>
                    <w:t>2000</w:t>
                  </w:r>
                </w:p>
              </w:tc>
              <w:tc>
                <w:tcPr>
                  <w:tcW w:w="806" w:type="pct"/>
                  <w:noWrap w:val="0"/>
                  <w:vAlign w:val="center"/>
                </w:tcPr>
                <w:p>
                  <w:pPr>
                    <w:jc w:val="center"/>
                    <w:rPr>
                      <w:rFonts w:ascii="Times New Roman" w:hAnsi="Times New Roman"/>
                      <w:color w:val="000000"/>
                      <w:szCs w:val="21"/>
                    </w:rPr>
                  </w:pPr>
                  <w:r>
                    <w:rPr>
                      <w:rFonts w:ascii="Times New Roman" w:hAnsi="Times New Roman"/>
                      <w:color w:val="000000"/>
                      <w:szCs w:val="21"/>
                    </w:rPr>
                    <w:t>0.095～0.14</w:t>
                  </w:r>
                </w:p>
              </w:tc>
              <w:tc>
                <w:tcPr>
                  <w:tcW w:w="465" w:type="pct"/>
                  <w:noWrap w:val="0"/>
                  <w:vAlign w:val="center"/>
                </w:tcPr>
                <w:p>
                  <w:pPr>
                    <w:jc w:val="center"/>
                    <w:rPr>
                      <w:rFonts w:ascii="Times New Roman" w:hAnsi="Times New Roman"/>
                      <w:color w:val="000000"/>
                      <w:szCs w:val="21"/>
                    </w:rPr>
                  </w:pPr>
                  <w:r>
                    <w:rPr>
                      <w:rFonts w:ascii="Times New Roman" w:hAnsi="Times New Roman"/>
                      <w:color w:val="000000"/>
                      <w:szCs w:val="21"/>
                    </w:rPr>
                    <w:t>0</w:t>
                  </w:r>
                </w:p>
              </w:tc>
              <w:tc>
                <w:tcPr>
                  <w:tcW w:w="599" w:type="pct"/>
                  <w:noWrap w:val="0"/>
                  <w:vAlign w:val="center"/>
                </w:tcPr>
                <w:p>
                  <w:pPr>
                    <w:jc w:val="center"/>
                    <w:rPr>
                      <w:rFonts w:ascii="Times New Roman" w:hAnsi="Times New Roman"/>
                      <w:color w:val="000000"/>
                      <w:szCs w:val="21"/>
                    </w:rPr>
                  </w:pPr>
                  <w:r>
                    <w:rPr>
                      <w:rFonts w:ascii="Times New Roman" w:hAnsi="Times New Roman"/>
                      <w:color w:val="000000"/>
                      <w:szCs w:val="21"/>
                    </w:rPr>
                    <w:t>达标</w:t>
                  </w:r>
                </w:p>
              </w:tc>
            </w:tr>
          </w:tbl>
          <w:p>
            <w:pPr>
              <w:pStyle w:val="53"/>
              <w:spacing w:line="360" w:lineRule="auto"/>
              <w:ind w:firstLine="480"/>
              <w:rPr>
                <w:highlight w:val="none"/>
                <w:u w:val="none"/>
              </w:rPr>
            </w:pPr>
            <w:r>
              <w:rPr>
                <w:rFonts w:hint="default" w:ascii="Times New Roman" w:hAnsi="Times New Roman" w:cs="Times New Roman"/>
                <w:color w:val="000000"/>
                <w:highlight w:val="none"/>
                <w:u w:val="none"/>
              </w:rPr>
              <w:t>由上表可知：本项目</w:t>
            </w:r>
            <w:r>
              <w:rPr>
                <w:rFonts w:hint="default" w:ascii="Times New Roman" w:hAnsi="Times New Roman" w:cs="Times New Roman"/>
                <w:color w:val="000000"/>
                <w:highlight w:val="none"/>
                <w:u w:val="none"/>
                <w:lang w:eastAsia="zh-CN"/>
              </w:rPr>
              <w:t>周边</w:t>
            </w:r>
            <w:r>
              <w:rPr>
                <w:rFonts w:hint="default" w:ascii="Times New Roman" w:hAnsi="Times New Roman" w:cs="Times New Roman"/>
                <w:color w:val="000000"/>
                <w:highlight w:val="none"/>
                <w:u w:val="none"/>
              </w:rPr>
              <w:t>非甲烷总烃满足《大气污染物综合排放标准详解》中</w:t>
            </w:r>
            <w:r>
              <w:rPr>
                <w:rFonts w:hint="default" w:ascii="Times New Roman" w:hAnsi="Times New Roman" w:cs="Times New Roman"/>
                <w:color w:val="000000"/>
                <w:highlight w:val="none"/>
                <w:u w:val="none"/>
                <w:lang w:eastAsia="zh-CN"/>
              </w:rPr>
              <w:t>的</w:t>
            </w:r>
            <w:r>
              <w:rPr>
                <w:rFonts w:hint="default" w:ascii="Times New Roman" w:hAnsi="Times New Roman" w:eastAsia="宋体" w:cs="Times New Roman"/>
                <w:color w:val="000000"/>
                <w:sz w:val="24"/>
                <w:szCs w:val="24"/>
                <w:highlight w:val="none"/>
                <w:u w:val="none"/>
                <w:lang w:val="en-US" w:eastAsia="zh-CN"/>
              </w:rPr>
              <w:t>参照标准限值</w:t>
            </w:r>
            <w:r>
              <w:rPr>
                <w:rFonts w:hint="default" w:ascii="Times New Roman" w:hAnsi="Times New Roman" w:cs="Times New Roman"/>
                <w:color w:val="000000"/>
                <w:highlight w:val="none"/>
                <w:u w:val="none"/>
              </w:rPr>
              <w:t>要求。</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eastAsia="宋体" w:cs="Times New Roman"/>
                <w:b/>
                <w:bCs/>
                <w:color w:val="000000"/>
                <w:sz w:val="28"/>
                <w:szCs w:val="28"/>
                <w:u w:val="none"/>
                <w:lang w:val="en-US" w:eastAsia="zh-CN" w:bidi="zh-CN"/>
              </w:rPr>
              <w:t>2、地表水环境质量现状</w:t>
            </w:r>
          </w:p>
          <w:p>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为了解项目所在区域地表水环境质量现状，采用洛阳市生态环境局发布的环境质量公报的内容：</w:t>
            </w:r>
          </w:p>
          <w:p>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2022年，全市共设置19个地表水监测断面，其中涉及黄河流域设置18个监测断面，分别是伊河陶湾、伊河潭头、伊河洛阳龙门大桥、伊河岳滩、洛河长水、洛河高崖寨、洛河白马寺、伊洛河汇合处、吉利区入黄河口、伊河陆浑水库、洛河故县水库、白降河入伊河口、瀍河陇海铁路桥、瀍河潞泽会馆、涧河丽春桥、涧河同乐桥、洛河李楼桥、伊河207桥；涉及淮河流域设置北汝阳紫罗山1个监测断面。监测河段总长度为671.2千米，其中黄河流域监测河段长度为569.2千米，淮河流域监测河段长度为102千米。</w:t>
            </w:r>
          </w:p>
          <w:p>
            <w:pPr>
              <w:keepNext w:val="0"/>
              <w:keepLines w:val="0"/>
              <w:pageBreakBefore w:val="0"/>
              <w:widowControl w:val="0"/>
              <w:tabs>
                <w:tab w:val="center" w:pos="4393"/>
                <w:tab w:val="left" w:pos="8040"/>
                <w:tab w:val="right" w:pos="8787"/>
              </w:tabs>
              <w:kinsoku/>
              <w:wordWrap/>
              <w:overflowPunct/>
              <w:topLinePunct w:val="0"/>
              <w:autoSpaceDE/>
              <w:autoSpaceDN/>
              <w:bidi w:val="0"/>
              <w:adjustRightInd w:val="0"/>
              <w:snapToGrid w:val="0"/>
              <w:spacing w:line="360" w:lineRule="auto"/>
              <w:ind w:firstLine="480" w:firstLineChars="200"/>
              <w:jc w:val="both"/>
              <w:textAlignment w:val="auto"/>
              <w:rPr>
                <w:rFonts w:hint="default"/>
                <w:lang w:val="en-US" w:eastAsia="zh-CN"/>
              </w:rPr>
            </w:pPr>
            <w:r>
              <w:rPr>
                <w:rFonts w:hint="eastAsia" w:ascii="Times New Roman" w:hAnsi="Times New Roman"/>
                <w:kern w:val="0"/>
                <w:sz w:val="24"/>
                <w:szCs w:val="24"/>
              </w:rPr>
              <w:t>2022年全市8条主要河流中，伊河、洛河、北汝河均为Ⅱ类水质，水质状况为“优”，占河流总数的37.5%；伊洛河、涧河、瀍河、白降河水质为Ⅲ类，水质状况为“良好”，占河流总数的50%；二道河水质为Ⅳ类，水质状况“轻度污染”，占河流总数的12.5%</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0" w:firstLineChars="0"/>
              <w:textAlignment w:val="auto"/>
              <w:rPr>
                <w:rFonts w:hint="default" w:ascii="Times New Roman" w:hAnsi="Times New Roman" w:eastAsia="宋体" w:cs="Times New Roman"/>
                <w:b/>
                <w:bCs/>
                <w:color w:val="000000"/>
                <w:sz w:val="28"/>
                <w:szCs w:val="28"/>
                <w:u w:val="none"/>
                <w:lang w:val="en-US" w:eastAsia="zh-CN" w:bidi="zh-CN"/>
              </w:rPr>
            </w:pPr>
            <w:r>
              <w:rPr>
                <w:rFonts w:hint="eastAsia" w:cs="Times New Roman"/>
                <w:b/>
                <w:bCs/>
                <w:color w:val="000000"/>
                <w:sz w:val="28"/>
                <w:szCs w:val="28"/>
                <w:u w:val="none"/>
                <w:lang w:val="en-US" w:eastAsia="zh-CN" w:bidi="zh-CN"/>
              </w:rPr>
              <w:t>3</w:t>
            </w:r>
            <w:r>
              <w:rPr>
                <w:rFonts w:hint="default" w:ascii="Times New Roman" w:hAnsi="Times New Roman" w:eastAsia="宋体" w:cs="Times New Roman"/>
                <w:b/>
                <w:bCs/>
                <w:color w:val="000000"/>
                <w:sz w:val="28"/>
                <w:szCs w:val="28"/>
                <w:u w:val="none"/>
                <w:lang w:val="en-US" w:eastAsia="zh-CN" w:bidi="zh-CN"/>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Cs w:val="21"/>
                <w:u w:val="none"/>
              </w:rPr>
            </w:pPr>
            <w:r>
              <w:rPr>
                <w:rFonts w:hint="default" w:ascii="Times New Roman" w:hAnsi="Times New Roman" w:eastAsia="宋体" w:cs="Times New Roman"/>
                <w:sz w:val="24"/>
                <w:szCs w:val="24"/>
                <w:u w:val="none"/>
                <w:lang w:val="en-US" w:eastAsia="zh-CN"/>
              </w:rPr>
              <w:t>本项目所在区域主要为人工生态系统，评价范围内未发现珍贵植物和野生保护动物。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800" w:type="dxa"/>
            <w:noWrap w:val="0"/>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环境</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保护</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目标</w:t>
            </w:r>
          </w:p>
        </w:tc>
        <w:tc>
          <w:tcPr>
            <w:tcW w:w="81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Cs/>
                <w:color w:val="000000"/>
                <w:sz w:val="24"/>
                <w:szCs w:val="24"/>
                <w:u w:val="none"/>
              </w:rPr>
              <w:t>根据现场调查，项目厂界外500m范围内的大气环境保护目标主要为</w:t>
            </w:r>
            <w:r>
              <w:rPr>
                <w:rFonts w:hint="eastAsia" w:cs="Times New Roman"/>
                <w:b w:val="0"/>
                <w:bCs/>
                <w:color w:val="000000"/>
                <w:sz w:val="24"/>
                <w:szCs w:val="24"/>
                <w:u w:val="none"/>
                <w:lang w:val="en-US" w:eastAsia="zh-CN"/>
              </w:rPr>
              <w:t>回龙湾村</w:t>
            </w:r>
            <w:r>
              <w:rPr>
                <w:rFonts w:hint="default" w:ascii="Times New Roman" w:hAnsi="Times New Roman" w:eastAsia="宋体" w:cs="Times New Roman"/>
                <w:bCs/>
                <w:color w:val="000000"/>
                <w:sz w:val="24"/>
                <w:szCs w:val="24"/>
                <w:u w:val="none"/>
              </w:rPr>
              <w:t>。项目厂界外50m范围内无声环境保护目标</w:t>
            </w:r>
            <w:r>
              <w:rPr>
                <w:rFonts w:hint="eastAsia" w:cs="Times New Roman"/>
                <w:bCs/>
                <w:color w:val="000000"/>
                <w:sz w:val="24"/>
                <w:szCs w:val="24"/>
                <w:u w:val="none"/>
                <w:lang w:eastAsia="zh-CN"/>
              </w:rPr>
              <w:t>，项目所在厂界外500m范围内无地下水集中饮用水源和其他特殊地下水资源</w:t>
            </w:r>
            <w:r>
              <w:rPr>
                <w:rFonts w:hint="default" w:ascii="Times New Roman" w:hAnsi="Times New Roman" w:eastAsia="宋体" w:cs="Times New Roman"/>
                <w:bCs/>
                <w:color w:val="000000"/>
                <w:sz w:val="24"/>
                <w:szCs w:val="24"/>
                <w:u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12</w:t>
            </w:r>
            <w:r>
              <w:rPr>
                <w:rFonts w:hint="default" w:ascii="Times New Roman" w:hAnsi="Times New Roman" w:eastAsia="宋体" w:cs="Times New Roman"/>
                <w:b/>
                <w:bCs/>
                <w:color w:val="000000"/>
                <w:sz w:val="24"/>
                <w:szCs w:val="24"/>
                <w:u w:val="none"/>
                <w:lang w:val="en-US" w:eastAsia="zh-CN"/>
              </w:rPr>
              <w:t xml:space="preserve">   本项目环境保护目标一览表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20"/>
              <w:gridCol w:w="982"/>
              <w:gridCol w:w="692"/>
              <w:gridCol w:w="2063"/>
              <w:gridCol w:w="866"/>
              <w:gridCol w:w="740"/>
              <w:gridCol w:w="16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tcBorders>
                    <w:tl2br w:val="nil"/>
                    <w:tr2bl w:val="nil"/>
                  </w:tcBorders>
                  <w:noWrap w:val="0"/>
                  <w:tcMar>
                    <w:top w:w="15" w:type="dxa"/>
                    <w:left w:w="15" w:type="dxa"/>
                    <w:bottom w:w="0" w:type="dxa"/>
                    <w:right w:w="15" w:type="dxa"/>
                  </w:tcMar>
                  <w:vAlign w:val="center"/>
                </w:tcPr>
                <w:p>
                  <w:pPr>
                    <w:pStyle w:val="5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环境要素</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保护目标</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方位</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val="0"/>
                      <w:color w:val="000000"/>
                      <w:sz w:val="21"/>
                      <w:szCs w:val="21"/>
                      <w:u w:val="none"/>
                      <w:lang w:val="en-US" w:eastAsia="zh-CN"/>
                    </w:rPr>
                  </w:pPr>
                  <w:r>
                    <w:rPr>
                      <w:rFonts w:hint="eastAsia" w:cs="Times New Roman"/>
                      <w:b/>
                      <w:bCs w:val="0"/>
                      <w:color w:val="000000"/>
                      <w:sz w:val="21"/>
                      <w:szCs w:val="21"/>
                      <w:u w:val="none"/>
                      <w:lang w:val="en-US" w:eastAsia="zh-CN"/>
                    </w:rPr>
                    <w:t>坐标</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最近距离</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人数</w:t>
                  </w:r>
                </w:p>
              </w:tc>
              <w:tc>
                <w:tcPr>
                  <w:tcW w:w="1062"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保护级别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highlight w:val="none"/>
                      <w:u w:val="none"/>
                    </w:rPr>
                  </w:pPr>
                  <w:r>
                    <w:rPr>
                      <w:rFonts w:hint="default" w:ascii="Times New Roman" w:hAnsi="Times New Roman" w:cs="Times New Roman"/>
                      <w:b/>
                      <w:bCs w:val="0"/>
                      <w:color w:val="000000"/>
                      <w:sz w:val="21"/>
                      <w:szCs w:val="21"/>
                      <w:highlight w:val="none"/>
                      <w:u w:val="none"/>
                    </w:rPr>
                    <w:t>大气环境</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highlight w:val="none"/>
                      <w:u w:val="none"/>
                      <w:lang w:val="en-US" w:eastAsia="zh-CN"/>
                    </w:rPr>
                  </w:pPr>
                  <w:r>
                    <w:rPr>
                      <w:rFonts w:hint="eastAsia" w:cs="Times New Roman"/>
                      <w:b/>
                      <w:bCs w:val="0"/>
                      <w:color w:val="000000"/>
                      <w:sz w:val="21"/>
                      <w:szCs w:val="21"/>
                      <w:highlight w:val="none"/>
                      <w:u w:val="none"/>
                      <w:lang w:val="en-US" w:eastAsia="zh-CN"/>
                    </w:rPr>
                    <w:t>回龙湾村</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highlight w:val="none"/>
                      <w:u w:val="none"/>
                      <w:lang w:val="en-US" w:eastAsia="zh-CN"/>
                    </w:rPr>
                  </w:pPr>
                  <w:r>
                    <w:rPr>
                      <w:rFonts w:hint="eastAsia" w:cs="Times New Roman"/>
                      <w:b/>
                      <w:bCs w:val="0"/>
                      <w:color w:val="000000"/>
                      <w:sz w:val="21"/>
                      <w:szCs w:val="21"/>
                      <w:highlight w:val="none"/>
                      <w:u w:val="none"/>
                      <w:lang w:val="en-US" w:eastAsia="zh-CN"/>
                    </w:rPr>
                    <w:t>东南</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bCs w:val="0"/>
                      <w:color w:val="000000"/>
                      <w:sz w:val="21"/>
                      <w:szCs w:val="21"/>
                      <w:highlight w:val="none"/>
                      <w:u w:val="none"/>
                      <w:lang w:val="en-US" w:eastAsia="zh-CN"/>
                    </w:rPr>
                  </w:pPr>
                  <w:r>
                    <w:rPr>
                      <w:rFonts w:hint="eastAsia" w:eastAsia="宋体" w:cs="Times New Roman"/>
                      <w:b/>
                      <w:bCs w:val="0"/>
                      <w:color w:val="000000"/>
                      <w:sz w:val="21"/>
                      <w:szCs w:val="21"/>
                      <w:highlight w:val="none"/>
                      <w:u w:val="none"/>
                      <w:lang w:val="en-US" w:eastAsia="zh-CN"/>
                    </w:rPr>
                    <w:t>112°49′18.71″,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bCs w:val="0"/>
                      <w:color w:val="000000"/>
                      <w:sz w:val="21"/>
                      <w:szCs w:val="21"/>
                      <w:highlight w:val="none"/>
                      <w:u w:val="none"/>
                      <w:lang w:val="en-US" w:eastAsia="zh-CN"/>
                    </w:rPr>
                  </w:pPr>
                  <w:r>
                    <w:rPr>
                      <w:rFonts w:hint="eastAsia" w:eastAsia="宋体" w:cs="Times New Roman"/>
                      <w:b/>
                      <w:bCs w:val="0"/>
                      <w:color w:val="000000"/>
                      <w:sz w:val="21"/>
                      <w:szCs w:val="21"/>
                      <w:highlight w:val="none"/>
                      <w:u w:val="none"/>
                      <w:lang w:val="en-US" w:eastAsia="zh-CN"/>
                    </w:rPr>
                    <w:t xml:space="preserve"> 34°40′11.14″</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highlight w:val="none"/>
                      <w:u w:val="none"/>
                      <w:lang w:val="en-US" w:eastAsia="zh-CN"/>
                    </w:rPr>
                  </w:pPr>
                  <w:r>
                    <w:rPr>
                      <w:rFonts w:hint="eastAsia" w:cs="Times New Roman"/>
                      <w:b/>
                      <w:bCs w:val="0"/>
                      <w:color w:val="000000"/>
                      <w:sz w:val="21"/>
                      <w:szCs w:val="21"/>
                      <w:highlight w:val="none"/>
                      <w:u w:val="none"/>
                      <w:lang w:val="en-US" w:eastAsia="zh-CN"/>
                    </w:rPr>
                    <w:t>180</w:t>
                  </w:r>
                  <w:r>
                    <w:rPr>
                      <w:rFonts w:hint="default" w:ascii="Times New Roman" w:hAnsi="Times New Roman" w:cs="Times New Roman"/>
                      <w:b/>
                      <w:bCs w:val="0"/>
                      <w:color w:val="000000"/>
                      <w:sz w:val="21"/>
                      <w:szCs w:val="21"/>
                      <w:highlight w:val="none"/>
                      <w:u w:val="none"/>
                      <w:lang w:val="en-US" w:eastAsia="zh-CN"/>
                    </w:rPr>
                    <w:t>m</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highlight w:val="none"/>
                      <w:u w:val="none"/>
                      <w:lang w:val="en-US" w:eastAsia="zh-CN"/>
                    </w:rPr>
                  </w:pPr>
                  <w:r>
                    <w:rPr>
                      <w:rFonts w:hint="eastAsia" w:cs="Times New Roman"/>
                      <w:b/>
                      <w:bCs w:val="0"/>
                      <w:color w:val="000000"/>
                      <w:sz w:val="21"/>
                      <w:szCs w:val="21"/>
                      <w:highlight w:val="none"/>
                      <w:u w:val="none"/>
                      <w:lang w:val="en-US" w:eastAsia="zh-CN"/>
                    </w:rPr>
                    <w:t>8</w:t>
                  </w:r>
                  <w:r>
                    <w:rPr>
                      <w:rFonts w:hint="eastAsia" w:ascii="Times New Roman" w:hAnsi="Times New Roman" w:cs="Times New Roman"/>
                      <w:b/>
                      <w:bCs w:val="0"/>
                      <w:color w:val="000000"/>
                      <w:sz w:val="21"/>
                      <w:szCs w:val="21"/>
                      <w:highlight w:val="none"/>
                      <w:u w:val="none"/>
                      <w:lang w:val="en-US" w:eastAsia="zh-CN"/>
                    </w:rPr>
                    <w:t>74</w:t>
                  </w:r>
                  <w:r>
                    <w:rPr>
                      <w:rFonts w:hint="eastAsia" w:cs="Times New Roman"/>
                      <w:b/>
                      <w:bCs w:val="0"/>
                      <w:color w:val="000000"/>
                      <w:sz w:val="21"/>
                      <w:szCs w:val="21"/>
                      <w:highlight w:val="none"/>
                      <w:u w:val="none"/>
                      <w:lang w:val="en-US" w:eastAsia="zh-CN"/>
                    </w:rPr>
                    <w:t>5人</w:t>
                  </w:r>
                </w:p>
              </w:tc>
              <w:tc>
                <w:tcPr>
                  <w:tcW w:w="1062"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highlight w:val="none"/>
                      <w:u w:val="none"/>
                    </w:rPr>
                  </w:pPr>
                  <w:r>
                    <w:rPr>
                      <w:rFonts w:hint="default" w:ascii="Times New Roman" w:hAnsi="Times New Roman" w:cs="Times New Roman"/>
                      <w:b/>
                      <w:bCs w:val="0"/>
                      <w:color w:val="000000"/>
                      <w:sz w:val="21"/>
                      <w:szCs w:val="21"/>
                      <w:highlight w:val="none"/>
                      <w:u w:val="none"/>
                    </w:rPr>
                    <w:t>《环境空气质量标准》（GB3095-2012）二级</w:t>
                  </w:r>
                </w:p>
              </w:tc>
            </w:tr>
          </w:tbl>
          <w:p>
            <w:pPr>
              <w:pStyle w:val="2"/>
              <w:ind w:left="0" w:leftChars="0" w:firstLine="0" w:firstLineChars="0"/>
              <w:rPr>
                <w:rFonts w:hint="default" w:ascii="Times New Roman" w:hAnsi="Times New Roman" w:cs="Times New Roman"/>
                <w:color w:val="000000"/>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污染</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物排</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放控</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制标</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准</w:t>
            </w:r>
          </w:p>
        </w:tc>
        <w:tc>
          <w:tcPr>
            <w:tcW w:w="81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13</w:t>
            </w:r>
            <w:r>
              <w:rPr>
                <w:rFonts w:hint="default" w:ascii="Times New Roman" w:hAnsi="Times New Roman" w:eastAsia="宋体" w:cs="Times New Roman"/>
                <w:b/>
                <w:bCs/>
                <w:color w:val="000000"/>
                <w:sz w:val="24"/>
                <w:szCs w:val="24"/>
                <w:u w:val="none"/>
                <w:lang w:val="en-US" w:eastAsia="zh-CN"/>
              </w:rPr>
              <w:t xml:space="preserve">   本项目污染物排放控制标准</w:t>
            </w:r>
          </w:p>
          <w:tbl>
            <w:tblPr>
              <w:tblStyle w:val="25"/>
              <w:tblW w:w="0" w:type="auto"/>
              <w:tblInd w:w="-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8"/>
              <w:gridCol w:w="2738"/>
              <w:gridCol w:w="1351"/>
              <w:gridCol w:w="1565"/>
              <w:gridCol w:w="121"/>
              <w:gridCol w:w="1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类别</w:t>
                  </w:r>
                </w:p>
              </w:tc>
              <w:tc>
                <w:tcPr>
                  <w:tcW w:w="2738" w:type="dxa"/>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lang w:val="en-US" w:eastAsia="zh-CN"/>
                    </w:rPr>
                    <w:t>标准名称</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污染因子</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标准限值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restart"/>
                  <w:tcBorders>
                    <w:tl2br w:val="nil"/>
                    <w:tr2bl w:val="nil"/>
                  </w:tcBorders>
                  <w:noWrap w:val="0"/>
                  <w:vAlign w:val="center"/>
                </w:tcPr>
                <w:p>
                  <w:pPr>
                    <w:spacing w:line="240" w:lineRule="auto"/>
                    <w:jc w:val="center"/>
                    <w:rPr>
                      <w:rFonts w:hint="eastAsia" w:ascii="Times New Roman" w:hAnsi="Times New Roman" w:eastAsia="宋体" w:cs="Times New Roman"/>
                      <w:sz w:val="21"/>
                      <w:szCs w:val="21"/>
                      <w:u w:val="none"/>
                      <w:lang w:val="en-US" w:eastAsia="zh-CN"/>
                    </w:rPr>
                  </w:pPr>
                  <w:r>
                    <w:rPr>
                      <w:rFonts w:hint="eastAsia" w:cs="Times New Roman"/>
                      <w:sz w:val="21"/>
                      <w:szCs w:val="21"/>
                      <w:u w:val="none"/>
                      <w:lang w:val="en-US" w:eastAsia="zh-CN"/>
                    </w:rPr>
                    <w:t>废气</w:t>
                  </w:r>
                </w:p>
              </w:tc>
              <w:tc>
                <w:tcPr>
                  <w:tcW w:w="2738"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tc>
              <w:tc>
                <w:tcPr>
                  <w:tcW w:w="1351"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非甲烷总烃</w:t>
                  </w:r>
                </w:p>
              </w:tc>
              <w:tc>
                <w:tcPr>
                  <w:tcW w:w="1686"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000000"/>
                      <w:spacing w:val="5"/>
                      <w:sz w:val="21"/>
                      <w:szCs w:val="21"/>
                      <w:u w:val="none"/>
                      <w:lang w:val="en-US" w:eastAsia="zh-CN"/>
                    </w:rPr>
                  </w:pPr>
                  <w:r>
                    <w:rPr>
                      <w:rFonts w:hint="default" w:ascii="Times New Roman" w:hAnsi="Times New Roman" w:cs="Times New Roman"/>
                      <w:b w:val="0"/>
                      <w:bCs/>
                      <w:color w:val="000000"/>
                      <w:spacing w:val="5"/>
                      <w:sz w:val="21"/>
                      <w:szCs w:val="21"/>
                      <w:u w:val="none"/>
                      <w:lang w:val="en-US" w:eastAsia="zh-CN"/>
                    </w:rPr>
                    <w:t>有组织排放浓度</w:t>
                  </w:r>
                </w:p>
              </w:tc>
              <w:tc>
                <w:tcPr>
                  <w:tcW w:w="144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cs="Times New Roman"/>
                      <w:b w:val="0"/>
                      <w:bCs/>
                      <w:color w:val="000000"/>
                      <w:kern w:val="2"/>
                      <w:sz w:val="21"/>
                      <w:szCs w:val="21"/>
                      <w:u w:val="none"/>
                      <w:lang w:val="en-US" w:eastAsia="zh-CN" w:bidi="ar-SA"/>
                    </w:rPr>
                    <w:t>6</w:t>
                  </w:r>
                  <w:r>
                    <w:rPr>
                      <w:rFonts w:hint="default" w:ascii="Times New Roman" w:hAnsi="Times New Roman" w:eastAsia="宋体" w:cs="Times New Roman"/>
                      <w:b w:val="0"/>
                      <w:bCs/>
                      <w:color w:val="000000"/>
                      <w:kern w:val="2"/>
                      <w:sz w:val="21"/>
                      <w:szCs w:val="21"/>
                      <w:u w:val="none"/>
                      <w:lang w:val="en-US" w:eastAsia="zh-CN" w:bidi="ar-SA"/>
                    </w:rPr>
                    <w:t>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351"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686"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000000"/>
                      <w:spacing w:val="5"/>
                      <w:sz w:val="21"/>
                      <w:szCs w:val="21"/>
                      <w:u w:val="none"/>
                      <w:lang w:val="en-US" w:eastAsia="zh-CN"/>
                    </w:rPr>
                  </w:pPr>
                  <w:r>
                    <w:rPr>
                      <w:rFonts w:hint="default" w:ascii="Times New Roman" w:hAnsi="Times New Roman" w:cs="Times New Roman"/>
                      <w:b w:val="0"/>
                      <w:bCs/>
                      <w:color w:val="000000"/>
                      <w:spacing w:val="5"/>
                      <w:sz w:val="21"/>
                      <w:szCs w:val="21"/>
                      <w:u w:val="none"/>
                      <w:lang w:val="en-US" w:eastAsia="zh-CN"/>
                    </w:rPr>
                    <w:t>无组织排放监控浓度</w:t>
                  </w:r>
                </w:p>
              </w:tc>
              <w:tc>
                <w:tcPr>
                  <w:tcW w:w="144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4.0mg/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351"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r>
                    <w:rPr>
                      <w:rFonts w:hint="eastAsia" w:cs="Times New Roman"/>
                      <w:sz w:val="21"/>
                      <w:szCs w:val="21"/>
                      <w:u w:val="none"/>
                      <w:lang w:val="en-US" w:eastAsia="zh-CN"/>
                    </w:rPr>
                    <w:t>颗粒物</w:t>
                  </w:r>
                </w:p>
              </w:tc>
              <w:tc>
                <w:tcPr>
                  <w:tcW w:w="1686"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000000"/>
                      <w:spacing w:val="5"/>
                      <w:sz w:val="21"/>
                      <w:szCs w:val="21"/>
                      <w:u w:val="none"/>
                      <w:lang w:val="en-US" w:eastAsia="zh-CN"/>
                    </w:rPr>
                  </w:pPr>
                  <w:r>
                    <w:rPr>
                      <w:rFonts w:hint="default" w:ascii="Times New Roman" w:hAnsi="Times New Roman" w:cs="Times New Roman"/>
                      <w:b w:val="0"/>
                      <w:bCs/>
                      <w:color w:val="000000"/>
                      <w:spacing w:val="5"/>
                      <w:sz w:val="21"/>
                      <w:szCs w:val="21"/>
                      <w:u w:val="none"/>
                      <w:lang w:val="en-US" w:eastAsia="zh-CN"/>
                    </w:rPr>
                    <w:t>有组织排放浓度</w:t>
                  </w:r>
                </w:p>
              </w:tc>
              <w:tc>
                <w:tcPr>
                  <w:tcW w:w="144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2</w:t>
                  </w:r>
                  <w:r>
                    <w:rPr>
                      <w:rFonts w:hint="default" w:ascii="Times New Roman" w:hAnsi="Times New Roman" w:eastAsia="宋体" w:cs="Times New Roman"/>
                      <w:b w:val="0"/>
                      <w:bCs/>
                      <w:color w:val="000000"/>
                      <w:kern w:val="2"/>
                      <w:sz w:val="21"/>
                      <w:szCs w:val="21"/>
                      <w:u w:val="none"/>
                      <w:lang w:val="en-US" w:eastAsia="zh-CN" w:bidi="ar-SA"/>
                    </w:rPr>
                    <w:t>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351"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686"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000000"/>
                      <w:spacing w:val="5"/>
                      <w:sz w:val="21"/>
                      <w:szCs w:val="21"/>
                      <w:u w:val="none"/>
                      <w:lang w:val="en-US" w:eastAsia="zh-CN"/>
                    </w:rPr>
                  </w:pPr>
                  <w:r>
                    <w:rPr>
                      <w:rFonts w:hint="default" w:ascii="Times New Roman" w:hAnsi="Times New Roman" w:cs="Times New Roman"/>
                      <w:b w:val="0"/>
                      <w:bCs/>
                      <w:color w:val="000000"/>
                      <w:spacing w:val="5"/>
                      <w:sz w:val="21"/>
                      <w:szCs w:val="21"/>
                      <w:u w:val="none"/>
                      <w:lang w:val="en-US" w:eastAsia="zh-CN"/>
                    </w:rPr>
                    <w:t>无组织排放监控浓度</w:t>
                  </w:r>
                </w:p>
              </w:tc>
              <w:tc>
                <w:tcPr>
                  <w:tcW w:w="144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cs="Times New Roman"/>
                      <w:b w:val="0"/>
                      <w:bCs/>
                      <w:color w:val="000000"/>
                      <w:kern w:val="2"/>
                      <w:sz w:val="21"/>
                      <w:szCs w:val="21"/>
                      <w:u w:val="none"/>
                      <w:lang w:val="en-US" w:eastAsia="zh-CN" w:bidi="ar-SA"/>
                    </w:rPr>
                    <w:t>1</w:t>
                  </w:r>
                  <w:r>
                    <w:rPr>
                      <w:rFonts w:hint="default" w:ascii="Times New Roman" w:hAnsi="Times New Roman" w:eastAsia="宋体" w:cs="Times New Roman"/>
                      <w:b w:val="0"/>
                      <w:bCs/>
                      <w:color w:val="000000"/>
                      <w:kern w:val="2"/>
                      <w:sz w:val="21"/>
                      <w:szCs w:val="21"/>
                      <w:u w:val="none"/>
                      <w:lang w:val="en-US" w:eastAsia="zh-CN" w:bidi="ar-SA"/>
                    </w:rPr>
                    <w:t>.0mg/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restart"/>
                  <w:tcBorders>
                    <w:tl2br w:val="nil"/>
                    <w:tr2bl w:val="nil"/>
                  </w:tcBorders>
                  <w:noWrap w:val="0"/>
                  <w:vAlign w:val="center"/>
                </w:tcPr>
                <w:p>
                  <w:pPr>
                    <w:contextualSpacing/>
                    <w:jc w:val="center"/>
                    <w:rPr>
                      <w:rFonts w:hint="default" w:ascii="Times New Roman" w:hAnsi="Times New Roman" w:cs="Times New Roman"/>
                      <w:sz w:val="21"/>
                      <w:szCs w:val="21"/>
                      <w:u w:val="none"/>
                    </w:rPr>
                  </w:pPr>
                  <w:r>
                    <w:rPr>
                      <w:rFonts w:hint="default" w:ascii="Times New Roman" w:hAnsi="Times New Roman" w:cs="Times New Roman"/>
                      <w:color w:val="000000"/>
                      <w:sz w:val="21"/>
                      <w:szCs w:val="21"/>
                      <w:u w:val="none"/>
                    </w:rPr>
                    <w:t>《挥发性有机物无组织排放控制标准</w:t>
                  </w:r>
                  <w:r>
                    <w:rPr>
                      <w:rFonts w:hint="default" w:ascii="Times New Roman" w:hAnsi="Times New Roman" w:cs="Times New Roman"/>
                      <w:color w:val="000000"/>
                      <w:sz w:val="21"/>
                      <w:szCs w:val="21"/>
                      <w:u w:val="none"/>
                      <w:lang w:eastAsia="zh-CN"/>
                    </w:rPr>
                    <w:t>》</w:t>
                  </w:r>
                  <w:r>
                    <w:rPr>
                      <w:rFonts w:hint="default" w:ascii="Times New Roman" w:hAnsi="Times New Roman" w:cs="Times New Roman"/>
                      <w:color w:val="000000"/>
                      <w:sz w:val="21"/>
                      <w:szCs w:val="21"/>
                      <w:u w:val="none"/>
                    </w:rPr>
                    <w:t>GB37822-2019</w:t>
                  </w:r>
                </w:p>
              </w:tc>
              <w:tc>
                <w:tcPr>
                  <w:tcW w:w="1351" w:type="dxa"/>
                  <w:vMerge w:val="restart"/>
                  <w:tcBorders>
                    <w:tl2br w:val="nil"/>
                    <w:tr2bl w:val="nil"/>
                  </w:tcBorders>
                  <w:noWrap w:val="0"/>
                  <w:vAlign w:val="center"/>
                </w:tcPr>
                <w:p>
                  <w:pPr>
                    <w:contextualSpacing/>
                    <w:jc w:val="center"/>
                    <w:rPr>
                      <w:rFonts w:hint="default" w:ascii="Times New Roman" w:hAnsi="Times New Roman"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NMHC</w:t>
                  </w:r>
                </w:p>
              </w:tc>
              <w:tc>
                <w:tcPr>
                  <w:tcW w:w="1565" w:type="dxa"/>
                  <w:tcBorders>
                    <w:tl2br w:val="nil"/>
                    <w:tr2bl w:val="nil"/>
                  </w:tcBorders>
                  <w:noWrap w:val="0"/>
                  <w:vAlign w:val="center"/>
                </w:tcPr>
                <w:p>
                  <w:pPr>
                    <w:spacing w:line="240" w:lineRule="auto"/>
                    <w:jc w:val="center"/>
                    <w:rPr>
                      <w:rFonts w:hint="default" w:ascii="Times New Roman" w:hAnsi="Times New Roman"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监控点</w:t>
                  </w:r>
                  <w:r>
                    <w:rPr>
                      <w:rFonts w:hint="default" w:ascii="Times New Roman" w:hAnsi="Times New Roman" w:eastAsia="宋体" w:cs="Times New Roman"/>
                      <w:b w:val="0"/>
                      <w:bCs/>
                      <w:color w:val="000000"/>
                      <w:kern w:val="2"/>
                      <w:sz w:val="21"/>
                      <w:szCs w:val="21"/>
                      <w:u w:val="none"/>
                      <w:lang w:val="en-US" w:eastAsia="zh-CN" w:bidi="ar-SA"/>
                    </w:rPr>
                    <w:t>1h平均浓度值</w:t>
                  </w:r>
                </w:p>
              </w:tc>
              <w:tc>
                <w:tcPr>
                  <w:tcW w:w="1565" w:type="dxa"/>
                  <w:gridSpan w:val="2"/>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6.0mg/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continue"/>
                  <w:tcBorders>
                    <w:tl2br w:val="nil"/>
                    <w:tr2bl w:val="nil"/>
                  </w:tcBorders>
                  <w:noWrap w:val="0"/>
                  <w:vAlign w:val="center"/>
                </w:tcPr>
                <w:p>
                  <w:pPr>
                    <w:contextualSpacing/>
                    <w:jc w:val="center"/>
                    <w:rPr>
                      <w:rFonts w:hint="default" w:ascii="Times New Roman" w:hAnsi="Times New Roman" w:cs="Times New Roman"/>
                      <w:color w:val="000000"/>
                      <w:sz w:val="21"/>
                      <w:szCs w:val="21"/>
                      <w:u w:val="none"/>
                    </w:rPr>
                  </w:pPr>
                </w:p>
              </w:tc>
              <w:tc>
                <w:tcPr>
                  <w:tcW w:w="1351" w:type="dxa"/>
                  <w:vMerge w:val="continue"/>
                  <w:tcBorders>
                    <w:tl2br w:val="nil"/>
                    <w:tr2bl w:val="nil"/>
                  </w:tcBorders>
                  <w:noWrap w:val="0"/>
                  <w:vAlign w:val="center"/>
                </w:tcPr>
                <w:p>
                  <w:pPr>
                    <w:contextualSpacing/>
                    <w:jc w:val="center"/>
                    <w:rPr>
                      <w:rFonts w:hint="default" w:ascii="Times New Roman" w:hAnsi="Times New Roman" w:eastAsia="宋体" w:cs="Times New Roman"/>
                      <w:b w:val="0"/>
                      <w:bCs/>
                      <w:color w:val="000000"/>
                      <w:kern w:val="2"/>
                      <w:sz w:val="21"/>
                      <w:szCs w:val="21"/>
                      <w:u w:val="none"/>
                      <w:lang w:val="en-US" w:eastAsia="zh-CN" w:bidi="ar-SA"/>
                    </w:rPr>
                  </w:pPr>
                </w:p>
              </w:tc>
              <w:tc>
                <w:tcPr>
                  <w:tcW w:w="156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监控点处任意一次浓度值</w:t>
                  </w:r>
                </w:p>
              </w:tc>
              <w:tc>
                <w:tcPr>
                  <w:tcW w:w="1565" w:type="dxa"/>
                  <w:gridSpan w:val="2"/>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20mg/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噪声</w:t>
                  </w:r>
                </w:p>
              </w:tc>
              <w:tc>
                <w:tcPr>
                  <w:tcW w:w="27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《工业企业厂界环境噪声排放标准》（GB12348-2008）</w:t>
                  </w:r>
                  <w:r>
                    <w:rPr>
                      <w:rFonts w:hint="eastAsia" w:cs="Times New Roman"/>
                      <w:b w:val="0"/>
                      <w:bCs/>
                      <w:color w:val="000000"/>
                      <w:kern w:val="2"/>
                      <w:sz w:val="21"/>
                      <w:szCs w:val="21"/>
                      <w:u w:val="none"/>
                      <w:lang w:val="en-US" w:eastAsia="zh-CN" w:bidi="ar-SA"/>
                    </w:rPr>
                    <w:t>2</w:t>
                  </w:r>
                  <w:r>
                    <w:rPr>
                      <w:rFonts w:hint="default" w:ascii="Times New Roman" w:hAnsi="Times New Roman" w:eastAsia="宋体" w:cs="Times New Roman"/>
                      <w:b w:val="0"/>
                      <w:bCs/>
                      <w:color w:val="000000"/>
                      <w:kern w:val="2"/>
                      <w:sz w:val="21"/>
                      <w:szCs w:val="21"/>
                      <w:u w:val="none"/>
                      <w:lang w:val="en-US" w:eastAsia="zh-CN" w:bidi="ar-SA"/>
                    </w:rPr>
                    <w:t>类标准</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等效连续A声级</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昼间</w:t>
                  </w:r>
                  <w:r>
                    <w:rPr>
                      <w:rFonts w:hint="eastAsia" w:cs="Times New Roman"/>
                      <w:b w:val="0"/>
                      <w:bCs/>
                      <w:color w:val="000000"/>
                      <w:kern w:val="2"/>
                      <w:sz w:val="21"/>
                      <w:szCs w:val="21"/>
                      <w:u w:val="none"/>
                      <w:lang w:val="en-US" w:eastAsia="zh-CN" w:bidi="ar-SA"/>
                    </w:rPr>
                    <w:t>60d</w:t>
                  </w:r>
                  <w:r>
                    <w:rPr>
                      <w:rFonts w:hint="default" w:ascii="Times New Roman" w:hAnsi="Times New Roman" w:eastAsia="宋体" w:cs="Times New Roman"/>
                      <w:b w:val="0"/>
                      <w:bCs/>
                      <w:color w:val="000000"/>
                      <w:kern w:val="2"/>
                      <w:sz w:val="21"/>
                      <w:szCs w:val="21"/>
                      <w:u w:val="none"/>
                      <w:lang w:val="en-US" w:eastAsia="zh-CN" w:bidi="ar-SA"/>
                    </w:rPr>
                    <w:t>B</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A</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，夜间</w:t>
                  </w:r>
                  <w:r>
                    <w:rPr>
                      <w:rFonts w:hint="eastAsia" w:cs="Times New Roman"/>
                      <w:b w:val="0"/>
                      <w:bCs/>
                      <w:color w:val="000000"/>
                      <w:kern w:val="2"/>
                      <w:sz w:val="21"/>
                      <w:szCs w:val="21"/>
                      <w:u w:val="none"/>
                      <w:lang w:val="en-US" w:eastAsia="zh-CN" w:bidi="ar-SA"/>
                    </w:rPr>
                    <w:t>50d</w:t>
                  </w:r>
                  <w:r>
                    <w:rPr>
                      <w:rFonts w:hint="default" w:ascii="Times New Roman" w:hAnsi="Times New Roman" w:eastAsia="宋体" w:cs="Times New Roman"/>
                      <w:b w:val="0"/>
                      <w:bCs/>
                      <w:color w:val="000000"/>
                      <w:kern w:val="2"/>
                      <w:sz w:val="21"/>
                      <w:szCs w:val="21"/>
                      <w:u w:val="none"/>
                      <w:lang w:val="en-US" w:eastAsia="zh-CN" w:bidi="ar-SA"/>
                    </w:rPr>
                    <w:t>B</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A</w:t>
                  </w:r>
                  <w:r>
                    <w:rPr>
                      <w:rFonts w:hint="default" w:ascii="Times New Roman" w:hAnsi="Times New Roman" w:eastAsia="宋体" w:cs="Times New Roman"/>
                      <w:b w:val="0"/>
                      <w:bCs/>
                      <w:color w:val="000000"/>
                      <w:kern w:val="2"/>
                      <w:sz w:val="21"/>
                      <w:szCs w:val="21"/>
                      <w:highlight w:val="none"/>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固体</w:t>
                  </w:r>
                </w:p>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废物</w:t>
                  </w:r>
                </w:p>
              </w:tc>
              <w:tc>
                <w:tcPr>
                  <w:tcW w:w="7219" w:type="dxa"/>
                  <w:gridSpan w:val="5"/>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《危险废物贮存污染控制标准》（GB 18597-20</w:t>
                  </w:r>
                  <w:r>
                    <w:rPr>
                      <w:rFonts w:hint="eastAsia" w:ascii="Times New Roman" w:hAnsi="Times New Roman" w:cs="Times New Roman"/>
                      <w:b w:val="0"/>
                      <w:bCs/>
                      <w:color w:val="000000"/>
                      <w:kern w:val="2"/>
                      <w:sz w:val="21"/>
                      <w:szCs w:val="21"/>
                      <w:u w:val="none"/>
                      <w:lang w:val="en-US" w:eastAsia="zh-CN" w:bidi="ar-SA"/>
                    </w:rPr>
                    <w:t>23</w:t>
                  </w:r>
                  <w:r>
                    <w:rPr>
                      <w:rFonts w:hint="default" w:ascii="Times New Roman" w:hAnsi="Times New Roman" w:eastAsia="宋体" w:cs="Times New Roman"/>
                      <w:b w:val="0"/>
                      <w:bCs/>
                      <w:color w:val="000000"/>
                      <w:kern w:val="2"/>
                      <w:sz w:val="21"/>
                      <w:szCs w:val="21"/>
                      <w:u w:val="none"/>
                      <w:lang w:val="en-US" w:eastAsia="zh-CN" w:bidi="ar-SA"/>
                    </w:rPr>
                    <w:t>）</w:t>
                  </w:r>
                </w:p>
              </w:tc>
            </w:tr>
          </w:tbl>
          <w:p>
            <w:pPr>
              <w:rPr>
                <w:rFonts w:hint="default" w:ascii="Times New Roman" w:hAnsi="Times New Roman" w:cs="Times New Roman"/>
                <w:color w:val="000000"/>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800" w:type="dxa"/>
            <w:noWrap w:val="0"/>
            <w:vAlign w:val="center"/>
          </w:tcPr>
          <w:p>
            <w:pPr>
              <w:adjustRightInd w:val="0"/>
              <w:snapToGrid w:val="0"/>
              <w:jc w:val="center"/>
              <w:rPr>
                <w:rFonts w:hint="default"/>
                <w:u w:val="none"/>
              </w:rPr>
            </w:pPr>
          </w:p>
          <w:p>
            <w:pPr>
              <w:adjustRightInd w:val="0"/>
              <w:snapToGrid w:val="0"/>
              <w:jc w:val="center"/>
              <w:rPr>
                <w:rFonts w:hint="default"/>
                <w:u w:val="none"/>
              </w:rPr>
            </w:pPr>
          </w:p>
          <w:p>
            <w:pPr>
              <w:pStyle w:val="31"/>
              <w:rPr>
                <w:rFonts w:hint="default"/>
                <w:u w:val="none"/>
              </w:rPr>
            </w:pPr>
          </w:p>
          <w:p>
            <w:pPr>
              <w:adjustRightInd w:val="0"/>
              <w:snapToGrid w:val="0"/>
              <w:jc w:val="center"/>
              <w:rPr>
                <w:rFonts w:hint="default"/>
                <w:u w:val="none"/>
              </w:rPr>
            </w:pPr>
          </w:p>
          <w:p>
            <w:pPr>
              <w:adjustRightInd w:val="0"/>
              <w:snapToGrid w:val="0"/>
              <w:jc w:val="center"/>
              <w:rPr>
                <w:rFonts w:hint="default"/>
                <w:sz w:val="24"/>
                <w:szCs w:val="24"/>
                <w:u w:val="none"/>
              </w:rPr>
            </w:pPr>
            <w:r>
              <w:rPr>
                <w:rFonts w:hint="default"/>
                <w:sz w:val="24"/>
                <w:szCs w:val="24"/>
                <w:u w:val="none"/>
              </w:rPr>
              <w:t>总量</w:t>
            </w:r>
          </w:p>
          <w:p>
            <w:pPr>
              <w:adjustRightInd w:val="0"/>
              <w:snapToGrid w:val="0"/>
              <w:jc w:val="center"/>
              <w:rPr>
                <w:rFonts w:hint="default"/>
                <w:sz w:val="24"/>
                <w:szCs w:val="24"/>
                <w:u w:val="none"/>
              </w:rPr>
            </w:pPr>
            <w:r>
              <w:rPr>
                <w:rFonts w:hint="default"/>
                <w:sz w:val="24"/>
                <w:szCs w:val="24"/>
                <w:u w:val="none"/>
              </w:rPr>
              <w:t>控制</w:t>
            </w:r>
          </w:p>
          <w:p>
            <w:pPr>
              <w:adjustRightInd w:val="0"/>
              <w:snapToGrid w:val="0"/>
              <w:jc w:val="center"/>
              <w:rPr>
                <w:rFonts w:hint="default"/>
                <w:sz w:val="24"/>
                <w:szCs w:val="24"/>
                <w:u w:val="none"/>
              </w:rPr>
            </w:pPr>
            <w:r>
              <w:rPr>
                <w:rFonts w:hint="default"/>
                <w:sz w:val="24"/>
                <w:szCs w:val="24"/>
                <w:u w:val="none"/>
              </w:rPr>
              <w:t>指标</w:t>
            </w:r>
          </w:p>
          <w:p>
            <w:pPr>
              <w:pStyle w:val="13"/>
              <w:rPr>
                <w:rFonts w:hint="default"/>
                <w:u w:val="none"/>
              </w:rPr>
            </w:pPr>
          </w:p>
          <w:p>
            <w:pPr>
              <w:pStyle w:val="13"/>
              <w:ind w:left="0" w:leftChars="0" w:firstLine="0" w:firstLineChars="0"/>
              <w:rPr>
                <w:rFonts w:hint="default"/>
                <w:u w:val="none"/>
              </w:rPr>
            </w:pPr>
          </w:p>
        </w:tc>
        <w:tc>
          <w:tcPr>
            <w:tcW w:w="8190" w:type="dxa"/>
            <w:noWrap w:val="0"/>
            <w:vAlign w:val="center"/>
          </w:tcPr>
          <w:p>
            <w:pPr>
              <w:pStyle w:val="24"/>
              <w:spacing w:line="360" w:lineRule="auto"/>
              <w:rPr>
                <w:rFonts w:hint="default" w:ascii="Times New Roman" w:hAnsi="Times New Roman" w:eastAsia="宋体" w:cs="Times New Roman"/>
                <w:position w:val="2"/>
                <w:sz w:val="24"/>
                <w:u w:val="none"/>
                <w:vertAlign w:val="baseline"/>
              </w:rPr>
            </w:pPr>
            <w:r>
              <w:rPr>
                <w:rFonts w:hint="default" w:ascii="Times New Roman" w:hAnsi="Times New Roman" w:eastAsia="宋体" w:cs="Times New Roman"/>
                <w:position w:val="2"/>
                <w:sz w:val="24"/>
                <w:u w:val="none"/>
                <w:vertAlign w:val="baseline"/>
              </w:rPr>
              <w:t>废水：本项目生活污水经化粪池处理后用于农田施肥，无生产废水产生，因此本项目不推荐废水总量控制指标。</w:t>
            </w:r>
          </w:p>
          <w:p>
            <w:pPr>
              <w:pStyle w:val="24"/>
              <w:spacing w:line="360" w:lineRule="auto"/>
              <w:rPr>
                <w:rFonts w:hint="eastAsia" w:ascii="Times New Roman" w:hAnsi="Times New Roman" w:eastAsia="宋体" w:cs="Times New Roman"/>
                <w:b/>
                <w:bCs/>
                <w:position w:val="2"/>
                <w:sz w:val="24"/>
                <w:highlight w:val="none"/>
                <w:u w:val="none"/>
                <w:vertAlign w:val="baseline"/>
                <w:lang w:eastAsia="zh-CN"/>
              </w:rPr>
            </w:pPr>
            <w:r>
              <w:rPr>
                <w:rFonts w:hint="default" w:ascii="Times New Roman" w:hAnsi="Times New Roman" w:eastAsia="宋体" w:cs="Times New Roman"/>
                <w:b/>
                <w:bCs/>
                <w:position w:val="2"/>
                <w:sz w:val="24"/>
                <w:highlight w:val="none"/>
                <w:u w:val="none"/>
                <w:vertAlign w:val="baseline"/>
              </w:rPr>
              <w:t>废气污染物新增总量指标为：VOCs0.451t/a，VOCs替代来源为洛阳珠峰华鹰三轮摩托车有限公司的减排量。</w:t>
            </w: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ind w:left="0" w:leftChars="0" w:firstLine="0" w:firstLineChars="0"/>
              <w:rPr>
                <w:rFonts w:hint="default"/>
                <w:position w:val="2"/>
                <w:sz w:val="24"/>
                <w:u w:val="none"/>
                <w:vertAlign w:val="baseline"/>
                <w:lang w:val="en-US" w:eastAsia="zh-CN"/>
              </w:rPr>
            </w:pPr>
          </w:p>
        </w:tc>
      </w:tr>
    </w:tbl>
    <w:p>
      <w:pPr>
        <w:pStyle w:val="22"/>
        <w:jc w:val="center"/>
        <w:outlineLvl w:val="0"/>
        <w:rPr>
          <w:rFonts w:ascii="黑体" w:hAnsi="黑体" w:eastAsia="黑体"/>
          <w:snapToGrid w:val="0"/>
          <w:color w:val="000000"/>
          <w:sz w:val="30"/>
          <w:szCs w:val="30"/>
          <w:u w:val="none"/>
        </w:rPr>
      </w:pPr>
      <w:r>
        <w:rPr>
          <w:rFonts w:ascii="黑体" w:hAnsi="黑体" w:eastAsia="黑体"/>
          <w:snapToGrid w:val="0"/>
          <w:color w:val="000000"/>
          <w:sz w:val="36"/>
          <w:szCs w:val="36"/>
          <w:u w:val="none"/>
        </w:rPr>
        <w:br w:type="page"/>
      </w:r>
      <w:r>
        <w:rPr>
          <w:rFonts w:hint="eastAsia" w:ascii="黑体" w:hAnsi="黑体" w:eastAsia="黑体"/>
          <w:snapToGrid w:val="0"/>
          <w:color w:val="000000"/>
          <w:sz w:val="30"/>
          <w:szCs w:val="30"/>
          <w:u w:val="none"/>
        </w:rPr>
        <w:t>四、主要环境影响和保护措施</w:t>
      </w:r>
    </w:p>
    <w:tbl>
      <w:tblPr>
        <w:tblStyle w:val="2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7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8" w:hRule="atLeast"/>
          <w:jc w:val="center"/>
        </w:trPr>
        <w:tc>
          <w:tcPr>
            <w:tcW w:w="794" w:type="dxa"/>
            <w:noWrap w:val="0"/>
            <w:tcMar>
              <w:left w:w="28" w:type="dxa"/>
              <w:right w:w="28" w:type="dxa"/>
            </w:tcMar>
            <w:vAlign w:val="center"/>
          </w:tcPr>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施工</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期环</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lang w:eastAsia="zh-CN"/>
              </w:rPr>
            </w:pPr>
            <w:r>
              <w:rPr>
                <w:rFonts w:hint="default" w:ascii="Times New Roman" w:hAnsi="Times New Roman" w:cs="Times New Roman"/>
                <w:color w:val="000000"/>
                <w:kern w:val="2"/>
                <w:sz w:val="24"/>
                <w:szCs w:val="24"/>
                <w:u w:val="none"/>
              </w:rPr>
              <w:t>境</w:t>
            </w:r>
            <w:r>
              <w:rPr>
                <w:rFonts w:hint="default" w:ascii="Times New Roman" w:hAnsi="Times New Roman" w:cs="Times New Roman"/>
                <w:color w:val="000000"/>
                <w:kern w:val="2"/>
                <w:sz w:val="24"/>
                <w:szCs w:val="24"/>
                <w:u w:val="none"/>
                <w:lang w:eastAsia="zh-CN"/>
              </w:rPr>
              <w:t>影</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lang w:eastAsia="zh-CN"/>
              </w:rPr>
            </w:pPr>
            <w:r>
              <w:rPr>
                <w:rFonts w:hint="default" w:ascii="Times New Roman" w:hAnsi="Times New Roman" w:cs="Times New Roman"/>
                <w:color w:val="000000"/>
                <w:kern w:val="2"/>
                <w:sz w:val="24"/>
                <w:szCs w:val="24"/>
                <w:u w:val="none"/>
                <w:lang w:eastAsia="zh-CN"/>
              </w:rPr>
              <w:t>响和</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保护</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措施</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保护</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措施</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r>
              <w:rPr>
                <w:rFonts w:hint="default" w:ascii="Times New Roman" w:hAnsi="Times New Roman" w:eastAsia="宋体" w:cs="Times New Roman"/>
                <w:b w:val="0"/>
                <w:color w:val="000000"/>
                <w:kern w:val="2"/>
                <w:sz w:val="24"/>
                <w:szCs w:val="24"/>
                <w:u w:val="non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r>
              <w:rPr>
                <w:rFonts w:hint="default" w:ascii="Times New Roman" w:hAnsi="Times New Roman" w:eastAsia="宋体" w:cs="Times New Roman"/>
                <w:b w:val="0"/>
                <w:color w:val="000000"/>
                <w:kern w:val="2"/>
                <w:sz w:val="24"/>
                <w:szCs w:val="24"/>
                <w:u w:val="non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r>
              <w:rPr>
                <w:rFonts w:hint="default" w:ascii="Times New Roman" w:hAnsi="Times New Roman" w:eastAsia="宋体" w:cs="Times New Roman"/>
                <w:b w:val="0"/>
                <w:color w:val="000000"/>
                <w:kern w:val="2"/>
                <w:sz w:val="24"/>
                <w:szCs w:val="24"/>
                <w:u w:val="non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tc>
        <w:tc>
          <w:tcPr>
            <w:tcW w:w="8187" w:type="dxa"/>
            <w:noWrap w:val="0"/>
            <w:vAlign w:val="top"/>
          </w:tcPr>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本项目利用现有</w:t>
            </w:r>
            <w:r>
              <w:rPr>
                <w:rFonts w:hint="default" w:ascii="Times New Roman" w:hAnsi="Times New Roman" w:cs="Times New Roman"/>
                <w:color w:val="000000"/>
                <w:sz w:val="24"/>
                <w:szCs w:val="24"/>
                <w:u w:val="none"/>
                <w:lang w:eastAsia="zh-CN"/>
              </w:rPr>
              <w:t>厂房进行建设，仅需安装设备等，不进行土建工作，施工期环境影响较小，不再对施工期进行环境影响分析</w:t>
            </w:r>
            <w:r>
              <w:rPr>
                <w:rFonts w:hint="default" w:ascii="Times New Roman" w:hAnsi="Times New Roman" w:cs="Times New Roman"/>
                <w:color w:val="000000"/>
                <w:sz w:val="24"/>
                <w:szCs w:val="24"/>
                <w:u w:val="none"/>
              </w:rPr>
              <w:t>。</w:t>
            </w: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一、大气环境影响分析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1.1废气污染源分析</w:t>
            </w:r>
          </w:p>
          <w:p>
            <w:pPr>
              <w:pStyle w:val="74"/>
              <w:rPr>
                <w:rFonts w:hint="default" w:ascii="Times New Roman" w:hAnsi="Times New Roman" w:eastAsia="宋体" w:cs="Times New Roman"/>
                <w:b/>
                <w:bCs/>
                <w:color w:val="000000"/>
                <w:u w:val="single"/>
                <w:lang w:val="en-US" w:eastAsia="zh-CN"/>
              </w:rPr>
            </w:pPr>
            <w:r>
              <w:rPr>
                <w:rFonts w:hint="default" w:ascii="Times New Roman" w:hAnsi="Times New Roman" w:cs="Times New Roman"/>
                <w:b/>
                <w:bCs/>
                <w:color w:val="000000"/>
                <w:u w:val="single"/>
                <w:lang w:val="en-US" w:eastAsia="zh-CN"/>
              </w:rPr>
              <w:t>1.1.1注塑挤出有机废气</w:t>
            </w:r>
          </w:p>
          <w:p>
            <w:pPr>
              <w:pStyle w:val="74"/>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rPr>
              <w:t>本项目废气</w:t>
            </w:r>
            <w:r>
              <w:rPr>
                <w:rFonts w:hint="default" w:ascii="Times New Roman" w:hAnsi="Times New Roman" w:cs="Times New Roman"/>
                <w:color w:val="000000"/>
                <w:u w:val="single"/>
                <w:lang w:val="en-US" w:eastAsia="zh-CN"/>
              </w:rPr>
              <w:t>为注塑挤出机产生的有机废气</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挤出工段在封闭的挤出机内进行，仅在挤出口处会有少量</w:t>
            </w:r>
            <w:r>
              <w:rPr>
                <w:rFonts w:hint="default" w:ascii="Times New Roman" w:hAnsi="Times New Roman" w:cs="Times New Roman"/>
                <w:color w:val="000000"/>
                <w:u w:val="single"/>
              </w:rPr>
              <w:t>有机废气</w:t>
            </w:r>
            <w:r>
              <w:rPr>
                <w:rFonts w:hint="default" w:ascii="Times New Roman" w:hAnsi="Times New Roman" w:cs="Times New Roman"/>
                <w:color w:val="000000"/>
                <w:u w:val="single"/>
                <w:lang w:val="en-US" w:eastAsia="zh-CN"/>
              </w:rPr>
              <w:t>散出</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rPr>
              <w:t>均以非甲烷总烃计。</w:t>
            </w:r>
            <w:r>
              <w:rPr>
                <w:rFonts w:hint="default" w:ascii="Times New Roman" w:hAnsi="Times New Roman" w:cs="Times New Roman"/>
                <w:color w:val="000000"/>
                <w:u w:val="single"/>
                <w:lang w:val="en-US" w:eastAsia="zh-CN"/>
              </w:rPr>
              <w:t>本项目参考《排放源统计调查产排污核算方法和系数手册—292塑料制品行业系数手册》（公告2021年第24号）“有机废气产污系数1.5千克/吨产品</w:t>
            </w:r>
            <w:r>
              <w:rPr>
                <w:rFonts w:hint="eastAsia" w:cs="Times New Roman"/>
                <w:color w:val="000000"/>
                <w:u w:val="single"/>
                <w:lang w:val="en-US" w:eastAsia="zh-CN"/>
              </w:rPr>
              <w:t>（原料）</w:t>
            </w:r>
            <w:r>
              <w:rPr>
                <w:rFonts w:hint="default" w:ascii="Times New Roman" w:hAnsi="Times New Roman" w:cs="Times New Roman"/>
                <w:color w:val="000000"/>
                <w:u w:val="single"/>
                <w:lang w:val="en-US" w:eastAsia="zh-CN"/>
              </w:rPr>
              <w:t>”，本项目</w:t>
            </w:r>
            <w:r>
              <w:rPr>
                <w:rFonts w:hint="eastAsia" w:cs="Times New Roman"/>
                <w:color w:val="000000"/>
                <w:u w:val="single"/>
                <w:lang w:val="en-US" w:eastAsia="zh-CN"/>
              </w:rPr>
              <w:t>挤出工序涉VOCs原料用量</w:t>
            </w:r>
            <w:r>
              <w:rPr>
                <w:rFonts w:hint="default" w:ascii="Times New Roman" w:hAnsi="Times New Roman" w:cs="Times New Roman"/>
                <w:color w:val="000000"/>
                <w:u w:val="single"/>
                <w:lang w:val="en-US" w:eastAsia="zh-CN"/>
              </w:rPr>
              <w:t>以</w:t>
            </w:r>
            <w:r>
              <w:rPr>
                <w:rFonts w:hint="eastAsia" w:cs="Times New Roman"/>
                <w:color w:val="000000"/>
                <w:u w:val="single"/>
                <w:lang w:val="en-US" w:eastAsia="zh-CN"/>
              </w:rPr>
              <w:t>750</w:t>
            </w:r>
            <w:r>
              <w:rPr>
                <w:rFonts w:hint="default" w:ascii="Times New Roman" w:hAnsi="Times New Roman" w:cs="Times New Roman"/>
                <w:color w:val="000000"/>
                <w:u w:val="single"/>
                <w:lang w:val="en-US" w:eastAsia="zh-CN"/>
              </w:rPr>
              <w:t>t计，则有机废气产生量为1.125t/a。</w:t>
            </w:r>
          </w:p>
          <w:p>
            <w:pPr>
              <w:pStyle w:val="74"/>
              <w:rPr>
                <w:rFonts w:hint="default" w:ascii="Times New Roman" w:hAnsi="Times New Roman" w:eastAsia="宋体" w:cs="Times New Roman"/>
                <w:b/>
                <w:bCs/>
                <w:color w:val="000000"/>
                <w:u w:val="single"/>
                <w:lang w:val="en-US" w:eastAsia="zh-CN"/>
              </w:rPr>
            </w:pPr>
            <w:r>
              <w:rPr>
                <w:rFonts w:hint="default" w:ascii="Times New Roman" w:hAnsi="Times New Roman" w:cs="Times New Roman"/>
                <w:b/>
                <w:bCs/>
                <w:color w:val="000000"/>
                <w:u w:val="single"/>
                <w:lang w:val="en-US" w:eastAsia="zh-CN"/>
              </w:rPr>
              <w:t>1.1.2上胶覆膜有机废气</w:t>
            </w:r>
          </w:p>
          <w:p>
            <w:pPr>
              <w:pStyle w:val="74"/>
              <w:rPr>
                <w:rFonts w:hint="default" w:ascii="Times New Roman" w:hAnsi="Times New Roman" w:cs="Times New Roman"/>
                <w:b/>
                <w:bCs/>
                <w:color w:val="000000"/>
                <w:u w:val="single"/>
              </w:rPr>
            </w:pPr>
            <w:r>
              <w:rPr>
                <w:rFonts w:hint="eastAsia" w:cs="Times New Roman"/>
                <w:b/>
                <w:bCs/>
                <w:color w:val="000000"/>
                <w:u w:val="single"/>
                <w:lang w:val="en-US" w:eastAsia="zh-CN"/>
              </w:rPr>
              <w:t>本项目覆膜工序使用的塑料膜背面自带覆膜胶，</w:t>
            </w:r>
            <w:r>
              <w:rPr>
                <w:rFonts w:hint="default" w:ascii="Times New Roman" w:hAnsi="Times New Roman" w:cs="Times New Roman"/>
                <w:b/>
                <w:bCs/>
                <w:color w:val="000000"/>
                <w:u w:val="single"/>
                <w:lang w:val="en-US" w:eastAsia="zh-CN"/>
              </w:rPr>
              <w:t>根据</w:t>
            </w:r>
            <w:r>
              <w:rPr>
                <w:rFonts w:hint="eastAsia" w:cs="Times New Roman"/>
                <w:b/>
                <w:bCs/>
                <w:color w:val="000000"/>
                <w:u w:val="single"/>
                <w:lang w:val="en-US" w:eastAsia="zh-CN"/>
              </w:rPr>
              <w:t>企业提供的检验报告</w:t>
            </w:r>
            <w:r>
              <w:rPr>
                <w:rFonts w:hint="default" w:ascii="Times New Roman" w:hAnsi="Times New Roman" w:cs="Times New Roman"/>
                <w:b/>
                <w:bCs/>
                <w:color w:val="000000"/>
                <w:u w:val="single"/>
                <w:lang w:val="en-US" w:eastAsia="zh-CN"/>
              </w:rPr>
              <w:t>，本项目所用</w:t>
            </w:r>
            <w:r>
              <w:rPr>
                <w:rFonts w:hint="eastAsia" w:cs="Times New Roman"/>
                <w:b/>
                <w:bCs/>
                <w:color w:val="000000"/>
                <w:u w:val="single"/>
                <w:lang w:val="en-US" w:eastAsia="zh-CN"/>
              </w:rPr>
              <w:t>覆膜胶挥发性有机物含量为4</w:t>
            </w:r>
            <w:r>
              <w:rPr>
                <w:rFonts w:hint="default" w:ascii="Times New Roman" w:hAnsi="Times New Roman" w:cs="Times New Roman"/>
                <w:b/>
                <w:bCs/>
                <w:color w:val="000000"/>
                <w:u w:val="single"/>
                <w:lang w:val="en-US" w:eastAsia="zh-CN"/>
              </w:rPr>
              <w:t>0g/L。按全部挥发计算本项目年使用覆膜胶1</w:t>
            </w:r>
            <w:r>
              <w:rPr>
                <w:rFonts w:hint="eastAsia" w:cs="Times New Roman"/>
                <w:b/>
                <w:bCs/>
                <w:color w:val="000000"/>
                <w:u w:val="single"/>
                <w:lang w:val="en-US" w:eastAsia="zh-CN"/>
              </w:rPr>
              <w:t>2.5</w:t>
            </w:r>
            <w:r>
              <w:rPr>
                <w:rFonts w:hint="default" w:ascii="Times New Roman" w:hAnsi="Times New Roman" w:cs="Times New Roman"/>
                <w:b/>
                <w:bCs/>
                <w:color w:val="000000"/>
                <w:u w:val="single"/>
                <w:lang w:val="en-US" w:eastAsia="zh-CN"/>
              </w:rPr>
              <w:t>t，则上胶覆膜工序有机废气的产生量0.5t/a。</w:t>
            </w:r>
          </w:p>
          <w:p>
            <w:pPr>
              <w:pStyle w:val="74"/>
              <w:rPr>
                <w:rFonts w:hint="default" w:ascii="Times New Roman" w:hAnsi="Times New Roman" w:eastAsia="宋体" w:cs="Times New Roman"/>
                <w:color w:val="000000"/>
                <w:u w:val="single"/>
                <w:lang w:val="en-US" w:eastAsia="zh-CN"/>
              </w:rPr>
            </w:pPr>
            <w:r>
              <w:rPr>
                <w:rFonts w:hint="default" w:ascii="Times New Roman" w:hAnsi="Times New Roman" w:cs="Times New Roman"/>
                <w:b/>
                <w:bCs/>
                <w:color w:val="000000"/>
                <w:u w:val="single"/>
                <w:lang w:val="en-US" w:eastAsia="zh-CN"/>
              </w:rPr>
              <w:t>1.1.3废气治理措施及废气排放达标可行性分析</w:t>
            </w:r>
          </w:p>
          <w:p>
            <w:pPr>
              <w:pStyle w:val="74"/>
              <w:rPr>
                <w:rFonts w:hint="default" w:ascii="Times New Roman" w:hAnsi="Times New Roman" w:cs="Times New Roman"/>
                <w:color w:val="000000"/>
                <w:u w:val="single"/>
                <w:lang w:val="en-US" w:eastAsia="zh-CN"/>
              </w:rPr>
            </w:pPr>
            <w:r>
              <w:rPr>
                <w:rFonts w:hint="eastAsia" w:cs="Times New Roman"/>
                <w:b/>
                <w:bCs/>
                <w:color w:val="000000"/>
                <w:u w:val="single"/>
                <w:lang w:val="en-US" w:eastAsia="zh-CN"/>
              </w:rPr>
              <w:t>经调查，企业需要观察注塑挤出机出口出料情况，并及时降温冷却，因此注塑挤出机出口不具备密闭条件。</w:t>
            </w:r>
            <w:r>
              <w:rPr>
                <w:rFonts w:hint="default" w:ascii="Times New Roman" w:hAnsi="Times New Roman" w:cs="Times New Roman"/>
                <w:color w:val="000000"/>
                <w:u w:val="single"/>
              </w:rPr>
              <w:t>建设单位</w:t>
            </w:r>
            <w:r>
              <w:rPr>
                <w:rFonts w:hint="default" w:ascii="Times New Roman" w:hAnsi="Times New Roman" w:cs="Times New Roman"/>
                <w:color w:val="000000"/>
                <w:u w:val="single"/>
                <w:lang w:val="en-US" w:eastAsia="zh-CN"/>
              </w:rPr>
              <w:t>在注塑挤出机</w:t>
            </w:r>
            <w:r>
              <w:rPr>
                <w:rFonts w:hint="default" w:ascii="Times New Roman" w:hAnsi="Times New Roman" w:cs="Times New Roman"/>
                <w:color w:val="000000"/>
                <w:u w:val="single"/>
              </w:rPr>
              <w:t>出口</w:t>
            </w:r>
            <w:r>
              <w:rPr>
                <w:rFonts w:hint="eastAsia" w:cs="Times New Roman"/>
                <w:color w:val="000000"/>
                <w:u w:val="single"/>
                <w:lang w:val="en-US" w:eastAsia="zh-CN"/>
              </w:rPr>
              <w:t>到冷却段</w:t>
            </w:r>
            <w:r>
              <w:rPr>
                <w:rFonts w:hint="default" w:ascii="Times New Roman" w:hAnsi="Times New Roman" w:cs="Times New Roman"/>
                <w:color w:val="000000"/>
                <w:u w:val="single"/>
                <w:lang w:val="en-US" w:eastAsia="zh-CN"/>
              </w:rPr>
              <w:t>和包覆机</w:t>
            </w:r>
            <w:r>
              <w:rPr>
                <w:rFonts w:hint="default" w:ascii="Times New Roman" w:hAnsi="Times New Roman" w:cs="Times New Roman"/>
                <w:color w:val="000000"/>
                <w:u w:val="single"/>
                <w:lang w:eastAsia="zh-CN"/>
              </w:rPr>
              <w:t>上方</w:t>
            </w:r>
            <w:r>
              <w:rPr>
                <w:rFonts w:hint="default" w:ascii="Times New Roman" w:hAnsi="Times New Roman" w:cs="Times New Roman"/>
                <w:color w:val="000000"/>
                <w:u w:val="single"/>
              </w:rPr>
              <w:t>设置集气罩</w:t>
            </w:r>
            <w:r>
              <w:rPr>
                <w:rFonts w:hint="default" w:ascii="Times New Roman" w:hAnsi="Times New Roman" w:cs="Times New Roman"/>
                <w:color w:val="000000"/>
                <w:u w:val="single"/>
                <w:lang w:eastAsia="zh-CN"/>
              </w:rPr>
              <w:t>和</w:t>
            </w:r>
            <w:r>
              <w:rPr>
                <w:rFonts w:hint="default" w:ascii="Times New Roman" w:hAnsi="Times New Roman" w:cs="Times New Roman"/>
                <w:color w:val="000000"/>
                <w:u w:val="single"/>
              </w:rPr>
              <w:t>排气管路，有机废气经</w:t>
            </w:r>
            <w:r>
              <w:rPr>
                <w:rFonts w:hint="default" w:ascii="Times New Roman" w:hAnsi="Times New Roman" w:cs="Times New Roman"/>
                <w:color w:val="000000"/>
                <w:u w:val="single"/>
                <w:lang w:val="en-US" w:eastAsia="zh-CN"/>
              </w:rPr>
              <w:t>排气管路引</w:t>
            </w:r>
            <w:r>
              <w:rPr>
                <w:rFonts w:hint="default" w:ascii="Times New Roman" w:hAnsi="Times New Roman" w:cs="Times New Roman"/>
                <w:color w:val="000000"/>
                <w:u w:val="single"/>
              </w:rPr>
              <w:t>至</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rPr>
              <w:t>UV</w:t>
            </w:r>
            <w:r>
              <w:rPr>
                <w:rFonts w:hint="default" w:ascii="Times New Roman" w:hAnsi="Times New Roman" w:cs="Times New Roman"/>
                <w:color w:val="000000"/>
                <w:u w:val="single"/>
                <w:lang w:val="en-US" w:eastAsia="zh-CN"/>
              </w:rPr>
              <w:t>光氧</w:t>
            </w:r>
            <w:r>
              <w:rPr>
                <w:rFonts w:hint="default" w:ascii="Times New Roman" w:hAnsi="Times New Roman" w:cs="Times New Roman"/>
                <w:color w:val="000000"/>
                <w:u w:val="single"/>
              </w:rPr>
              <w:t>+活性炭</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rPr>
              <w:t>处理设施</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lang w:val="en-US" w:eastAsia="zh-CN"/>
              </w:rPr>
              <w:t>处理效率85%</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rPr>
              <w:t>进行净化处理，然后通过15m排气筒排放。</w:t>
            </w:r>
          </w:p>
          <w:p>
            <w:pPr>
              <w:pStyle w:val="74"/>
              <w:rPr>
                <w:rFonts w:hint="default" w:ascii="Times New Roman" w:hAnsi="Times New Roman" w:cs="Times New Roman"/>
                <w:color w:val="000000"/>
                <w:u w:val="single"/>
              </w:rPr>
            </w:pPr>
            <w:r>
              <w:rPr>
                <w:rFonts w:hint="default" w:ascii="Times New Roman" w:hAnsi="Times New Roman" w:cs="Times New Roman"/>
                <w:color w:val="000000"/>
                <w:u w:val="single"/>
              </w:rPr>
              <w:t>根据《大气污染控制工程》（第三版）中集气罩风量计算公式：</w:t>
            </w:r>
          </w:p>
          <w:p>
            <w:pPr>
              <w:pStyle w:val="74"/>
              <w:rPr>
                <w:rFonts w:hint="default" w:ascii="Times New Roman" w:hAnsi="Times New Roman" w:cs="Times New Roman"/>
                <w:color w:val="000000"/>
                <w:u w:val="single"/>
                <w:lang w:eastAsia="zh-CN"/>
              </w:rPr>
            </w:pPr>
            <w:r>
              <w:rPr>
                <w:rFonts w:hint="default" w:ascii="Times New Roman" w:hAnsi="Times New Roman" w:cs="Times New Roman"/>
                <w:color w:val="000000"/>
                <w:u w:val="single"/>
              </w:rPr>
              <w:object>
                <v:shape id="_x0000_i1025" o:spt="75" type="#_x0000_t75" style="height:18pt;width:54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pStyle w:val="74"/>
              <w:rPr>
                <w:rFonts w:hint="default" w:ascii="Times New Roman" w:hAnsi="Times New Roman" w:cs="Times New Roman"/>
                <w:color w:val="000000"/>
                <w:u w:val="single"/>
              </w:rPr>
            </w:pPr>
            <w:r>
              <w:rPr>
                <w:rFonts w:hint="default" w:ascii="Times New Roman" w:hAnsi="Times New Roman" w:cs="Times New Roman"/>
                <w:color w:val="000000"/>
                <w:u w:val="single"/>
              </w:rPr>
              <w:t>式中：Q—集气罩风量，</w:t>
            </w:r>
            <w:r>
              <w:rPr>
                <w:rFonts w:hint="default" w:ascii="Times New Roman" w:hAnsi="Times New Roman" w:cs="Times New Roman"/>
                <w:color w:val="000000"/>
                <w:u w:val="single"/>
                <w:lang w:eastAsia="zh-CN"/>
              </w:rPr>
              <w:t>m³</w:t>
            </w:r>
            <w:r>
              <w:rPr>
                <w:rFonts w:hint="default" w:ascii="Times New Roman" w:hAnsi="Times New Roman" w:cs="Times New Roman"/>
                <w:color w:val="000000"/>
                <w:u w:val="single"/>
              </w:rPr>
              <w:t>/s；</w:t>
            </w:r>
          </w:p>
          <w:p>
            <w:pPr>
              <w:pStyle w:val="74"/>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L—罩口敞开面的周长，m；</w:t>
            </w:r>
          </w:p>
          <w:p>
            <w:pPr>
              <w:pStyle w:val="74"/>
              <w:rPr>
                <w:rFonts w:hint="default" w:ascii="Times New Roman" w:hAnsi="Times New Roman" w:cs="Times New Roman"/>
                <w:color w:val="000000"/>
                <w:u w:val="single"/>
              </w:rPr>
            </w:pPr>
            <w:r>
              <w:rPr>
                <w:rFonts w:hint="default" w:ascii="Times New Roman" w:hAnsi="Times New Roman" w:cs="Times New Roman"/>
                <w:color w:val="000000"/>
                <w:u w:val="single"/>
                <w:lang w:val="en-US" w:eastAsia="zh-CN"/>
              </w:rPr>
              <w:t>H</w:t>
            </w:r>
            <w:r>
              <w:rPr>
                <w:rFonts w:hint="default" w:ascii="Times New Roman" w:hAnsi="Times New Roman" w:cs="Times New Roman"/>
                <w:color w:val="000000"/>
                <w:u w:val="single"/>
              </w:rPr>
              <w:t>—</w:t>
            </w:r>
            <w:r>
              <w:rPr>
                <w:rFonts w:hint="default" w:ascii="Times New Roman" w:hAnsi="Times New Roman" w:cs="Times New Roman"/>
                <w:color w:val="000000"/>
                <w:u w:val="single"/>
                <w:lang w:eastAsia="zh-CN"/>
              </w:rPr>
              <w:t>罩口至污染源的距离，小于或等于</w:t>
            </w:r>
            <w:r>
              <w:rPr>
                <w:rFonts w:hint="default" w:ascii="Times New Roman" w:hAnsi="Times New Roman" w:cs="Times New Roman"/>
                <w:color w:val="000000"/>
                <w:u w:val="single"/>
                <w:lang w:val="en-US" w:eastAsia="zh-CN"/>
              </w:rPr>
              <w:t>0.3La（La为罩口长边尺寸），本次评价La=0.8m，取H=0.24m</w:t>
            </w:r>
            <w:r>
              <w:rPr>
                <w:rFonts w:hint="default" w:ascii="Times New Roman" w:hAnsi="Times New Roman" w:cs="Times New Roman"/>
                <w:color w:val="000000"/>
                <w:u w:val="single"/>
              </w:rPr>
              <w:t>；</w:t>
            </w:r>
          </w:p>
          <w:p>
            <w:pPr>
              <w:pStyle w:val="74"/>
              <w:rPr>
                <w:rFonts w:hint="default" w:ascii="Times New Roman" w:hAnsi="Times New Roman" w:cs="Times New Roman"/>
                <w:color w:val="000000"/>
                <w:u w:val="single"/>
                <w:lang w:eastAsia="zh-CN"/>
              </w:rPr>
            </w:pPr>
            <w:r>
              <w:rPr>
                <w:rFonts w:hint="default" w:ascii="Times New Roman" w:hAnsi="Times New Roman" w:cs="Times New Roman"/>
                <w:color w:val="000000"/>
                <w:u w:val="single"/>
              </w:rPr>
              <w:t>V</w:t>
            </w:r>
            <w:r>
              <w:rPr>
                <w:rFonts w:hint="default" w:ascii="Times New Roman" w:hAnsi="Times New Roman" w:cs="Times New Roman"/>
                <w:color w:val="000000"/>
                <w:u w:val="single"/>
                <w:lang w:val="en-US" w:eastAsia="zh-CN"/>
              </w:rPr>
              <w:t>x</w:t>
            </w:r>
            <w:r>
              <w:rPr>
                <w:rFonts w:hint="default" w:ascii="Times New Roman" w:hAnsi="Times New Roman" w:cs="Times New Roman"/>
                <w:color w:val="000000"/>
                <w:u w:val="single"/>
              </w:rPr>
              <w:t>—</w:t>
            </w:r>
            <w:r>
              <w:rPr>
                <w:rFonts w:hint="default" w:ascii="Times New Roman" w:hAnsi="Times New Roman" w:cs="Times New Roman"/>
                <w:color w:val="000000"/>
                <w:u w:val="single"/>
                <w:lang w:eastAsia="zh-CN"/>
              </w:rPr>
              <w:t>敞开断面处流速</w:t>
            </w:r>
            <w:r>
              <w:rPr>
                <w:rFonts w:hint="default" w:ascii="Times New Roman" w:hAnsi="Times New Roman" w:cs="Times New Roman"/>
                <w:color w:val="000000"/>
                <w:u w:val="single"/>
              </w:rPr>
              <w:t>，</w:t>
            </w:r>
            <w:r>
              <w:rPr>
                <w:rFonts w:hint="default" w:ascii="Times New Roman" w:hAnsi="Times New Roman" w:cs="Times New Roman"/>
                <w:color w:val="000000"/>
                <w:u w:val="single"/>
                <w:lang w:eastAsia="zh-CN"/>
              </w:rPr>
              <w:t>本次取</w:t>
            </w:r>
            <w:r>
              <w:rPr>
                <w:rFonts w:hint="default" w:ascii="Times New Roman" w:hAnsi="Times New Roman" w:cs="Times New Roman"/>
                <w:color w:val="000000"/>
                <w:u w:val="single"/>
                <w:lang w:val="en-US" w:eastAsia="zh-CN"/>
              </w:rPr>
              <w:t>0.5</w:t>
            </w:r>
            <w:r>
              <w:rPr>
                <w:rFonts w:hint="default" w:ascii="Times New Roman" w:hAnsi="Times New Roman" w:cs="Times New Roman"/>
                <w:color w:val="000000"/>
                <w:u w:val="single"/>
              </w:rPr>
              <w:t>m/s</w:t>
            </w:r>
            <w:r>
              <w:rPr>
                <w:rFonts w:hint="default" w:ascii="Times New Roman" w:hAnsi="Times New Roman" w:cs="Times New Roman"/>
                <w:color w:val="000000"/>
                <w:u w:val="single"/>
                <w:lang w:eastAsia="zh-CN"/>
              </w:rPr>
              <w:t>；</w:t>
            </w:r>
          </w:p>
          <w:p>
            <w:pPr>
              <w:pStyle w:val="74"/>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k—考虑沿高度速度分布不均匀的安全系数，取k=1.2。</w:t>
            </w:r>
          </w:p>
          <w:p>
            <w:pPr>
              <w:pStyle w:val="74"/>
              <w:rPr>
                <w:rFonts w:hint="default" w:ascii="Times New Roman" w:hAnsi="Times New Roman" w:cs="Times New Roman"/>
                <w:color w:val="000000"/>
                <w:u w:val="single"/>
              </w:rPr>
            </w:pPr>
            <w:r>
              <w:rPr>
                <w:rFonts w:hint="default" w:ascii="Times New Roman" w:hAnsi="Times New Roman" w:cs="Times New Roman"/>
                <w:color w:val="000000"/>
                <w:u w:val="single"/>
              </w:rPr>
              <w:t>根据项目各设备实际操作工位的大小设置集气罩罩口面积，拟设置的罩口面积见下表。</w:t>
            </w:r>
          </w:p>
          <w:p>
            <w:pPr>
              <w:pStyle w:val="74"/>
              <w:spacing w:line="240" w:lineRule="auto"/>
              <w:jc w:val="center"/>
              <w:rPr>
                <w:rFonts w:hint="default" w:ascii="Times New Roman" w:hAnsi="Times New Roman" w:cs="Times New Roman"/>
                <w:b/>
                <w:bCs/>
                <w:color w:val="000000"/>
                <w:u w:val="single"/>
              </w:rPr>
            </w:pPr>
          </w:p>
          <w:p>
            <w:pPr>
              <w:pStyle w:val="74"/>
              <w:spacing w:line="240" w:lineRule="auto"/>
              <w:jc w:val="center"/>
              <w:rPr>
                <w:rFonts w:hint="default" w:ascii="Times New Roman" w:hAnsi="Times New Roman" w:cs="Times New Roman"/>
                <w:b/>
                <w:bCs/>
                <w:color w:val="000000"/>
                <w:u w:val="single"/>
              </w:rPr>
            </w:pPr>
          </w:p>
          <w:p>
            <w:pPr>
              <w:pStyle w:val="74"/>
              <w:spacing w:line="240" w:lineRule="auto"/>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表</w:t>
            </w:r>
            <w:r>
              <w:rPr>
                <w:rFonts w:hint="default" w:ascii="Times New Roman" w:hAnsi="Times New Roman" w:cs="Times New Roman"/>
                <w:b/>
                <w:bCs/>
                <w:color w:val="000000"/>
                <w:u w:val="single"/>
                <w:lang w:val="en-US" w:eastAsia="zh-CN"/>
              </w:rPr>
              <w:t xml:space="preserve">14   </w:t>
            </w:r>
            <w:r>
              <w:rPr>
                <w:rFonts w:hint="default" w:ascii="Times New Roman" w:hAnsi="Times New Roman" w:cs="Times New Roman"/>
                <w:b/>
                <w:bCs/>
                <w:color w:val="000000"/>
                <w:u w:val="single"/>
              </w:rPr>
              <w:t>本项目各设备集气罩面积一览表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16"/>
              <w:gridCol w:w="3251"/>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9"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rPr>
                  </w:pPr>
                  <w:r>
                    <w:rPr>
                      <w:rFonts w:hint="default" w:ascii="Times New Roman" w:hAnsi="Times New Roman" w:cs="Times New Roman"/>
                      <w:color w:val="000000"/>
                      <w:u w:val="single"/>
                    </w:rPr>
                    <w:t>序号</w:t>
                  </w:r>
                </w:p>
              </w:tc>
              <w:tc>
                <w:tcPr>
                  <w:tcW w:w="2198"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rPr>
                  </w:pPr>
                  <w:r>
                    <w:rPr>
                      <w:rFonts w:hint="default" w:ascii="Times New Roman" w:hAnsi="Times New Roman" w:cs="Times New Roman"/>
                      <w:color w:val="000000"/>
                      <w:u w:val="single"/>
                    </w:rPr>
                    <w:t>设备名称</w:t>
                  </w:r>
                </w:p>
              </w:tc>
              <w:tc>
                <w:tcPr>
                  <w:tcW w:w="3225"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rPr>
                  </w:pPr>
                  <w:r>
                    <w:rPr>
                      <w:rFonts w:hint="default" w:ascii="Times New Roman" w:hAnsi="Times New Roman" w:cs="Times New Roman"/>
                      <w:color w:val="000000"/>
                      <w:u w:val="single"/>
                    </w:rPr>
                    <w:t>集气罩罩口</w:t>
                  </w:r>
                  <w:r>
                    <w:rPr>
                      <w:rFonts w:hint="default" w:ascii="Times New Roman" w:hAnsi="Times New Roman" w:cs="Times New Roman"/>
                      <w:color w:val="000000"/>
                      <w:u w:val="single"/>
                      <w:lang w:eastAsia="zh-CN"/>
                    </w:rPr>
                    <w:t>规格</w:t>
                  </w:r>
                </w:p>
              </w:tc>
              <w:tc>
                <w:tcPr>
                  <w:tcW w:w="2246"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工位数量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rPr>
                  </w:pPr>
                  <w:r>
                    <w:rPr>
                      <w:rFonts w:hint="default" w:ascii="Times New Roman" w:hAnsi="Times New Roman" w:cs="Times New Roman"/>
                      <w:color w:val="000000"/>
                      <w:u w:val="single"/>
                    </w:rPr>
                    <w:t>1</w:t>
                  </w:r>
                </w:p>
              </w:tc>
              <w:tc>
                <w:tcPr>
                  <w:tcW w:w="2198"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注塑挤出机出口</w:t>
                  </w:r>
                  <w:r>
                    <w:rPr>
                      <w:rFonts w:hint="eastAsia" w:cs="Times New Roman"/>
                      <w:color w:val="000000"/>
                      <w:u w:val="single"/>
                      <w:lang w:val="en-US" w:eastAsia="zh-CN"/>
                    </w:rPr>
                    <w:t>及冷却段</w:t>
                  </w:r>
                </w:p>
              </w:tc>
              <w:tc>
                <w:tcPr>
                  <w:tcW w:w="3225"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0.8m</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0.8m</w:t>
                  </w:r>
                </w:p>
              </w:tc>
              <w:tc>
                <w:tcPr>
                  <w:tcW w:w="2246"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000000"/>
                      <w:u w:val="single"/>
                      <w:lang w:val="en-US" w:eastAsia="zh-CN"/>
                    </w:rPr>
                  </w:pPr>
                  <w:r>
                    <w:rPr>
                      <w:rFonts w:hint="default" w:ascii="Times New Roman" w:hAnsi="Times New Roman" w:cs="Times New Roman"/>
                      <w:color w:val="000000"/>
                      <w:u w:val="single"/>
                      <w:lang w:val="en-US" w:eastAsia="zh-CN"/>
                    </w:rPr>
                    <w:t>2</w:t>
                  </w:r>
                </w:p>
              </w:tc>
              <w:tc>
                <w:tcPr>
                  <w:tcW w:w="2198"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包覆机出口</w:t>
                  </w:r>
                </w:p>
              </w:tc>
              <w:tc>
                <w:tcPr>
                  <w:tcW w:w="3225"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0.8m</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0.8m</w:t>
                  </w:r>
                </w:p>
              </w:tc>
              <w:tc>
                <w:tcPr>
                  <w:tcW w:w="2246" w:type="dxa"/>
                  <w:noWrap w:val="0"/>
                  <w:vAlign w:val="center"/>
                </w:tcPr>
                <w:p>
                  <w:pPr>
                    <w:pStyle w:val="7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4</w:t>
                  </w:r>
                </w:p>
              </w:tc>
            </w:tr>
          </w:tbl>
          <w:p>
            <w:pPr>
              <w:pStyle w:val="74"/>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rPr>
              <w:t>由此计算得出</w:t>
            </w:r>
            <w:r>
              <w:rPr>
                <w:rFonts w:hint="default" w:ascii="Times New Roman" w:hAnsi="Times New Roman" w:cs="Times New Roman"/>
                <w:color w:val="000000"/>
                <w:u w:val="single"/>
                <w:lang w:eastAsia="zh-CN"/>
              </w:rPr>
              <w:t>风机风量</w:t>
            </w:r>
            <w:r>
              <w:rPr>
                <w:rFonts w:hint="default" w:ascii="Times New Roman" w:hAnsi="Times New Roman" w:cs="Times New Roman"/>
                <w:color w:val="000000"/>
                <w:u w:val="single"/>
              </w:rPr>
              <w:t>应不低于</w:t>
            </w:r>
            <w:r>
              <w:rPr>
                <w:rFonts w:hint="default" w:ascii="Times New Roman" w:hAnsi="Times New Roman" w:cs="Times New Roman"/>
                <w:color w:val="000000"/>
                <w:u w:val="single"/>
                <w:lang w:val="en-US" w:eastAsia="zh-CN"/>
              </w:rPr>
              <w:t>1.2</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3.2</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0.24</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0.5</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10</w:t>
            </w:r>
            <w:r>
              <w:rPr>
                <w:rFonts w:hint="default" w:ascii="Times New Roman" w:hAnsi="Times New Roman" w:cs="Times New Roman"/>
                <w:color w:val="000000"/>
                <w:u w:val="single"/>
              </w:rPr>
              <w:t>=</w:t>
            </w:r>
            <w:r>
              <w:rPr>
                <w:rFonts w:hint="default" w:ascii="Times New Roman" w:hAnsi="Times New Roman" w:cs="Times New Roman"/>
                <w:color w:val="000000"/>
                <w:u w:val="single"/>
                <w:lang w:val="en-US" w:eastAsia="zh-CN"/>
              </w:rPr>
              <w:t>4.61</w:t>
            </w:r>
            <w:r>
              <w:rPr>
                <w:rFonts w:hint="default" w:ascii="Times New Roman" w:hAnsi="Times New Roman" w:cs="Times New Roman"/>
                <w:color w:val="000000"/>
                <w:u w:val="single"/>
                <w:lang w:eastAsia="zh-CN"/>
              </w:rPr>
              <w:t>m³</w:t>
            </w:r>
            <w:r>
              <w:rPr>
                <w:rFonts w:hint="default" w:ascii="Times New Roman" w:hAnsi="Times New Roman" w:cs="Times New Roman"/>
                <w:color w:val="000000"/>
                <w:u w:val="single"/>
              </w:rPr>
              <w:t>/s，即</w:t>
            </w:r>
            <w:r>
              <w:rPr>
                <w:rFonts w:hint="default" w:ascii="Times New Roman" w:hAnsi="Times New Roman" w:cs="Times New Roman"/>
                <w:color w:val="000000"/>
                <w:u w:val="single"/>
                <w:lang w:val="en-US" w:eastAsia="zh-CN"/>
              </w:rPr>
              <w:t>16596</w:t>
            </w:r>
            <w:r>
              <w:rPr>
                <w:rFonts w:hint="default" w:ascii="Times New Roman" w:hAnsi="Times New Roman" w:cs="Times New Roman"/>
                <w:color w:val="000000"/>
                <w:u w:val="single"/>
                <w:lang w:eastAsia="zh-CN"/>
              </w:rPr>
              <w:t>m³</w:t>
            </w:r>
            <w:r>
              <w:rPr>
                <w:rFonts w:hint="default" w:ascii="Times New Roman" w:hAnsi="Times New Roman" w:cs="Times New Roman"/>
                <w:color w:val="000000"/>
                <w:u w:val="single"/>
              </w:rPr>
              <w:t>/h</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lang w:val="en-US" w:eastAsia="zh-CN"/>
              </w:rPr>
              <w:t>考虑到管道风损等因素，本项目有机废气治理实施风量设计为18000</w:t>
            </w:r>
            <w:r>
              <w:rPr>
                <w:rFonts w:hint="default" w:ascii="Times New Roman" w:hAnsi="Times New Roman" w:cs="Times New Roman"/>
                <w:color w:val="000000"/>
                <w:u w:val="single"/>
                <w:lang w:eastAsia="zh-CN"/>
              </w:rPr>
              <w:t>m³</w:t>
            </w:r>
            <w:r>
              <w:rPr>
                <w:rFonts w:hint="default" w:ascii="Times New Roman" w:hAnsi="Times New Roman" w:cs="Times New Roman"/>
                <w:color w:val="000000"/>
                <w:u w:val="single"/>
              </w:rPr>
              <w:t>/h</w:t>
            </w:r>
            <w:r>
              <w:rPr>
                <w:rFonts w:hint="default" w:ascii="Times New Roman" w:hAnsi="Times New Roman" w:cs="Times New Roman"/>
                <w:color w:val="000000"/>
                <w:u w:val="single"/>
                <w:lang w:eastAsia="zh-CN"/>
              </w:rPr>
              <w:t>，</w:t>
            </w:r>
            <w:r>
              <w:rPr>
                <w:rFonts w:hint="default" w:ascii="Times New Roman" w:hAnsi="Times New Roman" w:cs="Times New Roman"/>
                <w:color w:val="000000"/>
                <w:u w:val="single"/>
                <w:lang w:val="en-US" w:eastAsia="zh-CN"/>
              </w:rPr>
              <w:t>采用</w:t>
            </w:r>
            <w:r>
              <w:rPr>
                <w:rFonts w:hint="default" w:ascii="Times New Roman" w:hAnsi="Times New Roman" w:cs="Times New Roman"/>
                <w:color w:val="000000"/>
                <w:u w:val="single"/>
              </w:rPr>
              <w:t>UV</w:t>
            </w:r>
            <w:r>
              <w:rPr>
                <w:rFonts w:hint="default" w:ascii="Times New Roman" w:hAnsi="Times New Roman" w:cs="Times New Roman"/>
                <w:color w:val="000000"/>
                <w:u w:val="single"/>
                <w:lang w:val="en-US" w:eastAsia="zh-CN"/>
              </w:rPr>
              <w:t>光氧</w:t>
            </w:r>
            <w:r>
              <w:rPr>
                <w:rFonts w:hint="default" w:ascii="Times New Roman" w:hAnsi="Times New Roman" w:cs="Times New Roman"/>
                <w:color w:val="000000"/>
                <w:u w:val="single"/>
              </w:rPr>
              <w:t>+活性炭</w:t>
            </w:r>
            <w:r>
              <w:rPr>
                <w:rFonts w:hint="default" w:ascii="Times New Roman" w:hAnsi="Times New Roman" w:cs="Times New Roman"/>
                <w:color w:val="000000"/>
                <w:u w:val="single"/>
                <w:lang w:val="en-US" w:eastAsia="zh-CN"/>
              </w:rPr>
              <w:t>废气治理设施。</w:t>
            </w:r>
          </w:p>
          <w:p>
            <w:pPr>
              <w:pStyle w:val="74"/>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本项目有机废气</w:t>
            </w:r>
            <w:r>
              <w:rPr>
                <w:rFonts w:hint="default" w:ascii="Times New Roman" w:hAnsi="Times New Roman" w:cs="Times New Roman"/>
                <w:color w:val="000000"/>
                <w:u w:val="single"/>
                <w:lang w:eastAsia="zh-CN"/>
              </w:rPr>
              <w:t>产生量为</w:t>
            </w:r>
            <w:r>
              <w:rPr>
                <w:rFonts w:hint="default" w:ascii="Times New Roman" w:hAnsi="Times New Roman" w:cs="Times New Roman"/>
                <w:color w:val="000000"/>
                <w:u w:val="single"/>
                <w:lang w:val="en-US" w:eastAsia="zh-CN"/>
              </w:rPr>
              <w:t>1.625t/a，注塑挤出工段年工作时间2400h，包覆机年工作时间2400h，风机风量为12000m³/h，收集效率以85%计，去除效率以85%计。非甲烷总烃有组织产生量为</w:t>
            </w:r>
            <w:r>
              <w:rPr>
                <w:rFonts w:hint="eastAsia" w:ascii="Times New Roman" w:hAnsi="Times New Roman" w:cs="Times New Roman"/>
                <w:color w:val="000000"/>
                <w:u w:val="single"/>
                <w:lang w:val="en-US" w:eastAsia="zh-CN"/>
              </w:rPr>
              <w:t>1.3813</w:t>
            </w:r>
            <w:r>
              <w:rPr>
                <w:rFonts w:hint="default" w:ascii="Times New Roman" w:hAnsi="Times New Roman" w:cs="Times New Roman"/>
                <w:color w:val="000000"/>
                <w:u w:val="single"/>
                <w:lang w:val="en-US" w:eastAsia="zh-CN"/>
              </w:rPr>
              <w:t>t/a，产生速率为</w:t>
            </w:r>
            <w:r>
              <w:rPr>
                <w:rFonts w:hint="eastAsia" w:ascii="Times New Roman" w:hAnsi="Times New Roman" w:cs="Times New Roman"/>
                <w:color w:val="000000"/>
                <w:u w:val="single"/>
                <w:lang w:val="en-US" w:eastAsia="zh-CN"/>
              </w:rPr>
              <w:t>0.5755</w:t>
            </w:r>
            <w:r>
              <w:rPr>
                <w:rFonts w:hint="default" w:ascii="Times New Roman" w:hAnsi="Times New Roman" w:cs="Times New Roman"/>
                <w:color w:val="000000"/>
                <w:u w:val="single"/>
                <w:lang w:val="en-US" w:eastAsia="zh-CN"/>
              </w:rPr>
              <w:t>kg/h，产生浓度为</w:t>
            </w:r>
            <w:r>
              <w:rPr>
                <w:rFonts w:hint="eastAsia" w:ascii="Times New Roman" w:hAnsi="Times New Roman" w:cs="Times New Roman"/>
                <w:color w:val="000000"/>
                <w:u w:val="single"/>
                <w:lang w:val="en-US" w:eastAsia="zh-CN"/>
              </w:rPr>
              <w:t>32.0</w:t>
            </w:r>
            <w:r>
              <w:rPr>
                <w:rFonts w:hint="default" w:ascii="Times New Roman" w:hAnsi="Times New Roman" w:cs="Times New Roman"/>
                <w:color w:val="000000"/>
                <w:u w:val="single"/>
                <w:lang w:val="en-US" w:eastAsia="zh-CN"/>
              </w:rPr>
              <w:t>mg/m³。有组织排放量为</w:t>
            </w:r>
            <w:r>
              <w:rPr>
                <w:rFonts w:hint="eastAsia" w:ascii="Times New Roman" w:hAnsi="Times New Roman" w:cs="Times New Roman"/>
                <w:color w:val="000000"/>
                <w:u w:val="single"/>
                <w:lang w:val="en-US" w:eastAsia="zh-CN"/>
              </w:rPr>
              <w:t>0.2072</w:t>
            </w:r>
            <w:r>
              <w:rPr>
                <w:rFonts w:hint="default" w:ascii="Times New Roman" w:hAnsi="Times New Roman" w:cs="Times New Roman"/>
                <w:color w:val="000000"/>
                <w:u w:val="single"/>
                <w:lang w:val="en-US" w:eastAsia="zh-CN"/>
              </w:rPr>
              <w:t>t/a，排放速率为</w:t>
            </w:r>
            <w:r>
              <w:rPr>
                <w:rFonts w:hint="eastAsia" w:ascii="Times New Roman" w:hAnsi="Times New Roman" w:cs="Times New Roman"/>
                <w:color w:val="000000"/>
                <w:u w:val="single"/>
                <w:lang w:val="en-US" w:eastAsia="zh-CN"/>
              </w:rPr>
              <w:t>0.0863</w:t>
            </w:r>
            <w:r>
              <w:rPr>
                <w:rFonts w:hint="default" w:ascii="Times New Roman" w:hAnsi="Times New Roman" w:cs="Times New Roman"/>
                <w:color w:val="000000"/>
                <w:u w:val="single"/>
                <w:lang w:val="en-US" w:eastAsia="zh-CN"/>
              </w:rPr>
              <w:t>kg/h，排放浓度为</w:t>
            </w:r>
            <w:r>
              <w:rPr>
                <w:rFonts w:hint="eastAsia" w:ascii="Times New Roman" w:hAnsi="Times New Roman" w:cs="Times New Roman"/>
                <w:color w:val="000000"/>
                <w:u w:val="single"/>
                <w:lang w:val="en-US" w:eastAsia="zh-CN"/>
              </w:rPr>
              <w:t>4.8m</w:t>
            </w:r>
            <w:r>
              <w:rPr>
                <w:rFonts w:hint="default" w:ascii="Times New Roman" w:hAnsi="Times New Roman" w:cs="Times New Roman"/>
                <w:color w:val="000000"/>
                <w:u w:val="single"/>
                <w:lang w:val="en-US" w:eastAsia="zh-CN"/>
              </w:rPr>
              <w:t>g/m³。</w:t>
            </w:r>
          </w:p>
          <w:p>
            <w:pPr>
              <w:pStyle w:val="74"/>
              <w:rPr>
                <w:rFonts w:hint="default" w:ascii="Times New Roman" w:hAnsi="Times New Roman" w:cs="Times New Roman"/>
                <w:color w:val="000000"/>
                <w:u w:val="single"/>
                <w:lang w:val="en-US" w:eastAsia="zh-CN"/>
              </w:rPr>
            </w:pPr>
            <w:r>
              <w:rPr>
                <w:rFonts w:hint="default" w:ascii="Times New Roman" w:hAnsi="Times New Roman" w:cs="Times New Roman"/>
                <w:color w:val="000000"/>
                <w:u w:val="single"/>
                <w:lang w:val="en-US" w:eastAsia="zh-CN"/>
              </w:rPr>
              <w:t>无组织排放量为</w:t>
            </w:r>
            <w:r>
              <w:rPr>
                <w:rFonts w:hint="eastAsia" w:ascii="Times New Roman" w:hAnsi="Times New Roman" w:cs="Times New Roman"/>
                <w:color w:val="000000"/>
                <w:u w:val="single"/>
                <w:lang w:val="en-US" w:eastAsia="zh-CN"/>
              </w:rPr>
              <w:t>0.2438</w:t>
            </w:r>
            <w:r>
              <w:rPr>
                <w:rFonts w:hint="default" w:ascii="Times New Roman" w:hAnsi="Times New Roman" w:cs="Times New Roman"/>
                <w:color w:val="000000"/>
                <w:u w:val="single"/>
                <w:lang w:val="en-US" w:eastAsia="zh-CN"/>
              </w:rPr>
              <w:t>t/a，排放速率为</w:t>
            </w:r>
            <w:r>
              <w:rPr>
                <w:rFonts w:hint="eastAsia" w:ascii="Times New Roman" w:hAnsi="Times New Roman" w:cs="Times New Roman"/>
                <w:color w:val="000000"/>
                <w:u w:val="single"/>
                <w:lang w:val="en-US" w:eastAsia="zh-CN"/>
              </w:rPr>
              <w:t>0.1016</w:t>
            </w:r>
            <w:r>
              <w:rPr>
                <w:rFonts w:hint="default" w:ascii="Times New Roman" w:hAnsi="Times New Roman" w:cs="Times New Roman"/>
                <w:color w:val="000000"/>
                <w:u w:val="single"/>
                <w:lang w:val="en-US" w:eastAsia="zh-CN"/>
              </w:rPr>
              <w:t>kg/h。</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rPr>
                <w:rFonts w:hint="default" w:ascii="Times New Roman" w:hAnsi="Times New Roman" w:eastAsia="宋体" w:cs="Times New Roman"/>
                <w:color w:val="000000"/>
                <w:sz w:val="24"/>
                <w:szCs w:val="24"/>
                <w:u w:val="single"/>
                <w:vertAlign w:val="baseline"/>
                <w:lang w:val="en-US" w:eastAsia="zh-CN"/>
              </w:rPr>
            </w:pPr>
            <w:r>
              <w:rPr>
                <w:rFonts w:hint="default" w:ascii="Times New Roman" w:hAnsi="Times New Roman" w:eastAsia="宋体" w:cs="Times New Roman"/>
                <w:color w:val="000000"/>
                <w:sz w:val="24"/>
                <w:szCs w:val="24"/>
                <w:u w:val="single"/>
                <w:vertAlign w:val="baseline"/>
                <w:lang w:val="en-US" w:eastAsia="zh-CN"/>
              </w:rPr>
              <w:t>综上所述，本项目有机废气在采取集气罩收集+UV光氧+活性炭吸附处理后排放满足《合成树脂工业污染物排放标准》（GB31572-2015）</w:t>
            </w:r>
            <w:r>
              <w:rPr>
                <w:rFonts w:hint="default" w:ascii="Times New Roman" w:hAnsi="Times New Roman" w:cs="Times New Roman"/>
                <w:color w:val="000000"/>
                <w:sz w:val="24"/>
                <w:szCs w:val="24"/>
                <w:u w:val="single"/>
                <w:vertAlign w:val="baseline"/>
                <w:lang w:val="en-US" w:eastAsia="zh-CN"/>
              </w:rPr>
              <w:t>6</w:t>
            </w:r>
            <w:r>
              <w:rPr>
                <w:rFonts w:hint="default" w:ascii="Times New Roman" w:hAnsi="Times New Roman" w:eastAsia="宋体" w:cs="Times New Roman"/>
                <w:color w:val="000000"/>
                <w:sz w:val="24"/>
                <w:szCs w:val="24"/>
                <w:u w:val="single"/>
                <w:vertAlign w:val="baseline"/>
                <w:lang w:val="en-US" w:eastAsia="zh-CN"/>
              </w:rPr>
              <w:t>0mg/m³相关要求。及《</w:t>
            </w:r>
            <w:r>
              <w:rPr>
                <w:rFonts w:hint="eastAsia" w:cs="Times New Roman"/>
                <w:color w:val="000000"/>
                <w:sz w:val="24"/>
                <w:szCs w:val="24"/>
                <w:u w:val="single"/>
                <w:vertAlign w:val="baseline"/>
                <w:lang w:val="en-US" w:eastAsia="zh-CN"/>
              </w:rPr>
              <w:t>河南省</w:t>
            </w:r>
            <w:r>
              <w:rPr>
                <w:rFonts w:hint="default" w:ascii="Times New Roman" w:hAnsi="Times New Roman" w:eastAsia="宋体" w:cs="Times New Roman"/>
                <w:color w:val="000000"/>
                <w:sz w:val="24"/>
                <w:szCs w:val="24"/>
                <w:u w:val="single"/>
                <w:vertAlign w:val="baseline"/>
                <w:lang w:val="en-US" w:eastAsia="zh-CN"/>
              </w:rPr>
              <w:t>重污染天气重点行业应急减排措施制定技术指南（2021年修订版）》（塑料制品A级限值10mg/m</w:t>
            </w:r>
            <w:r>
              <w:rPr>
                <w:rFonts w:hint="default" w:ascii="Times New Roman" w:hAnsi="Times New Roman" w:eastAsia="宋体" w:cs="Times New Roman"/>
                <w:color w:val="000000"/>
                <w:sz w:val="24"/>
                <w:szCs w:val="24"/>
                <w:u w:val="single"/>
                <w:vertAlign w:val="superscript"/>
                <w:lang w:val="en-US" w:eastAsia="zh-CN"/>
              </w:rPr>
              <w:t>3</w:t>
            </w:r>
            <w:r>
              <w:rPr>
                <w:rFonts w:hint="default" w:ascii="Times New Roman" w:hAnsi="Times New Roman" w:cs="Times New Roman"/>
                <w:color w:val="000000"/>
                <w:sz w:val="24"/>
                <w:szCs w:val="24"/>
                <w:u w:val="single"/>
                <w:vertAlign w:val="baseline"/>
                <w:lang w:val="en-US" w:eastAsia="zh-CN"/>
              </w:rPr>
              <w:t>）</w:t>
            </w:r>
            <w:r>
              <w:rPr>
                <w:rFonts w:hint="default" w:ascii="Times New Roman" w:hAnsi="Times New Roman" w:eastAsia="宋体" w:cs="Times New Roman"/>
                <w:color w:val="000000"/>
                <w:sz w:val="24"/>
                <w:szCs w:val="24"/>
                <w:u w:val="single"/>
                <w:vertAlign w:val="baseline"/>
                <w:lang w:val="en-US" w:eastAsia="zh-CN"/>
              </w:rPr>
              <w:t>要求。</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2" w:firstLineChars="200"/>
              <w:jc w:val="both"/>
              <w:textAlignment w:val="auto"/>
              <w:rPr>
                <w:rFonts w:hint="default" w:ascii="Times New Roman" w:hAnsi="Times New Roman" w:cs="Times New Roman"/>
                <w:b w:val="0"/>
                <w:bCs w:val="0"/>
                <w:color w:val="000000"/>
                <w:sz w:val="24"/>
                <w:szCs w:val="24"/>
                <w:u w:val="single"/>
                <w:lang w:val="en-US" w:eastAsia="zh-CN"/>
              </w:rPr>
            </w:pPr>
            <w:r>
              <w:rPr>
                <w:rFonts w:hint="default" w:ascii="Times New Roman" w:hAnsi="Times New Roman" w:cs="Times New Roman"/>
                <w:b/>
                <w:bCs/>
                <w:color w:val="000000"/>
                <w:sz w:val="24"/>
                <w:szCs w:val="24"/>
                <w:u w:val="single"/>
                <w:lang w:val="en-US" w:eastAsia="zh-CN"/>
              </w:rPr>
              <w:t>废气治理可行性分析</w:t>
            </w:r>
            <w:r>
              <w:rPr>
                <w:rFonts w:hint="default" w:ascii="Times New Roman" w:hAnsi="Times New Roman" w:cs="Times New Roman"/>
                <w:b w:val="0"/>
                <w:bCs w:val="0"/>
                <w:color w:val="000000"/>
                <w:sz w:val="24"/>
                <w:szCs w:val="24"/>
                <w:u w:val="single"/>
                <w:lang w:val="en-US" w:eastAsia="zh-CN"/>
              </w:rPr>
              <w:t>:经查阅《排污许可证申请与核发技术规范 橡胶和塑料制品工业》(HJ1122-2020)，“A.2塑料制品工业排污单位废气污染防治可行技术参考表”，对于挤出工序和上胶覆膜工序产生的“非甲烷总烃”污染物，使用光氧催化和活性炭吸附均为可行技术。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2" w:firstLineChars="200"/>
              <w:jc w:val="both"/>
              <w:textAlignment w:val="auto"/>
              <w:rPr>
                <w:rFonts w:hint="default" w:ascii="Times New Roman" w:hAnsi="Times New Roman" w:cs="Times New Roman"/>
                <w:b/>
                <w:bCs/>
                <w:color w:val="000000"/>
                <w:sz w:val="24"/>
                <w:szCs w:val="24"/>
                <w:u w:val="single"/>
                <w:lang w:val="en-US" w:eastAsia="zh-CN"/>
              </w:rPr>
            </w:pPr>
            <w:r>
              <w:rPr>
                <w:rFonts w:hint="default" w:ascii="Times New Roman" w:hAnsi="Times New Roman" w:cs="Times New Roman"/>
                <w:b/>
                <w:bCs/>
                <w:color w:val="000000"/>
                <w:sz w:val="24"/>
                <w:szCs w:val="24"/>
                <w:u w:val="single"/>
                <w:lang w:val="en-US" w:eastAsia="zh-CN"/>
              </w:rPr>
              <w:t>1.1.2粉尘</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2" w:firstLineChars="200"/>
              <w:jc w:val="both"/>
              <w:textAlignment w:val="auto"/>
              <w:rPr>
                <w:rFonts w:hint="default" w:ascii="Times New Roman" w:hAnsi="Times New Roman" w:cs="Times New Roman"/>
                <w:b/>
                <w:bCs/>
                <w:color w:val="000000"/>
                <w:sz w:val="24"/>
                <w:szCs w:val="24"/>
                <w:u w:val="single"/>
                <w:lang w:val="en-US" w:eastAsia="zh-CN"/>
              </w:rPr>
            </w:pPr>
            <w:r>
              <w:rPr>
                <w:rFonts w:hint="default" w:ascii="Times New Roman" w:hAnsi="Times New Roman" w:cs="Times New Roman"/>
                <w:b/>
                <w:bCs/>
                <w:color w:val="000000"/>
                <w:sz w:val="24"/>
                <w:szCs w:val="24"/>
                <w:u w:val="single"/>
                <w:lang w:val="en-US" w:eastAsia="zh-CN"/>
              </w:rPr>
              <w:t>1.1.2.1</w:t>
            </w:r>
            <w:r>
              <w:rPr>
                <w:rFonts w:hint="eastAsia" w:ascii="Times New Roman" w:hAnsi="Times New Roman" w:cs="Times New Roman"/>
                <w:b/>
                <w:bCs/>
                <w:color w:val="000000"/>
                <w:sz w:val="24"/>
                <w:szCs w:val="24"/>
                <w:u w:val="single"/>
                <w:lang w:val="en-US" w:eastAsia="zh-CN"/>
              </w:rPr>
              <w:t>拆包、上料</w:t>
            </w:r>
            <w:r>
              <w:rPr>
                <w:rFonts w:hint="default" w:ascii="Times New Roman" w:hAnsi="Times New Roman" w:cs="Times New Roman"/>
                <w:b/>
                <w:bCs/>
                <w:color w:val="000000"/>
                <w:sz w:val="24"/>
                <w:szCs w:val="24"/>
                <w:u w:val="single"/>
                <w:lang w:val="en-US" w:eastAsia="zh-CN"/>
              </w:rPr>
              <w:t>粉尘</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2" w:firstLineChars="200"/>
              <w:jc w:val="both"/>
              <w:textAlignment w:val="auto"/>
              <w:rPr>
                <w:rFonts w:hint="default" w:ascii="Times New Roman" w:hAnsi="Times New Roman" w:cs="Times New Roman"/>
                <w:b/>
                <w:bCs w:val="0"/>
                <w:color w:val="auto"/>
                <w:sz w:val="24"/>
                <w:u w:val="single"/>
                <w:lang w:val="en-US" w:eastAsia="zh-CN"/>
              </w:rPr>
            </w:pPr>
            <w:r>
              <w:rPr>
                <w:rFonts w:hint="default" w:ascii="Times New Roman" w:hAnsi="Times New Roman" w:cs="Times New Roman"/>
                <w:b/>
                <w:bCs w:val="0"/>
                <w:color w:val="auto"/>
                <w:sz w:val="24"/>
                <w:u w:val="single"/>
                <w:lang w:val="en-US" w:eastAsia="zh-CN"/>
              </w:rPr>
              <w:t>项目外购粉状料均为袋装，各原料根据计量比例确定所需的袋数后，由人工拆包后</w:t>
            </w:r>
            <w:r>
              <w:rPr>
                <w:rFonts w:hint="eastAsia" w:cs="Times New Roman"/>
                <w:b/>
                <w:bCs w:val="0"/>
                <w:color w:val="auto"/>
                <w:sz w:val="24"/>
                <w:u w:val="single"/>
                <w:lang w:val="en-US" w:eastAsia="zh-CN"/>
              </w:rPr>
              <w:t>，将原料置入</w:t>
            </w:r>
            <w:r>
              <w:rPr>
                <w:rFonts w:hint="default" w:ascii="Times New Roman" w:hAnsi="Times New Roman" w:cs="Times New Roman"/>
                <w:b/>
                <w:bCs w:val="0"/>
                <w:color w:val="auto"/>
                <w:sz w:val="24"/>
                <w:u w:val="single"/>
                <w:lang w:val="en-US" w:eastAsia="zh-CN"/>
              </w:rPr>
              <w:t>弹簧上料机</w:t>
            </w:r>
            <w:r>
              <w:rPr>
                <w:rFonts w:hint="eastAsia" w:ascii="Times New Roman" w:hAnsi="Times New Roman" w:cs="Times New Roman"/>
                <w:b/>
                <w:bCs w:val="0"/>
                <w:color w:val="auto"/>
                <w:sz w:val="24"/>
                <w:u w:val="single"/>
                <w:lang w:val="en-US" w:eastAsia="zh-CN"/>
              </w:rPr>
              <w:t>料斗内，原料</w:t>
            </w:r>
            <w:r>
              <w:rPr>
                <w:rFonts w:hint="default" w:ascii="Times New Roman" w:hAnsi="Times New Roman" w:cs="Times New Roman"/>
                <w:b/>
                <w:bCs w:val="0"/>
                <w:color w:val="auto"/>
                <w:sz w:val="24"/>
                <w:u w:val="single"/>
                <w:lang w:val="en-US" w:eastAsia="zh-CN"/>
              </w:rPr>
              <w:t>通过弹簧上料机上料，为减少颗粒物排放，</w:t>
            </w:r>
            <w:r>
              <w:rPr>
                <w:rFonts w:hint="eastAsia" w:cs="Times New Roman"/>
                <w:b/>
                <w:bCs w:val="0"/>
                <w:color w:val="auto"/>
                <w:sz w:val="24"/>
                <w:u w:val="single"/>
                <w:lang w:val="en-US" w:eastAsia="zh-CN"/>
              </w:rPr>
              <w:t>企业在拆包、上料工序区域上方设置集气罩</w:t>
            </w:r>
            <w:r>
              <w:rPr>
                <w:rFonts w:hint="default" w:ascii="Times New Roman" w:hAnsi="Times New Roman" w:cs="Times New Roman"/>
                <w:b/>
                <w:bCs w:val="0"/>
                <w:color w:val="auto"/>
                <w:sz w:val="24"/>
                <w:u w:val="single"/>
                <w:lang w:val="en-US" w:eastAsia="zh-CN"/>
              </w:rPr>
              <w:t>，</w:t>
            </w:r>
            <w:r>
              <w:rPr>
                <w:rFonts w:hint="eastAsia" w:cs="Times New Roman"/>
                <w:b/>
                <w:bCs w:val="0"/>
                <w:color w:val="auto"/>
                <w:sz w:val="24"/>
                <w:u w:val="single"/>
                <w:lang w:val="en-US" w:eastAsia="zh-CN"/>
              </w:rPr>
              <w:t>拆包、上料</w:t>
            </w:r>
            <w:r>
              <w:rPr>
                <w:rFonts w:hint="default" w:ascii="Times New Roman" w:hAnsi="Times New Roman" w:cs="Times New Roman"/>
                <w:b/>
                <w:bCs w:val="0"/>
                <w:color w:val="auto"/>
                <w:sz w:val="24"/>
                <w:u w:val="single"/>
                <w:lang w:val="en-US" w:eastAsia="zh-CN"/>
              </w:rPr>
              <w:t>时产生的粉尘收集后由布袋除尘器处理。参考《</w:t>
            </w:r>
            <w:r>
              <w:rPr>
                <w:rFonts w:hint="eastAsia" w:cs="Times New Roman"/>
                <w:b/>
                <w:bCs w:val="0"/>
                <w:color w:val="auto"/>
                <w:sz w:val="24"/>
                <w:u w:val="single"/>
                <w:lang w:val="en-US" w:eastAsia="zh-CN"/>
              </w:rPr>
              <w:t>逸散性工业粉尘控制技术</w:t>
            </w:r>
            <w:r>
              <w:rPr>
                <w:rFonts w:hint="default" w:ascii="Times New Roman" w:hAnsi="Times New Roman" w:cs="Times New Roman"/>
                <w:b/>
                <w:bCs w:val="0"/>
                <w:color w:val="auto"/>
                <w:sz w:val="24"/>
                <w:u w:val="single"/>
                <w:lang w:val="en-US" w:eastAsia="zh-CN"/>
              </w:rPr>
              <w:t>》</w:t>
            </w:r>
            <w:r>
              <w:rPr>
                <w:rFonts w:hint="eastAsia" w:cs="Times New Roman"/>
                <w:b/>
                <w:bCs w:val="0"/>
                <w:color w:val="auto"/>
                <w:sz w:val="24"/>
                <w:u w:val="single"/>
                <w:lang w:val="en-US" w:eastAsia="zh-CN"/>
              </w:rPr>
              <w:t>《工业污染核算》等书，本次评价粉料拆包、上料粉尘产尘量取0.1kg/t原料计</w:t>
            </w:r>
            <w:r>
              <w:rPr>
                <w:rFonts w:hint="default" w:ascii="Times New Roman" w:hAnsi="Times New Roman" w:cs="Times New Roman"/>
                <w:b/>
                <w:bCs w:val="0"/>
                <w:color w:val="auto"/>
                <w:sz w:val="24"/>
                <w:u w:val="single"/>
                <w:lang w:val="en-US" w:eastAsia="zh-CN"/>
              </w:rPr>
              <w:t>，则产生的粉尘量为</w:t>
            </w:r>
            <w:r>
              <w:rPr>
                <w:rFonts w:hint="eastAsia" w:cs="Times New Roman"/>
                <w:b/>
                <w:bCs w:val="0"/>
                <w:color w:val="auto"/>
                <w:sz w:val="24"/>
                <w:u w:val="single"/>
                <w:lang w:val="en-US" w:eastAsia="zh-CN"/>
              </w:rPr>
              <w:t>0.2</w:t>
            </w:r>
            <w:r>
              <w:rPr>
                <w:rFonts w:hint="default" w:ascii="Times New Roman" w:hAnsi="Times New Roman" w:cs="Times New Roman"/>
                <w:b/>
                <w:bCs w:val="0"/>
                <w:color w:val="auto"/>
                <w:sz w:val="24"/>
                <w:u w:val="single"/>
                <w:lang w:val="en-US" w:eastAsia="zh-CN"/>
              </w:rPr>
              <w:t>t/a。</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2" w:firstLineChars="200"/>
              <w:jc w:val="both"/>
              <w:textAlignment w:val="auto"/>
              <w:rPr>
                <w:rFonts w:hint="default" w:ascii="Times New Roman" w:hAnsi="Times New Roman" w:cs="Times New Roman"/>
                <w:b/>
                <w:bCs/>
                <w:color w:val="000000"/>
                <w:sz w:val="24"/>
                <w:szCs w:val="24"/>
                <w:u w:val="single"/>
                <w:lang w:val="en-US" w:eastAsia="zh-CN"/>
              </w:rPr>
            </w:pPr>
            <w:r>
              <w:rPr>
                <w:rFonts w:hint="default" w:ascii="Times New Roman" w:hAnsi="Times New Roman" w:cs="Times New Roman"/>
                <w:b/>
                <w:bCs/>
                <w:color w:val="000000"/>
                <w:sz w:val="24"/>
                <w:szCs w:val="24"/>
                <w:u w:val="single"/>
                <w:lang w:val="en-US" w:eastAsia="zh-CN"/>
              </w:rPr>
              <w:t>1.1.2.2搅拌</w:t>
            </w:r>
            <w:r>
              <w:rPr>
                <w:rFonts w:hint="eastAsia" w:ascii="Times New Roman" w:hAnsi="Times New Roman" w:cs="Times New Roman"/>
                <w:b/>
                <w:bCs/>
                <w:color w:val="000000"/>
                <w:sz w:val="24"/>
                <w:szCs w:val="24"/>
                <w:u w:val="single"/>
                <w:lang w:val="en-US" w:eastAsia="zh-CN"/>
              </w:rPr>
              <w:t>、混合、破碎、磨粉</w:t>
            </w:r>
            <w:r>
              <w:rPr>
                <w:rFonts w:hint="default" w:ascii="Times New Roman" w:hAnsi="Times New Roman" w:cs="Times New Roman"/>
                <w:b/>
                <w:bCs/>
                <w:color w:val="000000"/>
                <w:sz w:val="24"/>
                <w:szCs w:val="24"/>
                <w:u w:val="single"/>
                <w:lang w:val="en-US" w:eastAsia="zh-CN"/>
              </w:rPr>
              <w:t>粉尘</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z w:val="24"/>
                <w:u w:val="single"/>
              </w:rPr>
            </w:pPr>
            <w:r>
              <w:rPr>
                <w:rFonts w:hint="default" w:ascii="Times New Roman" w:hAnsi="Times New Roman" w:cs="Times New Roman"/>
                <w:bCs/>
                <w:color w:val="auto"/>
                <w:sz w:val="24"/>
                <w:u w:val="single"/>
                <w:lang w:val="en-US" w:eastAsia="zh-CN"/>
              </w:rPr>
              <w:t>本项目生产所需各类原料进行混和搅拌</w:t>
            </w:r>
            <w:r>
              <w:rPr>
                <w:rFonts w:hint="eastAsia" w:ascii="Times New Roman" w:hAnsi="Times New Roman" w:cs="Times New Roman"/>
                <w:bCs/>
                <w:color w:val="auto"/>
                <w:sz w:val="24"/>
                <w:u w:val="single"/>
                <w:lang w:val="en-US" w:eastAsia="zh-CN"/>
              </w:rPr>
              <w:t>、破碎、磨粉</w:t>
            </w:r>
            <w:r>
              <w:rPr>
                <w:rFonts w:hint="default" w:ascii="Times New Roman" w:hAnsi="Times New Roman" w:cs="Times New Roman"/>
                <w:bCs/>
                <w:color w:val="auto"/>
                <w:sz w:val="24"/>
                <w:u w:val="single"/>
                <w:lang w:val="en-US" w:eastAsia="zh-CN"/>
              </w:rPr>
              <w:t>时，混料机</w:t>
            </w:r>
            <w:r>
              <w:rPr>
                <w:rFonts w:hint="eastAsia" w:ascii="Times New Roman" w:hAnsi="Times New Roman" w:cs="Times New Roman"/>
                <w:bCs/>
                <w:color w:val="auto"/>
                <w:sz w:val="24"/>
                <w:u w:val="single"/>
                <w:lang w:val="en-US" w:eastAsia="zh-CN"/>
              </w:rPr>
              <w:t>、搅拌机、磨粉机</w:t>
            </w:r>
            <w:r>
              <w:rPr>
                <w:rFonts w:hint="default" w:ascii="Times New Roman" w:hAnsi="Times New Roman" w:cs="Times New Roman"/>
                <w:bCs/>
                <w:color w:val="auto"/>
                <w:sz w:val="24"/>
                <w:u w:val="single"/>
                <w:lang w:val="en-US" w:eastAsia="zh-CN"/>
              </w:rPr>
              <w:t>为全封闭，且充分搅拌混合后的原料先经管道输送至密闭容器中，最后再通过</w:t>
            </w:r>
            <w:r>
              <w:rPr>
                <w:rFonts w:hint="eastAsia" w:cs="Times New Roman"/>
                <w:bCs/>
                <w:color w:val="auto"/>
                <w:sz w:val="24"/>
                <w:u w:val="single"/>
                <w:lang w:val="en-US" w:eastAsia="zh-CN"/>
              </w:rPr>
              <w:t>螺旋输送</w:t>
            </w:r>
            <w:r>
              <w:rPr>
                <w:rFonts w:hint="default" w:ascii="Times New Roman" w:hAnsi="Times New Roman" w:cs="Times New Roman"/>
                <w:bCs/>
                <w:color w:val="auto"/>
                <w:sz w:val="24"/>
                <w:u w:val="single"/>
                <w:lang w:val="en-US" w:eastAsia="zh-CN"/>
              </w:rPr>
              <w:t>至挤出机，原料</w:t>
            </w:r>
            <w:r>
              <w:rPr>
                <w:rFonts w:hint="eastAsia" w:ascii="Times New Roman" w:hAnsi="Times New Roman" w:cs="Times New Roman"/>
                <w:bCs/>
                <w:color w:val="auto"/>
                <w:sz w:val="24"/>
                <w:u w:val="single"/>
                <w:lang w:val="en-US" w:eastAsia="zh-CN"/>
              </w:rPr>
              <w:t>输送</w:t>
            </w:r>
            <w:r>
              <w:rPr>
                <w:rFonts w:hint="default" w:ascii="Times New Roman" w:hAnsi="Times New Roman" w:cs="Times New Roman"/>
                <w:bCs/>
                <w:color w:val="auto"/>
                <w:sz w:val="24"/>
                <w:u w:val="single"/>
                <w:lang w:val="en-US" w:eastAsia="zh-CN"/>
              </w:rPr>
              <w:t>过程均为全封闭状态，故此工序不产生工业废气。</w:t>
            </w:r>
          </w:p>
          <w:p>
            <w:pPr>
              <w:pStyle w:val="74"/>
              <w:rPr>
                <w:rFonts w:hint="default" w:ascii="Times New Roman" w:hAnsi="Times New Roman" w:eastAsia="宋体" w:cs="Times New Roman"/>
                <w:b/>
                <w:bCs/>
                <w:color w:val="000000"/>
                <w:u w:val="single"/>
                <w:lang w:val="en-US" w:eastAsia="zh-CN"/>
              </w:rPr>
            </w:pPr>
            <w:r>
              <w:rPr>
                <w:rFonts w:hint="default" w:ascii="Times New Roman" w:hAnsi="Times New Roman" w:cs="Times New Roman"/>
                <w:b/>
                <w:bCs/>
                <w:color w:val="000000"/>
                <w:u w:val="single"/>
                <w:lang w:val="en-US" w:eastAsia="zh-CN"/>
              </w:rPr>
              <w:t>1.</w:t>
            </w:r>
            <w:r>
              <w:rPr>
                <w:rFonts w:hint="eastAsia" w:cs="Times New Roman"/>
                <w:b/>
                <w:bCs/>
                <w:color w:val="000000"/>
                <w:u w:val="single"/>
                <w:lang w:val="en-US" w:eastAsia="zh-CN"/>
              </w:rPr>
              <w:t>1.2</w:t>
            </w:r>
            <w:r>
              <w:rPr>
                <w:rFonts w:hint="default" w:ascii="Times New Roman" w:hAnsi="Times New Roman" w:cs="Times New Roman"/>
                <w:b/>
                <w:bCs/>
                <w:color w:val="000000"/>
                <w:u w:val="single"/>
                <w:lang w:val="en-US" w:eastAsia="zh-CN"/>
              </w:rPr>
              <w:t>.3废气治理措施及废气排放达标可行性分析</w:t>
            </w:r>
          </w:p>
          <w:p>
            <w:pPr>
              <w:keepNext w:val="0"/>
              <w:pageBreakBefore w:val="0"/>
              <w:widowControl w:val="0"/>
              <w:tabs>
                <w:tab w:val="left" w:pos="595"/>
              </w:tabs>
              <w:kinsoku/>
              <w:wordWrap/>
              <w:topLinePunct w:val="0"/>
              <w:bidi w:val="0"/>
              <w:adjustRightInd w:val="0"/>
              <w:snapToGrid w:val="0"/>
              <w:spacing w:line="360" w:lineRule="auto"/>
              <w:ind w:firstLine="480" w:firstLineChars="200"/>
              <w:textAlignment w:val="auto"/>
              <w:rPr>
                <w:rFonts w:hint="default" w:ascii="Times New Roman" w:hAnsi="Times New Roman" w:cs="Times New Roman"/>
                <w:b w:val="0"/>
                <w:bCs/>
                <w:color w:val="auto"/>
                <w:sz w:val="24"/>
                <w:szCs w:val="24"/>
                <w:highlight w:val="none"/>
                <w:u w:val="single"/>
                <w:lang w:val="en-US" w:eastAsia="zh-CN"/>
              </w:rPr>
            </w:pPr>
            <w:r>
              <w:rPr>
                <w:rFonts w:hint="default" w:ascii="Times New Roman" w:hAnsi="Times New Roman" w:cs="Times New Roman"/>
                <w:b w:val="0"/>
                <w:bCs/>
                <w:color w:val="auto"/>
                <w:sz w:val="24"/>
                <w:szCs w:val="24"/>
                <w:highlight w:val="none"/>
                <w:u w:val="single"/>
              </w:rPr>
              <w:t>建设单位</w:t>
            </w:r>
            <w:r>
              <w:rPr>
                <w:rFonts w:hint="eastAsia" w:ascii="Times New Roman" w:hAnsi="Times New Roman" w:cs="Times New Roman"/>
                <w:b w:val="0"/>
                <w:bCs/>
                <w:color w:val="auto"/>
                <w:sz w:val="24"/>
                <w:szCs w:val="24"/>
                <w:highlight w:val="none"/>
                <w:u w:val="single"/>
                <w:lang w:val="en-US" w:eastAsia="zh-CN"/>
              </w:rPr>
              <w:t>在上料机机斗加料段</w:t>
            </w:r>
            <w:r>
              <w:rPr>
                <w:rFonts w:hint="default" w:ascii="Times New Roman" w:hAnsi="Times New Roman" w:cs="Times New Roman"/>
                <w:b w:val="0"/>
                <w:bCs/>
                <w:color w:val="auto"/>
                <w:spacing w:val="5"/>
                <w:sz w:val="24"/>
                <w:szCs w:val="24"/>
                <w:u w:val="single"/>
                <w:lang w:eastAsia="zh-CN" w:bidi="ar"/>
              </w:rPr>
              <w:t>上方</w:t>
            </w:r>
            <w:r>
              <w:rPr>
                <w:rFonts w:hint="default" w:ascii="Times New Roman" w:hAnsi="Times New Roman" w:cs="Times New Roman"/>
                <w:b w:val="0"/>
                <w:bCs/>
                <w:color w:val="auto"/>
                <w:spacing w:val="5"/>
                <w:sz w:val="24"/>
                <w:szCs w:val="24"/>
                <w:u w:val="single"/>
                <w:lang w:bidi="ar"/>
              </w:rPr>
              <w:t>设置</w:t>
            </w:r>
            <w:r>
              <w:rPr>
                <w:rFonts w:hint="default" w:ascii="Times New Roman" w:hAnsi="Times New Roman" w:cs="Times New Roman"/>
                <w:b w:val="0"/>
                <w:bCs/>
                <w:color w:val="auto"/>
                <w:sz w:val="24"/>
                <w:szCs w:val="24"/>
                <w:u w:val="single"/>
              </w:rPr>
              <w:t>集气罩</w:t>
            </w:r>
            <w:r>
              <w:rPr>
                <w:rFonts w:hint="default" w:ascii="Times New Roman" w:hAnsi="Times New Roman" w:cs="Times New Roman"/>
                <w:b w:val="0"/>
                <w:bCs/>
                <w:color w:val="auto"/>
                <w:spacing w:val="5"/>
                <w:sz w:val="24"/>
                <w:szCs w:val="24"/>
                <w:u w:val="single"/>
                <w:lang w:eastAsia="zh-CN" w:bidi="ar"/>
              </w:rPr>
              <w:t>和</w:t>
            </w:r>
            <w:r>
              <w:rPr>
                <w:rFonts w:hint="default" w:ascii="Times New Roman" w:hAnsi="Times New Roman" w:cs="Times New Roman"/>
                <w:b w:val="0"/>
                <w:bCs/>
                <w:color w:val="auto"/>
                <w:spacing w:val="5"/>
                <w:sz w:val="24"/>
                <w:szCs w:val="24"/>
                <w:u w:val="single"/>
                <w:lang w:bidi="ar"/>
              </w:rPr>
              <w:t>排气管路，</w:t>
            </w:r>
            <w:r>
              <w:rPr>
                <w:rFonts w:hint="eastAsia" w:cs="Times New Roman"/>
                <w:b w:val="0"/>
                <w:bCs/>
                <w:color w:val="auto"/>
                <w:spacing w:val="5"/>
                <w:sz w:val="24"/>
                <w:szCs w:val="24"/>
                <w:u w:val="single"/>
                <w:lang w:val="en-US" w:eastAsia="zh-CN" w:bidi="ar"/>
              </w:rPr>
              <w:t>集气罩四周设施有软帘进行围挡，</w:t>
            </w:r>
            <w:r>
              <w:rPr>
                <w:rFonts w:hint="default" w:ascii="Times New Roman" w:hAnsi="Times New Roman" w:cs="Times New Roman"/>
                <w:b w:val="0"/>
                <w:bCs w:val="0"/>
                <w:spacing w:val="5"/>
                <w:sz w:val="24"/>
                <w:szCs w:val="24"/>
                <w:u w:val="single"/>
                <w:lang w:bidi="ar"/>
              </w:rPr>
              <w:t>废气经</w:t>
            </w:r>
            <w:r>
              <w:rPr>
                <w:rFonts w:hint="default" w:ascii="Times New Roman" w:hAnsi="Times New Roman" w:cs="Times New Roman"/>
                <w:b w:val="0"/>
                <w:bCs w:val="0"/>
                <w:spacing w:val="5"/>
                <w:sz w:val="24"/>
                <w:szCs w:val="24"/>
                <w:u w:val="single"/>
                <w:lang w:val="en-US" w:eastAsia="zh-CN" w:bidi="ar"/>
              </w:rPr>
              <w:t>排气管路引</w:t>
            </w:r>
            <w:r>
              <w:rPr>
                <w:rFonts w:hint="default" w:ascii="Times New Roman" w:hAnsi="Times New Roman" w:cs="Times New Roman"/>
                <w:b w:val="0"/>
                <w:bCs w:val="0"/>
                <w:spacing w:val="5"/>
                <w:sz w:val="24"/>
                <w:szCs w:val="24"/>
                <w:u w:val="single"/>
                <w:lang w:bidi="ar"/>
              </w:rPr>
              <w:t>至</w:t>
            </w:r>
            <w:r>
              <w:rPr>
                <w:rFonts w:hint="default" w:ascii="Times New Roman" w:hAnsi="Times New Roman" w:cs="Times New Roman"/>
                <w:b w:val="0"/>
                <w:bCs w:val="0"/>
                <w:spacing w:val="5"/>
                <w:sz w:val="24"/>
                <w:szCs w:val="24"/>
                <w:u w:val="single"/>
                <w:lang w:val="en-US" w:eastAsia="zh-CN" w:bidi="ar"/>
              </w:rPr>
              <w:t>袋式除尘器</w:t>
            </w:r>
            <w:r>
              <w:rPr>
                <w:rFonts w:hint="default" w:ascii="Times New Roman" w:hAnsi="Times New Roman" w:cs="Times New Roman"/>
                <w:b w:val="0"/>
                <w:bCs w:val="0"/>
                <w:spacing w:val="5"/>
                <w:sz w:val="24"/>
                <w:szCs w:val="24"/>
                <w:u w:val="single"/>
                <w:lang w:bidi="ar"/>
              </w:rPr>
              <w:t>处理设施</w:t>
            </w:r>
            <w:r>
              <w:rPr>
                <w:rFonts w:hint="default" w:ascii="Times New Roman" w:hAnsi="Times New Roman" w:cs="Times New Roman"/>
                <w:b w:val="0"/>
                <w:bCs w:val="0"/>
                <w:spacing w:val="5"/>
                <w:sz w:val="24"/>
                <w:szCs w:val="24"/>
                <w:u w:val="single"/>
                <w:lang w:eastAsia="zh-CN" w:bidi="ar"/>
              </w:rPr>
              <w:t>（</w:t>
            </w:r>
            <w:r>
              <w:rPr>
                <w:rFonts w:hint="default" w:ascii="Times New Roman" w:hAnsi="Times New Roman" w:cs="Times New Roman"/>
                <w:b w:val="0"/>
                <w:bCs w:val="0"/>
                <w:spacing w:val="5"/>
                <w:sz w:val="24"/>
                <w:szCs w:val="24"/>
                <w:u w:val="single"/>
                <w:lang w:val="en-US" w:eastAsia="zh-CN" w:bidi="ar"/>
              </w:rPr>
              <w:t>处理效率95%</w:t>
            </w:r>
            <w:r>
              <w:rPr>
                <w:rFonts w:hint="default" w:ascii="Times New Roman" w:hAnsi="Times New Roman" w:cs="Times New Roman"/>
                <w:b w:val="0"/>
                <w:bCs w:val="0"/>
                <w:spacing w:val="5"/>
                <w:sz w:val="24"/>
                <w:szCs w:val="24"/>
                <w:u w:val="single"/>
                <w:lang w:eastAsia="zh-CN" w:bidi="ar"/>
              </w:rPr>
              <w:t>）</w:t>
            </w:r>
            <w:r>
              <w:rPr>
                <w:rFonts w:hint="default" w:ascii="Times New Roman" w:hAnsi="Times New Roman" w:cs="Times New Roman"/>
                <w:b w:val="0"/>
                <w:bCs w:val="0"/>
                <w:spacing w:val="5"/>
                <w:sz w:val="24"/>
                <w:szCs w:val="24"/>
                <w:u w:val="single"/>
                <w:lang w:bidi="ar"/>
              </w:rPr>
              <w:t>进行净化处理，然后通过15m排气筒排放。</w:t>
            </w:r>
          </w:p>
          <w:p>
            <w:pPr>
              <w:spacing w:line="360" w:lineRule="auto"/>
              <w:ind w:firstLine="480" w:firstLineChars="200"/>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u w:val="single"/>
              </w:rPr>
              <w:t>根据《大气污染控制工程》（第三版）中集气罩风量计算公式：</w:t>
            </w:r>
          </w:p>
          <w:p>
            <w:pPr>
              <w:spacing w:line="360" w:lineRule="auto"/>
              <w:jc w:val="center"/>
              <w:rPr>
                <w:rFonts w:hint="default" w:ascii="Times New Roman" w:hAnsi="Times New Roman" w:eastAsia="宋体" w:cs="Times New Roman"/>
                <w:color w:val="000000"/>
                <w:sz w:val="24"/>
                <w:szCs w:val="24"/>
                <w:highlight w:val="none"/>
                <w:u w:val="single"/>
                <w:lang w:eastAsia="zh-CN"/>
              </w:rPr>
            </w:pPr>
            <w:r>
              <w:rPr>
                <w:rFonts w:hint="default" w:ascii="Times New Roman" w:hAnsi="Times New Roman" w:cs="Times New Roman"/>
                <w:color w:val="000000"/>
                <w:position w:val="-12"/>
                <w:sz w:val="24"/>
                <w:szCs w:val="24"/>
                <w:highlight w:val="none"/>
                <w:u w:val="single"/>
              </w:rPr>
              <w:object>
                <v:shape id="_x0000_i1026" o:spt="75" type="#_x0000_t75" style="height:18pt;width:54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10">
                  <o:LockedField>false</o:LockedField>
                </o:OLEObject>
              </w:object>
            </w:r>
          </w:p>
          <w:p>
            <w:pPr>
              <w:spacing w:line="360" w:lineRule="auto"/>
              <w:ind w:firstLine="480" w:firstLineChars="200"/>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u w:val="single"/>
              </w:rPr>
              <w:t>式中：Q—集气罩风量，</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cs="Times New Roman"/>
                <w:color w:val="000000"/>
                <w:sz w:val="24"/>
                <w:szCs w:val="24"/>
                <w:highlight w:val="none"/>
                <w:u w:val="single"/>
              </w:rPr>
              <w:t>/s；</w:t>
            </w:r>
          </w:p>
          <w:p>
            <w:pPr>
              <w:spacing w:line="360" w:lineRule="auto"/>
              <w:ind w:firstLine="480" w:firstLineChars="200"/>
              <w:rPr>
                <w:rFonts w:hint="default" w:ascii="Times New Roman" w:hAnsi="Times New Roman"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u w:val="single"/>
                <w:lang w:val="en-US" w:eastAsia="zh-CN"/>
              </w:rPr>
              <w:t>L—罩口敞开面的周长，m；</w:t>
            </w:r>
          </w:p>
          <w:p>
            <w:pPr>
              <w:spacing w:line="360" w:lineRule="auto"/>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color w:val="000000"/>
                <w:sz w:val="24"/>
                <w:szCs w:val="24"/>
                <w:highlight w:val="none"/>
                <w:u w:val="single"/>
                <w:lang w:val="en-US" w:eastAsia="zh-CN"/>
              </w:rPr>
              <w:t>H</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罩口至污染源的距离，小于或等于</w:t>
            </w:r>
            <w:r>
              <w:rPr>
                <w:rFonts w:hint="default" w:ascii="Times New Roman" w:hAnsi="Times New Roman" w:cs="Times New Roman"/>
                <w:color w:val="000000"/>
                <w:sz w:val="24"/>
                <w:szCs w:val="24"/>
                <w:highlight w:val="none"/>
                <w:u w:val="single"/>
                <w:lang w:val="en-US" w:eastAsia="zh-CN"/>
              </w:rPr>
              <w:t>0.3La（La为罩口长边尺寸），本次评价La=0.8m，取H=0.24m</w:t>
            </w:r>
            <w:r>
              <w:rPr>
                <w:rFonts w:hint="default" w:ascii="Times New Roman" w:hAnsi="Times New Roman" w:cs="Times New Roman"/>
                <w:color w:val="000000"/>
                <w:sz w:val="24"/>
                <w:szCs w:val="24"/>
                <w:highlight w:val="none"/>
                <w:u w:val="single"/>
              </w:rPr>
              <w:t>；</w:t>
            </w:r>
          </w:p>
          <w:p>
            <w:pPr>
              <w:spacing w:line="360" w:lineRule="auto"/>
              <w:ind w:firstLine="480" w:firstLineChars="200"/>
              <w:rPr>
                <w:rFonts w:hint="default" w:ascii="Times New Roman" w:hAnsi="Times New Roman" w:eastAsia="宋体" w:cs="Times New Roman"/>
                <w:color w:val="000000"/>
                <w:sz w:val="24"/>
                <w:szCs w:val="24"/>
                <w:highlight w:val="none"/>
                <w:u w:val="single"/>
                <w:lang w:eastAsia="zh-CN"/>
              </w:rPr>
            </w:pPr>
            <w:r>
              <w:rPr>
                <w:rFonts w:hint="default" w:ascii="Times New Roman" w:hAnsi="Times New Roman" w:cs="Times New Roman"/>
                <w:color w:val="000000"/>
                <w:sz w:val="24"/>
                <w:szCs w:val="24"/>
                <w:highlight w:val="none"/>
                <w:u w:val="single"/>
              </w:rPr>
              <w:t>V</w:t>
            </w:r>
            <w:r>
              <w:rPr>
                <w:rFonts w:hint="default" w:ascii="Times New Roman" w:hAnsi="Times New Roman" w:cs="Times New Roman"/>
                <w:color w:val="000000"/>
                <w:sz w:val="24"/>
                <w:szCs w:val="24"/>
                <w:highlight w:val="none"/>
                <w:u w:val="single"/>
                <w:vertAlign w:val="subscript"/>
                <w:lang w:val="en-US" w:eastAsia="zh-CN"/>
              </w:rPr>
              <w:t>x</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敞开断面处流速</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本次取</w:t>
            </w:r>
            <w:r>
              <w:rPr>
                <w:rFonts w:hint="default" w:ascii="Times New Roman" w:hAnsi="Times New Roman" w:cs="Times New Roman"/>
                <w:color w:val="000000"/>
                <w:sz w:val="24"/>
                <w:szCs w:val="24"/>
                <w:highlight w:val="none"/>
                <w:u w:val="single"/>
                <w:lang w:val="en-US" w:eastAsia="zh-CN"/>
              </w:rPr>
              <w:t>0.6</w:t>
            </w:r>
            <w:r>
              <w:rPr>
                <w:rFonts w:hint="default" w:ascii="Times New Roman" w:hAnsi="Times New Roman" w:cs="Times New Roman"/>
                <w:color w:val="000000"/>
                <w:sz w:val="24"/>
                <w:szCs w:val="24"/>
                <w:highlight w:val="none"/>
                <w:u w:val="single"/>
              </w:rPr>
              <w:t>m/s</w:t>
            </w:r>
            <w:r>
              <w:rPr>
                <w:rFonts w:hint="default" w:ascii="Times New Roman" w:hAnsi="Times New Roman" w:cs="Times New Roman"/>
                <w:color w:val="000000"/>
                <w:sz w:val="24"/>
                <w:szCs w:val="24"/>
                <w:highlight w:val="none"/>
                <w:u w:val="single"/>
                <w:lang w:eastAsia="zh-CN"/>
              </w:rPr>
              <w:t>；</w:t>
            </w:r>
          </w:p>
          <w:p>
            <w:pPr>
              <w:spacing w:line="360" w:lineRule="auto"/>
              <w:ind w:firstLine="480" w:firstLineChars="200"/>
              <w:rPr>
                <w:rFonts w:hint="default" w:ascii="Times New Roman" w:hAnsi="Times New Roman" w:eastAsia="宋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u w:val="single"/>
                <w:lang w:val="en-US" w:eastAsia="zh-CN"/>
              </w:rPr>
              <w:t>k—考虑沿高度速度分布不均匀的安全系数，取k=1.4。</w:t>
            </w:r>
          </w:p>
          <w:p>
            <w:pPr>
              <w:spacing w:line="360" w:lineRule="auto"/>
              <w:ind w:firstLine="480" w:firstLineChars="200"/>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u w:val="single"/>
              </w:rPr>
              <w:t>根据项目各设备实际操作工位的大小设置集气罩罩口面积，拟设置的罩口面积见下表。</w:t>
            </w:r>
          </w:p>
          <w:p>
            <w:pPr>
              <w:spacing w:line="240" w:lineRule="auto"/>
              <w:ind w:firstLine="482" w:firstLineChars="200"/>
              <w:jc w:val="center"/>
              <w:rPr>
                <w:rFonts w:hint="default" w:ascii="Times New Roman" w:hAnsi="Times New Roman" w:cs="Times New Roman"/>
                <w:b/>
                <w:bCs/>
                <w:color w:val="000000"/>
                <w:sz w:val="24"/>
                <w:szCs w:val="24"/>
                <w:highlight w:val="none"/>
                <w:u w:val="single"/>
              </w:rPr>
            </w:pPr>
            <w:r>
              <w:rPr>
                <w:rFonts w:hint="default" w:ascii="Times New Roman" w:hAnsi="Times New Roman" w:cs="Times New Roman"/>
                <w:b/>
                <w:bCs/>
                <w:color w:val="000000"/>
                <w:sz w:val="24"/>
                <w:szCs w:val="24"/>
                <w:highlight w:val="none"/>
                <w:u w:val="single"/>
              </w:rPr>
              <w:t>表</w:t>
            </w:r>
            <w:r>
              <w:rPr>
                <w:rFonts w:hint="default" w:ascii="Times New Roman" w:hAnsi="Times New Roman" w:cs="Times New Roman"/>
                <w:b/>
                <w:bCs/>
                <w:color w:val="000000"/>
                <w:sz w:val="24"/>
                <w:szCs w:val="24"/>
                <w:highlight w:val="none"/>
                <w:u w:val="single"/>
                <w:lang w:val="en-US" w:eastAsia="zh-CN"/>
              </w:rPr>
              <w:t xml:space="preserve">15   </w:t>
            </w:r>
            <w:r>
              <w:rPr>
                <w:rFonts w:hint="default" w:ascii="Times New Roman" w:hAnsi="Times New Roman" w:cs="Times New Roman"/>
                <w:b/>
                <w:bCs/>
                <w:color w:val="000000"/>
                <w:sz w:val="24"/>
                <w:szCs w:val="24"/>
                <w:highlight w:val="none"/>
                <w:u w:val="single"/>
              </w:rPr>
              <w:t>本项目各设备集气罩面积一览表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5"/>
              <w:gridCol w:w="2213"/>
              <w:gridCol w:w="3247"/>
              <w:gridCol w:w="2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815" w:type="dxa"/>
                  <w:tcBorders>
                    <w:tl2br w:val="nil"/>
                    <w:tr2bl w:val="nil"/>
                  </w:tcBorders>
                  <w:noWrap w:val="0"/>
                  <w:vAlign w:val="center"/>
                </w:tcPr>
                <w:p>
                  <w:pPr>
                    <w:jc w:val="center"/>
                    <w:rPr>
                      <w:rFonts w:hint="default" w:ascii="Times New Roman" w:hAnsi="Times New Roman" w:eastAsia="宋体" w:cs="Times New Roman"/>
                      <w:b/>
                      <w:bCs/>
                      <w:color w:val="000000"/>
                      <w:sz w:val="21"/>
                      <w:szCs w:val="21"/>
                      <w:highlight w:val="none"/>
                      <w:u w:val="single"/>
                    </w:rPr>
                  </w:pPr>
                  <w:r>
                    <w:rPr>
                      <w:rFonts w:hint="default" w:ascii="Times New Roman" w:hAnsi="Times New Roman" w:eastAsia="宋体" w:cs="Times New Roman"/>
                      <w:b/>
                      <w:bCs/>
                      <w:color w:val="000000"/>
                      <w:sz w:val="21"/>
                      <w:szCs w:val="21"/>
                      <w:highlight w:val="none"/>
                      <w:u w:val="single"/>
                    </w:rPr>
                    <w:t>序号</w:t>
                  </w:r>
                </w:p>
              </w:tc>
              <w:tc>
                <w:tcPr>
                  <w:tcW w:w="2213" w:type="dxa"/>
                  <w:tcBorders>
                    <w:tl2br w:val="nil"/>
                    <w:tr2bl w:val="nil"/>
                  </w:tcBorders>
                  <w:noWrap w:val="0"/>
                  <w:vAlign w:val="center"/>
                </w:tcPr>
                <w:p>
                  <w:pPr>
                    <w:jc w:val="center"/>
                    <w:rPr>
                      <w:rFonts w:hint="default" w:ascii="Times New Roman" w:hAnsi="Times New Roman" w:eastAsia="宋体" w:cs="Times New Roman"/>
                      <w:b/>
                      <w:bCs/>
                      <w:color w:val="000000"/>
                      <w:sz w:val="21"/>
                      <w:szCs w:val="21"/>
                      <w:highlight w:val="none"/>
                      <w:u w:val="single"/>
                    </w:rPr>
                  </w:pPr>
                  <w:r>
                    <w:rPr>
                      <w:rFonts w:hint="default" w:ascii="Times New Roman" w:hAnsi="Times New Roman" w:eastAsia="宋体" w:cs="Times New Roman"/>
                      <w:b/>
                      <w:bCs/>
                      <w:color w:val="000000"/>
                      <w:sz w:val="21"/>
                      <w:szCs w:val="21"/>
                      <w:highlight w:val="none"/>
                      <w:u w:val="single"/>
                    </w:rPr>
                    <w:t>设备名称</w:t>
                  </w:r>
                </w:p>
              </w:tc>
              <w:tc>
                <w:tcPr>
                  <w:tcW w:w="3247" w:type="dxa"/>
                  <w:tcBorders>
                    <w:tl2br w:val="nil"/>
                    <w:tr2bl w:val="nil"/>
                  </w:tcBorders>
                  <w:noWrap w:val="0"/>
                  <w:vAlign w:val="center"/>
                </w:tcPr>
                <w:p>
                  <w:pPr>
                    <w:jc w:val="center"/>
                    <w:rPr>
                      <w:rFonts w:hint="default" w:ascii="Times New Roman" w:hAnsi="Times New Roman" w:eastAsia="宋体" w:cs="Times New Roman"/>
                      <w:b/>
                      <w:bCs/>
                      <w:color w:val="000000"/>
                      <w:sz w:val="21"/>
                      <w:szCs w:val="21"/>
                      <w:highlight w:val="none"/>
                      <w:u w:val="single"/>
                    </w:rPr>
                  </w:pPr>
                  <w:r>
                    <w:rPr>
                      <w:rFonts w:hint="default" w:ascii="Times New Roman" w:hAnsi="Times New Roman" w:eastAsia="宋体" w:cs="Times New Roman"/>
                      <w:b/>
                      <w:bCs/>
                      <w:color w:val="000000"/>
                      <w:sz w:val="21"/>
                      <w:szCs w:val="21"/>
                      <w:highlight w:val="none"/>
                      <w:u w:val="single"/>
                    </w:rPr>
                    <w:t>集气罩罩口</w:t>
                  </w:r>
                  <w:r>
                    <w:rPr>
                      <w:rFonts w:hint="default" w:ascii="Times New Roman" w:hAnsi="Times New Roman" w:eastAsia="宋体" w:cs="Times New Roman"/>
                      <w:b/>
                      <w:bCs/>
                      <w:color w:val="000000"/>
                      <w:sz w:val="21"/>
                      <w:szCs w:val="21"/>
                      <w:highlight w:val="none"/>
                      <w:u w:val="single"/>
                      <w:lang w:eastAsia="zh-CN"/>
                    </w:rPr>
                    <w:t>规格（长</w:t>
                  </w:r>
                  <w:r>
                    <w:rPr>
                      <w:rFonts w:hint="default" w:ascii="Times New Roman" w:hAnsi="Times New Roman" w:eastAsia="宋体" w:cs="Times New Roman"/>
                      <w:b/>
                      <w:bCs/>
                      <w:color w:val="auto"/>
                      <w:sz w:val="21"/>
                      <w:szCs w:val="21"/>
                      <w:highlight w:val="none"/>
                      <w:u w:val="single"/>
                    </w:rPr>
                    <w:t>×</w:t>
                  </w:r>
                  <w:r>
                    <w:rPr>
                      <w:rFonts w:hint="default" w:ascii="Times New Roman" w:hAnsi="Times New Roman" w:eastAsia="宋体" w:cs="Times New Roman"/>
                      <w:b/>
                      <w:bCs/>
                      <w:color w:val="auto"/>
                      <w:sz w:val="21"/>
                      <w:szCs w:val="21"/>
                      <w:highlight w:val="none"/>
                      <w:u w:val="single"/>
                      <w:lang w:val="en-US" w:eastAsia="zh-CN"/>
                    </w:rPr>
                    <w:t>宽</w:t>
                  </w:r>
                  <w:r>
                    <w:rPr>
                      <w:rFonts w:hint="default" w:ascii="Times New Roman" w:hAnsi="Times New Roman" w:eastAsia="宋体" w:cs="Times New Roman"/>
                      <w:b/>
                      <w:bCs/>
                      <w:color w:val="000000"/>
                      <w:sz w:val="21"/>
                      <w:szCs w:val="21"/>
                      <w:highlight w:val="none"/>
                      <w:u w:val="single"/>
                      <w:lang w:eastAsia="zh-CN"/>
                    </w:rPr>
                    <w:t>）</w:t>
                  </w:r>
                </w:p>
              </w:tc>
              <w:tc>
                <w:tcPr>
                  <w:tcW w:w="2261" w:type="dxa"/>
                  <w:tcBorders>
                    <w:tl2br w:val="nil"/>
                    <w:tr2bl w:val="nil"/>
                  </w:tcBorders>
                  <w:noWrap w:val="0"/>
                  <w:vAlign w:val="center"/>
                </w:tcPr>
                <w:p>
                  <w:pPr>
                    <w:jc w:val="center"/>
                    <w:rPr>
                      <w:rFonts w:hint="default" w:ascii="Times New Roman" w:hAnsi="Times New Roman" w:eastAsia="宋体" w:cs="Times New Roman"/>
                      <w:b/>
                      <w:bCs/>
                      <w:color w:val="000000"/>
                      <w:sz w:val="21"/>
                      <w:szCs w:val="21"/>
                      <w:highlight w:val="none"/>
                      <w:u w:val="single"/>
                      <w:lang w:val="en-US" w:eastAsia="zh-CN"/>
                    </w:rPr>
                  </w:pPr>
                  <w:r>
                    <w:rPr>
                      <w:rFonts w:hint="default" w:ascii="Times New Roman" w:hAnsi="Times New Roman" w:eastAsia="宋体" w:cs="Times New Roman"/>
                      <w:b/>
                      <w:bCs/>
                      <w:color w:val="000000"/>
                      <w:sz w:val="21"/>
                      <w:szCs w:val="21"/>
                      <w:highlight w:val="none"/>
                      <w:u w:val="single"/>
                      <w:lang w:val="en-US" w:eastAsia="zh-CN"/>
                    </w:rPr>
                    <w:t>工位数量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815" w:type="dxa"/>
                  <w:tcBorders>
                    <w:tl2br w:val="nil"/>
                    <w:tr2bl w:val="nil"/>
                  </w:tcBorders>
                  <w:noWrap w:val="0"/>
                  <w:vAlign w:val="center"/>
                </w:tcPr>
                <w:p>
                  <w:pPr>
                    <w:jc w:val="center"/>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u w:val="single"/>
                    </w:rPr>
                    <w:t>1</w:t>
                  </w:r>
                </w:p>
              </w:tc>
              <w:tc>
                <w:tcPr>
                  <w:tcW w:w="2213" w:type="dxa"/>
                  <w:tcBorders>
                    <w:tl2br w:val="nil"/>
                    <w:tr2bl w:val="nil"/>
                  </w:tcBorders>
                  <w:noWrap w:val="0"/>
                  <w:vAlign w:val="center"/>
                </w:tcPr>
                <w:p>
                  <w:pPr>
                    <w:jc w:val="center"/>
                    <w:rPr>
                      <w:rFonts w:hint="default" w:ascii="Times New Roman" w:hAnsi="Times New Roman" w:eastAsia="宋体"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上料</w:t>
                  </w:r>
                  <w:r>
                    <w:rPr>
                      <w:rFonts w:hint="default" w:ascii="Times New Roman" w:hAnsi="Times New Roman" w:cs="Times New Roman"/>
                      <w:color w:val="000000"/>
                      <w:sz w:val="21"/>
                      <w:szCs w:val="21"/>
                      <w:highlight w:val="none"/>
                      <w:u w:val="single"/>
                      <w:lang w:val="en-US" w:eastAsia="zh-CN"/>
                    </w:rPr>
                    <w:t>集气罩</w:t>
                  </w:r>
                </w:p>
              </w:tc>
              <w:tc>
                <w:tcPr>
                  <w:tcW w:w="3247" w:type="dxa"/>
                  <w:tcBorders>
                    <w:tl2br w:val="nil"/>
                    <w:tr2bl w:val="nil"/>
                  </w:tcBorders>
                  <w:noWrap w:val="0"/>
                  <w:vAlign w:val="center"/>
                </w:tcPr>
                <w:p>
                  <w:pPr>
                    <w:jc w:val="center"/>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cs="Times New Roman"/>
                      <w:bCs/>
                      <w:color w:val="auto"/>
                      <w:sz w:val="21"/>
                      <w:szCs w:val="21"/>
                      <w:highlight w:val="none"/>
                      <w:u w:val="single"/>
                      <w:lang w:val="en-US" w:eastAsia="zh-CN"/>
                    </w:rPr>
                    <w:t>0.8</w:t>
                  </w:r>
                  <w:r>
                    <w:rPr>
                      <w:rFonts w:hint="default" w:ascii="Times New Roman" w:hAnsi="Times New Roman" w:eastAsia="宋体" w:cs="Times New Roman"/>
                      <w:bCs/>
                      <w:color w:val="auto"/>
                      <w:sz w:val="21"/>
                      <w:szCs w:val="21"/>
                      <w:highlight w:val="none"/>
                      <w:u w:val="single"/>
                    </w:rPr>
                    <w:t>m×</w:t>
                  </w:r>
                  <w:r>
                    <w:rPr>
                      <w:rFonts w:hint="default" w:ascii="Times New Roman" w:hAnsi="Times New Roman" w:cs="Times New Roman"/>
                      <w:bCs/>
                      <w:color w:val="auto"/>
                      <w:sz w:val="21"/>
                      <w:szCs w:val="21"/>
                      <w:highlight w:val="none"/>
                      <w:u w:val="single"/>
                      <w:lang w:val="en-US" w:eastAsia="zh-CN"/>
                    </w:rPr>
                    <w:t>0.8</w:t>
                  </w:r>
                  <w:r>
                    <w:rPr>
                      <w:rFonts w:hint="default" w:ascii="Times New Roman" w:hAnsi="Times New Roman" w:eastAsia="宋体" w:cs="Times New Roman"/>
                      <w:bCs/>
                      <w:color w:val="auto"/>
                      <w:sz w:val="21"/>
                      <w:szCs w:val="21"/>
                      <w:highlight w:val="none"/>
                      <w:u w:val="single"/>
                    </w:rPr>
                    <w:t>m</w:t>
                  </w:r>
                </w:p>
              </w:tc>
              <w:tc>
                <w:tcPr>
                  <w:tcW w:w="2261" w:type="dxa"/>
                  <w:tcBorders>
                    <w:tl2br w:val="nil"/>
                    <w:tr2bl w:val="nil"/>
                  </w:tcBorders>
                  <w:noWrap w:val="0"/>
                  <w:vAlign w:val="center"/>
                </w:tcPr>
                <w:p>
                  <w:pPr>
                    <w:jc w:val="center"/>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cs="Times New Roman"/>
                      <w:color w:val="000000"/>
                      <w:sz w:val="21"/>
                      <w:szCs w:val="21"/>
                      <w:highlight w:val="none"/>
                      <w:u w:val="single"/>
                      <w:lang w:val="en-US" w:eastAsia="zh-CN"/>
                    </w:rPr>
                    <w:t>1</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textAlignment w:val="auto"/>
              <w:rPr>
                <w:rFonts w:hint="default" w:ascii="Times New Roman" w:hAnsi="Times New Roman" w:eastAsia="宋体" w:cs="Times New Roman"/>
                <w:color w:val="000000"/>
                <w:sz w:val="24"/>
                <w:szCs w:val="24"/>
                <w:highlight w:val="none"/>
                <w:u w:val="single"/>
                <w:lang w:val="en-US" w:eastAsia="zh-CN"/>
              </w:rPr>
            </w:pPr>
            <w:r>
              <w:rPr>
                <w:rFonts w:hint="default" w:ascii="Times New Roman" w:hAnsi="Times New Roman" w:eastAsia="宋体" w:cs="Times New Roman"/>
                <w:color w:val="000000"/>
                <w:sz w:val="24"/>
                <w:szCs w:val="24"/>
                <w:highlight w:val="none"/>
                <w:u w:val="single"/>
              </w:rPr>
              <w:t>由此计算得出</w:t>
            </w:r>
            <w:r>
              <w:rPr>
                <w:rFonts w:hint="default" w:ascii="Times New Roman" w:hAnsi="Times New Roman" w:eastAsia="宋体" w:cs="Times New Roman"/>
                <w:color w:val="000000"/>
                <w:sz w:val="24"/>
                <w:szCs w:val="24"/>
                <w:highlight w:val="none"/>
                <w:u w:val="single"/>
                <w:lang w:eastAsia="zh-CN"/>
              </w:rPr>
              <w:t>风机风量</w:t>
            </w:r>
            <w:r>
              <w:rPr>
                <w:rFonts w:hint="default" w:ascii="Times New Roman" w:hAnsi="Times New Roman" w:eastAsia="宋体" w:cs="Times New Roman"/>
                <w:color w:val="000000"/>
                <w:sz w:val="24"/>
                <w:szCs w:val="24"/>
                <w:highlight w:val="none"/>
                <w:u w:val="single"/>
              </w:rPr>
              <w:t>应不低于</w:t>
            </w:r>
            <w:r>
              <w:rPr>
                <w:rFonts w:hint="default" w:ascii="Times New Roman" w:hAnsi="Times New Roman" w:eastAsia="宋体" w:cs="Times New Roman"/>
                <w:color w:val="000000"/>
                <w:sz w:val="24"/>
                <w:szCs w:val="24"/>
                <w:highlight w:val="none"/>
                <w:u w:val="single"/>
                <w:lang w:val="en-US" w:eastAsia="zh-CN"/>
              </w:rPr>
              <w:t>1.</w:t>
            </w:r>
            <w:r>
              <w:rPr>
                <w:rFonts w:hint="default" w:ascii="Times New Roman" w:hAnsi="Times New Roman" w:cs="Times New Roman"/>
                <w:color w:val="000000"/>
                <w:sz w:val="24"/>
                <w:szCs w:val="24"/>
                <w:highlight w:val="none"/>
                <w:u w:val="single"/>
                <w:lang w:val="en-US" w:eastAsia="zh-CN"/>
              </w:rPr>
              <w:t>4</w:t>
            </w:r>
            <w:r>
              <w:rPr>
                <w:rFonts w:hint="default" w:ascii="Times New Roman" w:hAnsi="Times New Roman" w:eastAsia="宋体"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val="en-US" w:eastAsia="zh-CN"/>
              </w:rPr>
              <w:t>3.2</w:t>
            </w:r>
            <w:r>
              <w:rPr>
                <w:rFonts w:hint="default" w:ascii="Times New Roman" w:hAnsi="Times New Roman" w:eastAsia="宋体"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val="en-US" w:eastAsia="zh-CN"/>
              </w:rPr>
              <w:t>0.24</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u w:val="single"/>
                <w:lang w:val="en-US" w:eastAsia="zh-CN"/>
              </w:rPr>
              <w:t>0.</w:t>
            </w:r>
            <w:r>
              <w:rPr>
                <w:rFonts w:hint="default" w:ascii="Times New Roman" w:hAnsi="Times New Roman" w:cs="Times New Roman"/>
                <w:color w:val="000000"/>
                <w:sz w:val="24"/>
                <w:szCs w:val="24"/>
                <w:highlight w:val="none"/>
                <w:u w:val="single"/>
                <w:lang w:val="en-US" w:eastAsia="zh-CN"/>
              </w:rPr>
              <w:t>6</w:t>
            </w:r>
            <w:r>
              <w:rPr>
                <w:rFonts w:hint="default" w:ascii="Times New Roman" w:hAnsi="Times New Roman" w:eastAsia="宋体" w:cs="Times New Roman"/>
                <w:color w:val="000000"/>
                <w:sz w:val="24"/>
                <w:szCs w:val="24"/>
                <w:highlight w:val="none"/>
                <w:u w:val="single"/>
              </w:rPr>
              <w:t>×</w:t>
            </w:r>
            <w:r>
              <w:rPr>
                <w:rFonts w:hint="eastAsia" w:ascii="Times New Roman" w:hAnsi="Times New Roman" w:cs="Times New Roman"/>
                <w:color w:val="000000"/>
                <w:sz w:val="24"/>
                <w:szCs w:val="24"/>
                <w:highlight w:val="none"/>
                <w:u w:val="single"/>
                <w:lang w:val="en-US" w:eastAsia="zh-CN"/>
              </w:rPr>
              <w:t>1</w:t>
            </w:r>
            <w:r>
              <w:rPr>
                <w:rFonts w:hint="default" w:ascii="Times New Roman" w:hAnsi="Times New Roman" w:eastAsia="宋体" w:cs="Times New Roman"/>
                <w:color w:val="000000"/>
                <w:sz w:val="24"/>
                <w:szCs w:val="24"/>
                <w:highlight w:val="none"/>
                <w:u w:val="single"/>
              </w:rPr>
              <w:t>=</w:t>
            </w:r>
            <w:r>
              <w:rPr>
                <w:rFonts w:hint="eastAsia" w:ascii="Times New Roman" w:hAnsi="Times New Roman" w:cs="Times New Roman"/>
                <w:color w:val="000000"/>
                <w:sz w:val="24"/>
                <w:szCs w:val="24"/>
                <w:highlight w:val="none"/>
                <w:u w:val="single"/>
                <w:lang w:val="en-US" w:eastAsia="zh-CN"/>
              </w:rPr>
              <w:t>0.645</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eastAsia="宋体" w:cs="Times New Roman"/>
                <w:color w:val="000000"/>
                <w:sz w:val="24"/>
                <w:szCs w:val="24"/>
                <w:highlight w:val="none"/>
                <w:u w:val="single"/>
              </w:rPr>
              <w:t>/s，即</w:t>
            </w:r>
            <w:r>
              <w:rPr>
                <w:rFonts w:hint="eastAsia" w:ascii="Times New Roman" w:hAnsi="Times New Roman" w:cs="Times New Roman"/>
                <w:color w:val="000000"/>
                <w:sz w:val="24"/>
                <w:szCs w:val="24"/>
                <w:highlight w:val="none"/>
                <w:u w:val="single"/>
                <w:lang w:val="en-US" w:eastAsia="zh-CN"/>
              </w:rPr>
              <w:t>2322</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eastAsia="宋体" w:cs="Times New Roman"/>
                <w:color w:val="000000"/>
                <w:sz w:val="24"/>
                <w:szCs w:val="24"/>
                <w:highlight w:val="none"/>
                <w:u w:val="single"/>
              </w:rPr>
              <w:t>/h</w:t>
            </w:r>
            <w:r>
              <w:rPr>
                <w:rFonts w:hint="default" w:ascii="Times New Roman" w:hAnsi="Times New Roman" w:eastAsia="宋体"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lang w:val="en-US" w:eastAsia="zh-CN"/>
              </w:rPr>
              <w:t>考虑到管道风损，本项目除尘器风机设计风量为</w:t>
            </w:r>
            <w:r>
              <w:rPr>
                <w:rFonts w:hint="eastAsia" w:ascii="Times New Roman" w:hAnsi="Times New Roman" w:cs="Times New Roman"/>
                <w:color w:val="000000"/>
                <w:sz w:val="24"/>
                <w:szCs w:val="24"/>
                <w:highlight w:val="none"/>
                <w:u w:val="single"/>
                <w:lang w:val="en-US" w:eastAsia="zh-CN"/>
              </w:rPr>
              <w:t>3</w:t>
            </w:r>
            <w:r>
              <w:rPr>
                <w:rFonts w:hint="default" w:ascii="Times New Roman" w:hAnsi="Times New Roman" w:cs="Times New Roman"/>
                <w:color w:val="000000"/>
                <w:sz w:val="24"/>
                <w:szCs w:val="24"/>
                <w:highlight w:val="none"/>
                <w:u w:val="single"/>
                <w:lang w:val="en-US" w:eastAsia="zh-CN"/>
              </w:rPr>
              <w:t>000</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eastAsia="宋体" w:cs="Times New Roman"/>
                <w:color w:val="000000"/>
                <w:sz w:val="24"/>
                <w:szCs w:val="24"/>
                <w:highlight w:val="none"/>
                <w:u w:val="single"/>
              </w:rPr>
              <w:t>/h</w:t>
            </w:r>
            <w:r>
              <w:rPr>
                <w:rFonts w:hint="default" w:ascii="Times New Roman" w:hAnsi="Times New Roman" w:cs="Times New Roman"/>
                <w:color w:val="000000"/>
                <w:sz w:val="24"/>
                <w:szCs w:val="24"/>
                <w:highlight w:val="none"/>
                <w:u w:val="singl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textAlignment w:val="auto"/>
              <w:rPr>
                <w:rFonts w:hint="default" w:ascii="Times New Roman" w:hAnsi="Times New Roman" w:cs="Times New Roman"/>
                <w:color w:val="000000"/>
                <w:sz w:val="24"/>
                <w:szCs w:val="24"/>
                <w:u w:val="single"/>
                <w:vertAlign w:val="baseline"/>
                <w:lang w:val="en-US" w:eastAsia="zh-CN"/>
              </w:rPr>
            </w:pPr>
            <w:r>
              <w:rPr>
                <w:rFonts w:hint="default" w:ascii="Times New Roman" w:hAnsi="Times New Roman" w:cs="Times New Roman"/>
                <w:color w:val="000000"/>
                <w:sz w:val="24"/>
                <w:szCs w:val="24"/>
                <w:u w:val="single"/>
                <w:lang w:eastAsia="zh-CN"/>
              </w:rPr>
              <w:t>本项目</w:t>
            </w:r>
            <w:r>
              <w:rPr>
                <w:rFonts w:hint="default" w:ascii="Times New Roman" w:hAnsi="Times New Roman" w:cs="Times New Roman"/>
                <w:color w:val="000000"/>
                <w:sz w:val="24"/>
                <w:szCs w:val="24"/>
                <w:u w:val="single"/>
                <w:lang w:val="en-US" w:eastAsia="zh-CN"/>
              </w:rPr>
              <w:t>粉尘</w:t>
            </w:r>
            <w:r>
              <w:rPr>
                <w:rFonts w:hint="default" w:ascii="Times New Roman" w:hAnsi="Times New Roman" w:cs="Times New Roman"/>
                <w:color w:val="000000"/>
                <w:sz w:val="24"/>
                <w:szCs w:val="24"/>
                <w:u w:val="single"/>
                <w:lang w:eastAsia="zh-CN"/>
              </w:rPr>
              <w:t>产生量为</w:t>
            </w:r>
            <w:r>
              <w:rPr>
                <w:rFonts w:hint="eastAsia" w:ascii="Times New Roman" w:hAnsi="Times New Roman" w:cs="Times New Roman"/>
                <w:color w:val="000000"/>
                <w:sz w:val="24"/>
                <w:szCs w:val="24"/>
                <w:u w:val="single"/>
                <w:lang w:val="en-US" w:eastAsia="zh-CN"/>
              </w:rPr>
              <w:t>0.2</w:t>
            </w:r>
            <w:r>
              <w:rPr>
                <w:rFonts w:hint="default" w:ascii="Times New Roman" w:hAnsi="Times New Roman" w:cs="Times New Roman"/>
                <w:color w:val="000000"/>
                <w:sz w:val="24"/>
                <w:szCs w:val="24"/>
                <w:u w:val="single"/>
                <w:lang w:val="en-US" w:eastAsia="zh-CN"/>
              </w:rPr>
              <w:t>t/a，拆包、上料工段年工作时间</w:t>
            </w:r>
            <w:r>
              <w:rPr>
                <w:rFonts w:hint="eastAsia" w:ascii="Times New Roman" w:hAnsi="Times New Roman" w:cs="Times New Roman"/>
                <w:color w:val="000000"/>
                <w:sz w:val="24"/>
                <w:szCs w:val="24"/>
                <w:u w:val="single"/>
                <w:lang w:val="en-US" w:eastAsia="zh-CN"/>
              </w:rPr>
              <w:t>6</w:t>
            </w:r>
            <w:r>
              <w:rPr>
                <w:rFonts w:hint="default" w:ascii="Times New Roman" w:hAnsi="Times New Roman" w:cs="Times New Roman"/>
                <w:color w:val="000000"/>
                <w:sz w:val="24"/>
                <w:szCs w:val="24"/>
                <w:u w:val="single"/>
                <w:lang w:val="en-US" w:eastAsia="zh-CN"/>
              </w:rPr>
              <w:t>00h</w:t>
            </w:r>
            <w:r>
              <w:rPr>
                <w:rFonts w:hint="default" w:ascii="Times New Roman" w:hAnsi="Times New Roman" w:cs="Times New Roman"/>
                <w:color w:val="000000"/>
                <w:kern w:val="0"/>
                <w:sz w:val="24"/>
                <w:szCs w:val="24"/>
                <w:u w:val="single"/>
                <w:lang w:val="en-US" w:eastAsia="zh-CN" w:bidi="ar"/>
              </w:rPr>
              <w:t>，</w:t>
            </w:r>
            <w:r>
              <w:rPr>
                <w:rFonts w:hint="default" w:ascii="Times New Roman" w:hAnsi="Times New Roman" w:cs="Times New Roman"/>
                <w:color w:val="000000"/>
                <w:sz w:val="24"/>
                <w:szCs w:val="24"/>
                <w:u w:val="single"/>
                <w:lang w:val="en-US" w:eastAsia="zh-CN"/>
              </w:rPr>
              <w:t>风机风量为</w:t>
            </w:r>
            <w:r>
              <w:rPr>
                <w:rFonts w:hint="eastAsia" w:ascii="Times New Roman" w:hAnsi="Times New Roman" w:cs="Times New Roman"/>
                <w:color w:val="000000"/>
                <w:sz w:val="24"/>
                <w:szCs w:val="24"/>
                <w:u w:val="single"/>
                <w:lang w:val="en-US" w:eastAsia="zh-CN"/>
              </w:rPr>
              <w:t>3</w:t>
            </w:r>
            <w:r>
              <w:rPr>
                <w:rFonts w:hint="default" w:ascii="Times New Roman" w:hAnsi="Times New Roman" w:cs="Times New Roman"/>
                <w:color w:val="000000"/>
                <w:sz w:val="24"/>
                <w:szCs w:val="24"/>
                <w:u w:val="single"/>
                <w:lang w:val="en-US" w:eastAsia="zh-CN"/>
              </w:rPr>
              <w:t>000</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u w:val="single"/>
                <w:vertAlign w:val="baseline"/>
                <w:lang w:val="en-US" w:eastAsia="zh-CN"/>
              </w:rPr>
              <w:t>/h，收集效率以85%计，去除效率以95%计。粉尘</w:t>
            </w:r>
            <w:r>
              <w:rPr>
                <w:rFonts w:hint="default" w:ascii="Times New Roman" w:hAnsi="Times New Roman" w:cs="Times New Roman"/>
                <w:color w:val="000000"/>
                <w:sz w:val="24"/>
                <w:szCs w:val="24"/>
                <w:u w:val="single"/>
                <w:lang w:val="en-US" w:eastAsia="zh-CN"/>
              </w:rPr>
              <w:t>有组织产生量为</w:t>
            </w:r>
            <w:r>
              <w:rPr>
                <w:rFonts w:hint="eastAsia" w:ascii="Times New Roman" w:hAnsi="Times New Roman" w:cs="Times New Roman"/>
                <w:color w:val="000000"/>
                <w:sz w:val="24"/>
                <w:szCs w:val="24"/>
                <w:u w:val="single"/>
                <w:lang w:val="en-US" w:eastAsia="zh-CN"/>
              </w:rPr>
              <w:t>0.17</w:t>
            </w:r>
            <w:r>
              <w:rPr>
                <w:rFonts w:hint="default" w:ascii="Times New Roman" w:hAnsi="Times New Roman" w:cs="Times New Roman"/>
                <w:color w:val="000000"/>
                <w:sz w:val="24"/>
                <w:szCs w:val="24"/>
                <w:u w:val="single"/>
                <w:lang w:val="en-US" w:eastAsia="zh-CN"/>
              </w:rPr>
              <w:t>t/a，产生速率为</w:t>
            </w:r>
            <w:r>
              <w:rPr>
                <w:rFonts w:hint="eastAsia" w:ascii="Times New Roman" w:hAnsi="Times New Roman" w:cs="Times New Roman"/>
                <w:color w:val="000000"/>
                <w:sz w:val="24"/>
                <w:szCs w:val="24"/>
                <w:u w:val="single"/>
                <w:lang w:val="en-US" w:eastAsia="zh-CN"/>
              </w:rPr>
              <w:t>0.2833</w:t>
            </w:r>
            <w:r>
              <w:rPr>
                <w:rFonts w:hint="default" w:ascii="Times New Roman" w:hAnsi="Times New Roman" w:cs="Times New Roman"/>
                <w:color w:val="000000"/>
                <w:sz w:val="24"/>
                <w:szCs w:val="24"/>
                <w:u w:val="single"/>
                <w:lang w:val="en-US" w:eastAsia="zh-CN"/>
              </w:rPr>
              <w:t>kg/h，产生浓度为</w:t>
            </w:r>
            <w:r>
              <w:rPr>
                <w:rFonts w:hint="eastAsia" w:ascii="Times New Roman" w:hAnsi="Times New Roman" w:cs="Times New Roman"/>
                <w:color w:val="000000"/>
                <w:sz w:val="24"/>
                <w:szCs w:val="24"/>
                <w:u w:val="single"/>
                <w:lang w:val="en-US" w:eastAsia="zh-CN"/>
              </w:rPr>
              <w:t>94.4</w:t>
            </w:r>
            <w:r>
              <w:rPr>
                <w:rFonts w:hint="default" w:ascii="Times New Roman" w:hAnsi="Times New Roman" w:cs="Times New Roman"/>
                <w:color w:val="000000"/>
                <w:sz w:val="24"/>
                <w:szCs w:val="24"/>
                <w:u w:val="single"/>
                <w:lang w:val="en-US" w:eastAsia="zh-CN"/>
              </w:rPr>
              <w:t>mg/</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u w:val="single"/>
                <w:vertAlign w:val="baseline"/>
                <w:lang w:val="en-US" w:eastAsia="zh-CN"/>
              </w:rPr>
              <w:t>。有组织排放量为</w:t>
            </w:r>
            <w:r>
              <w:rPr>
                <w:rFonts w:hint="eastAsia" w:ascii="Times New Roman" w:hAnsi="Times New Roman" w:cs="Times New Roman"/>
                <w:color w:val="000000"/>
                <w:sz w:val="24"/>
                <w:szCs w:val="24"/>
                <w:u w:val="single"/>
                <w:vertAlign w:val="baseline"/>
                <w:lang w:val="en-US" w:eastAsia="zh-CN"/>
              </w:rPr>
              <w:t>0.0085</w:t>
            </w:r>
            <w:r>
              <w:rPr>
                <w:rFonts w:hint="default" w:ascii="Times New Roman" w:hAnsi="Times New Roman" w:cs="Times New Roman"/>
                <w:color w:val="000000"/>
                <w:sz w:val="24"/>
                <w:szCs w:val="24"/>
                <w:u w:val="single"/>
                <w:vertAlign w:val="baseline"/>
                <w:lang w:val="en-US" w:eastAsia="zh-CN"/>
              </w:rPr>
              <w:t>t/a，排放速率为</w:t>
            </w:r>
            <w:r>
              <w:rPr>
                <w:rFonts w:hint="eastAsia" w:ascii="Times New Roman" w:hAnsi="Times New Roman" w:cs="Times New Roman"/>
                <w:color w:val="000000"/>
                <w:sz w:val="24"/>
                <w:szCs w:val="24"/>
                <w:u w:val="single"/>
                <w:vertAlign w:val="baseline"/>
                <w:lang w:val="en-US" w:eastAsia="zh-CN"/>
              </w:rPr>
              <w:t>0.0142</w:t>
            </w:r>
            <w:r>
              <w:rPr>
                <w:rFonts w:hint="default" w:ascii="Times New Roman" w:hAnsi="Times New Roman" w:cs="Times New Roman"/>
                <w:color w:val="000000"/>
                <w:sz w:val="24"/>
                <w:szCs w:val="24"/>
                <w:u w:val="single"/>
                <w:vertAlign w:val="baseline"/>
                <w:lang w:val="en-US" w:eastAsia="zh-CN"/>
              </w:rPr>
              <w:t>kg/h，排放浓度为</w:t>
            </w:r>
            <w:r>
              <w:rPr>
                <w:rFonts w:hint="eastAsia" w:ascii="Times New Roman" w:hAnsi="Times New Roman" w:cs="Times New Roman"/>
                <w:color w:val="000000"/>
                <w:sz w:val="24"/>
                <w:szCs w:val="24"/>
                <w:u w:val="single"/>
                <w:vertAlign w:val="baseline"/>
                <w:lang w:val="en-US" w:eastAsia="zh-CN"/>
              </w:rPr>
              <w:t>4.7m</w:t>
            </w:r>
            <w:r>
              <w:rPr>
                <w:rFonts w:hint="default" w:ascii="Times New Roman" w:hAnsi="Times New Roman" w:cs="Times New Roman"/>
                <w:color w:val="000000"/>
                <w:sz w:val="24"/>
                <w:szCs w:val="24"/>
                <w:u w:val="single"/>
                <w:lang w:val="en-US" w:eastAsia="zh-CN"/>
              </w:rPr>
              <w:t>g/</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u w:val="single"/>
                <w:vertAlign w:val="baseli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textAlignment w:val="auto"/>
              <w:rPr>
                <w:rFonts w:hint="default" w:ascii="Times New Roman" w:hAnsi="Times New Roman" w:cs="Times New Roman"/>
                <w:color w:val="000000"/>
                <w:sz w:val="24"/>
                <w:szCs w:val="24"/>
                <w:u w:val="single"/>
                <w:vertAlign w:val="baseline"/>
                <w:lang w:val="en-US" w:eastAsia="zh-CN"/>
              </w:rPr>
            </w:pPr>
            <w:r>
              <w:rPr>
                <w:rFonts w:hint="default" w:ascii="Times New Roman" w:hAnsi="Times New Roman" w:cs="Times New Roman"/>
                <w:color w:val="000000"/>
                <w:sz w:val="24"/>
                <w:szCs w:val="24"/>
                <w:u w:val="single"/>
                <w:lang w:val="en-US" w:eastAsia="zh-CN"/>
              </w:rPr>
              <w:t>粉尘</w:t>
            </w:r>
            <w:r>
              <w:rPr>
                <w:rFonts w:hint="default" w:ascii="Times New Roman" w:hAnsi="Times New Roman" w:cs="Times New Roman"/>
                <w:color w:val="000000"/>
                <w:sz w:val="24"/>
                <w:szCs w:val="24"/>
                <w:u w:val="single"/>
                <w:vertAlign w:val="baseline"/>
                <w:lang w:val="en-US" w:eastAsia="zh-CN"/>
              </w:rPr>
              <w:t>无组织排放量为</w:t>
            </w:r>
            <w:r>
              <w:rPr>
                <w:rFonts w:hint="eastAsia" w:ascii="Times New Roman" w:hAnsi="Times New Roman" w:cs="Times New Roman"/>
                <w:color w:val="000000"/>
                <w:sz w:val="24"/>
                <w:szCs w:val="24"/>
                <w:u w:val="single"/>
                <w:vertAlign w:val="baseline"/>
                <w:lang w:val="en-US" w:eastAsia="zh-CN"/>
              </w:rPr>
              <w:t>0.03</w:t>
            </w:r>
            <w:r>
              <w:rPr>
                <w:rFonts w:hint="default" w:ascii="Times New Roman" w:hAnsi="Times New Roman" w:cs="Times New Roman"/>
                <w:color w:val="000000"/>
                <w:sz w:val="24"/>
                <w:szCs w:val="24"/>
                <w:u w:val="single"/>
                <w:vertAlign w:val="baseline"/>
                <w:lang w:val="en-US" w:eastAsia="zh-CN"/>
              </w:rPr>
              <w:t>t/a，排放速率为</w:t>
            </w:r>
            <w:r>
              <w:rPr>
                <w:rFonts w:hint="eastAsia" w:ascii="Times New Roman" w:hAnsi="Times New Roman" w:cs="Times New Roman"/>
                <w:color w:val="000000"/>
                <w:sz w:val="24"/>
                <w:szCs w:val="24"/>
                <w:u w:val="single"/>
                <w:vertAlign w:val="baseline"/>
                <w:lang w:val="en-US" w:eastAsia="zh-CN"/>
              </w:rPr>
              <w:t>0.05</w:t>
            </w:r>
            <w:r>
              <w:rPr>
                <w:rFonts w:hint="default" w:ascii="Times New Roman" w:hAnsi="Times New Roman" w:cs="Times New Roman"/>
                <w:color w:val="000000"/>
                <w:sz w:val="24"/>
                <w:szCs w:val="24"/>
                <w:u w:val="single"/>
                <w:vertAlign w:val="baseline"/>
                <w:lang w:val="en-US" w:eastAsia="zh-CN"/>
              </w:rPr>
              <w:t>kg/h。</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2" w:firstLineChars="200"/>
              <w:jc w:val="both"/>
              <w:textAlignment w:val="auto"/>
              <w:rPr>
                <w:rFonts w:hint="default" w:ascii="Times New Roman" w:hAnsi="Times New Roman" w:cs="Times New Roman"/>
                <w:b w:val="0"/>
                <w:bCs w:val="0"/>
                <w:color w:val="000000"/>
                <w:sz w:val="24"/>
                <w:szCs w:val="24"/>
                <w:u w:val="single"/>
                <w:lang w:val="en-US" w:eastAsia="zh-CN"/>
              </w:rPr>
            </w:pPr>
            <w:r>
              <w:rPr>
                <w:rFonts w:hint="default" w:ascii="Times New Roman" w:hAnsi="Times New Roman" w:cs="Times New Roman"/>
                <w:b/>
                <w:bCs/>
                <w:color w:val="000000"/>
                <w:sz w:val="24"/>
                <w:szCs w:val="24"/>
                <w:u w:val="single"/>
                <w:lang w:val="en-US" w:eastAsia="zh-CN"/>
              </w:rPr>
              <w:t>废气治理可行性分析</w:t>
            </w:r>
            <w:r>
              <w:rPr>
                <w:rFonts w:hint="default" w:ascii="Times New Roman" w:hAnsi="Times New Roman" w:cs="Times New Roman"/>
                <w:b w:val="0"/>
                <w:bCs w:val="0"/>
                <w:color w:val="000000"/>
                <w:sz w:val="24"/>
                <w:szCs w:val="24"/>
                <w:u w:val="single"/>
                <w:lang w:val="en-US" w:eastAsia="zh-CN"/>
              </w:rPr>
              <w:t>:经查阅《排污许可证申请与核发技术规范 橡胶和塑料制品工业》(HJ1122-2020)，“A.2塑料制品工业排污单位废气污染防治可行技术参考表”，对于拆包、上料工序产生的“</w:t>
            </w:r>
            <w:r>
              <w:rPr>
                <w:rFonts w:hint="eastAsia" w:cs="Times New Roman"/>
                <w:b w:val="0"/>
                <w:bCs w:val="0"/>
                <w:color w:val="000000"/>
                <w:sz w:val="24"/>
                <w:szCs w:val="24"/>
                <w:u w:val="single"/>
                <w:lang w:val="en-US" w:eastAsia="zh-CN"/>
              </w:rPr>
              <w:t>粉尘</w:t>
            </w:r>
            <w:r>
              <w:rPr>
                <w:rFonts w:hint="default" w:ascii="Times New Roman" w:hAnsi="Times New Roman" w:cs="Times New Roman"/>
                <w:b w:val="0"/>
                <w:bCs w:val="0"/>
                <w:color w:val="000000"/>
                <w:sz w:val="24"/>
                <w:szCs w:val="24"/>
                <w:u w:val="single"/>
                <w:lang w:val="en-US" w:eastAsia="zh-CN"/>
              </w:rPr>
              <w:t>”污染物，使用</w:t>
            </w:r>
            <w:r>
              <w:rPr>
                <w:rFonts w:hint="eastAsia" w:cs="Times New Roman"/>
                <w:b w:val="0"/>
                <w:bCs w:val="0"/>
                <w:color w:val="000000"/>
                <w:sz w:val="24"/>
                <w:szCs w:val="24"/>
                <w:u w:val="single"/>
                <w:lang w:val="en-US" w:eastAsia="zh-CN"/>
              </w:rPr>
              <w:t>袋式除尘器</w:t>
            </w:r>
            <w:r>
              <w:rPr>
                <w:rFonts w:hint="default" w:ascii="Times New Roman" w:hAnsi="Times New Roman" w:cs="Times New Roman"/>
                <w:b w:val="0"/>
                <w:bCs w:val="0"/>
                <w:color w:val="000000"/>
                <w:sz w:val="24"/>
                <w:szCs w:val="24"/>
                <w:u w:val="single"/>
                <w:lang w:val="en-US" w:eastAsia="zh-CN"/>
              </w:rPr>
              <w:t>为可行技术。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rPr>
                <w:rFonts w:hint="default" w:ascii="Times New Roman" w:hAnsi="Times New Roman" w:cs="Times New Roman"/>
                <w:b/>
                <w:bCs/>
                <w:color w:val="000000"/>
                <w:sz w:val="24"/>
                <w:szCs w:val="24"/>
                <w:u w:val="single"/>
                <w:lang w:val="en-US" w:eastAsia="zh-CN"/>
              </w:rPr>
            </w:pPr>
            <w:r>
              <w:rPr>
                <w:rFonts w:hint="default" w:ascii="Times New Roman" w:hAnsi="Times New Roman" w:cs="Times New Roman"/>
                <w:b w:val="0"/>
                <w:bCs/>
                <w:color w:val="000000"/>
                <w:kern w:val="2"/>
                <w:sz w:val="24"/>
                <w:szCs w:val="24"/>
                <w:u w:val="single"/>
                <w:lang w:val="en-US" w:eastAsia="zh-CN" w:bidi="ar-SA"/>
              </w:rPr>
              <w:t>本项目粉尘</w:t>
            </w:r>
            <w:r>
              <w:rPr>
                <w:rFonts w:hint="default" w:ascii="Times New Roman" w:hAnsi="Times New Roman" w:eastAsia="宋体" w:cs="Times New Roman"/>
                <w:color w:val="000000"/>
                <w:sz w:val="24"/>
                <w:szCs w:val="24"/>
                <w:u w:val="single"/>
                <w:vertAlign w:val="baseline"/>
                <w:lang w:val="en-US" w:eastAsia="zh-CN"/>
              </w:rPr>
              <w:t>在采取集气罩收集+袋式除尘器处理后排放满足《合成树脂工业污染物排放标准》（GB31572-2015）20mg/m³相关要求。及《</w:t>
            </w:r>
            <w:r>
              <w:rPr>
                <w:rFonts w:hint="eastAsia" w:cs="Times New Roman"/>
                <w:color w:val="000000"/>
                <w:sz w:val="24"/>
                <w:szCs w:val="24"/>
                <w:u w:val="single"/>
                <w:vertAlign w:val="baseline"/>
                <w:lang w:val="en-US" w:eastAsia="zh-CN"/>
              </w:rPr>
              <w:t>河南省</w:t>
            </w:r>
            <w:r>
              <w:rPr>
                <w:rFonts w:hint="default" w:ascii="Times New Roman" w:hAnsi="Times New Roman" w:eastAsia="宋体" w:cs="Times New Roman"/>
                <w:color w:val="000000"/>
                <w:sz w:val="24"/>
                <w:szCs w:val="24"/>
                <w:u w:val="single"/>
                <w:vertAlign w:val="baseline"/>
                <w:lang w:val="en-US" w:eastAsia="zh-CN"/>
              </w:rPr>
              <w:t>重污染天气重点行业应急减排措施制定技术指南（2021年修订版）》（塑料制品A级限值10mg/m</w:t>
            </w:r>
            <w:r>
              <w:rPr>
                <w:rFonts w:hint="default" w:ascii="Times New Roman" w:hAnsi="Times New Roman" w:eastAsia="宋体" w:cs="Times New Roman"/>
                <w:color w:val="000000"/>
                <w:sz w:val="24"/>
                <w:szCs w:val="24"/>
                <w:u w:val="single"/>
                <w:vertAlign w:val="superscript"/>
                <w:lang w:val="en-US" w:eastAsia="zh-CN"/>
              </w:rPr>
              <w:t>3</w:t>
            </w:r>
            <w:r>
              <w:rPr>
                <w:rFonts w:hint="default" w:ascii="Times New Roman" w:hAnsi="Times New Roman" w:eastAsia="宋体" w:cs="Times New Roman"/>
                <w:color w:val="000000"/>
                <w:sz w:val="24"/>
                <w:szCs w:val="24"/>
                <w:u w:val="single"/>
                <w:vertAlign w:val="baseline"/>
                <w:lang w:val="en-US" w:eastAsia="zh-CN"/>
              </w:rPr>
              <w:t>）要求</w:t>
            </w:r>
            <w:r>
              <w:rPr>
                <w:rFonts w:hint="default" w:ascii="Times New Roman" w:hAnsi="Times New Roman" w:cs="Times New Roman"/>
                <w:b w:val="0"/>
                <w:bCs/>
                <w:color w:val="000000"/>
                <w:kern w:val="2"/>
                <w:sz w:val="24"/>
                <w:szCs w:val="24"/>
                <w:u w:val="single"/>
                <w:lang w:val="en-US" w:eastAsia="zh-CN" w:bidi="ar-SA"/>
              </w:rPr>
              <w:t>。</w:t>
            </w:r>
          </w:p>
          <w:p>
            <w:pPr>
              <w:keepNext w:val="0"/>
              <w:pageBreakBefore w:val="0"/>
              <w:widowControl w:val="0"/>
              <w:tabs>
                <w:tab w:val="left" w:pos="595"/>
              </w:tabs>
              <w:kinsoku/>
              <w:wordWrap/>
              <w:topLinePunct w:val="0"/>
              <w:bidi w:val="0"/>
              <w:adjustRightInd w:val="0"/>
              <w:spacing w:line="360" w:lineRule="auto"/>
              <w:ind w:firstLine="482"/>
              <w:textAlignment w:val="auto"/>
              <w:rPr>
                <w:rFonts w:hint="default" w:ascii="Times New Roman" w:hAnsi="Times New Roman" w:cs="Times New Roman"/>
                <w:b/>
                <w:bCs w:val="0"/>
                <w:color w:val="auto"/>
                <w:sz w:val="24"/>
                <w:u w:val="none"/>
              </w:rPr>
            </w:pPr>
            <w:r>
              <w:rPr>
                <w:rFonts w:hint="default" w:ascii="Times New Roman" w:hAnsi="Times New Roman" w:cs="Times New Roman"/>
                <w:b/>
                <w:bCs w:val="0"/>
                <w:color w:val="auto"/>
                <w:sz w:val="24"/>
                <w:u w:val="none"/>
                <w:lang w:val="en-US" w:eastAsia="zh-CN"/>
              </w:rPr>
              <w:t>1.2</w:t>
            </w:r>
            <w:r>
              <w:rPr>
                <w:rFonts w:hint="default" w:ascii="Times New Roman" w:hAnsi="Times New Roman" w:cs="Times New Roman"/>
                <w:b/>
                <w:bCs w:val="0"/>
                <w:color w:val="auto"/>
                <w:sz w:val="24"/>
                <w:u w:val="none"/>
              </w:rPr>
              <w:t>废气污染源源强核算结果及相关参数</w:t>
            </w:r>
          </w:p>
          <w:p>
            <w:pPr>
              <w:keepNext w:val="0"/>
              <w:pageBreakBefore w:val="0"/>
              <w:widowControl w:val="0"/>
              <w:tabs>
                <w:tab w:val="left" w:pos="595"/>
              </w:tabs>
              <w:kinsoku/>
              <w:wordWrap/>
              <w:topLinePunct w:val="0"/>
              <w:bidi w:val="0"/>
              <w:adjustRightInd w:val="0"/>
              <w:spacing w:line="360" w:lineRule="auto"/>
              <w:ind w:firstLine="482"/>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项目废气污染源源强核算结果及相关参数一览表见下表。</w:t>
            </w:r>
          </w:p>
          <w:p>
            <w:pPr>
              <w:pStyle w:val="87"/>
              <w:keepNext w:val="0"/>
              <w:pageBreakBefore w:val="0"/>
              <w:widowControl w:val="0"/>
              <w:numPr>
                <w:ilvl w:val="0"/>
                <w:numId w:val="0"/>
              </w:numPr>
              <w:kinsoku/>
              <w:wordWrap/>
              <w:topLinePunct w:val="0"/>
              <w:bidi w:val="0"/>
              <w:spacing w:line="240" w:lineRule="auto"/>
              <w:jc w:val="center"/>
              <w:textAlignment w:val="auto"/>
              <w:rPr>
                <w:rFonts w:hint="default" w:ascii="Times New Roman" w:hAnsi="Times New Roman" w:cs="Times New Roman"/>
                <w:bCs/>
                <w:color w:val="auto"/>
                <w:u w:val="none"/>
              </w:rPr>
            </w:pPr>
            <w:r>
              <w:rPr>
                <w:rFonts w:hint="default" w:ascii="Times New Roman" w:hAnsi="Times New Roman" w:cs="Times New Roman"/>
                <w:bCs/>
                <w:color w:val="auto"/>
                <w:u w:val="none"/>
              </w:rPr>
              <w:t>表</w:t>
            </w:r>
            <w:r>
              <w:rPr>
                <w:rFonts w:hint="default" w:ascii="Times New Roman" w:hAnsi="Times New Roman" w:cs="Times New Roman"/>
                <w:bCs/>
                <w:color w:val="auto"/>
                <w:u w:val="none"/>
                <w:lang w:val="en-US" w:eastAsia="zh-CN"/>
              </w:rPr>
              <w:t xml:space="preserve">16   </w:t>
            </w:r>
            <w:r>
              <w:rPr>
                <w:rFonts w:hint="default" w:ascii="Times New Roman" w:hAnsi="Times New Roman" w:cs="Times New Roman"/>
                <w:bCs/>
                <w:color w:val="auto"/>
                <w:u w:val="none"/>
              </w:rPr>
              <w:t>废气污染物源源强核算结果及相关参数一览表</w:t>
            </w:r>
          </w:p>
          <w:tbl>
            <w:tblPr>
              <w:tblStyle w:val="25"/>
              <w:tblW w:w="79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534"/>
              <w:gridCol w:w="325"/>
              <w:gridCol w:w="769"/>
              <w:gridCol w:w="933"/>
              <w:gridCol w:w="1112"/>
              <w:gridCol w:w="536"/>
              <w:gridCol w:w="535"/>
              <w:gridCol w:w="933"/>
              <w:gridCol w:w="1112"/>
              <w:gridCol w:w="769"/>
              <w:gridCol w:w="653"/>
              <w:gridCol w:w="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411" w:type="pct"/>
                  <w:vMerge w:val="restar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污染源</w:t>
                  </w:r>
                </w:p>
              </w:tc>
              <w:tc>
                <w:tcPr>
                  <w:tcW w:w="286"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lang w:eastAsia="zh-CN"/>
                    </w:rPr>
                  </w:pPr>
                  <w:r>
                    <w:rPr>
                      <w:rFonts w:hint="default" w:ascii="Times New Roman" w:hAnsi="Times New Roman" w:cs="Times New Roman"/>
                      <w:b/>
                      <w:bCs/>
                      <w:color w:val="auto"/>
                      <w:sz w:val="21"/>
                      <w:szCs w:val="21"/>
                      <w:u w:val="none"/>
                    </w:rPr>
                    <w:t>污染物</w:t>
                  </w:r>
                </w:p>
              </w:tc>
              <w:tc>
                <w:tcPr>
                  <w:tcW w:w="424"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cs="Times New Roman"/>
                      <w:b/>
                      <w:bCs/>
                      <w:color w:val="auto"/>
                      <w:sz w:val="21"/>
                      <w:szCs w:val="21"/>
                      <w:u w:val="none"/>
                      <w:lang w:val="en-US" w:eastAsia="zh-CN"/>
                    </w:rPr>
                    <w:t>产生量</w:t>
                  </w:r>
                  <w:r>
                    <w:rPr>
                      <w:rFonts w:hint="default" w:ascii="Times New Roman" w:hAnsi="Times New Roman" w:cs="Times New Roman"/>
                      <w:b/>
                      <w:bCs/>
                      <w:color w:val="auto"/>
                      <w:sz w:val="21"/>
                      <w:szCs w:val="21"/>
                      <w:u w:val="none"/>
                      <w:lang w:eastAsia="zh-CN"/>
                    </w:rPr>
                    <w:t>（</w:t>
                  </w:r>
                  <w:r>
                    <w:rPr>
                      <w:rFonts w:hint="default" w:ascii="Times New Roman" w:hAnsi="Times New Roman" w:cs="Times New Roman"/>
                      <w:b/>
                      <w:bCs/>
                      <w:color w:val="auto"/>
                      <w:sz w:val="21"/>
                      <w:szCs w:val="21"/>
                      <w:u w:val="none"/>
                      <w:lang w:val="en-US" w:eastAsia="zh-CN"/>
                    </w:rPr>
                    <w:t>t/a</w:t>
                  </w:r>
                  <w:r>
                    <w:rPr>
                      <w:rFonts w:hint="default" w:ascii="Times New Roman" w:hAnsi="Times New Roman" w:cs="Times New Roman"/>
                      <w:b/>
                      <w:bCs/>
                      <w:color w:val="auto"/>
                      <w:sz w:val="21"/>
                      <w:szCs w:val="21"/>
                      <w:u w:val="none"/>
                      <w:lang w:eastAsia="zh-CN"/>
                    </w:rPr>
                    <w:t>）</w:t>
                  </w:r>
                </w:p>
              </w:tc>
              <w:tc>
                <w:tcPr>
                  <w:tcW w:w="1125" w:type="pct"/>
                  <w:gridSpan w:val="2"/>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vertAlign w:val="superscript"/>
                      <w:lang w:val="en-US" w:eastAsia="zh-CN"/>
                    </w:rPr>
                  </w:pPr>
                  <w:r>
                    <w:rPr>
                      <w:rFonts w:hint="default" w:ascii="Times New Roman" w:hAnsi="Times New Roman" w:cs="Times New Roman"/>
                      <w:b/>
                      <w:bCs/>
                      <w:color w:val="auto"/>
                      <w:sz w:val="21"/>
                      <w:szCs w:val="21"/>
                      <w:u w:val="none"/>
                    </w:rPr>
                    <w:t>产生情况</w:t>
                  </w:r>
                </w:p>
              </w:tc>
              <w:tc>
                <w:tcPr>
                  <w:tcW w:w="651" w:type="pct"/>
                  <w:gridSpan w:val="2"/>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治理措施</w:t>
                  </w:r>
                </w:p>
              </w:tc>
              <w:tc>
                <w:tcPr>
                  <w:tcW w:w="1125" w:type="pct"/>
                  <w:gridSpan w:val="2"/>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vertAlign w:val="superscript"/>
                      <w:lang w:val="en-US" w:eastAsia="zh-CN"/>
                    </w:rPr>
                  </w:pPr>
                  <w:r>
                    <w:rPr>
                      <w:rFonts w:hint="default" w:ascii="Times New Roman" w:hAnsi="Times New Roman" w:cs="Times New Roman"/>
                      <w:b/>
                      <w:bCs/>
                      <w:color w:val="auto"/>
                      <w:sz w:val="21"/>
                      <w:szCs w:val="21"/>
                      <w:u w:val="none"/>
                    </w:rPr>
                    <w:t>排放情况</w:t>
                  </w:r>
                </w:p>
              </w:tc>
              <w:tc>
                <w:tcPr>
                  <w:tcW w:w="424"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cs="Times New Roman"/>
                      <w:b/>
                      <w:bCs/>
                      <w:color w:val="auto"/>
                      <w:sz w:val="21"/>
                      <w:szCs w:val="21"/>
                      <w:u w:val="none"/>
                      <w:lang w:eastAsia="zh-CN"/>
                    </w:rPr>
                    <w:t>排放量（</w:t>
                  </w:r>
                  <w:r>
                    <w:rPr>
                      <w:rFonts w:hint="default" w:ascii="Times New Roman" w:hAnsi="Times New Roman" w:cs="Times New Roman"/>
                      <w:b/>
                      <w:bCs/>
                      <w:color w:val="auto"/>
                      <w:sz w:val="21"/>
                      <w:szCs w:val="21"/>
                      <w:u w:val="none"/>
                      <w:lang w:val="en-US" w:eastAsia="zh-CN"/>
                    </w:rPr>
                    <w:t>t/a</w:t>
                  </w:r>
                  <w:r>
                    <w:rPr>
                      <w:rFonts w:hint="default" w:ascii="Times New Roman" w:hAnsi="Times New Roman" w:cs="Times New Roman"/>
                      <w:b/>
                      <w:bCs/>
                      <w:color w:val="auto"/>
                      <w:sz w:val="21"/>
                      <w:szCs w:val="21"/>
                      <w:u w:val="none"/>
                      <w:lang w:eastAsia="zh-CN"/>
                    </w:rPr>
                    <w:t>）</w:t>
                  </w:r>
                </w:p>
              </w:tc>
              <w:tc>
                <w:tcPr>
                  <w:tcW w:w="362" w:type="pct"/>
                  <w:vMerge w:val="restar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排放时间（h）</w:t>
                  </w:r>
                </w:p>
              </w:tc>
              <w:tc>
                <w:tcPr>
                  <w:tcW w:w="186"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cs="Times New Roman"/>
                      <w:b/>
                      <w:bCs/>
                      <w:color w:val="auto"/>
                      <w:sz w:val="21"/>
                      <w:szCs w:val="21"/>
                      <w:u w:val="none"/>
                      <w:lang w:val="en-US" w:eastAsia="zh-CN"/>
                    </w:rPr>
                    <w:t>技术是否可行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411"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c>
                <w:tcPr>
                  <w:tcW w:w="286"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c>
                <w:tcPr>
                  <w:tcW w:w="424"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c>
                <w:tcPr>
                  <w:tcW w:w="512"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lang w:eastAsia="zh-CN"/>
                    </w:rPr>
                    <w:t>速率</w:t>
                  </w:r>
                  <w:r>
                    <w:rPr>
                      <w:rFonts w:hint="default" w:ascii="Times New Roman" w:hAnsi="Times New Roman" w:cs="Times New Roman"/>
                      <w:b/>
                      <w:bCs/>
                      <w:color w:val="auto"/>
                      <w:sz w:val="21"/>
                      <w:szCs w:val="21"/>
                      <w:u w:val="none"/>
                    </w:rPr>
                    <w:t>（</w:t>
                  </w:r>
                  <w:r>
                    <w:rPr>
                      <w:rFonts w:hint="default" w:ascii="Times New Roman" w:hAnsi="Times New Roman" w:cs="Times New Roman"/>
                      <w:b/>
                      <w:bCs/>
                      <w:color w:val="auto"/>
                      <w:sz w:val="21"/>
                      <w:szCs w:val="21"/>
                      <w:u w:val="none"/>
                      <w:lang w:val="en-US" w:eastAsia="zh-CN"/>
                    </w:rPr>
                    <w:t>kg/h</w:t>
                  </w:r>
                  <w:r>
                    <w:rPr>
                      <w:rFonts w:hint="default" w:ascii="Times New Roman" w:hAnsi="Times New Roman" w:cs="Times New Roman"/>
                      <w:b/>
                      <w:bCs/>
                      <w:color w:val="auto"/>
                      <w:sz w:val="21"/>
                      <w:szCs w:val="21"/>
                      <w:u w:val="none"/>
                    </w:rPr>
                    <w:t>）</w:t>
                  </w:r>
                </w:p>
              </w:tc>
              <w:tc>
                <w:tcPr>
                  <w:tcW w:w="612"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浓度</w:t>
                  </w:r>
                </w:p>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（mg/</w:t>
                  </w:r>
                  <w:r>
                    <w:rPr>
                      <w:rFonts w:hint="default" w:ascii="Times New Roman" w:hAnsi="Times New Roman" w:cs="Times New Roman"/>
                      <w:b/>
                      <w:bCs/>
                      <w:color w:val="auto"/>
                      <w:sz w:val="21"/>
                      <w:szCs w:val="21"/>
                      <w:u w:val="none"/>
                      <w:lang w:eastAsia="zh-CN"/>
                    </w:rPr>
                    <w:t>m³</w:t>
                  </w:r>
                  <w:r>
                    <w:rPr>
                      <w:rFonts w:hint="default" w:ascii="Times New Roman" w:hAnsi="Times New Roman" w:cs="Times New Roman"/>
                      <w:b/>
                      <w:bCs/>
                      <w:color w:val="auto"/>
                      <w:sz w:val="21"/>
                      <w:szCs w:val="21"/>
                      <w:u w:val="none"/>
                    </w:rPr>
                    <w:t>）</w:t>
                  </w:r>
                </w:p>
              </w:tc>
              <w:tc>
                <w:tcPr>
                  <w:tcW w:w="352"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工艺</w:t>
                  </w:r>
                </w:p>
              </w:tc>
              <w:tc>
                <w:tcPr>
                  <w:tcW w:w="298"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cs="Times New Roman"/>
                      <w:b/>
                      <w:bCs/>
                      <w:color w:val="auto"/>
                      <w:sz w:val="21"/>
                      <w:szCs w:val="21"/>
                      <w:u w:val="none"/>
                    </w:rPr>
                    <w:t>处理效率</w:t>
                  </w:r>
                  <w:r>
                    <w:rPr>
                      <w:rFonts w:hint="default" w:ascii="Times New Roman" w:hAnsi="Times New Roman" w:cs="Times New Roman"/>
                      <w:b/>
                      <w:bCs/>
                      <w:color w:val="auto"/>
                      <w:sz w:val="21"/>
                      <w:szCs w:val="21"/>
                      <w:u w:val="none"/>
                      <w:lang w:val="en-US" w:eastAsia="zh-CN"/>
                    </w:rPr>
                    <w:t>%</w:t>
                  </w:r>
                </w:p>
              </w:tc>
              <w:tc>
                <w:tcPr>
                  <w:tcW w:w="512"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速率</w:t>
                  </w:r>
                </w:p>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（kg/h）</w:t>
                  </w:r>
                </w:p>
              </w:tc>
              <w:tc>
                <w:tcPr>
                  <w:tcW w:w="612"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浓度</w:t>
                  </w:r>
                </w:p>
                <w:p>
                  <w:pPr>
                    <w:pStyle w:val="56"/>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（mg/</w:t>
                  </w:r>
                  <w:r>
                    <w:rPr>
                      <w:rFonts w:hint="default" w:ascii="Times New Roman" w:hAnsi="Times New Roman" w:cs="Times New Roman"/>
                      <w:b/>
                      <w:bCs/>
                      <w:color w:val="auto"/>
                      <w:sz w:val="21"/>
                      <w:szCs w:val="21"/>
                      <w:u w:val="none"/>
                      <w:lang w:eastAsia="zh-CN"/>
                    </w:rPr>
                    <w:t>m³</w:t>
                  </w:r>
                  <w:r>
                    <w:rPr>
                      <w:rFonts w:hint="default" w:ascii="Times New Roman" w:hAnsi="Times New Roman" w:cs="Times New Roman"/>
                      <w:b/>
                      <w:bCs/>
                      <w:color w:val="auto"/>
                      <w:sz w:val="21"/>
                      <w:szCs w:val="21"/>
                      <w:u w:val="none"/>
                    </w:rPr>
                    <w:t>）</w:t>
                  </w:r>
                </w:p>
              </w:tc>
              <w:tc>
                <w:tcPr>
                  <w:tcW w:w="424"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c>
                <w:tcPr>
                  <w:tcW w:w="362"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c>
                <w:tcPr>
                  <w:tcW w:w="186"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411"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拆包、上料工序</w:t>
                  </w:r>
                </w:p>
              </w:tc>
              <w:tc>
                <w:tcPr>
                  <w:tcW w:w="2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none"/>
                    </w:rPr>
                  </w:pPr>
                  <w:r>
                    <w:rPr>
                      <w:rFonts w:hint="default" w:ascii="Times New Roman" w:hAnsi="Times New Roman" w:cs="Times New Roman"/>
                      <w:bCs w:val="0"/>
                      <w:color w:val="auto"/>
                      <w:sz w:val="21"/>
                      <w:szCs w:val="21"/>
                      <w:highlight w:val="none"/>
                      <w:u w:val="none"/>
                    </w:rPr>
                    <w:t>颗粒物</w:t>
                  </w:r>
                </w:p>
              </w:tc>
              <w:tc>
                <w:tcPr>
                  <w:tcW w:w="424"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0.17</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vertAlign w:val="superscript"/>
                      <w:lang w:val="en-US" w:eastAsia="zh-CN"/>
                    </w:rPr>
                  </w:pPr>
                  <w:r>
                    <w:rPr>
                      <w:rFonts w:hint="eastAsia" w:ascii="Times New Roman" w:hAnsi="Times New Roman" w:cs="Times New Roman"/>
                      <w:bCs w:val="0"/>
                      <w:color w:val="auto"/>
                      <w:sz w:val="21"/>
                      <w:szCs w:val="21"/>
                      <w:highlight w:val="none"/>
                      <w:u w:val="none"/>
                      <w:lang w:val="en-US" w:eastAsia="zh-CN"/>
                    </w:rPr>
                    <w:t>0.2833</w:t>
                  </w:r>
                </w:p>
              </w:tc>
              <w:tc>
                <w:tcPr>
                  <w:tcW w:w="6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94.4</w:t>
                  </w:r>
                </w:p>
              </w:tc>
              <w:tc>
                <w:tcPr>
                  <w:tcW w:w="35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eastAsia="zh-CN"/>
                    </w:rPr>
                  </w:pPr>
                  <w:r>
                    <w:rPr>
                      <w:rFonts w:hint="default" w:ascii="Times New Roman" w:hAnsi="Times New Roman" w:cs="Times New Roman"/>
                      <w:bCs w:val="0"/>
                      <w:color w:val="auto"/>
                      <w:sz w:val="21"/>
                      <w:szCs w:val="21"/>
                      <w:highlight w:val="none"/>
                      <w:u w:val="none"/>
                      <w:lang w:val="en-US" w:eastAsia="zh-CN"/>
                    </w:rPr>
                    <w:t>袋式除尘器</w:t>
                  </w:r>
                </w:p>
              </w:tc>
              <w:tc>
                <w:tcPr>
                  <w:tcW w:w="298"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none"/>
                      <w:lang w:val="en-US"/>
                    </w:rPr>
                  </w:pPr>
                  <w:r>
                    <w:rPr>
                      <w:rFonts w:hint="default" w:ascii="Times New Roman" w:hAnsi="Times New Roman" w:cs="Times New Roman"/>
                      <w:bCs w:val="0"/>
                      <w:color w:val="auto"/>
                      <w:sz w:val="21"/>
                      <w:szCs w:val="21"/>
                      <w:highlight w:val="none"/>
                      <w:u w:val="none"/>
                      <w:lang w:val="en-US" w:eastAsia="zh-CN"/>
                    </w:rPr>
                    <w:t>95</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0.0142</w:t>
                  </w:r>
                </w:p>
              </w:tc>
              <w:tc>
                <w:tcPr>
                  <w:tcW w:w="6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4.7</w:t>
                  </w:r>
                </w:p>
              </w:tc>
              <w:tc>
                <w:tcPr>
                  <w:tcW w:w="424"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0.0085</w:t>
                  </w:r>
                </w:p>
              </w:tc>
              <w:tc>
                <w:tcPr>
                  <w:tcW w:w="36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yellow"/>
                      <w:u w:val="none"/>
                      <w:lang w:val="en-US" w:eastAsia="zh-CN"/>
                    </w:rPr>
                  </w:pPr>
                  <w:r>
                    <w:rPr>
                      <w:rFonts w:hint="eastAsia" w:ascii="Times New Roman" w:hAnsi="Times New Roman" w:cs="Times New Roman"/>
                      <w:bCs w:val="0"/>
                      <w:color w:val="auto"/>
                      <w:sz w:val="21"/>
                      <w:szCs w:val="21"/>
                      <w:highlight w:val="none"/>
                      <w:u w:val="none"/>
                      <w:lang w:val="en-US" w:eastAsia="zh-CN"/>
                    </w:rPr>
                    <w:t>6</w:t>
                  </w:r>
                  <w:r>
                    <w:rPr>
                      <w:rFonts w:hint="default" w:ascii="Times New Roman" w:hAnsi="Times New Roman" w:cs="Times New Roman"/>
                      <w:bCs w:val="0"/>
                      <w:color w:val="auto"/>
                      <w:sz w:val="21"/>
                      <w:szCs w:val="21"/>
                      <w:highlight w:val="none"/>
                      <w:u w:val="none"/>
                      <w:lang w:val="en-US" w:eastAsia="zh-CN"/>
                    </w:rPr>
                    <w:t>00</w:t>
                  </w:r>
                </w:p>
              </w:tc>
              <w:tc>
                <w:tcPr>
                  <w:tcW w:w="1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411"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注塑挤出工序</w:t>
                  </w:r>
                </w:p>
              </w:tc>
              <w:tc>
                <w:tcPr>
                  <w:tcW w:w="286"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非甲烷总烃</w:t>
                  </w:r>
                </w:p>
              </w:tc>
              <w:tc>
                <w:tcPr>
                  <w:tcW w:w="424" w:type="pct"/>
                  <w:tcBorders>
                    <w:tl2br w:val="nil"/>
                    <w:tr2bl w:val="nil"/>
                  </w:tcBorders>
                  <w:noWrap w:val="0"/>
                  <w:vAlign w:val="center"/>
                </w:tcPr>
                <w:p>
                  <w:pPr>
                    <w:pStyle w:val="56"/>
                    <w:spacing w:line="240" w:lineRule="auto"/>
                    <w:jc w:val="center"/>
                    <w:rPr>
                      <w:rFonts w:hint="default" w:ascii="Times New Roman" w:hAnsi="Times New Roman" w:cs="Times New Roman"/>
                      <w:bCs w:val="0"/>
                      <w:i w:val="0"/>
                      <w:iCs w:val="0"/>
                      <w:color w:val="auto"/>
                      <w:sz w:val="21"/>
                      <w:szCs w:val="21"/>
                      <w:highlight w:val="none"/>
                      <w:u w:val="none"/>
                      <w:lang w:val="en-US" w:eastAsia="zh-CN"/>
                    </w:rPr>
                  </w:pPr>
                  <w:r>
                    <w:rPr>
                      <w:rFonts w:hint="eastAsia" w:ascii="Times New Roman" w:hAnsi="Times New Roman" w:cs="Times New Roman"/>
                      <w:bCs w:val="0"/>
                      <w:i w:val="0"/>
                      <w:iCs w:val="0"/>
                      <w:color w:val="auto"/>
                      <w:sz w:val="21"/>
                      <w:szCs w:val="21"/>
                      <w:highlight w:val="none"/>
                      <w:u w:val="none"/>
                      <w:lang w:val="en-US" w:eastAsia="zh-CN"/>
                    </w:rPr>
                    <w:t>1.3813</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i w:val="0"/>
                      <w:iCs w:val="0"/>
                      <w:color w:val="auto"/>
                      <w:sz w:val="21"/>
                      <w:szCs w:val="21"/>
                      <w:highlight w:val="none"/>
                      <w:u w:val="none"/>
                      <w:lang w:val="en-US" w:eastAsia="zh-CN"/>
                    </w:rPr>
                  </w:pPr>
                  <w:r>
                    <w:rPr>
                      <w:rFonts w:hint="eastAsia" w:ascii="Times New Roman" w:hAnsi="Times New Roman" w:cs="Times New Roman"/>
                      <w:bCs w:val="0"/>
                      <w:i w:val="0"/>
                      <w:iCs w:val="0"/>
                      <w:color w:val="auto"/>
                      <w:sz w:val="21"/>
                      <w:szCs w:val="21"/>
                      <w:highlight w:val="none"/>
                      <w:u w:val="none"/>
                      <w:lang w:val="en-US" w:eastAsia="zh-CN"/>
                    </w:rPr>
                    <w:t>0.5755</w:t>
                  </w:r>
                </w:p>
              </w:tc>
              <w:tc>
                <w:tcPr>
                  <w:tcW w:w="6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i w:val="0"/>
                      <w:iCs w:val="0"/>
                      <w:color w:val="auto"/>
                      <w:sz w:val="21"/>
                      <w:szCs w:val="21"/>
                      <w:highlight w:val="none"/>
                      <w:u w:val="none"/>
                      <w:lang w:val="en-US" w:eastAsia="zh-CN"/>
                    </w:rPr>
                  </w:pPr>
                  <w:r>
                    <w:rPr>
                      <w:rFonts w:hint="eastAsia" w:ascii="Times New Roman" w:hAnsi="Times New Roman" w:cs="Times New Roman"/>
                      <w:bCs w:val="0"/>
                      <w:i w:val="0"/>
                      <w:iCs w:val="0"/>
                      <w:color w:val="auto"/>
                      <w:sz w:val="21"/>
                      <w:szCs w:val="21"/>
                      <w:highlight w:val="none"/>
                      <w:u w:val="none"/>
                      <w:lang w:val="en-US" w:eastAsia="zh-CN"/>
                    </w:rPr>
                    <w:t>32.0</w:t>
                  </w:r>
                </w:p>
              </w:tc>
              <w:tc>
                <w:tcPr>
                  <w:tcW w:w="35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UV+活性炭吸附</w:t>
                  </w:r>
                </w:p>
              </w:tc>
              <w:tc>
                <w:tcPr>
                  <w:tcW w:w="298"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85</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0.0863</w:t>
                  </w:r>
                </w:p>
              </w:tc>
              <w:tc>
                <w:tcPr>
                  <w:tcW w:w="6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5.0</w:t>
                  </w:r>
                </w:p>
              </w:tc>
              <w:tc>
                <w:tcPr>
                  <w:tcW w:w="424"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eastAsia" w:ascii="Times New Roman" w:hAnsi="Times New Roman" w:cs="Times New Roman"/>
                      <w:bCs w:val="0"/>
                      <w:color w:val="auto"/>
                      <w:sz w:val="21"/>
                      <w:szCs w:val="21"/>
                      <w:highlight w:val="none"/>
                      <w:u w:val="none"/>
                      <w:lang w:val="en-US" w:eastAsia="zh-CN"/>
                    </w:rPr>
                    <w:t>0.2072</w:t>
                  </w:r>
                </w:p>
              </w:tc>
              <w:tc>
                <w:tcPr>
                  <w:tcW w:w="36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2400</w:t>
                  </w:r>
                </w:p>
              </w:tc>
              <w:tc>
                <w:tcPr>
                  <w:tcW w:w="1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none"/>
                      <w:lang w:val="en-US" w:eastAsia="zh-CN"/>
                    </w:rPr>
                  </w:pPr>
                  <w:r>
                    <w:rPr>
                      <w:rFonts w:hint="default" w:ascii="Times New Roman" w:hAnsi="Times New Roman" w:cs="Times New Roman"/>
                      <w:bCs w:val="0"/>
                      <w:color w:val="auto"/>
                      <w:sz w:val="21"/>
                      <w:szCs w:val="21"/>
                      <w:highlight w:val="none"/>
                      <w:u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411" w:type="pct"/>
                  <w:vMerge w:val="restar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r>
                    <w:rPr>
                      <w:rFonts w:hint="default" w:ascii="Times New Roman" w:hAnsi="Times New Roman" w:cs="Times New Roman"/>
                      <w:bCs w:val="0"/>
                      <w:color w:val="auto"/>
                      <w:sz w:val="21"/>
                      <w:szCs w:val="21"/>
                      <w:u w:val="none"/>
                    </w:rPr>
                    <w:t>生产车间无组织（集气罩未收集废气）</w:t>
                  </w:r>
                </w:p>
              </w:tc>
              <w:tc>
                <w:tcPr>
                  <w:tcW w:w="2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r>
                    <w:rPr>
                      <w:rFonts w:hint="default" w:ascii="Times New Roman" w:hAnsi="Times New Roman" w:cs="Times New Roman"/>
                      <w:bCs w:val="0"/>
                      <w:color w:val="auto"/>
                      <w:sz w:val="21"/>
                      <w:szCs w:val="21"/>
                      <w:u w:val="none"/>
                    </w:rPr>
                    <w:t>颗粒物</w:t>
                  </w:r>
                </w:p>
              </w:tc>
              <w:tc>
                <w:tcPr>
                  <w:tcW w:w="424"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0.03</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none"/>
                      <w:lang w:val="en-US" w:eastAsia="zh-CN"/>
                    </w:rPr>
                  </w:pPr>
                  <w:r>
                    <w:rPr>
                      <w:rFonts w:hint="eastAsia" w:ascii="Times New Roman" w:hAnsi="Times New Roman" w:cs="Times New Roman"/>
                      <w:bCs w:val="0"/>
                      <w:color w:val="auto"/>
                      <w:sz w:val="21"/>
                      <w:szCs w:val="21"/>
                      <w:u w:val="none"/>
                      <w:lang w:val="en-US" w:eastAsia="zh-CN"/>
                    </w:rPr>
                    <w:t>0.05</w:t>
                  </w:r>
                </w:p>
              </w:tc>
              <w:tc>
                <w:tcPr>
                  <w:tcW w:w="612"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r>
                    <w:rPr>
                      <w:rFonts w:hint="default" w:ascii="Times New Roman" w:hAnsi="Times New Roman" w:cs="Times New Roman"/>
                      <w:bCs w:val="0"/>
                      <w:color w:val="auto"/>
                      <w:sz w:val="21"/>
                      <w:szCs w:val="21"/>
                      <w:u w:val="none"/>
                    </w:rPr>
                    <w:t>/</w:t>
                  </w:r>
                </w:p>
              </w:tc>
              <w:tc>
                <w:tcPr>
                  <w:tcW w:w="352" w:type="pct"/>
                  <w:vMerge w:val="restar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lang w:val="en-US" w:eastAsia="zh-CN"/>
                    </w:rPr>
                  </w:pPr>
                  <w:r>
                    <w:rPr>
                      <w:rFonts w:hint="default" w:ascii="Times New Roman" w:hAnsi="Times New Roman" w:cs="Times New Roman"/>
                      <w:bCs w:val="0"/>
                      <w:color w:val="auto"/>
                      <w:sz w:val="21"/>
                      <w:szCs w:val="21"/>
                      <w:u w:val="none"/>
                      <w:lang w:val="en-US" w:eastAsia="zh-CN"/>
                    </w:rPr>
                    <w:t>密闭车间</w:t>
                  </w:r>
                </w:p>
                <w:p>
                  <w:pPr>
                    <w:pStyle w:val="56"/>
                    <w:spacing w:line="240" w:lineRule="auto"/>
                    <w:jc w:val="center"/>
                    <w:rPr>
                      <w:rFonts w:hint="default" w:ascii="Times New Roman" w:hAnsi="Times New Roman" w:cs="Times New Roman"/>
                      <w:bCs w:val="0"/>
                      <w:color w:val="auto"/>
                      <w:kern w:val="2"/>
                      <w:sz w:val="21"/>
                      <w:szCs w:val="21"/>
                      <w:u w:val="none"/>
                      <w:lang w:val="en-US" w:eastAsia="zh-CN" w:bidi="ar-SA"/>
                    </w:rPr>
                  </w:pPr>
                </w:p>
              </w:tc>
              <w:tc>
                <w:tcPr>
                  <w:tcW w:w="298"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none"/>
                      <w:lang w:val="en-US" w:eastAsia="zh-CN"/>
                    </w:rPr>
                  </w:pPr>
                  <w:r>
                    <w:rPr>
                      <w:rFonts w:hint="default" w:ascii="Times New Roman" w:hAnsi="Times New Roman" w:cs="Times New Roman"/>
                      <w:bCs w:val="0"/>
                      <w:color w:val="auto"/>
                      <w:sz w:val="21"/>
                      <w:szCs w:val="21"/>
                      <w:u w:val="none"/>
                      <w:lang w:val="en-US" w:eastAsia="zh-CN"/>
                    </w:rPr>
                    <w:t>/</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0.05</w:t>
                  </w:r>
                </w:p>
              </w:tc>
              <w:tc>
                <w:tcPr>
                  <w:tcW w:w="6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w:t>
                  </w:r>
                </w:p>
              </w:tc>
              <w:tc>
                <w:tcPr>
                  <w:tcW w:w="424" w:type="pct"/>
                  <w:tcBorders>
                    <w:tl2br w:val="nil"/>
                    <w:tr2bl w:val="nil"/>
                  </w:tcBorders>
                  <w:noWrap w:val="0"/>
                  <w:vAlign w:val="center"/>
                </w:tcPr>
                <w:p>
                  <w:pPr>
                    <w:pStyle w:val="56"/>
                    <w:spacing w:line="240" w:lineRule="auto"/>
                    <w:jc w:val="center"/>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0.03</w:t>
                  </w:r>
                </w:p>
              </w:tc>
              <w:tc>
                <w:tcPr>
                  <w:tcW w:w="36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none"/>
                      <w:lang w:val="en-US" w:eastAsia="zh-CN"/>
                    </w:rPr>
                  </w:pPr>
                  <w:r>
                    <w:rPr>
                      <w:rFonts w:hint="eastAsia" w:ascii="Times New Roman" w:hAnsi="Times New Roman" w:cs="Times New Roman"/>
                      <w:bCs w:val="0"/>
                      <w:color w:val="auto"/>
                      <w:sz w:val="21"/>
                      <w:szCs w:val="21"/>
                      <w:highlight w:val="none"/>
                      <w:u w:val="none"/>
                      <w:lang w:val="en-US" w:eastAsia="zh-CN"/>
                    </w:rPr>
                    <w:t>6</w:t>
                  </w:r>
                  <w:r>
                    <w:rPr>
                      <w:rFonts w:hint="default" w:ascii="Times New Roman" w:hAnsi="Times New Roman" w:cs="Times New Roman"/>
                      <w:bCs w:val="0"/>
                      <w:color w:val="auto"/>
                      <w:sz w:val="21"/>
                      <w:szCs w:val="21"/>
                      <w:highlight w:val="none"/>
                      <w:u w:val="none"/>
                      <w:lang w:val="en-US" w:eastAsia="zh-CN"/>
                    </w:rPr>
                    <w:t>00</w:t>
                  </w:r>
                </w:p>
              </w:tc>
              <w:tc>
                <w:tcPr>
                  <w:tcW w:w="1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lang w:val="en-US" w:eastAsia="zh-CN"/>
                    </w:rPr>
                  </w:pPr>
                  <w:r>
                    <w:rPr>
                      <w:rFonts w:hint="default" w:ascii="Times New Roman" w:hAnsi="Times New Roman" w:cs="Times New Roman"/>
                      <w:bCs w:val="0"/>
                      <w:color w:val="auto"/>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411"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p>
              </w:tc>
              <w:tc>
                <w:tcPr>
                  <w:tcW w:w="2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r>
                    <w:rPr>
                      <w:rFonts w:hint="default" w:ascii="Times New Roman" w:hAnsi="Times New Roman" w:cs="Times New Roman"/>
                      <w:color w:val="auto"/>
                      <w:sz w:val="21"/>
                      <w:szCs w:val="21"/>
                      <w:u w:val="none"/>
                    </w:rPr>
                    <w:t>非甲烷总烃</w:t>
                  </w:r>
                </w:p>
              </w:tc>
              <w:tc>
                <w:tcPr>
                  <w:tcW w:w="424" w:type="pc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0.2438</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none"/>
                      <w:lang w:val="en-US" w:eastAsia="zh-CN"/>
                    </w:rPr>
                  </w:pPr>
                  <w:r>
                    <w:rPr>
                      <w:rFonts w:hint="eastAsia" w:ascii="Times New Roman" w:hAnsi="Times New Roman" w:cs="Times New Roman"/>
                      <w:bCs w:val="0"/>
                      <w:color w:val="auto"/>
                      <w:sz w:val="21"/>
                      <w:szCs w:val="21"/>
                      <w:u w:val="none"/>
                      <w:lang w:val="en-US" w:eastAsia="zh-CN"/>
                    </w:rPr>
                    <w:t>0.1016</w:t>
                  </w:r>
                </w:p>
              </w:tc>
              <w:tc>
                <w:tcPr>
                  <w:tcW w:w="612"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r>
                    <w:rPr>
                      <w:rFonts w:hint="default" w:ascii="Times New Roman" w:hAnsi="Times New Roman" w:cs="Times New Roman"/>
                      <w:bCs w:val="0"/>
                      <w:color w:val="auto"/>
                      <w:sz w:val="21"/>
                      <w:szCs w:val="21"/>
                      <w:u w:val="none"/>
                    </w:rPr>
                    <w:t>/</w:t>
                  </w:r>
                </w:p>
              </w:tc>
              <w:tc>
                <w:tcPr>
                  <w:tcW w:w="352"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kern w:val="2"/>
                      <w:sz w:val="21"/>
                      <w:szCs w:val="21"/>
                      <w:u w:val="none"/>
                      <w:lang w:val="en-US" w:eastAsia="zh-CN" w:bidi="ar-SA"/>
                    </w:rPr>
                  </w:pPr>
                </w:p>
              </w:tc>
              <w:tc>
                <w:tcPr>
                  <w:tcW w:w="298"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rPr>
                  </w:pPr>
                  <w:r>
                    <w:rPr>
                      <w:rFonts w:hint="default" w:ascii="Times New Roman" w:hAnsi="Times New Roman" w:cs="Times New Roman"/>
                      <w:bCs w:val="0"/>
                      <w:color w:val="auto"/>
                      <w:sz w:val="21"/>
                      <w:szCs w:val="21"/>
                      <w:u w:val="none"/>
                    </w:rPr>
                    <w:t>/</w:t>
                  </w:r>
                </w:p>
              </w:tc>
              <w:tc>
                <w:tcPr>
                  <w:tcW w:w="5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Cs w:val="0"/>
                      <w:color w:val="auto"/>
                      <w:sz w:val="21"/>
                      <w:szCs w:val="21"/>
                      <w:u w:val="none"/>
                      <w:lang w:val="en-US" w:eastAsia="zh-CN"/>
                    </w:rPr>
                    <w:t>0.1016</w:t>
                  </w:r>
                </w:p>
              </w:tc>
              <w:tc>
                <w:tcPr>
                  <w:tcW w:w="612"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w:t>
                  </w:r>
                </w:p>
              </w:tc>
              <w:tc>
                <w:tcPr>
                  <w:tcW w:w="424"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color w:val="auto"/>
                      <w:sz w:val="21"/>
                      <w:szCs w:val="21"/>
                      <w:u w:val="none"/>
                      <w:lang w:val="en-US" w:eastAsia="zh-CN"/>
                    </w:rPr>
                    <w:t>0.2438</w:t>
                  </w:r>
                </w:p>
              </w:tc>
              <w:tc>
                <w:tcPr>
                  <w:tcW w:w="36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none"/>
                      <w:lang w:val="en-US" w:eastAsia="zh-CN"/>
                    </w:rPr>
                  </w:pPr>
                  <w:r>
                    <w:rPr>
                      <w:rFonts w:hint="default" w:ascii="Times New Roman" w:hAnsi="Times New Roman" w:cs="Times New Roman"/>
                      <w:bCs w:val="0"/>
                      <w:color w:val="auto"/>
                      <w:sz w:val="21"/>
                      <w:szCs w:val="21"/>
                      <w:highlight w:val="none"/>
                      <w:u w:val="none"/>
                      <w:lang w:val="en-US" w:eastAsia="zh-CN"/>
                    </w:rPr>
                    <w:t>2400</w:t>
                  </w:r>
                </w:p>
              </w:tc>
              <w:tc>
                <w:tcPr>
                  <w:tcW w:w="186"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none"/>
                      <w:lang w:val="en-US" w:eastAsia="zh-CN"/>
                    </w:rPr>
                  </w:pPr>
                  <w:r>
                    <w:rPr>
                      <w:rFonts w:hint="default" w:ascii="Times New Roman" w:hAnsi="Times New Roman" w:cs="Times New Roman"/>
                      <w:bCs w:val="0"/>
                      <w:color w:val="auto"/>
                      <w:sz w:val="21"/>
                      <w:szCs w:val="21"/>
                      <w:u w:val="none"/>
                      <w:lang w:val="en-US" w:eastAsia="zh-CN"/>
                    </w:rPr>
                    <w:t>/</w:t>
                  </w:r>
                </w:p>
              </w:tc>
            </w:tr>
          </w:tbl>
          <w:p>
            <w:pPr>
              <w:pStyle w:val="5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z w:val="24"/>
                <w:u w:val="none"/>
              </w:rPr>
            </w:pPr>
            <w:r>
              <w:rPr>
                <w:rFonts w:hint="default" w:ascii="Times New Roman" w:hAnsi="Times New Roman" w:eastAsia="宋体" w:cs="Times New Roman"/>
                <w:b/>
                <w:bCs/>
                <w:sz w:val="24"/>
                <w:u w:val="none"/>
                <w:lang w:val="en-US" w:eastAsia="zh-CN"/>
              </w:rPr>
              <w:t>1.3</w:t>
            </w:r>
            <w:r>
              <w:rPr>
                <w:rFonts w:hint="default" w:ascii="Times New Roman" w:hAnsi="Times New Roman" w:eastAsia="宋体" w:cs="Times New Roman"/>
                <w:b/>
                <w:bCs/>
                <w:sz w:val="24"/>
                <w:u w:val="none"/>
              </w:rPr>
              <w:t>废气污染源排放</w:t>
            </w:r>
            <w:r>
              <w:rPr>
                <w:rFonts w:hint="default" w:ascii="Times New Roman" w:hAnsi="Times New Roman" w:eastAsia="宋体" w:cs="Times New Roman"/>
                <w:b/>
                <w:bCs/>
                <w:sz w:val="24"/>
                <w:u w:val="none"/>
                <w:lang w:val="en-US" w:eastAsia="zh-CN"/>
              </w:rPr>
              <w:t>口</w:t>
            </w:r>
            <w:r>
              <w:rPr>
                <w:rFonts w:hint="default" w:ascii="Times New Roman" w:hAnsi="Times New Roman" w:eastAsia="宋体" w:cs="Times New Roman"/>
                <w:b/>
                <w:bCs/>
                <w:sz w:val="24"/>
                <w:u w:val="none"/>
              </w:rPr>
              <w:t>信息</w:t>
            </w:r>
          </w:p>
          <w:p>
            <w:pPr>
              <w:pStyle w:val="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本项目</w:t>
            </w:r>
            <w:r>
              <w:rPr>
                <w:rFonts w:hint="eastAsia" w:cs="Times New Roman"/>
                <w:u w:val="none"/>
                <w:lang w:val="en-US" w:eastAsia="zh-CN"/>
              </w:rPr>
              <w:t>属于简化管理</w:t>
            </w:r>
            <w:r>
              <w:rPr>
                <w:rFonts w:hint="default" w:ascii="Times New Roman" w:hAnsi="Times New Roman" w:cs="Times New Roman"/>
                <w:u w:val="none"/>
                <w:lang w:val="en-US" w:eastAsia="zh-CN"/>
              </w:rPr>
              <w:t>有组织大气污染物排放口均为一般排放口，无主要排放口。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default" w:ascii="Times New Roman" w:hAnsi="Times New Roman" w:cs="Times New Roman"/>
                <w:b/>
                <w:bCs/>
                <w:color w:val="000000"/>
                <w:sz w:val="24"/>
                <w:szCs w:val="24"/>
                <w:u w:val="none"/>
                <w:lang w:val="en-US" w:eastAsia="zh-CN"/>
              </w:rPr>
              <w:t xml:space="preserve">17 </w:t>
            </w:r>
            <w:r>
              <w:rPr>
                <w:rFonts w:hint="default" w:ascii="Times New Roman" w:hAnsi="Times New Roman" w:eastAsia="宋体" w:cs="Times New Roman"/>
                <w:b/>
                <w:bCs/>
                <w:color w:val="000000"/>
                <w:sz w:val="24"/>
                <w:szCs w:val="24"/>
                <w:u w:val="none"/>
                <w:lang w:val="en-US" w:eastAsia="zh-CN"/>
              </w:rPr>
              <w:t xml:space="preserve">  本项目废气排放口情况一览表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117"/>
              <w:gridCol w:w="931"/>
              <w:gridCol w:w="1078"/>
              <w:gridCol w:w="986"/>
              <w:gridCol w:w="1386"/>
              <w:gridCol w:w="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排放口编号及名称</w:t>
                  </w:r>
                </w:p>
              </w:tc>
              <w:tc>
                <w:tcPr>
                  <w:tcW w:w="1239"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kern w:val="0"/>
                      <w:sz w:val="21"/>
                      <w:szCs w:val="21"/>
                      <w:u w:val="none"/>
                      <w:lang w:val="en-US" w:eastAsia="zh-CN" w:bidi="ar"/>
                    </w:rPr>
                  </w:pPr>
                  <w:r>
                    <w:rPr>
                      <w:rFonts w:hint="default" w:ascii="Times New Roman" w:hAnsi="Times New Roman" w:eastAsia="宋体" w:cs="Times New Roman"/>
                      <w:b/>
                      <w:bCs/>
                      <w:color w:val="000000"/>
                      <w:kern w:val="0"/>
                      <w:sz w:val="21"/>
                      <w:szCs w:val="21"/>
                      <w:u w:val="none"/>
                      <w:lang w:val="en-US" w:eastAsia="zh-CN" w:bidi="ar"/>
                    </w:rPr>
                    <w:t>坐标</w:t>
                  </w:r>
                </w:p>
              </w:tc>
              <w:tc>
                <w:tcPr>
                  <w:tcW w:w="545"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排气筒高度/m</w:t>
                  </w:r>
                </w:p>
              </w:tc>
              <w:tc>
                <w:tcPr>
                  <w:tcW w:w="63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排气筒出口内径/m</w:t>
                  </w:r>
                </w:p>
              </w:tc>
              <w:tc>
                <w:tcPr>
                  <w:tcW w:w="577"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烟气温度/℃</w:t>
                  </w:r>
                </w:p>
              </w:tc>
              <w:tc>
                <w:tcPr>
                  <w:tcW w:w="81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类型</w:t>
                  </w:r>
                </w:p>
              </w:tc>
              <w:tc>
                <w:tcPr>
                  <w:tcW w:w="448"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kern w:val="0"/>
                      <w:sz w:val="21"/>
                      <w:szCs w:val="21"/>
                      <w:u w:val="none"/>
                      <w:lang w:bidi="ar"/>
                    </w:rPr>
                  </w:pPr>
                  <w:r>
                    <w:rPr>
                      <w:rFonts w:hint="default" w:ascii="Times New Roman" w:hAnsi="Times New Roman" w:eastAsia="宋体" w:cs="Times New Roman"/>
                      <w:b/>
                      <w:bCs/>
                      <w:color w:val="000000"/>
                      <w:kern w:val="0"/>
                      <w:sz w:val="21"/>
                      <w:szCs w:val="21"/>
                      <w:u w:val="none"/>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pct"/>
                  <w:tcBorders>
                    <w:tl2br w:val="nil"/>
                    <w:tr2bl w:val="nil"/>
                  </w:tcBorders>
                  <w:noWrap w:val="0"/>
                  <w:vAlign w:val="center"/>
                </w:tcPr>
                <w:p>
                  <w:pPr>
                    <w:pStyle w:val="56"/>
                    <w:spacing w:line="240" w:lineRule="auto"/>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bCs w:val="0"/>
                      <w:color w:val="auto"/>
                      <w:sz w:val="21"/>
                      <w:szCs w:val="21"/>
                      <w:highlight w:val="none"/>
                      <w:u w:val="none"/>
                      <w:lang w:val="en-US" w:eastAsia="zh-CN"/>
                    </w:rPr>
                    <w:t>注塑挤出废气排放口</w:t>
                  </w:r>
                  <w:r>
                    <w:rPr>
                      <w:rFonts w:hint="default" w:ascii="Times New Roman" w:hAnsi="Times New Roman" w:eastAsia="宋体" w:cs="Times New Roman"/>
                      <w:bCs w:val="0"/>
                      <w:color w:val="auto"/>
                      <w:sz w:val="21"/>
                      <w:szCs w:val="21"/>
                      <w:highlight w:val="none"/>
                      <w:u w:val="none"/>
                      <w:lang w:val="en-US" w:eastAsia="zh-CN"/>
                    </w:rPr>
                    <w:t>DA00</w:t>
                  </w:r>
                  <w:r>
                    <w:rPr>
                      <w:rFonts w:hint="default" w:ascii="Times New Roman" w:hAnsi="Times New Roman" w:cs="Times New Roman"/>
                      <w:bCs w:val="0"/>
                      <w:color w:val="auto"/>
                      <w:sz w:val="21"/>
                      <w:szCs w:val="21"/>
                      <w:highlight w:val="none"/>
                      <w:u w:val="none"/>
                      <w:lang w:val="en-US" w:eastAsia="zh-CN"/>
                    </w:rPr>
                    <w:t>1</w:t>
                  </w:r>
                </w:p>
              </w:tc>
              <w:tc>
                <w:tcPr>
                  <w:tcW w:w="1239" w:type="pct"/>
                  <w:tcBorders>
                    <w:tl2br w:val="nil"/>
                    <w:tr2bl w:val="nil"/>
                  </w:tcBorders>
                  <w:noWrap w:val="0"/>
                  <w:vAlign w:val="center"/>
                </w:tcPr>
                <w:p>
                  <w:pPr>
                    <w:pStyle w:val="13"/>
                    <w:spacing w:line="240" w:lineRule="auto"/>
                    <w:ind w:left="0" w:leftChars="0" w:right="0" w:rightChars="0" w:firstLine="0" w:firstLineChars="0"/>
                    <w:jc w:val="center"/>
                    <w:rPr>
                      <w:rFonts w:hint="default" w:ascii="Times New Roman" w:hAnsi="Times New Roman" w:eastAsia="宋体" w:cs="Times New Roman"/>
                      <w:snapToGrid w:val="0"/>
                      <w:color w:val="000000"/>
                      <w:sz w:val="21"/>
                      <w:szCs w:val="21"/>
                      <w:u w:val="none"/>
                      <w:lang w:val="en-US" w:eastAsia="zh-CN"/>
                    </w:rPr>
                  </w:pPr>
                  <w:r>
                    <w:rPr>
                      <w:rFonts w:hint="default" w:ascii="Times New Roman" w:hAnsi="Times New Roman" w:eastAsia="宋体" w:cs="Times New Roman"/>
                      <w:snapToGrid w:val="0"/>
                      <w:color w:val="000000"/>
                      <w:sz w:val="21"/>
                      <w:szCs w:val="21"/>
                      <w:u w:val="none"/>
                      <w:lang w:val="en-US" w:eastAsia="zh-CN"/>
                    </w:rPr>
                    <w:t>112°49′17.94</w:t>
                  </w:r>
                  <w:r>
                    <w:rPr>
                      <w:rFonts w:hint="default" w:ascii="Times New Roman" w:hAnsi="Times New Roman" w:cs="Times New Roman"/>
                      <w:snapToGrid w:val="0"/>
                      <w:color w:val="000000"/>
                      <w:sz w:val="21"/>
                      <w:szCs w:val="21"/>
                      <w:u w:val="none"/>
                      <w:lang w:val="en-US" w:eastAsia="zh-CN"/>
                    </w:rPr>
                    <w:t>1</w:t>
                  </w:r>
                  <w:r>
                    <w:rPr>
                      <w:rFonts w:hint="default" w:ascii="Times New Roman" w:hAnsi="Times New Roman" w:eastAsia="宋体" w:cs="Times New Roman"/>
                      <w:snapToGrid w:val="0"/>
                      <w:color w:val="000000"/>
                      <w:sz w:val="21"/>
                      <w:szCs w:val="21"/>
                      <w:u w:val="none"/>
                      <w:lang w:val="en-US" w:eastAsia="zh-CN"/>
                    </w:rPr>
                    <w:t>″, 34°40′25.85</w:t>
                  </w:r>
                  <w:r>
                    <w:rPr>
                      <w:rFonts w:hint="default" w:ascii="Times New Roman" w:hAnsi="Times New Roman" w:cs="Times New Roman"/>
                      <w:snapToGrid w:val="0"/>
                      <w:color w:val="000000"/>
                      <w:sz w:val="21"/>
                      <w:szCs w:val="21"/>
                      <w:u w:val="none"/>
                      <w:lang w:val="en-US" w:eastAsia="zh-CN"/>
                    </w:rPr>
                    <w:t>2</w:t>
                  </w:r>
                  <w:r>
                    <w:rPr>
                      <w:rFonts w:hint="default" w:ascii="Times New Roman" w:hAnsi="Times New Roman" w:eastAsia="宋体" w:cs="Times New Roman"/>
                      <w:snapToGrid w:val="0"/>
                      <w:color w:val="000000"/>
                      <w:sz w:val="21"/>
                      <w:szCs w:val="21"/>
                      <w:u w:val="none"/>
                      <w:lang w:val="en-US" w:eastAsia="zh-CN"/>
                    </w:rPr>
                    <w:t>″</w:t>
                  </w:r>
                </w:p>
              </w:tc>
              <w:tc>
                <w:tcPr>
                  <w:tcW w:w="545"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kern w:val="0"/>
                      <w:sz w:val="21"/>
                      <w:szCs w:val="21"/>
                      <w:u w:val="none"/>
                      <w:lang w:val="en-US" w:eastAsia="zh-CN" w:bidi="ar"/>
                    </w:rPr>
                    <w:t>15</w:t>
                  </w:r>
                </w:p>
              </w:tc>
              <w:tc>
                <w:tcPr>
                  <w:tcW w:w="631"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0.4</w:t>
                  </w:r>
                </w:p>
              </w:tc>
              <w:tc>
                <w:tcPr>
                  <w:tcW w:w="577"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kern w:val="0"/>
                      <w:sz w:val="21"/>
                      <w:szCs w:val="21"/>
                      <w:u w:val="none"/>
                      <w:lang w:val="en-US" w:eastAsia="zh-CN" w:bidi="ar"/>
                    </w:rPr>
                    <w:t>常温</w:t>
                  </w:r>
                </w:p>
              </w:tc>
              <w:tc>
                <w:tcPr>
                  <w:tcW w:w="811"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kern w:val="0"/>
                      <w:sz w:val="21"/>
                      <w:szCs w:val="21"/>
                      <w:u w:val="none"/>
                      <w:lang w:bidi="ar"/>
                    </w:rPr>
                    <w:t>一般排放口</w:t>
                  </w:r>
                </w:p>
              </w:tc>
              <w:tc>
                <w:tcPr>
                  <w:tcW w:w="448"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kern w:val="0"/>
                      <w:sz w:val="21"/>
                      <w:szCs w:val="21"/>
                      <w:u w:val="none"/>
                      <w:lang w:eastAsia="zh-CN" w:bidi="ar"/>
                    </w:rPr>
                  </w:pPr>
                  <w:r>
                    <w:rPr>
                      <w:rFonts w:hint="default" w:ascii="Times New Roman" w:hAnsi="Times New Roman" w:cs="Times New Roman"/>
                      <w:color w:val="000000"/>
                      <w:kern w:val="0"/>
                      <w:sz w:val="21"/>
                      <w:szCs w:val="21"/>
                      <w:u w:val="none"/>
                      <w:lang w:val="en-US" w:eastAsia="zh-CN" w:bidi="ar"/>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pct"/>
                  <w:tcBorders>
                    <w:tl2br w:val="nil"/>
                    <w:tr2bl w:val="nil"/>
                  </w:tcBorders>
                  <w:noWrap w:val="0"/>
                  <w:vAlign w:val="center"/>
                </w:tcPr>
                <w:p>
                  <w:pPr>
                    <w:pStyle w:val="56"/>
                    <w:spacing w:line="240" w:lineRule="auto"/>
                    <w:rPr>
                      <w:rFonts w:hint="default" w:ascii="Times New Roman" w:hAnsi="Times New Roman" w:eastAsia="宋体" w:cs="Times New Roman"/>
                      <w:sz w:val="21"/>
                      <w:szCs w:val="21"/>
                      <w:u w:val="none"/>
                      <w:lang w:val="en-US" w:eastAsia="zh-CN"/>
                    </w:rPr>
                  </w:pPr>
                  <w:r>
                    <w:rPr>
                      <w:rFonts w:hint="eastAsia" w:cs="Times New Roman"/>
                      <w:bCs w:val="0"/>
                      <w:color w:val="auto"/>
                      <w:sz w:val="21"/>
                      <w:szCs w:val="21"/>
                      <w:highlight w:val="none"/>
                      <w:u w:val="none"/>
                      <w:lang w:val="en-US" w:eastAsia="zh-CN"/>
                    </w:rPr>
                    <w:t>拆包、上料</w:t>
                  </w:r>
                  <w:r>
                    <w:rPr>
                      <w:rFonts w:hint="default" w:ascii="Times New Roman" w:hAnsi="Times New Roman" w:cs="Times New Roman"/>
                      <w:bCs w:val="0"/>
                      <w:color w:val="auto"/>
                      <w:sz w:val="21"/>
                      <w:szCs w:val="21"/>
                      <w:highlight w:val="none"/>
                      <w:u w:val="none"/>
                      <w:lang w:val="en-US" w:eastAsia="zh-CN"/>
                    </w:rPr>
                    <w:t>粉尘排放口</w:t>
                  </w:r>
                  <w:r>
                    <w:rPr>
                      <w:rFonts w:hint="default" w:ascii="Times New Roman" w:hAnsi="Times New Roman" w:eastAsia="宋体" w:cs="Times New Roman"/>
                      <w:bCs w:val="0"/>
                      <w:color w:val="auto"/>
                      <w:sz w:val="21"/>
                      <w:szCs w:val="21"/>
                      <w:highlight w:val="none"/>
                      <w:u w:val="none"/>
                      <w:lang w:val="en-US" w:eastAsia="zh-CN"/>
                    </w:rPr>
                    <w:t>DA00</w:t>
                  </w:r>
                  <w:r>
                    <w:rPr>
                      <w:rFonts w:hint="default" w:ascii="Times New Roman" w:hAnsi="Times New Roman" w:cs="Times New Roman"/>
                      <w:bCs w:val="0"/>
                      <w:color w:val="auto"/>
                      <w:sz w:val="21"/>
                      <w:szCs w:val="21"/>
                      <w:highlight w:val="none"/>
                      <w:u w:val="none"/>
                      <w:lang w:val="en-US" w:eastAsia="zh-CN"/>
                    </w:rPr>
                    <w:t>2</w:t>
                  </w:r>
                </w:p>
              </w:tc>
              <w:tc>
                <w:tcPr>
                  <w:tcW w:w="1239" w:type="pct"/>
                  <w:tcBorders>
                    <w:tl2br w:val="nil"/>
                    <w:tr2bl w:val="nil"/>
                  </w:tcBorders>
                  <w:noWrap w:val="0"/>
                  <w:vAlign w:val="center"/>
                </w:tcPr>
                <w:p>
                  <w:pPr>
                    <w:pStyle w:val="13"/>
                    <w:spacing w:line="240" w:lineRule="auto"/>
                    <w:ind w:left="0" w:leftChars="0" w:right="0" w:rightChars="0" w:firstLine="0" w:firstLineChars="0"/>
                    <w:jc w:val="center"/>
                    <w:rPr>
                      <w:rFonts w:hint="default" w:ascii="Times New Roman" w:hAnsi="Times New Roman" w:eastAsia="宋体" w:cs="Times New Roman"/>
                      <w:snapToGrid w:val="0"/>
                      <w:color w:val="000000"/>
                      <w:sz w:val="21"/>
                      <w:szCs w:val="21"/>
                      <w:u w:val="none"/>
                      <w:lang w:val="en-US" w:eastAsia="zh-CN"/>
                    </w:rPr>
                  </w:pPr>
                  <w:r>
                    <w:rPr>
                      <w:rFonts w:hint="default" w:ascii="Times New Roman" w:hAnsi="Times New Roman" w:eastAsia="宋体" w:cs="Times New Roman"/>
                      <w:snapToGrid w:val="0"/>
                      <w:color w:val="000000"/>
                      <w:sz w:val="21"/>
                      <w:szCs w:val="21"/>
                      <w:u w:val="none"/>
                      <w:lang w:val="en-US" w:eastAsia="zh-CN"/>
                    </w:rPr>
                    <w:t>112°49′17.96</w:t>
                  </w:r>
                  <w:r>
                    <w:rPr>
                      <w:rFonts w:hint="default" w:ascii="Times New Roman" w:hAnsi="Times New Roman" w:cs="Times New Roman"/>
                      <w:snapToGrid w:val="0"/>
                      <w:color w:val="000000"/>
                      <w:sz w:val="21"/>
                      <w:szCs w:val="21"/>
                      <w:u w:val="none"/>
                      <w:lang w:val="en-US" w:eastAsia="zh-CN"/>
                    </w:rPr>
                    <w:t>2</w:t>
                  </w:r>
                  <w:r>
                    <w:rPr>
                      <w:rFonts w:hint="default" w:ascii="Times New Roman" w:hAnsi="Times New Roman" w:eastAsia="宋体" w:cs="Times New Roman"/>
                      <w:snapToGrid w:val="0"/>
                      <w:color w:val="000000"/>
                      <w:sz w:val="21"/>
                      <w:szCs w:val="21"/>
                      <w:u w:val="none"/>
                      <w:lang w:val="en-US" w:eastAsia="zh-CN"/>
                    </w:rPr>
                    <w:t>″, 34°40′24.94</w:t>
                  </w:r>
                  <w:r>
                    <w:rPr>
                      <w:rFonts w:hint="default" w:ascii="Times New Roman" w:hAnsi="Times New Roman" w:cs="Times New Roman"/>
                      <w:snapToGrid w:val="0"/>
                      <w:color w:val="000000"/>
                      <w:sz w:val="21"/>
                      <w:szCs w:val="21"/>
                      <w:u w:val="none"/>
                      <w:lang w:val="en-US" w:eastAsia="zh-CN"/>
                    </w:rPr>
                    <w:t>1</w:t>
                  </w:r>
                  <w:r>
                    <w:rPr>
                      <w:rFonts w:hint="default" w:ascii="Times New Roman" w:hAnsi="Times New Roman" w:eastAsia="宋体" w:cs="Times New Roman"/>
                      <w:snapToGrid w:val="0"/>
                      <w:color w:val="000000"/>
                      <w:sz w:val="21"/>
                      <w:szCs w:val="21"/>
                      <w:u w:val="none"/>
                      <w:lang w:val="en-US" w:eastAsia="zh-CN"/>
                    </w:rPr>
                    <w:t>″</w:t>
                  </w:r>
                </w:p>
              </w:tc>
              <w:tc>
                <w:tcPr>
                  <w:tcW w:w="545"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15</w:t>
                  </w:r>
                </w:p>
              </w:tc>
              <w:tc>
                <w:tcPr>
                  <w:tcW w:w="631"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0.3</w:t>
                  </w:r>
                </w:p>
              </w:tc>
              <w:tc>
                <w:tcPr>
                  <w:tcW w:w="577"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color w:val="000000"/>
                      <w:kern w:val="0"/>
                      <w:sz w:val="21"/>
                      <w:szCs w:val="21"/>
                      <w:u w:val="none"/>
                      <w:lang w:val="en-US" w:eastAsia="zh-CN" w:bidi="ar"/>
                    </w:rPr>
                    <w:t>常温</w:t>
                  </w:r>
                </w:p>
              </w:tc>
              <w:tc>
                <w:tcPr>
                  <w:tcW w:w="811"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kern w:val="0"/>
                      <w:sz w:val="21"/>
                      <w:szCs w:val="21"/>
                      <w:u w:val="none"/>
                      <w:lang w:bidi="ar"/>
                    </w:rPr>
                  </w:pPr>
                  <w:r>
                    <w:rPr>
                      <w:rFonts w:hint="default" w:ascii="Times New Roman" w:hAnsi="Times New Roman" w:eastAsia="宋体" w:cs="Times New Roman"/>
                      <w:color w:val="000000"/>
                      <w:kern w:val="0"/>
                      <w:sz w:val="21"/>
                      <w:szCs w:val="21"/>
                      <w:u w:val="none"/>
                      <w:lang w:bidi="ar"/>
                    </w:rPr>
                    <w:t>一般排放口</w:t>
                  </w:r>
                </w:p>
              </w:tc>
              <w:tc>
                <w:tcPr>
                  <w:tcW w:w="448"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kern w:val="0"/>
                      <w:sz w:val="21"/>
                      <w:szCs w:val="21"/>
                      <w:u w:val="none"/>
                      <w:lang w:eastAsia="zh-CN" w:bidi="ar"/>
                    </w:rPr>
                  </w:pPr>
                  <w:r>
                    <w:rPr>
                      <w:rFonts w:hint="default" w:ascii="Times New Roman" w:hAnsi="Times New Roman" w:cs="Times New Roman"/>
                      <w:color w:val="000000"/>
                      <w:kern w:val="0"/>
                      <w:sz w:val="21"/>
                      <w:szCs w:val="21"/>
                      <w:u w:val="none"/>
                      <w:lang w:val="en-US" w:eastAsia="zh-CN" w:bidi="ar"/>
                    </w:rPr>
                    <w:t>新建</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cs="Times New Roman"/>
                <w:b/>
                <w:bCs/>
                <w:color w:val="000000"/>
                <w:sz w:val="24"/>
                <w:szCs w:val="24"/>
                <w:u w:val="none"/>
                <w:lang w:val="en-US" w:eastAsia="zh-CN"/>
              </w:rPr>
              <w:t>1.4</w:t>
            </w:r>
            <w:r>
              <w:rPr>
                <w:rFonts w:hint="default" w:ascii="Times New Roman" w:hAnsi="Times New Roman" w:eastAsia="宋体" w:cs="Times New Roman"/>
                <w:b/>
                <w:bCs/>
                <w:color w:val="000000"/>
                <w:sz w:val="24"/>
                <w:szCs w:val="24"/>
                <w:u w:val="none"/>
                <w:lang w:val="en-US" w:eastAsia="zh-CN"/>
              </w:rPr>
              <w:t>废气污染源监测计划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根据《环境影响评价技术导则-大气环境》（HJ2.2-2018）中关于污染源监测计划要求，本项目根据《排污单位自行监测技术指南 橡胶和塑料制品》（HJ1</w:t>
            </w:r>
            <w:r>
              <w:rPr>
                <w:rFonts w:hint="default" w:ascii="Times New Roman" w:hAnsi="Times New Roman" w:cs="Times New Roman"/>
                <w:sz w:val="24"/>
                <w:szCs w:val="24"/>
                <w:u w:val="none"/>
                <w:lang w:val="en-US" w:eastAsia="zh-CN"/>
              </w:rPr>
              <w:t>207</w:t>
            </w:r>
            <w:r>
              <w:rPr>
                <w:rFonts w:hint="default" w:ascii="Times New Roman" w:hAnsi="Times New Roman" w:eastAsia="宋体" w:cs="Times New Roman"/>
                <w:sz w:val="24"/>
                <w:szCs w:val="24"/>
                <w:u w:val="none"/>
                <w:lang w:val="en-US" w:eastAsia="zh-CN"/>
              </w:rPr>
              <w:t>-202</w:t>
            </w:r>
            <w:r>
              <w:rPr>
                <w:rFonts w:hint="default" w:ascii="Times New Roman" w:hAnsi="Times New Roman" w:cs="Times New Roman"/>
                <w:sz w:val="24"/>
                <w:szCs w:val="24"/>
                <w:u w:val="none"/>
                <w:lang w:val="en-US" w:eastAsia="zh-CN"/>
              </w:rPr>
              <w:t>1</w:t>
            </w:r>
            <w:r>
              <w:rPr>
                <w:rFonts w:hint="default" w:ascii="Times New Roman" w:hAnsi="Times New Roman" w:eastAsia="宋体" w:cs="Times New Roman"/>
                <w:sz w:val="24"/>
                <w:szCs w:val="24"/>
                <w:u w:val="none"/>
                <w:lang w:val="en-US" w:eastAsia="zh-CN"/>
              </w:rPr>
              <w:t>）中关于污染源监测的要求制定以下监测方案。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b w:val="0"/>
                <w:bCs w:val="0"/>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default" w:ascii="Times New Roman" w:hAnsi="Times New Roman" w:cs="Times New Roman"/>
                <w:b/>
                <w:bCs/>
                <w:color w:val="000000"/>
                <w:sz w:val="24"/>
                <w:szCs w:val="24"/>
                <w:u w:val="none"/>
                <w:lang w:val="en-US" w:eastAsia="zh-CN"/>
              </w:rPr>
              <w:t>18</w:t>
            </w:r>
            <w:r>
              <w:rPr>
                <w:rFonts w:hint="default" w:ascii="Times New Roman" w:hAnsi="Times New Roman" w:eastAsia="宋体" w:cs="Times New Roman"/>
                <w:b/>
                <w:bCs/>
                <w:color w:val="000000"/>
                <w:sz w:val="24"/>
                <w:szCs w:val="24"/>
                <w:u w:val="none"/>
                <w:lang w:val="en-US" w:eastAsia="zh-CN"/>
              </w:rPr>
              <w:t xml:space="preserve">   本项目废气污染源监测计划表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670"/>
              <w:gridCol w:w="1082"/>
              <w:gridCol w:w="1419"/>
              <w:gridCol w:w="1126"/>
              <w:gridCol w:w="42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25" w:hRule="atLeast"/>
                <w:jc w:val="center"/>
              </w:trPr>
              <w:tc>
                <w:tcPr>
                  <w:tcW w:w="624"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项目</w:t>
                  </w:r>
                </w:p>
              </w:tc>
              <w:tc>
                <w:tcPr>
                  <w:tcW w:w="100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监测点位</w:t>
                  </w:r>
                </w:p>
              </w:tc>
              <w:tc>
                <w:tcPr>
                  <w:tcW w:w="1322"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监测指标</w:t>
                  </w:r>
                </w:p>
              </w:tc>
              <w:tc>
                <w:tcPr>
                  <w:tcW w:w="10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监测频次</w:t>
                  </w:r>
                </w:p>
              </w:tc>
              <w:tc>
                <w:tcPr>
                  <w:tcW w:w="39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60" w:hRule="atLeast"/>
                <w:jc w:val="center"/>
              </w:trPr>
              <w:tc>
                <w:tcPr>
                  <w:tcW w:w="624" w:type="dxa"/>
                  <w:vMerge w:val="restart"/>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废气</w:t>
                  </w:r>
                </w:p>
              </w:tc>
              <w:tc>
                <w:tcPr>
                  <w:tcW w:w="100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lang w:val="en-US" w:eastAsia="zh-CN" w:bidi="ar"/>
                    </w:rPr>
                    <w:t>DA00</w:t>
                  </w:r>
                  <w:r>
                    <w:rPr>
                      <w:rFonts w:hint="default" w:ascii="Times New Roman" w:hAnsi="Times New Roman" w:cs="Times New Roman"/>
                      <w:color w:val="auto"/>
                      <w:kern w:val="2"/>
                      <w:sz w:val="21"/>
                      <w:szCs w:val="21"/>
                      <w:lang w:val="en-US" w:eastAsia="zh-CN" w:bidi="ar"/>
                    </w:rPr>
                    <w:t>1</w:t>
                  </w:r>
                </w:p>
              </w:tc>
              <w:tc>
                <w:tcPr>
                  <w:tcW w:w="1322"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非甲烷总烃</w:t>
                  </w:r>
                </w:p>
              </w:tc>
              <w:tc>
                <w:tcPr>
                  <w:tcW w:w="10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1次/</w:t>
                  </w:r>
                  <w:r>
                    <w:rPr>
                      <w:rFonts w:hint="default" w:ascii="Times New Roman" w:hAnsi="Times New Roman" w:cs="Times New Roman"/>
                      <w:color w:val="auto"/>
                      <w:kern w:val="2"/>
                      <w:sz w:val="21"/>
                      <w:szCs w:val="21"/>
                      <w:lang w:val="en-US" w:eastAsia="zh-CN" w:bidi="ar"/>
                    </w:rPr>
                    <w:t>半年</w:t>
                  </w:r>
                </w:p>
              </w:tc>
              <w:tc>
                <w:tcPr>
                  <w:tcW w:w="3949"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60" w:hRule="atLeast"/>
                <w:jc w:val="center"/>
              </w:trPr>
              <w:tc>
                <w:tcPr>
                  <w:tcW w:w="624"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
                    </w:rPr>
                  </w:pPr>
                </w:p>
              </w:tc>
              <w:tc>
                <w:tcPr>
                  <w:tcW w:w="100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DA00</w:t>
                  </w:r>
                  <w:r>
                    <w:rPr>
                      <w:rFonts w:hint="default" w:ascii="Times New Roman" w:hAnsi="Times New Roman" w:cs="Times New Roman"/>
                      <w:color w:val="auto"/>
                      <w:kern w:val="2"/>
                      <w:sz w:val="21"/>
                      <w:szCs w:val="21"/>
                      <w:lang w:val="en-US" w:eastAsia="zh-CN" w:bidi="ar"/>
                    </w:rPr>
                    <w:t>2</w:t>
                  </w:r>
                </w:p>
              </w:tc>
              <w:tc>
                <w:tcPr>
                  <w:tcW w:w="1322"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颗粒物</w:t>
                  </w:r>
                </w:p>
              </w:tc>
              <w:tc>
                <w:tcPr>
                  <w:tcW w:w="10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1次/</w:t>
                  </w:r>
                  <w:r>
                    <w:rPr>
                      <w:rFonts w:hint="default" w:ascii="Times New Roman" w:hAnsi="Times New Roman" w:cs="Times New Roman"/>
                      <w:color w:val="auto"/>
                      <w:kern w:val="2"/>
                      <w:sz w:val="21"/>
                      <w:szCs w:val="21"/>
                      <w:lang w:val="en-US" w:eastAsia="zh-CN" w:bidi="ar"/>
                    </w:rPr>
                    <w:t>年</w:t>
                  </w:r>
                </w:p>
              </w:tc>
              <w:tc>
                <w:tcPr>
                  <w:tcW w:w="3949" w:type="dxa"/>
                  <w:tcBorders>
                    <w:tl2br w:val="nil"/>
                    <w:tr2bl w:val="nil"/>
                  </w:tcBorders>
                  <w:noWrap w:val="0"/>
                  <w:vAlign w:val="center"/>
                </w:tcPr>
                <w:p>
                  <w:pPr>
                    <w:keepNext w:val="0"/>
                    <w:keepLines w:val="0"/>
                    <w:widowControl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color w:val="auto"/>
                      <w:spacing w:val="-10"/>
                      <w:kern w:val="2"/>
                      <w:sz w:val="21"/>
                      <w:szCs w:val="21"/>
                      <w:lang w:val="en-US" w:eastAsia="zh-CN" w:bidi="ar"/>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8" w:hRule="atLeast"/>
                <w:jc w:val="center"/>
              </w:trPr>
              <w:tc>
                <w:tcPr>
                  <w:tcW w:w="624" w:type="dxa"/>
                  <w:vMerge w:val="continue"/>
                  <w:tcBorders>
                    <w:tl2br w:val="nil"/>
                    <w:tr2bl w:val="nil"/>
                  </w:tcBorders>
                  <w:noWrap w:val="0"/>
                  <w:vAlign w:val="center"/>
                </w:tcPr>
                <w:p>
                  <w:pPr>
                    <w:jc w:val="center"/>
                    <w:rPr>
                      <w:rFonts w:hint="default" w:ascii="Times New Roman" w:hAnsi="Times New Roman" w:cs="Times New Roman"/>
                      <w:color w:val="auto"/>
                      <w:sz w:val="20"/>
                      <w:szCs w:val="20"/>
                    </w:rPr>
                  </w:pPr>
                </w:p>
              </w:tc>
              <w:tc>
                <w:tcPr>
                  <w:tcW w:w="100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lang w:val="en-US" w:eastAsia="zh-CN" w:bidi="ar"/>
                    </w:rPr>
                    <w:t>车间外1m</w:t>
                  </w:r>
                </w:p>
              </w:tc>
              <w:tc>
                <w:tcPr>
                  <w:tcW w:w="1322"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非甲烷总烃</w:t>
                  </w:r>
                </w:p>
              </w:tc>
              <w:tc>
                <w:tcPr>
                  <w:tcW w:w="10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1次/</w:t>
                  </w:r>
                  <w:r>
                    <w:rPr>
                      <w:rFonts w:hint="default" w:ascii="Times New Roman" w:hAnsi="Times New Roman" w:cs="Times New Roman"/>
                      <w:color w:val="auto"/>
                      <w:kern w:val="2"/>
                      <w:sz w:val="21"/>
                      <w:szCs w:val="21"/>
                      <w:lang w:val="en-US" w:eastAsia="zh-CN" w:bidi="ar"/>
                    </w:rPr>
                    <w:t>年</w:t>
                  </w:r>
                </w:p>
              </w:tc>
              <w:tc>
                <w:tcPr>
                  <w:tcW w:w="39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649" w:hRule="atLeast"/>
                <w:jc w:val="center"/>
              </w:trPr>
              <w:tc>
                <w:tcPr>
                  <w:tcW w:w="624" w:type="dxa"/>
                  <w:vMerge w:val="continue"/>
                  <w:tcBorders>
                    <w:tl2br w:val="nil"/>
                    <w:tr2bl w:val="nil"/>
                  </w:tcBorders>
                  <w:noWrap w:val="0"/>
                  <w:vAlign w:val="center"/>
                </w:tcPr>
                <w:p>
                  <w:pPr>
                    <w:jc w:val="center"/>
                    <w:rPr>
                      <w:rFonts w:hint="default" w:ascii="Times New Roman" w:hAnsi="Times New Roman" w:cs="Times New Roman"/>
                      <w:color w:val="auto"/>
                      <w:sz w:val="20"/>
                      <w:szCs w:val="20"/>
                    </w:rPr>
                  </w:pPr>
                </w:p>
              </w:tc>
              <w:tc>
                <w:tcPr>
                  <w:tcW w:w="1008" w:type="dxa"/>
                  <w:vMerge w:val="restart"/>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厂界</w:t>
                  </w:r>
                </w:p>
              </w:tc>
              <w:tc>
                <w:tcPr>
                  <w:tcW w:w="1322"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颗粒物</w:t>
                  </w:r>
                </w:p>
              </w:tc>
              <w:tc>
                <w:tcPr>
                  <w:tcW w:w="10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1次/</w:t>
                  </w:r>
                  <w:r>
                    <w:rPr>
                      <w:rFonts w:hint="default" w:ascii="Times New Roman" w:hAnsi="Times New Roman" w:cs="Times New Roman"/>
                      <w:color w:val="auto"/>
                      <w:kern w:val="2"/>
                      <w:sz w:val="21"/>
                      <w:szCs w:val="21"/>
                      <w:lang w:val="en-US" w:eastAsia="zh-CN" w:bidi="ar"/>
                    </w:rPr>
                    <w:t>年</w:t>
                  </w:r>
                </w:p>
              </w:tc>
              <w:tc>
                <w:tcPr>
                  <w:tcW w:w="39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298" w:hRule="atLeast"/>
                <w:jc w:val="center"/>
              </w:trPr>
              <w:tc>
                <w:tcPr>
                  <w:tcW w:w="624" w:type="dxa"/>
                  <w:vMerge w:val="continue"/>
                  <w:tcBorders>
                    <w:tl2br w:val="nil"/>
                    <w:tr2bl w:val="nil"/>
                  </w:tcBorders>
                  <w:noWrap w:val="0"/>
                  <w:vAlign w:val="center"/>
                </w:tcPr>
                <w:p>
                  <w:pPr>
                    <w:jc w:val="center"/>
                    <w:rPr>
                      <w:rFonts w:hint="default" w:ascii="Times New Roman" w:hAnsi="Times New Roman" w:cs="Times New Roman"/>
                      <w:color w:val="auto"/>
                      <w:sz w:val="20"/>
                      <w:szCs w:val="20"/>
                    </w:rPr>
                  </w:pPr>
                </w:p>
              </w:tc>
              <w:tc>
                <w:tcPr>
                  <w:tcW w:w="1008" w:type="dxa"/>
                  <w:vMerge w:val="continue"/>
                  <w:tcBorders>
                    <w:tl2br w:val="nil"/>
                    <w:tr2bl w:val="nil"/>
                  </w:tcBorders>
                  <w:noWrap w:val="0"/>
                  <w:vAlign w:val="center"/>
                </w:tcPr>
                <w:p>
                  <w:pPr>
                    <w:jc w:val="center"/>
                    <w:rPr>
                      <w:rFonts w:hint="default" w:ascii="Times New Roman" w:hAnsi="Times New Roman" w:cs="Times New Roman"/>
                      <w:color w:val="auto"/>
                      <w:sz w:val="20"/>
                      <w:szCs w:val="20"/>
                    </w:rPr>
                  </w:pPr>
                </w:p>
              </w:tc>
              <w:tc>
                <w:tcPr>
                  <w:tcW w:w="1322"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非甲烷总烃</w:t>
                  </w:r>
                </w:p>
              </w:tc>
              <w:tc>
                <w:tcPr>
                  <w:tcW w:w="10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1次/</w:t>
                  </w:r>
                  <w:r>
                    <w:rPr>
                      <w:rFonts w:hint="default" w:ascii="Times New Roman" w:hAnsi="Times New Roman" w:cs="Times New Roman"/>
                      <w:color w:val="auto"/>
                      <w:kern w:val="2"/>
                      <w:sz w:val="21"/>
                      <w:szCs w:val="21"/>
                      <w:highlight w:val="none"/>
                      <w:lang w:val="en-US" w:eastAsia="zh-CN" w:bidi="ar"/>
                    </w:rPr>
                    <w:t>年</w:t>
                  </w:r>
                </w:p>
              </w:tc>
              <w:tc>
                <w:tcPr>
                  <w:tcW w:w="3949"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u w:val="single"/>
                <w:lang w:val="en-US" w:eastAsia="zh-CN"/>
              </w:rPr>
            </w:pPr>
            <w:r>
              <w:rPr>
                <w:rFonts w:hint="eastAsia"/>
                <w:b/>
                <w:bCs/>
                <w:sz w:val="24"/>
                <w:szCs w:val="24"/>
                <w:u w:val="single"/>
                <w:lang w:val="en-US" w:eastAsia="zh-CN"/>
              </w:rPr>
              <w:t>1.5非正常工况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default"/>
                <w:sz w:val="24"/>
                <w:szCs w:val="24"/>
                <w:u w:val="single"/>
                <w:lang w:val="en-US" w:eastAsia="zh-CN"/>
              </w:rPr>
              <w:t xml:space="preserve">非正常排放情况下采取的措施：本次评价要求，建设单位要定期对企业废气治理设施进行维护和保养，一旦发现设施运行异常，应停止生产，迅速抢修或更换，待废气治理设施运行稳定再组织进行生产。另外，为了防止设施维护及检修后启动时的不正常运行，要求建设单位在每次进行设施维护及检修后，需等设施运行稳定后再进行生产运行。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u w:val="single"/>
                <w:lang w:val="en-US" w:eastAsia="zh-CN"/>
              </w:rPr>
            </w:pPr>
            <w:r>
              <w:rPr>
                <w:rFonts w:hint="default" w:ascii="Times New Roman" w:hAnsi="Times New Roman" w:cs="Times New Roman"/>
                <w:color w:val="000000"/>
                <w:sz w:val="24"/>
                <w:szCs w:val="24"/>
                <w:u w:val="single"/>
                <w:lang w:val="en-US" w:eastAsia="zh-CN"/>
              </w:rPr>
              <w:t>综上所述，本项目位于洛阳市偃师区顾县镇回龙湾村，废气经处理设施后，均能达标排放，对周围环境保护目标影响较小</w:t>
            </w:r>
            <w:r>
              <w:rPr>
                <w:rFonts w:hint="default" w:ascii="Times New Roman" w:hAnsi="Times New Roman" w:eastAsia="宋体" w:cs="Times New Roman"/>
                <w:color w:val="000000"/>
                <w:sz w:val="24"/>
                <w:szCs w:val="24"/>
                <w:u w:val="single"/>
                <w:lang w:val="en-US" w:eastAsia="zh-CN"/>
              </w:rPr>
              <w:t>。</w:t>
            </w:r>
          </w:p>
          <w:p>
            <w:pPr>
              <w:numPr>
                <w:ilvl w:val="0"/>
                <w:numId w:val="8"/>
              </w:numPr>
              <w:spacing w:line="360" w:lineRule="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sz w:val="24"/>
                <w:szCs w:val="24"/>
                <w:u w:val="none"/>
                <w:lang w:val="en-US" w:eastAsia="zh-CN"/>
              </w:rPr>
            </w:pPr>
            <w:r>
              <w:rPr>
                <w:rFonts w:hint="default" w:ascii="Times New Roman" w:hAnsi="Times New Roman" w:cs="Times New Roman"/>
                <w:b/>
                <w:bCs/>
                <w:color w:val="000000"/>
                <w:sz w:val="24"/>
                <w:szCs w:val="24"/>
                <w:u w:val="none"/>
                <w:lang w:val="en-US" w:eastAsia="zh-CN"/>
              </w:rPr>
              <w:t>2.1废水产排情况</w:t>
            </w:r>
          </w:p>
          <w:p>
            <w:pPr>
              <w:keepNext w:val="0"/>
              <w:keepLines w:val="0"/>
              <w:pageBreakBefore w:val="0"/>
              <w:widowControl/>
              <w:suppressLineNumbers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cs="Times New Roman"/>
                <w:kern w:val="0"/>
                <w:sz w:val="24"/>
              </w:rPr>
              <w:t>项目</w:t>
            </w:r>
            <w:r>
              <w:rPr>
                <w:rFonts w:hint="default" w:ascii="Times New Roman" w:hAnsi="Times New Roman" w:cs="Times New Roman"/>
                <w:kern w:val="0"/>
                <w:sz w:val="24"/>
                <w:lang w:val="en-US" w:eastAsia="zh-CN"/>
              </w:rPr>
              <w:t>运营期</w:t>
            </w:r>
            <w:r>
              <w:rPr>
                <w:rFonts w:hint="default" w:ascii="Times New Roman" w:hAnsi="Times New Roman" w:cs="Times New Roman"/>
                <w:kern w:val="0"/>
                <w:sz w:val="24"/>
              </w:rPr>
              <w:t>劳动定员</w:t>
            </w:r>
            <w:r>
              <w:rPr>
                <w:rFonts w:hint="default" w:ascii="Times New Roman" w:hAnsi="Times New Roman" w:cs="Times New Roman"/>
                <w:kern w:val="0"/>
                <w:sz w:val="24"/>
                <w:lang w:val="en-US" w:eastAsia="zh-CN"/>
              </w:rPr>
              <w:t>10</w:t>
            </w:r>
            <w:r>
              <w:rPr>
                <w:rFonts w:hint="default" w:ascii="Times New Roman" w:hAnsi="Times New Roman" w:cs="Times New Roman"/>
                <w:kern w:val="0"/>
                <w:sz w:val="24"/>
              </w:rPr>
              <w:t>人（均不在厂内食宿），</w:t>
            </w:r>
            <w:r>
              <w:rPr>
                <w:rFonts w:hint="default" w:ascii="Times New Roman" w:hAnsi="Times New Roman" w:cs="Times New Roman"/>
                <w:kern w:val="0"/>
                <w:sz w:val="24"/>
                <w:lang w:val="en-US" w:eastAsia="zh-CN"/>
              </w:rPr>
              <w:t>年工作300天。</w:t>
            </w:r>
            <w:r>
              <w:rPr>
                <w:rFonts w:hint="default" w:ascii="Times New Roman" w:hAnsi="Times New Roman" w:eastAsia="宋体" w:cs="Times New Roman"/>
                <w:kern w:val="0"/>
                <w:sz w:val="24"/>
                <w:lang w:val="en-US" w:eastAsia="zh-CN"/>
              </w:rPr>
              <w:t>根据河南省地方标准《工业与城镇生活用水定额》（DB41/T385-2020）：企业管理人员、车间工人的生活用水一般宜采用30～50L/人，本项目按40L/人•d，</w:t>
            </w:r>
            <w:r>
              <w:rPr>
                <w:rFonts w:hint="default" w:ascii="Times New Roman" w:hAnsi="Times New Roman" w:cs="Times New Roman"/>
                <w:kern w:val="0"/>
                <w:sz w:val="24"/>
              </w:rPr>
              <w:t>则生活用水量为</w:t>
            </w:r>
            <w:r>
              <w:rPr>
                <w:rFonts w:hint="default" w:ascii="Times New Roman" w:hAnsi="Times New Roman" w:cs="Times New Roman"/>
                <w:sz w:val="24"/>
                <w:lang w:val="en-US" w:eastAsia="zh-CN"/>
              </w:rPr>
              <w:t>0.4</w:t>
            </w:r>
            <w:r>
              <w:rPr>
                <w:rFonts w:hint="default" w:ascii="Times New Roman" w:hAnsi="Times New Roman" w:cs="Times New Roman"/>
                <w:kern w:val="24"/>
                <w:sz w:val="24"/>
              </w:rPr>
              <w:t>m</w:t>
            </w:r>
            <w:r>
              <w:rPr>
                <w:rFonts w:hint="default" w:ascii="Times New Roman" w:hAnsi="Times New Roman" w:cs="Times New Roman"/>
                <w:kern w:val="24"/>
                <w:sz w:val="24"/>
                <w:vertAlign w:val="superscript"/>
              </w:rPr>
              <w:t>3</w:t>
            </w:r>
            <w:r>
              <w:rPr>
                <w:rFonts w:hint="default" w:ascii="Times New Roman" w:hAnsi="Times New Roman" w:cs="Times New Roman"/>
                <w:kern w:val="24"/>
                <w:sz w:val="24"/>
              </w:rPr>
              <w:t>/d（</w:t>
            </w:r>
            <w:r>
              <w:rPr>
                <w:rFonts w:hint="default" w:ascii="Times New Roman" w:hAnsi="Times New Roman" w:cs="Times New Roman"/>
                <w:kern w:val="24"/>
                <w:sz w:val="24"/>
                <w:lang w:val="en-US" w:eastAsia="zh-CN"/>
              </w:rPr>
              <w:t>120</w:t>
            </w:r>
            <w:r>
              <w:rPr>
                <w:rFonts w:hint="default" w:ascii="Times New Roman" w:hAnsi="Times New Roman" w:cs="Times New Roman"/>
                <w:kern w:val="24"/>
                <w:sz w:val="24"/>
              </w:rPr>
              <w:t>m</w:t>
            </w:r>
            <w:r>
              <w:rPr>
                <w:rFonts w:hint="default" w:ascii="Times New Roman" w:hAnsi="Times New Roman" w:cs="Times New Roman"/>
                <w:kern w:val="24"/>
                <w:sz w:val="24"/>
                <w:vertAlign w:val="superscript"/>
              </w:rPr>
              <w:t>3</w:t>
            </w:r>
            <w:r>
              <w:rPr>
                <w:rFonts w:hint="default" w:ascii="Times New Roman" w:hAnsi="Times New Roman" w:cs="Times New Roman"/>
                <w:kern w:val="24"/>
                <w:sz w:val="24"/>
              </w:rPr>
              <w:t>/a）</w:t>
            </w:r>
            <w:r>
              <w:rPr>
                <w:rFonts w:hint="default" w:ascii="Times New Roman" w:hAnsi="Times New Roman" w:eastAsia="宋体" w:cs="Times New Roman"/>
                <w:kern w:val="0"/>
                <w:sz w:val="24"/>
                <w:lang w:val="en-US" w:eastAsia="zh-CN"/>
              </w:rPr>
              <w:t>。排水量按80%计，则职工办公废水产生量为0.32m</w:t>
            </w:r>
            <w:r>
              <w:rPr>
                <w:rFonts w:hint="default" w:ascii="Times New Roman" w:hAnsi="Times New Roman" w:eastAsia="宋体" w:cs="Times New Roman"/>
                <w:kern w:val="0"/>
                <w:sz w:val="24"/>
                <w:vertAlign w:val="superscript"/>
                <w:lang w:val="en-US" w:eastAsia="zh-CN"/>
              </w:rPr>
              <w:t>3</w:t>
            </w:r>
            <w:r>
              <w:rPr>
                <w:rFonts w:hint="default" w:ascii="Times New Roman" w:hAnsi="Times New Roman" w:eastAsia="宋体" w:cs="Times New Roman"/>
                <w:kern w:val="0"/>
                <w:sz w:val="24"/>
                <w:lang w:val="en-US" w:eastAsia="zh-CN"/>
              </w:rPr>
              <w:t>/d</w:t>
            </w:r>
            <w:r>
              <w:rPr>
                <w:rFonts w:hint="default" w:ascii="Times New Roman" w:hAnsi="Times New Roman" w:cs="Times New Roman"/>
                <w:kern w:val="0"/>
                <w:sz w:val="24"/>
                <w:lang w:val="en-US" w:eastAsia="zh-CN"/>
              </w:rPr>
              <w:t>（</w:t>
            </w:r>
            <w:r>
              <w:rPr>
                <w:rFonts w:hint="default" w:ascii="Times New Roman" w:hAnsi="Times New Roman" w:eastAsia="宋体" w:cs="Times New Roman"/>
                <w:kern w:val="0"/>
                <w:sz w:val="24"/>
                <w:lang w:val="en-US" w:eastAsia="zh-CN"/>
              </w:rPr>
              <w:t>96m</w:t>
            </w:r>
            <w:r>
              <w:rPr>
                <w:rFonts w:hint="default" w:ascii="Times New Roman" w:hAnsi="Times New Roman" w:eastAsia="宋体" w:cs="Times New Roman"/>
                <w:kern w:val="0"/>
                <w:sz w:val="24"/>
                <w:vertAlign w:val="superscript"/>
                <w:lang w:val="en-US" w:eastAsia="zh-CN"/>
              </w:rPr>
              <w:t>3</w:t>
            </w:r>
            <w:r>
              <w:rPr>
                <w:rFonts w:hint="default" w:ascii="Times New Roman" w:hAnsi="Times New Roman" w:eastAsia="宋体" w:cs="Times New Roman"/>
                <w:kern w:val="0"/>
                <w:sz w:val="24"/>
                <w:lang w:val="en-US" w:eastAsia="zh-CN"/>
              </w:rPr>
              <w:t>/a</w:t>
            </w:r>
            <w:r>
              <w:rPr>
                <w:rFonts w:hint="default" w:ascii="Times New Roman" w:hAnsi="Times New Roman" w:cs="Times New Roman"/>
                <w:kern w:val="0"/>
                <w:sz w:val="24"/>
                <w:lang w:val="en-US" w:eastAsia="zh-CN"/>
              </w:rPr>
              <w:t>）</w:t>
            </w:r>
            <w:r>
              <w:rPr>
                <w:rFonts w:hint="default" w:ascii="Times New Roman" w:hAnsi="Times New Roman" w:eastAsia="宋体" w:cs="Times New Roman"/>
                <w:kern w:val="0"/>
                <w:sz w:val="24"/>
                <w:lang w:val="en-US" w:eastAsia="zh-CN"/>
              </w:rPr>
              <w:t>。</w:t>
            </w:r>
            <w:r>
              <w:rPr>
                <w:rFonts w:hint="default" w:ascii="Times New Roman" w:hAnsi="Times New Roman" w:cs="Times New Roman"/>
                <w:bCs/>
                <w:color w:val="000000"/>
                <w:sz w:val="24"/>
              </w:rPr>
              <w:t>其中污染因子产生浓度为COD300mg/L、氨氮30mg/L，则污染物产生量为COD0.0288t/a、氨氮0.0029t/a。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highlight w:val="none"/>
                <w:u w:val="none"/>
                <w:lang w:val="en-US" w:eastAsia="zh-CN" w:bidi="ar"/>
              </w:rPr>
            </w:pPr>
            <w:r>
              <w:rPr>
                <w:rFonts w:hint="default" w:ascii="Times New Roman" w:hAnsi="Times New Roman" w:eastAsia="宋体" w:cs="Times New Roman"/>
                <w:color w:val="000000"/>
                <w:kern w:val="0"/>
                <w:sz w:val="24"/>
                <w:szCs w:val="24"/>
                <w:highlight w:val="none"/>
                <w:u w:val="none"/>
                <w:lang w:val="en-US" w:eastAsia="zh-CN" w:bidi="ar"/>
              </w:rPr>
              <w:t>本项目依托厂区现有化粪池，化粪池容积</w:t>
            </w:r>
            <w:r>
              <w:rPr>
                <w:rFonts w:hint="eastAsia" w:ascii="Times New Roman" w:hAnsi="Times New Roman" w:cs="Times New Roman"/>
                <w:color w:val="000000"/>
                <w:kern w:val="0"/>
                <w:sz w:val="24"/>
                <w:szCs w:val="24"/>
                <w:highlight w:val="none"/>
                <w:u w:val="none"/>
                <w:lang w:val="en-US" w:eastAsia="zh-CN" w:bidi="ar"/>
              </w:rPr>
              <w:t>5</w:t>
            </w:r>
            <w:r>
              <w:rPr>
                <w:rFonts w:hint="default" w:ascii="Times New Roman" w:hAnsi="Times New Roman" w:eastAsia="宋体" w:cs="Times New Roman"/>
                <w:color w:val="000000"/>
                <w:kern w:val="0"/>
                <w:sz w:val="24"/>
                <w:szCs w:val="24"/>
                <w:highlight w:val="none"/>
                <w:u w:val="none"/>
                <w:lang w:val="en-US" w:eastAsia="zh-CN" w:bidi="ar"/>
              </w:rPr>
              <w:t>m</w:t>
            </w:r>
            <w:r>
              <w:rPr>
                <w:rFonts w:hint="default" w:ascii="Times New Roman" w:hAnsi="Times New Roman" w:eastAsia="宋体" w:cs="Times New Roman"/>
                <w:color w:val="000000"/>
                <w:kern w:val="0"/>
                <w:sz w:val="24"/>
                <w:szCs w:val="24"/>
                <w:highlight w:val="none"/>
                <w:u w:val="none"/>
                <w:vertAlign w:val="superscript"/>
                <w:lang w:val="en-US" w:eastAsia="zh-CN" w:bidi="ar"/>
              </w:rPr>
              <w:t>3</w:t>
            </w:r>
            <w:r>
              <w:rPr>
                <w:rFonts w:hint="default" w:ascii="Times New Roman" w:hAnsi="Times New Roman" w:eastAsia="宋体" w:cs="Times New Roman"/>
                <w:color w:val="000000"/>
                <w:kern w:val="0"/>
                <w:sz w:val="24"/>
                <w:szCs w:val="24"/>
                <w:highlight w:val="none"/>
                <w:u w:val="none"/>
                <w:lang w:val="en-US" w:eastAsia="zh-CN" w:bidi="ar"/>
              </w:rPr>
              <w:t>，根据</w:t>
            </w:r>
            <w:r>
              <w:rPr>
                <w:rFonts w:hint="default" w:ascii="Times New Roman" w:hAnsi="Times New Roman" w:cs="Times New Roman"/>
                <w:color w:val="000000"/>
                <w:kern w:val="0"/>
                <w:sz w:val="24"/>
                <w:szCs w:val="24"/>
                <w:highlight w:val="none"/>
                <w:u w:val="none"/>
                <w:lang w:val="en-US" w:eastAsia="zh-CN" w:bidi="ar"/>
              </w:rPr>
              <w:t>调查</w:t>
            </w:r>
            <w:r>
              <w:rPr>
                <w:rFonts w:hint="eastAsia" w:ascii="Times New Roman" w:hAnsi="Times New Roman" w:cs="Times New Roman"/>
                <w:color w:val="000000"/>
                <w:kern w:val="0"/>
                <w:sz w:val="24"/>
                <w:szCs w:val="24"/>
                <w:highlight w:val="none"/>
                <w:u w:val="none"/>
                <w:lang w:val="en-US" w:eastAsia="zh-CN" w:bidi="ar"/>
              </w:rPr>
              <w:t>厂区现有职工人数进行生活污水量核算</w:t>
            </w:r>
            <w:r>
              <w:rPr>
                <w:rFonts w:hint="default" w:ascii="Times New Roman" w:hAnsi="Times New Roman" w:cs="Times New Roman"/>
                <w:color w:val="000000"/>
                <w:kern w:val="0"/>
                <w:sz w:val="24"/>
                <w:szCs w:val="24"/>
                <w:highlight w:val="none"/>
                <w:u w:val="none"/>
                <w:lang w:val="en-US" w:eastAsia="zh-CN" w:bidi="ar"/>
              </w:rPr>
              <w:t>，厂区现有</w:t>
            </w:r>
            <w:r>
              <w:rPr>
                <w:rFonts w:hint="default" w:ascii="Times New Roman" w:hAnsi="Times New Roman" w:eastAsia="宋体" w:cs="Times New Roman"/>
                <w:color w:val="000000"/>
                <w:kern w:val="0"/>
                <w:sz w:val="24"/>
                <w:szCs w:val="24"/>
                <w:highlight w:val="none"/>
                <w:u w:val="none"/>
                <w:lang w:val="en-US" w:eastAsia="zh-CN" w:bidi="ar"/>
              </w:rPr>
              <w:t>生活污水量1.024t/d，本项目生活污水量0.32t/d，则全厂合计进入化粪池的生活污水量</w:t>
            </w:r>
            <w:r>
              <w:rPr>
                <w:rFonts w:hint="default" w:ascii="Times New Roman" w:hAnsi="Times New Roman" w:cs="Times New Roman"/>
                <w:color w:val="000000"/>
                <w:kern w:val="0"/>
                <w:sz w:val="24"/>
                <w:szCs w:val="24"/>
                <w:highlight w:val="none"/>
                <w:u w:val="none"/>
                <w:lang w:val="en-US" w:eastAsia="zh-CN" w:bidi="ar"/>
              </w:rPr>
              <w:t>1.344</w:t>
            </w:r>
            <w:r>
              <w:rPr>
                <w:rFonts w:hint="default" w:ascii="Times New Roman" w:hAnsi="Times New Roman" w:eastAsia="宋体" w:cs="Times New Roman"/>
                <w:color w:val="000000"/>
                <w:kern w:val="0"/>
                <w:sz w:val="24"/>
                <w:szCs w:val="24"/>
                <w:highlight w:val="none"/>
                <w:u w:val="none"/>
                <w:lang w:val="en-US" w:eastAsia="zh-CN" w:bidi="ar"/>
              </w:rPr>
              <w:t>t/d，厂区化粪池容积为</w:t>
            </w:r>
            <w:r>
              <w:rPr>
                <w:rFonts w:hint="default" w:ascii="Times New Roman" w:hAnsi="Times New Roman" w:cs="Times New Roman"/>
                <w:color w:val="000000"/>
                <w:kern w:val="0"/>
                <w:sz w:val="24"/>
                <w:szCs w:val="24"/>
                <w:highlight w:val="none"/>
                <w:u w:val="none"/>
                <w:lang w:val="en-US" w:eastAsia="zh-CN" w:bidi="ar"/>
              </w:rPr>
              <w:t>5</w:t>
            </w:r>
            <w:r>
              <w:rPr>
                <w:rFonts w:hint="default" w:ascii="Times New Roman" w:hAnsi="Times New Roman" w:eastAsia="宋体" w:cs="Times New Roman"/>
                <w:color w:val="000000"/>
                <w:kern w:val="0"/>
                <w:sz w:val="24"/>
                <w:szCs w:val="24"/>
                <w:highlight w:val="none"/>
                <w:u w:val="none"/>
                <w:lang w:val="en-US" w:eastAsia="zh-CN" w:bidi="ar"/>
              </w:rPr>
              <w:t>m</w:t>
            </w:r>
            <w:r>
              <w:rPr>
                <w:rFonts w:hint="default" w:ascii="Times New Roman" w:hAnsi="Times New Roman" w:eastAsia="宋体" w:cs="Times New Roman"/>
                <w:color w:val="000000"/>
                <w:kern w:val="0"/>
                <w:sz w:val="24"/>
                <w:szCs w:val="24"/>
                <w:highlight w:val="none"/>
                <w:u w:val="none"/>
                <w:vertAlign w:val="superscript"/>
                <w:lang w:val="en-US" w:eastAsia="zh-CN" w:bidi="ar"/>
              </w:rPr>
              <w:t>3</w:t>
            </w:r>
            <w:r>
              <w:rPr>
                <w:rFonts w:hint="default" w:ascii="Times New Roman" w:hAnsi="Times New Roman" w:eastAsia="宋体" w:cs="Times New Roman"/>
                <w:color w:val="000000"/>
                <w:kern w:val="0"/>
                <w:sz w:val="24"/>
                <w:szCs w:val="24"/>
                <w:highlight w:val="none"/>
                <w:u w:val="none"/>
                <w:lang w:val="en-US" w:eastAsia="zh-CN" w:bidi="ar"/>
              </w:rPr>
              <w:t>，能够满足全厂项目24h的污水处理停留时间，因此本项目依托已有化粪池处理措施可行。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color w:val="000000"/>
                <w:kern w:val="0"/>
                <w:sz w:val="24"/>
                <w:szCs w:val="24"/>
                <w:u w:val="none"/>
                <w:lang w:val="en-US" w:eastAsia="zh-CN" w:bidi="ar"/>
              </w:rPr>
              <w:t>本项目经化粪池后污染因子处理效率为COD20%、氨氮3%，则化粪池处理后生活污水中污染物量为COD0.0230t/a、氨氮0.0028t/a。生活污水处理后用于周围农户积肥。远期待区域污水处理厂建成后排入顾县镇污水处理厂。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三、声环境影响分析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3.1噪声污染源分析</w:t>
            </w:r>
          </w:p>
          <w:p>
            <w:pPr>
              <w:keepNext w:val="0"/>
              <w:keepLines w:val="0"/>
              <w:pageBreakBefore w:val="0"/>
              <w:widowControl w:val="0"/>
              <w:kinsoku/>
              <w:wordWrap/>
              <w:overflowPunct/>
              <w:topLinePunct w:val="0"/>
              <w:autoSpaceDE/>
              <w:autoSpaceDN/>
              <w:bidi w:val="0"/>
              <w:spacing w:line="460" w:lineRule="exact"/>
              <w:ind w:firstLine="480" w:firstLineChars="200"/>
              <w:textAlignment w:val="baseline"/>
              <w:rPr>
                <w:rFonts w:hint="default" w:ascii="Times New Roman" w:hAnsi="Times New Roman" w:cs="Times New Roman"/>
                <w:color w:val="auto"/>
              </w:rPr>
            </w:pPr>
            <w:r>
              <w:rPr>
                <w:rFonts w:hint="default" w:ascii="Times New Roman" w:hAnsi="Times New Roman" w:cs="Times New Roman"/>
                <w:color w:val="auto"/>
                <w:sz w:val="24"/>
              </w:rPr>
              <w:t>本项目运营期噪声主要为生产过程中产生的机械噪声，经类比同类设备，声级为</w:t>
            </w:r>
            <w:r>
              <w:rPr>
                <w:rFonts w:hint="default" w:ascii="Times New Roman" w:hAnsi="Times New Roman" w:cs="Times New Roman"/>
                <w:color w:val="auto"/>
                <w:sz w:val="24"/>
                <w:lang w:val="en-US" w:eastAsia="zh-CN"/>
              </w:rPr>
              <w:t>75</w:t>
            </w:r>
            <w:r>
              <w:rPr>
                <w:rFonts w:hint="default" w:ascii="Times New Roman" w:hAnsi="Times New Roman" w:cs="Times New Roman"/>
                <w:color w:val="auto"/>
                <w:sz w:val="24"/>
              </w:rPr>
              <w:t>~8</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dB（A）。其主要噪声源强及防治措施见下表。</w:t>
            </w:r>
          </w:p>
          <w:p>
            <w:pPr>
              <w:pStyle w:val="79"/>
              <w:spacing w:line="240" w:lineRule="auto"/>
              <w:ind w:firstLine="48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w:t>
            </w:r>
            <w:r>
              <w:rPr>
                <w:rFonts w:hint="default" w:ascii="Times New Roman" w:hAnsi="Times New Roman" w:eastAsia="宋体" w:cs="Times New Roman"/>
                <w:b/>
                <w:bCs/>
                <w:color w:val="auto"/>
                <w:lang w:val="en-US" w:eastAsia="zh-CN"/>
              </w:rPr>
              <w:t xml:space="preserve">19   </w:t>
            </w:r>
            <w:r>
              <w:rPr>
                <w:rFonts w:hint="default" w:ascii="Times New Roman" w:hAnsi="Times New Roman" w:eastAsia="宋体" w:cs="Times New Roman"/>
                <w:b/>
                <w:bCs/>
                <w:color w:val="auto"/>
              </w:rPr>
              <w:t>工业企业噪声源强调查清单（室内声源）</w:t>
            </w:r>
          </w:p>
          <w:tbl>
            <w:tblPr>
              <w:tblStyle w:val="25"/>
              <w:tblW w:w="499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3"/>
              <w:gridCol w:w="349"/>
              <w:gridCol w:w="443"/>
              <w:gridCol w:w="904"/>
              <w:gridCol w:w="378"/>
              <w:gridCol w:w="1120"/>
              <w:gridCol w:w="983"/>
              <w:gridCol w:w="513"/>
              <w:gridCol w:w="282"/>
              <w:gridCol w:w="282"/>
              <w:gridCol w:w="395"/>
              <w:gridCol w:w="467"/>
              <w:gridCol w:w="626"/>
              <w:gridCol w:w="566"/>
              <w:gridCol w:w="626"/>
              <w:gridCol w:w="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vMerge w:val="restart"/>
                  <w:tcBorders>
                    <w:tl2br w:val="nil"/>
                    <w:tr2bl w:val="nil"/>
                  </w:tcBorders>
                  <w:noWrap w:val="0"/>
                  <w:vAlign w:val="center"/>
                </w:tcPr>
                <w:p>
                  <w:pPr>
                    <w:pStyle w:val="50"/>
                    <w:spacing w:line="380" w:lineRule="exact"/>
                    <w:rPr>
                      <w:szCs w:val="21"/>
                    </w:rPr>
                  </w:pPr>
                  <w:r>
                    <w:rPr>
                      <w:szCs w:val="21"/>
                    </w:rPr>
                    <w:t>序号</w:t>
                  </w:r>
                </w:p>
              </w:tc>
              <w:tc>
                <w:tcPr>
                  <w:tcW w:w="205" w:type="pct"/>
                  <w:vMerge w:val="restart"/>
                  <w:tcBorders>
                    <w:tl2br w:val="nil"/>
                    <w:tr2bl w:val="nil"/>
                  </w:tcBorders>
                  <w:noWrap w:val="0"/>
                  <w:vAlign w:val="center"/>
                </w:tcPr>
                <w:p>
                  <w:pPr>
                    <w:pStyle w:val="50"/>
                    <w:spacing w:line="380" w:lineRule="exact"/>
                    <w:rPr>
                      <w:szCs w:val="21"/>
                    </w:rPr>
                  </w:pPr>
                  <w:r>
                    <w:rPr>
                      <w:szCs w:val="21"/>
                    </w:rPr>
                    <w:t>建筑物名称</w:t>
                  </w:r>
                </w:p>
              </w:tc>
              <w:tc>
                <w:tcPr>
                  <w:tcW w:w="788" w:type="pct"/>
                  <w:gridSpan w:val="2"/>
                  <w:vMerge w:val="restart"/>
                  <w:tcBorders>
                    <w:tl2br w:val="nil"/>
                    <w:tr2bl w:val="nil"/>
                  </w:tcBorders>
                  <w:noWrap w:val="0"/>
                  <w:vAlign w:val="center"/>
                </w:tcPr>
                <w:p>
                  <w:pPr>
                    <w:pStyle w:val="50"/>
                    <w:spacing w:line="380" w:lineRule="exact"/>
                    <w:rPr>
                      <w:szCs w:val="21"/>
                    </w:rPr>
                  </w:pPr>
                  <w:r>
                    <w:rPr>
                      <w:szCs w:val="21"/>
                    </w:rPr>
                    <w:t>声源名称</w:t>
                  </w:r>
                </w:p>
              </w:tc>
              <w:tc>
                <w:tcPr>
                  <w:tcW w:w="221" w:type="pct"/>
                  <w:vMerge w:val="restart"/>
                  <w:tcBorders>
                    <w:tl2br w:val="nil"/>
                    <w:tr2bl w:val="nil"/>
                  </w:tcBorders>
                  <w:noWrap w:val="0"/>
                  <w:vAlign w:val="center"/>
                </w:tcPr>
                <w:p>
                  <w:pPr>
                    <w:pStyle w:val="50"/>
                    <w:spacing w:line="380" w:lineRule="exact"/>
                    <w:rPr>
                      <w:szCs w:val="21"/>
                    </w:rPr>
                  </w:pPr>
                  <w:r>
                    <w:rPr>
                      <w:szCs w:val="21"/>
                    </w:rPr>
                    <w:t>型号</w:t>
                  </w:r>
                </w:p>
              </w:tc>
              <w:tc>
                <w:tcPr>
                  <w:tcW w:w="1230" w:type="pct"/>
                  <w:gridSpan w:val="2"/>
                  <w:tcBorders>
                    <w:tl2br w:val="nil"/>
                    <w:tr2bl w:val="nil"/>
                  </w:tcBorders>
                  <w:noWrap w:val="0"/>
                  <w:vAlign w:val="center"/>
                </w:tcPr>
                <w:p>
                  <w:pPr>
                    <w:pStyle w:val="50"/>
                    <w:spacing w:line="380" w:lineRule="exact"/>
                    <w:rPr>
                      <w:szCs w:val="21"/>
                    </w:rPr>
                  </w:pPr>
                  <w:r>
                    <w:rPr>
                      <w:szCs w:val="21"/>
                    </w:rPr>
                    <w:t>声源源强（任选一种）</w:t>
                  </w:r>
                </w:p>
              </w:tc>
              <w:tc>
                <w:tcPr>
                  <w:tcW w:w="300" w:type="pct"/>
                  <w:vMerge w:val="restart"/>
                  <w:tcBorders>
                    <w:tl2br w:val="nil"/>
                    <w:tr2bl w:val="nil"/>
                  </w:tcBorders>
                  <w:noWrap w:val="0"/>
                  <w:vAlign w:val="center"/>
                </w:tcPr>
                <w:p>
                  <w:pPr>
                    <w:pStyle w:val="50"/>
                    <w:spacing w:line="380" w:lineRule="exact"/>
                    <w:rPr>
                      <w:szCs w:val="21"/>
                    </w:rPr>
                  </w:pPr>
                  <w:r>
                    <w:rPr>
                      <w:szCs w:val="21"/>
                    </w:rPr>
                    <w:t>声源控制措施</w:t>
                  </w:r>
                </w:p>
              </w:tc>
              <w:tc>
                <w:tcPr>
                  <w:tcW w:w="561" w:type="pct"/>
                  <w:gridSpan w:val="3"/>
                  <w:tcBorders>
                    <w:tl2br w:val="nil"/>
                    <w:tr2bl w:val="nil"/>
                  </w:tcBorders>
                  <w:noWrap w:val="0"/>
                  <w:vAlign w:val="center"/>
                </w:tcPr>
                <w:p>
                  <w:pPr>
                    <w:pStyle w:val="50"/>
                    <w:spacing w:line="380" w:lineRule="exact"/>
                    <w:rPr>
                      <w:szCs w:val="21"/>
                    </w:rPr>
                  </w:pPr>
                  <w:r>
                    <w:rPr>
                      <w:szCs w:val="21"/>
                    </w:rPr>
                    <w:t>空间相对位置/m</w:t>
                  </w:r>
                </w:p>
              </w:tc>
              <w:tc>
                <w:tcPr>
                  <w:tcW w:w="273" w:type="pct"/>
                  <w:vMerge w:val="restart"/>
                  <w:tcBorders>
                    <w:tl2br w:val="nil"/>
                    <w:tr2bl w:val="nil"/>
                  </w:tcBorders>
                  <w:noWrap w:val="0"/>
                  <w:vAlign w:val="center"/>
                </w:tcPr>
                <w:p>
                  <w:pPr>
                    <w:pStyle w:val="50"/>
                    <w:spacing w:line="380" w:lineRule="exact"/>
                    <w:rPr>
                      <w:szCs w:val="21"/>
                    </w:rPr>
                  </w:pPr>
                  <w:r>
                    <w:rPr>
                      <w:szCs w:val="21"/>
                    </w:rPr>
                    <w:t>距室内边界距离/m</w:t>
                  </w:r>
                </w:p>
              </w:tc>
              <w:tc>
                <w:tcPr>
                  <w:tcW w:w="366" w:type="pct"/>
                  <w:vMerge w:val="restart"/>
                  <w:tcBorders>
                    <w:tl2br w:val="nil"/>
                    <w:tr2bl w:val="nil"/>
                  </w:tcBorders>
                  <w:noWrap w:val="0"/>
                  <w:vAlign w:val="center"/>
                </w:tcPr>
                <w:p>
                  <w:pPr>
                    <w:pStyle w:val="50"/>
                    <w:spacing w:line="380" w:lineRule="exact"/>
                    <w:rPr>
                      <w:szCs w:val="21"/>
                    </w:rPr>
                  </w:pPr>
                  <w:r>
                    <w:rPr>
                      <w:szCs w:val="21"/>
                    </w:rPr>
                    <w:t>室内边界声级</w:t>
                  </w:r>
                </w:p>
                <w:p>
                  <w:pPr>
                    <w:pStyle w:val="50"/>
                    <w:spacing w:line="380" w:lineRule="exact"/>
                    <w:rPr>
                      <w:szCs w:val="21"/>
                    </w:rPr>
                  </w:pPr>
                  <w:r>
                    <w:rPr>
                      <w:szCs w:val="21"/>
                    </w:rPr>
                    <w:t>/dB(A)</w:t>
                  </w:r>
                </w:p>
              </w:tc>
              <w:tc>
                <w:tcPr>
                  <w:tcW w:w="331" w:type="pct"/>
                  <w:vMerge w:val="restart"/>
                  <w:tcBorders>
                    <w:tl2br w:val="nil"/>
                    <w:tr2bl w:val="nil"/>
                  </w:tcBorders>
                  <w:noWrap w:val="0"/>
                  <w:vAlign w:val="center"/>
                </w:tcPr>
                <w:p>
                  <w:pPr>
                    <w:pStyle w:val="50"/>
                    <w:spacing w:line="380" w:lineRule="exact"/>
                    <w:rPr>
                      <w:szCs w:val="21"/>
                    </w:rPr>
                  </w:pPr>
                  <w:r>
                    <w:rPr>
                      <w:szCs w:val="21"/>
                    </w:rPr>
                    <w:t>建筑物插入损失 / dB(A)</w:t>
                  </w:r>
                </w:p>
              </w:tc>
              <w:tc>
                <w:tcPr>
                  <w:tcW w:w="591" w:type="pct"/>
                  <w:gridSpan w:val="2"/>
                  <w:tcBorders>
                    <w:tl2br w:val="nil"/>
                    <w:tr2bl w:val="nil"/>
                  </w:tcBorders>
                  <w:noWrap w:val="0"/>
                  <w:vAlign w:val="center"/>
                </w:tcPr>
                <w:p>
                  <w:pPr>
                    <w:pStyle w:val="50"/>
                    <w:spacing w:line="380" w:lineRule="exact"/>
                    <w:rPr>
                      <w:szCs w:val="21"/>
                    </w:rPr>
                  </w:pPr>
                  <w:r>
                    <w:rPr>
                      <w:szCs w:val="21"/>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vMerge w:val="continue"/>
                  <w:tcBorders>
                    <w:tl2br w:val="nil"/>
                    <w:tr2bl w:val="nil"/>
                  </w:tcBorders>
                  <w:noWrap w:val="0"/>
                  <w:vAlign w:val="center"/>
                </w:tcPr>
                <w:p>
                  <w:pPr>
                    <w:pStyle w:val="50"/>
                    <w:spacing w:line="380" w:lineRule="exact"/>
                    <w:rPr>
                      <w:szCs w:val="21"/>
                    </w:rPr>
                  </w:pPr>
                </w:p>
              </w:tc>
              <w:tc>
                <w:tcPr>
                  <w:tcW w:w="205" w:type="pct"/>
                  <w:vMerge w:val="continue"/>
                  <w:tcBorders>
                    <w:tl2br w:val="nil"/>
                    <w:tr2bl w:val="nil"/>
                  </w:tcBorders>
                  <w:noWrap w:val="0"/>
                  <w:vAlign w:val="center"/>
                </w:tcPr>
                <w:p>
                  <w:pPr>
                    <w:pStyle w:val="50"/>
                    <w:spacing w:line="380" w:lineRule="exact"/>
                    <w:rPr>
                      <w:szCs w:val="21"/>
                    </w:rPr>
                  </w:pPr>
                </w:p>
              </w:tc>
              <w:tc>
                <w:tcPr>
                  <w:tcW w:w="788" w:type="pct"/>
                  <w:gridSpan w:val="2"/>
                  <w:vMerge w:val="continue"/>
                  <w:tcBorders>
                    <w:tl2br w:val="nil"/>
                    <w:tr2bl w:val="nil"/>
                  </w:tcBorders>
                  <w:noWrap w:val="0"/>
                  <w:vAlign w:val="center"/>
                </w:tcPr>
                <w:p>
                  <w:pPr>
                    <w:pStyle w:val="50"/>
                    <w:spacing w:line="380" w:lineRule="exact"/>
                    <w:rPr>
                      <w:szCs w:val="21"/>
                    </w:rPr>
                  </w:pPr>
                </w:p>
              </w:tc>
              <w:tc>
                <w:tcPr>
                  <w:tcW w:w="221" w:type="pct"/>
                  <w:vMerge w:val="continue"/>
                  <w:tcBorders>
                    <w:tl2br w:val="nil"/>
                    <w:tr2bl w:val="nil"/>
                  </w:tcBorders>
                  <w:noWrap w:val="0"/>
                  <w:vAlign w:val="center"/>
                </w:tcPr>
                <w:p>
                  <w:pPr>
                    <w:pStyle w:val="50"/>
                    <w:spacing w:line="380" w:lineRule="exact"/>
                    <w:rPr>
                      <w:szCs w:val="21"/>
                    </w:rPr>
                  </w:pPr>
                </w:p>
              </w:tc>
              <w:tc>
                <w:tcPr>
                  <w:tcW w:w="655" w:type="pct"/>
                  <w:tcBorders>
                    <w:tl2br w:val="nil"/>
                    <w:tr2bl w:val="nil"/>
                  </w:tcBorders>
                  <w:noWrap w:val="0"/>
                  <w:vAlign w:val="center"/>
                </w:tcPr>
                <w:p>
                  <w:pPr>
                    <w:pStyle w:val="50"/>
                    <w:spacing w:line="380" w:lineRule="exact"/>
                    <w:rPr>
                      <w:szCs w:val="21"/>
                    </w:rPr>
                  </w:pPr>
                  <w:r>
                    <w:rPr>
                      <w:szCs w:val="21"/>
                    </w:rPr>
                    <w:t>（声压级/距声源距离</w:t>
                  </w:r>
                  <w:r>
                    <w:rPr>
                      <w:spacing w:val="-10"/>
                      <w:szCs w:val="21"/>
                    </w:rPr>
                    <w:t>）/（dB(A)/m）</w:t>
                  </w:r>
                </w:p>
              </w:tc>
              <w:tc>
                <w:tcPr>
                  <w:tcW w:w="574" w:type="pct"/>
                  <w:tcBorders>
                    <w:tl2br w:val="nil"/>
                    <w:tr2bl w:val="nil"/>
                  </w:tcBorders>
                  <w:noWrap w:val="0"/>
                  <w:vAlign w:val="center"/>
                </w:tcPr>
                <w:p>
                  <w:pPr>
                    <w:pStyle w:val="50"/>
                    <w:spacing w:line="380" w:lineRule="exact"/>
                    <w:rPr>
                      <w:szCs w:val="21"/>
                    </w:rPr>
                  </w:pPr>
                  <w:r>
                    <w:rPr>
                      <w:szCs w:val="21"/>
                    </w:rPr>
                    <w:t>声功率级</w:t>
                  </w:r>
                </w:p>
                <w:p>
                  <w:pPr>
                    <w:pStyle w:val="50"/>
                    <w:spacing w:line="380" w:lineRule="exact"/>
                    <w:rPr>
                      <w:szCs w:val="21"/>
                    </w:rPr>
                  </w:pPr>
                  <w:r>
                    <w:rPr>
                      <w:szCs w:val="21"/>
                    </w:rPr>
                    <w:t>/dB(A)</w:t>
                  </w:r>
                </w:p>
              </w:tc>
              <w:tc>
                <w:tcPr>
                  <w:tcW w:w="300" w:type="pct"/>
                  <w:vMerge w:val="continue"/>
                  <w:tcBorders>
                    <w:tl2br w:val="nil"/>
                    <w:tr2bl w:val="nil"/>
                  </w:tcBorders>
                  <w:noWrap w:val="0"/>
                  <w:vAlign w:val="center"/>
                </w:tcPr>
                <w:p>
                  <w:pPr>
                    <w:pStyle w:val="50"/>
                    <w:spacing w:line="380" w:lineRule="exact"/>
                    <w:rPr>
                      <w:szCs w:val="21"/>
                    </w:rPr>
                  </w:pPr>
                </w:p>
              </w:tc>
              <w:tc>
                <w:tcPr>
                  <w:tcW w:w="165" w:type="pct"/>
                  <w:tcBorders>
                    <w:tl2br w:val="nil"/>
                    <w:tr2bl w:val="nil"/>
                  </w:tcBorders>
                  <w:noWrap w:val="0"/>
                  <w:vAlign w:val="center"/>
                </w:tcPr>
                <w:p>
                  <w:pPr>
                    <w:pStyle w:val="50"/>
                    <w:spacing w:line="380" w:lineRule="exact"/>
                    <w:rPr>
                      <w:szCs w:val="21"/>
                    </w:rPr>
                  </w:pPr>
                  <w:r>
                    <w:rPr>
                      <w:szCs w:val="21"/>
                    </w:rPr>
                    <w:t>X</w:t>
                  </w:r>
                </w:p>
              </w:tc>
              <w:tc>
                <w:tcPr>
                  <w:tcW w:w="165" w:type="pct"/>
                  <w:tcBorders>
                    <w:tl2br w:val="nil"/>
                    <w:tr2bl w:val="nil"/>
                  </w:tcBorders>
                  <w:noWrap w:val="0"/>
                  <w:vAlign w:val="center"/>
                </w:tcPr>
                <w:p>
                  <w:pPr>
                    <w:pStyle w:val="50"/>
                    <w:spacing w:line="380" w:lineRule="exact"/>
                    <w:rPr>
                      <w:szCs w:val="21"/>
                    </w:rPr>
                  </w:pPr>
                  <w:r>
                    <w:rPr>
                      <w:szCs w:val="21"/>
                    </w:rPr>
                    <w:t>Y</w:t>
                  </w:r>
                </w:p>
              </w:tc>
              <w:tc>
                <w:tcPr>
                  <w:tcW w:w="231" w:type="pct"/>
                  <w:tcBorders>
                    <w:tl2br w:val="nil"/>
                    <w:tr2bl w:val="nil"/>
                  </w:tcBorders>
                  <w:noWrap w:val="0"/>
                  <w:vAlign w:val="center"/>
                </w:tcPr>
                <w:p>
                  <w:pPr>
                    <w:pStyle w:val="50"/>
                    <w:spacing w:line="380" w:lineRule="exact"/>
                    <w:rPr>
                      <w:szCs w:val="21"/>
                    </w:rPr>
                  </w:pPr>
                  <w:r>
                    <w:rPr>
                      <w:szCs w:val="21"/>
                    </w:rPr>
                    <w:t>Z</w:t>
                  </w:r>
                </w:p>
              </w:tc>
              <w:tc>
                <w:tcPr>
                  <w:tcW w:w="273" w:type="pct"/>
                  <w:vMerge w:val="continue"/>
                  <w:tcBorders>
                    <w:tl2br w:val="nil"/>
                    <w:tr2bl w:val="nil"/>
                  </w:tcBorders>
                  <w:noWrap w:val="0"/>
                  <w:vAlign w:val="center"/>
                </w:tcPr>
                <w:p>
                  <w:pPr>
                    <w:pStyle w:val="50"/>
                    <w:spacing w:line="380" w:lineRule="exact"/>
                    <w:rPr>
                      <w:szCs w:val="21"/>
                    </w:rPr>
                  </w:pPr>
                </w:p>
              </w:tc>
              <w:tc>
                <w:tcPr>
                  <w:tcW w:w="366" w:type="pct"/>
                  <w:vMerge w:val="continue"/>
                  <w:tcBorders>
                    <w:tl2br w:val="nil"/>
                    <w:tr2bl w:val="nil"/>
                  </w:tcBorders>
                  <w:noWrap w:val="0"/>
                  <w:vAlign w:val="center"/>
                </w:tcPr>
                <w:p>
                  <w:pPr>
                    <w:pStyle w:val="50"/>
                    <w:spacing w:line="380" w:lineRule="exact"/>
                    <w:rPr>
                      <w:szCs w:val="21"/>
                    </w:rPr>
                  </w:pPr>
                </w:p>
              </w:tc>
              <w:tc>
                <w:tcPr>
                  <w:tcW w:w="331" w:type="pct"/>
                  <w:vMerge w:val="continue"/>
                  <w:tcBorders>
                    <w:tl2br w:val="nil"/>
                    <w:tr2bl w:val="nil"/>
                  </w:tcBorders>
                  <w:noWrap w:val="0"/>
                  <w:vAlign w:val="center"/>
                </w:tcPr>
                <w:p>
                  <w:pPr>
                    <w:pStyle w:val="50"/>
                    <w:spacing w:line="380" w:lineRule="exact"/>
                    <w:rPr>
                      <w:szCs w:val="21"/>
                    </w:rPr>
                  </w:pPr>
                </w:p>
              </w:tc>
              <w:tc>
                <w:tcPr>
                  <w:tcW w:w="366" w:type="pct"/>
                  <w:tcBorders>
                    <w:tl2br w:val="nil"/>
                    <w:tr2bl w:val="nil"/>
                  </w:tcBorders>
                  <w:noWrap w:val="0"/>
                  <w:vAlign w:val="center"/>
                </w:tcPr>
                <w:p>
                  <w:pPr>
                    <w:pStyle w:val="50"/>
                    <w:spacing w:line="380" w:lineRule="exact"/>
                    <w:rPr>
                      <w:szCs w:val="21"/>
                    </w:rPr>
                  </w:pPr>
                  <w:r>
                    <w:rPr>
                      <w:szCs w:val="21"/>
                    </w:rPr>
                    <w:t>声压级</w:t>
                  </w:r>
                </w:p>
                <w:p>
                  <w:pPr>
                    <w:pStyle w:val="50"/>
                    <w:spacing w:line="380" w:lineRule="exact"/>
                    <w:rPr>
                      <w:szCs w:val="21"/>
                    </w:rPr>
                  </w:pPr>
                  <w:r>
                    <w:rPr>
                      <w:szCs w:val="21"/>
                    </w:rPr>
                    <w:t>/dB(A)</w:t>
                  </w:r>
                </w:p>
              </w:tc>
              <w:tc>
                <w:tcPr>
                  <w:tcW w:w="224" w:type="pct"/>
                  <w:tcBorders>
                    <w:tl2br w:val="nil"/>
                    <w:tr2bl w:val="nil"/>
                  </w:tcBorders>
                  <w:noWrap w:val="0"/>
                  <w:vAlign w:val="center"/>
                </w:tcPr>
                <w:p>
                  <w:pPr>
                    <w:pStyle w:val="50"/>
                    <w:spacing w:line="380" w:lineRule="exact"/>
                    <w:rPr>
                      <w:szCs w:val="21"/>
                    </w:rPr>
                  </w:pPr>
                  <w:r>
                    <w:rPr>
                      <w:szCs w:val="21"/>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szCs w:val="21"/>
                    </w:rPr>
                  </w:pPr>
                  <w:r>
                    <w:rPr>
                      <w:szCs w:val="21"/>
                    </w:rPr>
                    <w:t>1</w:t>
                  </w:r>
                </w:p>
              </w:tc>
              <w:tc>
                <w:tcPr>
                  <w:tcW w:w="205" w:type="pct"/>
                  <w:vMerge w:val="restart"/>
                  <w:tcBorders>
                    <w:tl2br w:val="nil"/>
                    <w:tr2bl w:val="nil"/>
                  </w:tcBorders>
                  <w:noWrap w:val="0"/>
                  <w:vAlign w:val="center"/>
                </w:tcPr>
                <w:p>
                  <w:pPr>
                    <w:pStyle w:val="50"/>
                    <w:spacing w:line="380" w:lineRule="exact"/>
                    <w:jc w:val="center"/>
                    <w:rPr>
                      <w:szCs w:val="21"/>
                    </w:rPr>
                  </w:pPr>
                  <w:r>
                    <w:rPr>
                      <w:rFonts w:hint="eastAsia"/>
                      <w:szCs w:val="21"/>
                    </w:rPr>
                    <w:t>生产车间</w:t>
                  </w:r>
                </w:p>
              </w:tc>
              <w:tc>
                <w:tcPr>
                  <w:tcW w:w="259" w:type="pct"/>
                  <w:vMerge w:val="restart"/>
                  <w:tcBorders>
                    <w:tl2br w:val="nil"/>
                    <w:tr2bl w:val="nil"/>
                  </w:tcBorders>
                  <w:noWrap w:val="0"/>
                  <w:vAlign w:val="center"/>
                </w:tcPr>
                <w:p>
                  <w:pPr>
                    <w:pStyle w:val="50"/>
                    <w:spacing w:line="380" w:lineRule="exact"/>
                    <w:jc w:val="center"/>
                    <w:rPr>
                      <w:szCs w:val="21"/>
                    </w:rPr>
                  </w:pPr>
                  <w:r>
                    <w:rPr>
                      <w:rFonts w:hint="eastAsia"/>
                      <w:szCs w:val="21"/>
                      <w:lang w:val="en-US" w:eastAsia="zh-CN"/>
                    </w:rPr>
                    <w:t>装饰板、装饰条生产</w:t>
                  </w:r>
                  <w:r>
                    <w:rPr>
                      <w:rFonts w:hint="eastAsia"/>
                      <w:szCs w:val="21"/>
                    </w:rPr>
                    <w:t>线</w:t>
                  </w:r>
                </w:p>
              </w:tc>
              <w:tc>
                <w:tcPr>
                  <w:tcW w:w="529" w:type="pct"/>
                  <w:tcBorders>
                    <w:tl2br w:val="nil"/>
                    <w:tr2bl w:val="nil"/>
                  </w:tcBorders>
                  <w:noWrap w:val="0"/>
                  <w:vAlign w:val="center"/>
                </w:tcPr>
                <w:p>
                  <w:pPr>
                    <w:pStyle w:val="50"/>
                    <w:spacing w:line="380" w:lineRule="exact"/>
                    <w:rPr>
                      <w:szCs w:val="21"/>
                    </w:rPr>
                  </w:pPr>
                  <w:r>
                    <w:rPr>
                      <w:rFonts w:hint="eastAsia"/>
                      <w:szCs w:val="21"/>
                    </w:rPr>
                    <w:t>注塑机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restart"/>
                  <w:tcBorders>
                    <w:tl2br w:val="nil"/>
                    <w:tr2bl w:val="nil"/>
                  </w:tcBorders>
                  <w:noWrap w:val="0"/>
                  <w:vAlign w:val="center"/>
                </w:tcPr>
                <w:p>
                  <w:pPr>
                    <w:pStyle w:val="50"/>
                    <w:spacing w:line="380" w:lineRule="exact"/>
                    <w:rPr>
                      <w:szCs w:val="21"/>
                    </w:rPr>
                  </w:pPr>
                  <w:r>
                    <w:rPr>
                      <w:rFonts w:hint="eastAsia"/>
                      <w:szCs w:val="21"/>
                    </w:rPr>
                    <w:t>基础减振、厂房隔声、距离衰减</w:t>
                  </w:r>
                </w:p>
              </w:tc>
              <w:tc>
                <w:tcPr>
                  <w:tcW w:w="165" w:type="pct"/>
                  <w:tcBorders>
                    <w:tl2br w:val="nil"/>
                    <w:tr2bl w:val="nil"/>
                  </w:tcBorders>
                  <w:noWrap w:val="0"/>
                  <w:vAlign w:val="center"/>
                </w:tcPr>
                <w:p>
                  <w:pPr>
                    <w:pStyle w:val="50"/>
                    <w:spacing w:line="380" w:lineRule="exact"/>
                    <w:rPr>
                      <w:szCs w:val="21"/>
                    </w:rPr>
                  </w:pPr>
                  <w:r>
                    <w:rPr>
                      <w:rFonts w:hint="eastAsia"/>
                      <w:szCs w:val="21"/>
                    </w:rPr>
                    <w:t>6</w:t>
                  </w:r>
                </w:p>
              </w:tc>
              <w:tc>
                <w:tcPr>
                  <w:tcW w:w="165" w:type="pct"/>
                  <w:tcBorders>
                    <w:tl2br w:val="nil"/>
                    <w:tr2bl w:val="nil"/>
                  </w:tcBorders>
                  <w:noWrap w:val="0"/>
                  <w:vAlign w:val="center"/>
                </w:tcPr>
                <w:p>
                  <w:pPr>
                    <w:pStyle w:val="50"/>
                    <w:spacing w:line="380" w:lineRule="exact"/>
                    <w:rPr>
                      <w:szCs w:val="21"/>
                    </w:rPr>
                  </w:pPr>
                  <w:r>
                    <w:rPr>
                      <w:rFonts w:hint="eastAsia"/>
                      <w:szCs w:val="21"/>
                    </w:rPr>
                    <w:t>3</w:t>
                  </w:r>
                </w:p>
              </w:tc>
              <w:tc>
                <w:tcPr>
                  <w:tcW w:w="231" w:type="pct"/>
                  <w:tcBorders>
                    <w:tl2br w:val="nil"/>
                    <w:tr2bl w:val="nil"/>
                  </w:tcBorders>
                  <w:noWrap w:val="0"/>
                  <w:vAlign w:val="center"/>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center"/>
                </w:tcPr>
                <w:p>
                  <w:pPr>
                    <w:pStyle w:val="50"/>
                    <w:spacing w:line="380" w:lineRule="exact"/>
                    <w:rPr>
                      <w:szCs w:val="21"/>
                    </w:rPr>
                  </w:pPr>
                  <w:r>
                    <w:rPr>
                      <w:rFonts w:hint="eastAsia"/>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szCs w:val="21"/>
                    </w:rPr>
                  </w:pPr>
                  <w:r>
                    <w:rPr>
                      <w:rFonts w:hint="eastAsia"/>
                      <w:szCs w:val="21"/>
                    </w:rPr>
                    <w:t>2</w:t>
                  </w:r>
                </w:p>
              </w:tc>
              <w:tc>
                <w:tcPr>
                  <w:tcW w:w="205" w:type="pct"/>
                  <w:vMerge w:val="continue"/>
                  <w:tcBorders>
                    <w:tl2br w:val="nil"/>
                    <w:tr2bl w:val="nil"/>
                  </w:tcBorders>
                  <w:noWrap w:val="0"/>
                  <w:vAlign w:val="center"/>
                </w:tcPr>
                <w:p>
                  <w:pPr>
                    <w:pStyle w:val="50"/>
                    <w:spacing w:line="380" w:lineRule="exact"/>
                    <w:jc w:val="center"/>
                    <w:rPr>
                      <w:rFonts w:hint="eastAsia"/>
                      <w:szCs w:val="21"/>
                    </w:rPr>
                  </w:pPr>
                </w:p>
              </w:tc>
              <w:tc>
                <w:tcPr>
                  <w:tcW w:w="259" w:type="pct"/>
                  <w:vMerge w:val="continue"/>
                  <w:tcBorders>
                    <w:tl2br w:val="nil"/>
                    <w:tr2bl w:val="nil"/>
                  </w:tcBorders>
                  <w:noWrap w:val="0"/>
                  <w:vAlign w:val="center"/>
                </w:tcPr>
                <w:p>
                  <w:pPr>
                    <w:pStyle w:val="50"/>
                    <w:spacing w:line="380" w:lineRule="exact"/>
                    <w:jc w:val="center"/>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注塑机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rPr>
                    <w:t>18</w:t>
                  </w:r>
                </w:p>
              </w:tc>
              <w:tc>
                <w:tcPr>
                  <w:tcW w:w="165" w:type="pct"/>
                  <w:tcBorders>
                    <w:tl2br w:val="nil"/>
                    <w:tr2bl w:val="nil"/>
                  </w:tcBorders>
                  <w:noWrap w:val="0"/>
                  <w:vAlign w:val="center"/>
                </w:tcPr>
                <w:p>
                  <w:pPr>
                    <w:pStyle w:val="50"/>
                    <w:spacing w:line="380" w:lineRule="exact"/>
                    <w:rPr>
                      <w:szCs w:val="21"/>
                    </w:rPr>
                  </w:pPr>
                  <w:r>
                    <w:rPr>
                      <w:rFonts w:hint="eastAsia"/>
                      <w:szCs w:val="21"/>
                    </w:rPr>
                    <w:t>3</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top"/>
                </w:tcPr>
                <w:p>
                  <w:pPr>
                    <w:pStyle w:val="95"/>
                    <w:rPr>
                      <w:sz w:val="21"/>
                      <w:szCs w:val="21"/>
                    </w:rPr>
                  </w:pPr>
                  <w:r>
                    <w:rPr>
                      <w:rFonts w:hint="eastAsia"/>
                      <w:sz w:val="21"/>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szCs w:val="21"/>
                    </w:rPr>
                  </w:pPr>
                  <w:r>
                    <w:rPr>
                      <w:rFonts w:hint="eastAsia"/>
                      <w:szCs w:val="21"/>
                    </w:rPr>
                    <w:t>3</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注塑机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lang w:val="en-US" w:eastAsia="zh-CN"/>
                    </w:rPr>
                    <w:t>1</w:t>
                  </w:r>
                  <w:r>
                    <w:rPr>
                      <w:rFonts w:hint="eastAsia"/>
                      <w:szCs w:val="21"/>
                    </w:rPr>
                    <w:t>0</w:t>
                  </w:r>
                </w:p>
              </w:tc>
              <w:tc>
                <w:tcPr>
                  <w:tcW w:w="165" w:type="pct"/>
                  <w:tcBorders>
                    <w:tl2br w:val="nil"/>
                    <w:tr2bl w:val="nil"/>
                  </w:tcBorders>
                  <w:noWrap w:val="0"/>
                  <w:vAlign w:val="center"/>
                </w:tcPr>
                <w:p>
                  <w:pPr>
                    <w:pStyle w:val="50"/>
                    <w:spacing w:line="380" w:lineRule="exact"/>
                    <w:rPr>
                      <w:szCs w:val="21"/>
                    </w:rPr>
                  </w:pPr>
                  <w:r>
                    <w:rPr>
                      <w:rFonts w:hint="eastAsia"/>
                      <w:szCs w:val="21"/>
                    </w:rPr>
                    <w:t>3</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top"/>
                </w:tcPr>
                <w:p>
                  <w:pPr>
                    <w:pStyle w:val="95"/>
                    <w:rPr>
                      <w:sz w:val="21"/>
                      <w:szCs w:val="21"/>
                    </w:rPr>
                  </w:pPr>
                  <w:r>
                    <w:rPr>
                      <w:rFonts w:hint="eastAsia"/>
                      <w:sz w:val="21"/>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szCs w:val="21"/>
                    </w:rPr>
                  </w:pPr>
                  <w:r>
                    <w:rPr>
                      <w:rFonts w:hint="eastAsia"/>
                      <w:szCs w:val="21"/>
                    </w:rPr>
                    <w:t>4</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注塑机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1</w:t>
                  </w:r>
                  <w:r>
                    <w:rPr>
                      <w:rFonts w:hint="eastAsia"/>
                      <w:szCs w:val="21"/>
                    </w:rPr>
                    <w:t>2</w:t>
                  </w: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top"/>
                </w:tcPr>
                <w:p>
                  <w:pPr>
                    <w:pStyle w:val="95"/>
                    <w:rPr>
                      <w:sz w:val="21"/>
                      <w:szCs w:val="21"/>
                    </w:rPr>
                  </w:pPr>
                  <w:r>
                    <w:rPr>
                      <w:rFonts w:hint="eastAsia"/>
                      <w:sz w:val="21"/>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szCs w:val="21"/>
                    </w:rPr>
                  </w:pPr>
                  <w:r>
                    <w:rPr>
                      <w:rFonts w:hint="eastAsia"/>
                      <w:szCs w:val="21"/>
                    </w:rPr>
                    <w:t>5</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注塑机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1</w:t>
                  </w:r>
                  <w:r>
                    <w:rPr>
                      <w:rFonts w:hint="eastAsia"/>
                      <w:szCs w:val="21"/>
                    </w:rPr>
                    <w:t>4</w:t>
                  </w: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top"/>
                </w:tcPr>
                <w:p>
                  <w:pPr>
                    <w:pStyle w:val="95"/>
                    <w:rPr>
                      <w:sz w:val="21"/>
                      <w:szCs w:val="21"/>
                    </w:rPr>
                  </w:pPr>
                  <w:r>
                    <w:rPr>
                      <w:rFonts w:hint="eastAsia"/>
                      <w:sz w:val="21"/>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131" w:type="pct"/>
                  <w:tcBorders>
                    <w:tl2br w:val="nil"/>
                    <w:tr2bl w:val="nil"/>
                  </w:tcBorders>
                  <w:noWrap w:val="0"/>
                  <w:vAlign w:val="center"/>
                </w:tcPr>
                <w:p>
                  <w:pPr>
                    <w:pStyle w:val="50"/>
                    <w:spacing w:line="380" w:lineRule="exact"/>
                    <w:rPr>
                      <w:szCs w:val="21"/>
                    </w:rPr>
                  </w:pPr>
                  <w:r>
                    <w:rPr>
                      <w:rFonts w:hint="eastAsia"/>
                      <w:szCs w:val="21"/>
                    </w:rPr>
                    <w:t>6</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注塑机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1</w:t>
                  </w:r>
                  <w:r>
                    <w:rPr>
                      <w:rFonts w:hint="eastAsia"/>
                      <w:szCs w:val="21"/>
                    </w:rPr>
                    <w:t>6</w:t>
                  </w: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top"/>
                </w:tcPr>
                <w:p>
                  <w:pPr>
                    <w:pStyle w:val="95"/>
                    <w:rPr>
                      <w:sz w:val="21"/>
                      <w:szCs w:val="21"/>
                    </w:rPr>
                  </w:pPr>
                  <w:r>
                    <w:rPr>
                      <w:rFonts w:hint="eastAsia"/>
                      <w:sz w:val="21"/>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szCs w:val="21"/>
                    </w:rPr>
                  </w:pPr>
                  <w:r>
                    <w:rPr>
                      <w:rFonts w:hint="eastAsia"/>
                      <w:szCs w:val="21"/>
                    </w:rPr>
                    <w:t>7</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混合机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1</w:t>
                  </w:r>
                  <w:r>
                    <w:rPr>
                      <w:rFonts w:hint="eastAsia"/>
                      <w:szCs w:val="21"/>
                    </w:rPr>
                    <w:t>8</w:t>
                  </w: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50"/>
                    <w:spacing w:line="380" w:lineRule="exact"/>
                    <w:rPr>
                      <w:rFonts w:hint="eastAsia"/>
                      <w:szCs w:val="21"/>
                    </w:rPr>
                  </w:pPr>
                  <w:r>
                    <w:rPr>
                      <w:rFonts w:hint="eastAsia"/>
                      <w:szCs w:val="21"/>
                    </w:rPr>
                    <w:t>3</w:t>
                  </w:r>
                </w:p>
              </w:tc>
              <w:tc>
                <w:tcPr>
                  <w:tcW w:w="366" w:type="pct"/>
                  <w:tcBorders>
                    <w:tl2br w:val="nil"/>
                    <w:tr2bl w:val="nil"/>
                  </w:tcBorders>
                  <w:noWrap w:val="0"/>
                  <w:vAlign w:val="center"/>
                </w:tcPr>
                <w:p>
                  <w:pPr>
                    <w:pStyle w:val="95"/>
                    <w:rPr>
                      <w:sz w:val="21"/>
                      <w:szCs w:val="21"/>
                    </w:rPr>
                  </w:pPr>
                  <w:r>
                    <w:rPr>
                      <w:rFonts w:hint="eastAsia"/>
                      <w:sz w:val="21"/>
                      <w:szCs w:val="21"/>
                    </w:rPr>
                    <w:t>67.04</w:t>
                  </w:r>
                </w:p>
              </w:tc>
              <w:tc>
                <w:tcPr>
                  <w:tcW w:w="331" w:type="pct"/>
                  <w:tcBorders>
                    <w:tl2br w:val="nil"/>
                    <w:tr2bl w:val="nil"/>
                  </w:tcBorders>
                  <w:noWrap w:val="0"/>
                  <w:vAlign w:val="top"/>
                </w:tcPr>
                <w:p>
                  <w:pPr>
                    <w:pStyle w:val="95"/>
                    <w:rPr>
                      <w:sz w:val="21"/>
                      <w:szCs w:val="21"/>
                    </w:rPr>
                  </w:pPr>
                  <w:r>
                    <w:rPr>
                      <w:rFonts w:hint="eastAsia"/>
                      <w:sz w:val="21"/>
                      <w:szCs w:val="21"/>
                    </w:rPr>
                    <w:t>20</w:t>
                  </w:r>
                </w:p>
              </w:tc>
              <w:tc>
                <w:tcPr>
                  <w:tcW w:w="366" w:type="pct"/>
                  <w:tcBorders>
                    <w:tl2br w:val="nil"/>
                    <w:tr2bl w:val="nil"/>
                  </w:tcBorders>
                  <w:noWrap w:val="0"/>
                  <w:vAlign w:val="bottom"/>
                </w:tcPr>
                <w:p>
                  <w:pPr>
                    <w:pStyle w:val="95"/>
                    <w:rPr>
                      <w:rFonts w:ascii="宋体" w:hAnsi="宋体" w:cs="宋体"/>
                      <w:sz w:val="21"/>
                      <w:szCs w:val="21"/>
                    </w:rPr>
                  </w:pPr>
                  <w:r>
                    <w:rPr>
                      <w:rFonts w:hint="eastAsia"/>
                      <w:sz w:val="21"/>
                      <w:szCs w:val="21"/>
                    </w:rPr>
                    <w:t xml:space="preserve">47.04 </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rFonts w:hint="eastAsia"/>
                      <w:szCs w:val="21"/>
                    </w:rPr>
                  </w:pPr>
                  <w:r>
                    <w:rPr>
                      <w:rFonts w:hint="eastAsia"/>
                      <w:szCs w:val="21"/>
                    </w:rPr>
                    <w:t>8</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破碎机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rFonts w:hint="eastAsia"/>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rPr>
                    <w:t>6</w:t>
                  </w: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rPr>
                    <w:t>1</w:t>
                  </w:r>
                </w:p>
              </w:tc>
              <w:tc>
                <w:tcPr>
                  <w:tcW w:w="231" w:type="pct"/>
                  <w:tcBorders>
                    <w:tl2br w:val="nil"/>
                    <w:tr2bl w:val="nil"/>
                  </w:tcBorders>
                  <w:noWrap w:val="0"/>
                  <w:vAlign w:val="center"/>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95"/>
                    <w:rPr>
                      <w:rFonts w:hint="eastAsia"/>
                      <w:kern w:val="2"/>
                      <w:sz w:val="21"/>
                      <w:szCs w:val="21"/>
                    </w:rPr>
                  </w:pPr>
                  <w:r>
                    <w:rPr>
                      <w:rFonts w:hint="eastAsia"/>
                      <w:kern w:val="2"/>
                      <w:sz w:val="21"/>
                      <w:szCs w:val="21"/>
                    </w:rPr>
                    <w:t>1</w:t>
                  </w:r>
                </w:p>
              </w:tc>
              <w:tc>
                <w:tcPr>
                  <w:tcW w:w="366" w:type="pct"/>
                  <w:tcBorders>
                    <w:tl2br w:val="nil"/>
                    <w:tr2bl w:val="nil"/>
                  </w:tcBorders>
                  <w:noWrap w:val="0"/>
                  <w:vAlign w:val="center"/>
                </w:tcPr>
                <w:p>
                  <w:pPr>
                    <w:pStyle w:val="95"/>
                    <w:rPr>
                      <w:rFonts w:hint="eastAsia"/>
                      <w:kern w:val="2"/>
                      <w:sz w:val="21"/>
                      <w:szCs w:val="21"/>
                    </w:rPr>
                  </w:pPr>
                  <w:r>
                    <w:rPr>
                      <w:rFonts w:hint="eastAsia"/>
                      <w:kern w:val="2"/>
                      <w:sz w:val="21"/>
                      <w:szCs w:val="21"/>
                    </w:rPr>
                    <w:t>7</w:t>
                  </w:r>
                  <w:r>
                    <w:rPr>
                      <w:rFonts w:hint="eastAsia"/>
                      <w:kern w:val="2"/>
                      <w:sz w:val="21"/>
                      <w:szCs w:val="21"/>
                      <w:lang w:val="en-US" w:eastAsia="zh-CN"/>
                    </w:rPr>
                    <w:t>1</w:t>
                  </w:r>
                  <w:r>
                    <w:rPr>
                      <w:rFonts w:hint="eastAsia"/>
                      <w:kern w:val="2"/>
                      <w:sz w:val="21"/>
                      <w:szCs w:val="21"/>
                    </w:rPr>
                    <w:t>.00</w:t>
                  </w:r>
                </w:p>
              </w:tc>
              <w:tc>
                <w:tcPr>
                  <w:tcW w:w="331" w:type="pct"/>
                  <w:tcBorders>
                    <w:tl2br w:val="nil"/>
                    <w:tr2bl w:val="nil"/>
                  </w:tcBorders>
                  <w:noWrap w:val="0"/>
                  <w:vAlign w:val="center"/>
                </w:tcPr>
                <w:p>
                  <w:pPr>
                    <w:pStyle w:val="95"/>
                    <w:rPr>
                      <w:rFonts w:hint="eastAsia"/>
                      <w:kern w:val="2"/>
                      <w:sz w:val="21"/>
                      <w:szCs w:val="21"/>
                    </w:rPr>
                  </w:pPr>
                  <w:r>
                    <w:rPr>
                      <w:rFonts w:hint="eastAsia"/>
                      <w:kern w:val="2"/>
                      <w:sz w:val="21"/>
                      <w:szCs w:val="21"/>
                    </w:rPr>
                    <w:t>20</w:t>
                  </w:r>
                </w:p>
              </w:tc>
              <w:tc>
                <w:tcPr>
                  <w:tcW w:w="366" w:type="pct"/>
                  <w:tcBorders>
                    <w:tl2br w:val="nil"/>
                    <w:tr2bl w:val="nil"/>
                  </w:tcBorders>
                  <w:noWrap w:val="0"/>
                  <w:vAlign w:val="center"/>
                </w:tcPr>
                <w:p>
                  <w:pPr>
                    <w:pStyle w:val="95"/>
                    <w:rPr>
                      <w:rFonts w:hint="eastAsia" w:eastAsia="宋体"/>
                      <w:kern w:val="2"/>
                      <w:sz w:val="21"/>
                      <w:szCs w:val="21"/>
                      <w:lang w:eastAsia="zh-CN"/>
                    </w:rPr>
                  </w:pPr>
                  <w:r>
                    <w:rPr>
                      <w:rFonts w:hint="eastAsia"/>
                      <w:kern w:val="2"/>
                      <w:sz w:val="21"/>
                      <w:szCs w:val="21"/>
                    </w:rPr>
                    <w:t>5</w:t>
                  </w:r>
                  <w:r>
                    <w:rPr>
                      <w:rFonts w:hint="eastAsia"/>
                      <w:kern w:val="2"/>
                      <w:sz w:val="21"/>
                      <w:szCs w:val="21"/>
                      <w:lang w:val="en-US" w:eastAsia="zh-CN"/>
                    </w:rPr>
                    <w:t>3</w:t>
                  </w:r>
                  <w:r>
                    <w:rPr>
                      <w:rFonts w:hint="eastAsia"/>
                      <w:kern w:val="2"/>
                      <w:sz w:val="21"/>
                      <w:szCs w:val="21"/>
                    </w:rPr>
                    <w:t>.0</w:t>
                  </w:r>
                  <w:r>
                    <w:rPr>
                      <w:rFonts w:hint="eastAsia"/>
                      <w:kern w:val="2"/>
                      <w:sz w:val="21"/>
                      <w:szCs w:val="21"/>
                      <w:lang w:val="en-US" w:eastAsia="zh-CN"/>
                    </w:rPr>
                    <w:t>4</w:t>
                  </w:r>
                </w:p>
              </w:tc>
              <w:tc>
                <w:tcPr>
                  <w:tcW w:w="224" w:type="pct"/>
                  <w:tcBorders>
                    <w:tl2br w:val="nil"/>
                    <w:tr2bl w:val="nil"/>
                  </w:tcBorders>
                  <w:noWrap w:val="0"/>
                  <w:vAlign w:val="center"/>
                </w:tcPr>
                <w:p>
                  <w:pPr>
                    <w:pStyle w:val="95"/>
                    <w:rPr>
                      <w:rFonts w:hint="eastAsia"/>
                      <w:kern w:val="2"/>
                      <w:sz w:val="21"/>
                      <w:szCs w:val="21"/>
                    </w:rPr>
                  </w:pPr>
                  <w:r>
                    <w:rPr>
                      <w:rFonts w:hint="eastAsia"/>
                      <w:kern w:val="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rFonts w:hint="eastAsia"/>
                      <w:szCs w:val="21"/>
                    </w:rPr>
                  </w:pPr>
                  <w:r>
                    <w:rPr>
                      <w:rFonts w:hint="eastAsia"/>
                      <w:szCs w:val="21"/>
                    </w:rPr>
                    <w:t>9</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lang w:val="en-US" w:eastAsia="zh-CN"/>
                    </w:rPr>
                    <w:t>磨粉机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rFonts w:hint="eastAsia"/>
                      <w:sz w:val="21"/>
                      <w:szCs w:val="21"/>
                    </w:rPr>
                  </w:pPr>
                  <w:r>
                    <w:rPr>
                      <w:rFonts w:hint="eastAsia"/>
                      <w:sz w:val="21"/>
                      <w:szCs w:val="21"/>
                    </w:rPr>
                    <w:t>75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rPr>
                    <w:t>18</w:t>
                  </w:r>
                </w:p>
              </w:tc>
              <w:tc>
                <w:tcPr>
                  <w:tcW w:w="165" w:type="pct"/>
                  <w:tcBorders>
                    <w:tl2br w:val="nil"/>
                    <w:tr2bl w:val="nil"/>
                  </w:tcBorders>
                  <w:noWrap w:val="0"/>
                  <w:vAlign w:val="center"/>
                </w:tcPr>
                <w:p>
                  <w:pPr>
                    <w:pStyle w:val="50"/>
                    <w:spacing w:line="380" w:lineRule="exact"/>
                    <w:rPr>
                      <w:rFonts w:hint="eastAsia"/>
                      <w:szCs w:val="21"/>
                    </w:rPr>
                  </w:pPr>
                  <w:r>
                    <w:rPr>
                      <w:rFonts w:hint="eastAsia"/>
                      <w:szCs w:val="21"/>
                    </w:rPr>
                    <w:t>1</w:t>
                  </w:r>
                </w:p>
              </w:tc>
              <w:tc>
                <w:tcPr>
                  <w:tcW w:w="231" w:type="pct"/>
                  <w:tcBorders>
                    <w:tl2br w:val="nil"/>
                    <w:tr2bl w:val="nil"/>
                  </w:tcBorders>
                  <w:noWrap w:val="0"/>
                  <w:vAlign w:val="top"/>
                </w:tcPr>
                <w:p>
                  <w:pPr>
                    <w:pStyle w:val="50"/>
                    <w:spacing w:line="380" w:lineRule="exact"/>
                    <w:rPr>
                      <w:szCs w:val="21"/>
                    </w:rPr>
                  </w:pPr>
                  <w:r>
                    <w:rPr>
                      <w:rFonts w:hint="eastAsia"/>
                      <w:szCs w:val="21"/>
                    </w:rPr>
                    <w:t>1.5</w:t>
                  </w:r>
                </w:p>
              </w:tc>
              <w:tc>
                <w:tcPr>
                  <w:tcW w:w="273" w:type="pct"/>
                  <w:tcBorders>
                    <w:tl2br w:val="nil"/>
                    <w:tr2bl w:val="nil"/>
                  </w:tcBorders>
                  <w:noWrap w:val="0"/>
                  <w:vAlign w:val="center"/>
                </w:tcPr>
                <w:p>
                  <w:pPr>
                    <w:pStyle w:val="95"/>
                    <w:rPr>
                      <w:rFonts w:hint="eastAsia"/>
                      <w:sz w:val="21"/>
                      <w:szCs w:val="21"/>
                    </w:rPr>
                  </w:pPr>
                  <w:r>
                    <w:rPr>
                      <w:rFonts w:hint="eastAsia"/>
                      <w:kern w:val="2"/>
                      <w:sz w:val="21"/>
                      <w:szCs w:val="21"/>
                    </w:rPr>
                    <w:t>1</w:t>
                  </w:r>
                </w:p>
              </w:tc>
              <w:tc>
                <w:tcPr>
                  <w:tcW w:w="366" w:type="pct"/>
                  <w:tcBorders>
                    <w:tl2br w:val="nil"/>
                    <w:tr2bl w:val="nil"/>
                  </w:tcBorders>
                  <w:noWrap w:val="0"/>
                  <w:vAlign w:val="center"/>
                </w:tcPr>
                <w:p>
                  <w:pPr>
                    <w:rPr>
                      <w:rFonts w:hint="eastAsia"/>
                      <w:sz w:val="21"/>
                      <w:szCs w:val="21"/>
                    </w:rPr>
                  </w:pPr>
                  <w:r>
                    <w:rPr>
                      <w:rFonts w:hint="eastAsia"/>
                      <w:kern w:val="2"/>
                      <w:sz w:val="21"/>
                      <w:szCs w:val="21"/>
                    </w:rPr>
                    <w:t>7</w:t>
                  </w:r>
                  <w:r>
                    <w:rPr>
                      <w:rFonts w:hint="eastAsia"/>
                      <w:kern w:val="2"/>
                      <w:sz w:val="21"/>
                      <w:szCs w:val="21"/>
                      <w:lang w:val="en-US" w:eastAsia="zh-CN"/>
                    </w:rPr>
                    <w:t>1</w:t>
                  </w:r>
                  <w:r>
                    <w:rPr>
                      <w:rFonts w:hint="eastAsia"/>
                      <w:kern w:val="2"/>
                      <w:sz w:val="21"/>
                      <w:szCs w:val="21"/>
                    </w:rPr>
                    <w:t>.00</w:t>
                  </w:r>
                </w:p>
              </w:tc>
              <w:tc>
                <w:tcPr>
                  <w:tcW w:w="331" w:type="pct"/>
                  <w:tcBorders>
                    <w:tl2br w:val="nil"/>
                    <w:tr2bl w:val="nil"/>
                  </w:tcBorders>
                  <w:noWrap w:val="0"/>
                  <w:vAlign w:val="center"/>
                </w:tcPr>
                <w:p>
                  <w:pPr>
                    <w:pStyle w:val="95"/>
                    <w:rPr>
                      <w:rFonts w:hint="eastAsia"/>
                      <w:sz w:val="21"/>
                      <w:szCs w:val="21"/>
                    </w:rPr>
                  </w:pPr>
                  <w:r>
                    <w:rPr>
                      <w:rFonts w:hint="eastAsia"/>
                      <w:kern w:val="2"/>
                      <w:sz w:val="21"/>
                      <w:szCs w:val="21"/>
                    </w:rPr>
                    <w:t>20</w:t>
                  </w:r>
                </w:p>
              </w:tc>
              <w:tc>
                <w:tcPr>
                  <w:tcW w:w="366" w:type="pct"/>
                  <w:tcBorders>
                    <w:tl2br w:val="nil"/>
                    <w:tr2bl w:val="nil"/>
                  </w:tcBorders>
                  <w:noWrap w:val="0"/>
                  <w:vAlign w:val="center"/>
                </w:tcPr>
                <w:p>
                  <w:pPr>
                    <w:rPr>
                      <w:rFonts w:hint="eastAsia"/>
                      <w:sz w:val="21"/>
                      <w:szCs w:val="21"/>
                    </w:rPr>
                  </w:pPr>
                  <w:r>
                    <w:rPr>
                      <w:rFonts w:hint="eastAsia"/>
                      <w:kern w:val="2"/>
                      <w:sz w:val="21"/>
                      <w:szCs w:val="21"/>
                    </w:rPr>
                    <w:t>5</w:t>
                  </w:r>
                  <w:r>
                    <w:rPr>
                      <w:rFonts w:hint="eastAsia"/>
                      <w:kern w:val="2"/>
                      <w:sz w:val="21"/>
                      <w:szCs w:val="21"/>
                      <w:lang w:val="en-US" w:eastAsia="zh-CN"/>
                    </w:rPr>
                    <w:t>3</w:t>
                  </w:r>
                  <w:r>
                    <w:rPr>
                      <w:rFonts w:hint="eastAsia"/>
                      <w:kern w:val="2"/>
                      <w:sz w:val="21"/>
                      <w:szCs w:val="21"/>
                    </w:rPr>
                    <w:t>.0</w:t>
                  </w:r>
                  <w:r>
                    <w:rPr>
                      <w:rFonts w:hint="eastAsia"/>
                      <w:kern w:val="2"/>
                      <w:sz w:val="21"/>
                      <w:szCs w:val="21"/>
                      <w:lang w:val="en-US" w:eastAsia="zh-CN"/>
                    </w:rPr>
                    <w:t>4</w:t>
                  </w:r>
                </w:p>
              </w:tc>
              <w:tc>
                <w:tcPr>
                  <w:tcW w:w="224" w:type="pct"/>
                  <w:tcBorders>
                    <w:tl2br w:val="nil"/>
                    <w:tr2bl w:val="nil"/>
                  </w:tcBorders>
                  <w:noWrap w:val="0"/>
                  <w:vAlign w:val="center"/>
                </w:tcPr>
                <w:p>
                  <w:pPr>
                    <w:pStyle w:val="95"/>
                    <w:rPr>
                      <w:rFonts w:hint="eastAsia"/>
                      <w:sz w:val="21"/>
                      <w:szCs w:val="21"/>
                    </w:rPr>
                  </w:pPr>
                  <w:r>
                    <w:rPr>
                      <w:rFonts w:hint="eastAsia"/>
                      <w:kern w:val="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rFonts w:hint="default" w:eastAsia="宋体"/>
                      <w:szCs w:val="21"/>
                      <w:lang w:val="en-US" w:eastAsia="zh-CN"/>
                    </w:rPr>
                  </w:pPr>
                  <w:r>
                    <w:rPr>
                      <w:rFonts w:hint="eastAsia"/>
                      <w:szCs w:val="21"/>
                      <w:lang w:val="en-US" w:eastAsia="zh-CN"/>
                    </w:rPr>
                    <w:t>10</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default"/>
                      <w:szCs w:val="21"/>
                      <w:lang w:val="en-US" w:eastAsia="zh-CN"/>
                    </w:rPr>
                  </w:pPr>
                  <w:r>
                    <w:rPr>
                      <w:rFonts w:hint="eastAsia"/>
                      <w:szCs w:val="21"/>
                      <w:lang w:val="en-US" w:eastAsia="zh-CN"/>
                    </w:rPr>
                    <w:t>水泵</w:t>
                  </w:r>
                </w:p>
              </w:tc>
              <w:tc>
                <w:tcPr>
                  <w:tcW w:w="221" w:type="pct"/>
                  <w:tcBorders>
                    <w:tl2br w:val="nil"/>
                    <w:tr2bl w:val="nil"/>
                  </w:tcBorders>
                  <w:noWrap w:val="0"/>
                  <w:vAlign w:val="center"/>
                </w:tcPr>
                <w:p>
                  <w:pPr>
                    <w:pStyle w:val="50"/>
                    <w:spacing w:line="380" w:lineRule="exact"/>
                    <w:rPr>
                      <w:rFonts w:hint="eastAsia" w:eastAsia="宋体"/>
                      <w:szCs w:val="21"/>
                      <w:lang w:val="en-US" w:eastAsia="zh-CN"/>
                    </w:rPr>
                  </w:pPr>
                  <w:r>
                    <w:rPr>
                      <w:rFonts w:hint="eastAsia"/>
                      <w:szCs w:val="21"/>
                      <w:lang w:val="en-US" w:eastAsia="zh-CN"/>
                    </w:rPr>
                    <w:t>/</w:t>
                  </w:r>
                </w:p>
              </w:tc>
              <w:tc>
                <w:tcPr>
                  <w:tcW w:w="655" w:type="pct"/>
                  <w:tcBorders>
                    <w:tl2br w:val="nil"/>
                    <w:tr2bl w:val="nil"/>
                  </w:tcBorders>
                  <w:noWrap w:val="0"/>
                  <w:vAlign w:val="center"/>
                </w:tcPr>
                <w:p>
                  <w:pPr>
                    <w:pStyle w:val="50"/>
                    <w:spacing w:line="380" w:lineRule="exact"/>
                    <w:rPr>
                      <w:rFonts w:hint="eastAsia" w:eastAsia="宋体"/>
                      <w:szCs w:val="21"/>
                      <w:lang w:val="en-US" w:eastAsia="zh-CN"/>
                    </w:rPr>
                  </w:pPr>
                  <w:r>
                    <w:rPr>
                      <w:rFonts w:hint="eastAsia"/>
                      <w:szCs w:val="21"/>
                      <w:lang w:val="en-US" w:eastAsia="zh-CN"/>
                    </w:rPr>
                    <w:t>/</w:t>
                  </w:r>
                </w:p>
              </w:tc>
              <w:tc>
                <w:tcPr>
                  <w:tcW w:w="574" w:type="pct"/>
                  <w:tcBorders>
                    <w:tl2br w:val="nil"/>
                    <w:tr2bl w:val="nil"/>
                  </w:tcBorders>
                  <w:noWrap w:val="0"/>
                  <w:vAlign w:val="center"/>
                </w:tcPr>
                <w:p>
                  <w:pPr>
                    <w:pStyle w:val="95"/>
                    <w:rPr>
                      <w:rFonts w:hint="default" w:eastAsia="宋体"/>
                      <w:sz w:val="21"/>
                      <w:szCs w:val="21"/>
                      <w:lang w:val="en-US" w:eastAsia="zh-CN"/>
                    </w:rPr>
                  </w:pPr>
                  <w:r>
                    <w:rPr>
                      <w:rFonts w:hint="eastAsia"/>
                      <w:sz w:val="21"/>
                      <w:szCs w:val="21"/>
                      <w:lang w:val="en-US" w:eastAsia="zh-CN"/>
                    </w:rPr>
                    <w:t>85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282" w:type="dxa"/>
                  <w:tcBorders>
                    <w:tl2br w:val="nil"/>
                    <w:tr2bl w:val="nil"/>
                  </w:tcBorders>
                  <w:noWrap w:val="0"/>
                  <w:vAlign w:val="center"/>
                </w:tcPr>
                <w:p>
                  <w:pPr>
                    <w:pStyle w:val="50"/>
                    <w:spacing w:line="380" w:lineRule="exact"/>
                    <w:rPr>
                      <w:rFonts w:hint="eastAsia"/>
                      <w:szCs w:val="21"/>
                    </w:rPr>
                  </w:pPr>
                  <w:r>
                    <w:rPr>
                      <w:rFonts w:hint="eastAsia"/>
                      <w:szCs w:val="21"/>
                    </w:rPr>
                    <w:t>6</w:t>
                  </w:r>
                </w:p>
              </w:tc>
              <w:tc>
                <w:tcPr>
                  <w:tcW w:w="282" w:type="dxa"/>
                  <w:tcBorders>
                    <w:tl2br w:val="nil"/>
                    <w:tr2bl w:val="nil"/>
                  </w:tcBorders>
                  <w:noWrap w:val="0"/>
                  <w:vAlign w:val="center"/>
                </w:tcPr>
                <w:p>
                  <w:pPr>
                    <w:pStyle w:val="50"/>
                    <w:spacing w:line="380" w:lineRule="exact"/>
                    <w:rPr>
                      <w:rFonts w:hint="eastAsia"/>
                      <w:szCs w:val="21"/>
                    </w:rPr>
                  </w:pPr>
                  <w:r>
                    <w:rPr>
                      <w:rFonts w:hint="eastAsia"/>
                      <w:szCs w:val="21"/>
                    </w:rPr>
                    <w:t>1</w:t>
                  </w:r>
                </w:p>
              </w:tc>
              <w:tc>
                <w:tcPr>
                  <w:tcW w:w="395" w:type="dxa"/>
                  <w:tcBorders>
                    <w:tl2br w:val="nil"/>
                    <w:tr2bl w:val="nil"/>
                  </w:tcBorders>
                  <w:noWrap w:val="0"/>
                  <w:vAlign w:val="center"/>
                </w:tcPr>
                <w:p>
                  <w:pPr>
                    <w:pStyle w:val="50"/>
                    <w:spacing w:line="380" w:lineRule="exact"/>
                    <w:rPr>
                      <w:rFonts w:hint="eastAsia"/>
                      <w:szCs w:val="21"/>
                    </w:rPr>
                  </w:pPr>
                  <w:r>
                    <w:rPr>
                      <w:rFonts w:hint="eastAsia"/>
                      <w:szCs w:val="21"/>
                    </w:rPr>
                    <w:t>1.5</w:t>
                  </w:r>
                </w:p>
              </w:tc>
              <w:tc>
                <w:tcPr>
                  <w:tcW w:w="273" w:type="pct"/>
                  <w:tcBorders>
                    <w:tl2br w:val="nil"/>
                    <w:tr2bl w:val="nil"/>
                  </w:tcBorders>
                  <w:noWrap w:val="0"/>
                  <w:vAlign w:val="center"/>
                </w:tcPr>
                <w:p>
                  <w:pPr>
                    <w:pStyle w:val="95"/>
                    <w:rPr>
                      <w:rFonts w:hint="eastAsia" w:eastAsia="宋体"/>
                      <w:kern w:val="2"/>
                      <w:sz w:val="21"/>
                      <w:szCs w:val="21"/>
                      <w:lang w:val="en-US" w:eastAsia="zh-CN"/>
                    </w:rPr>
                  </w:pPr>
                  <w:r>
                    <w:rPr>
                      <w:rFonts w:hint="eastAsia"/>
                      <w:kern w:val="2"/>
                      <w:sz w:val="21"/>
                      <w:szCs w:val="21"/>
                      <w:lang w:val="en-US" w:eastAsia="zh-CN"/>
                    </w:rPr>
                    <w:t>1</w:t>
                  </w:r>
                </w:p>
              </w:tc>
              <w:tc>
                <w:tcPr>
                  <w:tcW w:w="626" w:type="dxa"/>
                  <w:tcBorders>
                    <w:tl2br w:val="nil"/>
                    <w:tr2bl w:val="nil"/>
                  </w:tcBorders>
                  <w:noWrap w:val="0"/>
                  <w:vAlign w:val="center"/>
                </w:tcPr>
                <w:p>
                  <w:pPr>
                    <w:rPr>
                      <w:rFonts w:hint="eastAsia"/>
                      <w:kern w:val="2"/>
                      <w:sz w:val="21"/>
                      <w:szCs w:val="21"/>
                    </w:rPr>
                  </w:pPr>
                  <w:r>
                    <w:rPr>
                      <w:rFonts w:hint="eastAsia"/>
                      <w:kern w:val="2"/>
                      <w:sz w:val="21"/>
                      <w:szCs w:val="21"/>
                    </w:rPr>
                    <w:t>7</w:t>
                  </w:r>
                  <w:r>
                    <w:rPr>
                      <w:rFonts w:hint="eastAsia"/>
                      <w:kern w:val="2"/>
                      <w:sz w:val="21"/>
                      <w:szCs w:val="21"/>
                      <w:lang w:val="en-US" w:eastAsia="zh-CN"/>
                    </w:rPr>
                    <w:t>1</w:t>
                  </w:r>
                  <w:r>
                    <w:rPr>
                      <w:rFonts w:hint="eastAsia"/>
                      <w:kern w:val="2"/>
                      <w:sz w:val="21"/>
                      <w:szCs w:val="21"/>
                    </w:rPr>
                    <w:t>.00</w:t>
                  </w:r>
                </w:p>
              </w:tc>
              <w:tc>
                <w:tcPr>
                  <w:tcW w:w="566" w:type="dxa"/>
                  <w:tcBorders>
                    <w:tl2br w:val="nil"/>
                    <w:tr2bl w:val="nil"/>
                  </w:tcBorders>
                  <w:noWrap w:val="0"/>
                  <w:vAlign w:val="center"/>
                </w:tcPr>
                <w:p>
                  <w:pPr>
                    <w:pStyle w:val="95"/>
                    <w:rPr>
                      <w:rFonts w:hint="eastAsia"/>
                      <w:kern w:val="2"/>
                      <w:sz w:val="21"/>
                      <w:szCs w:val="21"/>
                    </w:rPr>
                  </w:pPr>
                  <w:r>
                    <w:rPr>
                      <w:rFonts w:hint="eastAsia"/>
                      <w:sz w:val="21"/>
                      <w:szCs w:val="21"/>
                    </w:rPr>
                    <w:t>20</w:t>
                  </w:r>
                </w:p>
              </w:tc>
              <w:tc>
                <w:tcPr>
                  <w:tcW w:w="626" w:type="dxa"/>
                  <w:tcBorders>
                    <w:tl2br w:val="nil"/>
                    <w:tr2bl w:val="nil"/>
                  </w:tcBorders>
                  <w:noWrap w:val="0"/>
                  <w:vAlign w:val="center"/>
                </w:tcPr>
                <w:p>
                  <w:pPr>
                    <w:rPr>
                      <w:rFonts w:hint="eastAsia"/>
                      <w:kern w:val="2"/>
                      <w:sz w:val="21"/>
                      <w:szCs w:val="21"/>
                    </w:rPr>
                  </w:pPr>
                  <w:r>
                    <w:rPr>
                      <w:rFonts w:hint="eastAsia"/>
                      <w:kern w:val="2"/>
                      <w:sz w:val="21"/>
                      <w:szCs w:val="21"/>
                    </w:rPr>
                    <w:t>5</w:t>
                  </w:r>
                  <w:r>
                    <w:rPr>
                      <w:rFonts w:hint="eastAsia"/>
                      <w:kern w:val="2"/>
                      <w:sz w:val="21"/>
                      <w:szCs w:val="21"/>
                      <w:lang w:val="en-US" w:eastAsia="zh-CN"/>
                    </w:rPr>
                    <w:t>3</w:t>
                  </w:r>
                  <w:r>
                    <w:rPr>
                      <w:rFonts w:hint="eastAsia"/>
                      <w:kern w:val="2"/>
                      <w:sz w:val="21"/>
                      <w:szCs w:val="21"/>
                    </w:rPr>
                    <w:t>.0</w:t>
                  </w:r>
                  <w:r>
                    <w:rPr>
                      <w:rFonts w:hint="eastAsia"/>
                      <w:kern w:val="2"/>
                      <w:sz w:val="21"/>
                      <w:szCs w:val="21"/>
                      <w:lang w:val="en-US" w:eastAsia="zh-CN"/>
                    </w:rPr>
                    <w:t>4</w:t>
                  </w:r>
                </w:p>
              </w:tc>
              <w:tc>
                <w:tcPr>
                  <w:tcW w:w="385" w:type="dxa"/>
                  <w:tcBorders>
                    <w:tl2br w:val="nil"/>
                    <w:tr2bl w:val="nil"/>
                  </w:tcBorders>
                  <w:noWrap w:val="0"/>
                  <w:vAlign w:val="center"/>
                </w:tcPr>
                <w:p>
                  <w:pPr>
                    <w:pStyle w:val="95"/>
                    <w:rPr>
                      <w:rFonts w:hint="eastAsia"/>
                      <w:kern w:val="2"/>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rFonts w:hint="default" w:eastAsia="宋体"/>
                      <w:szCs w:val="21"/>
                      <w:lang w:val="en-US" w:eastAsia="zh-CN"/>
                    </w:rPr>
                  </w:pPr>
                  <w:r>
                    <w:rPr>
                      <w:rFonts w:hint="eastAsia"/>
                      <w:szCs w:val="21"/>
                      <w:lang w:val="en-US" w:eastAsia="zh-CN"/>
                    </w:rPr>
                    <w:t>11</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restart"/>
                  <w:tcBorders>
                    <w:tl2br w:val="nil"/>
                    <w:tr2bl w:val="nil"/>
                  </w:tcBorders>
                  <w:noWrap w:val="0"/>
                  <w:vAlign w:val="center"/>
                </w:tcPr>
                <w:p>
                  <w:pPr>
                    <w:pStyle w:val="50"/>
                    <w:spacing w:line="380" w:lineRule="exact"/>
                    <w:rPr>
                      <w:rFonts w:hint="eastAsia"/>
                      <w:szCs w:val="21"/>
                    </w:rPr>
                  </w:pPr>
                  <w:r>
                    <w:rPr>
                      <w:rFonts w:hint="eastAsia"/>
                      <w:szCs w:val="21"/>
                    </w:rPr>
                    <w:t>废气治理</w:t>
                  </w: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风机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85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rPr>
                    <w:t>12</w:t>
                  </w:r>
                </w:p>
              </w:tc>
              <w:tc>
                <w:tcPr>
                  <w:tcW w:w="165" w:type="pct"/>
                  <w:tcBorders>
                    <w:tl2br w:val="nil"/>
                    <w:tr2bl w:val="nil"/>
                  </w:tcBorders>
                  <w:noWrap w:val="0"/>
                  <w:vAlign w:val="center"/>
                </w:tcPr>
                <w:p>
                  <w:pPr>
                    <w:pStyle w:val="50"/>
                    <w:spacing w:line="380" w:lineRule="exact"/>
                    <w:rPr>
                      <w:szCs w:val="21"/>
                    </w:rPr>
                  </w:pPr>
                  <w:r>
                    <w:rPr>
                      <w:rFonts w:hint="eastAsia"/>
                      <w:szCs w:val="21"/>
                    </w:rPr>
                    <w:t>1</w:t>
                  </w:r>
                </w:p>
              </w:tc>
              <w:tc>
                <w:tcPr>
                  <w:tcW w:w="231" w:type="pct"/>
                  <w:tcBorders>
                    <w:tl2br w:val="nil"/>
                    <w:tr2bl w:val="nil"/>
                  </w:tcBorders>
                  <w:noWrap w:val="0"/>
                  <w:vAlign w:val="center"/>
                </w:tcPr>
                <w:p>
                  <w:pPr>
                    <w:pStyle w:val="95"/>
                    <w:rPr>
                      <w:sz w:val="21"/>
                      <w:szCs w:val="21"/>
                    </w:rPr>
                  </w:pPr>
                  <w:r>
                    <w:rPr>
                      <w:rFonts w:hint="eastAsia"/>
                      <w:sz w:val="21"/>
                      <w:szCs w:val="21"/>
                    </w:rPr>
                    <w:t>1.5</w:t>
                  </w:r>
                </w:p>
              </w:tc>
              <w:tc>
                <w:tcPr>
                  <w:tcW w:w="273" w:type="pct"/>
                  <w:tcBorders>
                    <w:tl2br w:val="nil"/>
                    <w:tr2bl w:val="nil"/>
                  </w:tcBorders>
                  <w:noWrap w:val="0"/>
                  <w:vAlign w:val="center"/>
                </w:tcPr>
                <w:p>
                  <w:pPr>
                    <w:pStyle w:val="50"/>
                    <w:spacing w:line="380" w:lineRule="exact"/>
                    <w:rPr>
                      <w:szCs w:val="21"/>
                    </w:rPr>
                  </w:pPr>
                  <w:r>
                    <w:rPr>
                      <w:rFonts w:hint="eastAsia"/>
                      <w:szCs w:val="21"/>
                    </w:rPr>
                    <w:t>1</w:t>
                  </w:r>
                </w:p>
              </w:tc>
              <w:tc>
                <w:tcPr>
                  <w:tcW w:w="366" w:type="pct"/>
                  <w:tcBorders>
                    <w:tl2br w:val="nil"/>
                    <w:tr2bl w:val="nil"/>
                  </w:tcBorders>
                  <w:noWrap w:val="0"/>
                  <w:vAlign w:val="center"/>
                </w:tcPr>
                <w:p>
                  <w:pPr>
                    <w:rPr>
                      <w:rFonts w:ascii="宋体" w:hAnsi="宋体" w:cs="宋体"/>
                      <w:sz w:val="21"/>
                      <w:szCs w:val="21"/>
                    </w:rPr>
                  </w:pPr>
                  <w:r>
                    <w:rPr>
                      <w:rFonts w:hint="eastAsia"/>
                      <w:kern w:val="2"/>
                      <w:sz w:val="21"/>
                      <w:szCs w:val="21"/>
                    </w:rPr>
                    <w:t>7</w:t>
                  </w:r>
                  <w:r>
                    <w:rPr>
                      <w:rFonts w:hint="eastAsia"/>
                      <w:kern w:val="2"/>
                      <w:sz w:val="21"/>
                      <w:szCs w:val="21"/>
                      <w:lang w:val="en-US" w:eastAsia="zh-CN"/>
                    </w:rPr>
                    <w:t>1</w:t>
                  </w:r>
                  <w:r>
                    <w:rPr>
                      <w:rFonts w:hint="eastAsia"/>
                      <w:kern w:val="2"/>
                      <w:sz w:val="21"/>
                      <w:szCs w:val="21"/>
                    </w:rPr>
                    <w:t>.00</w:t>
                  </w:r>
                </w:p>
              </w:tc>
              <w:tc>
                <w:tcPr>
                  <w:tcW w:w="331" w:type="pct"/>
                  <w:tcBorders>
                    <w:tl2br w:val="nil"/>
                    <w:tr2bl w:val="nil"/>
                  </w:tcBorders>
                  <w:noWrap w:val="0"/>
                  <w:vAlign w:val="center"/>
                </w:tcPr>
                <w:p>
                  <w:pPr>
                    <w:pStyle w:val="95"/>
                    <w:rPr>
                      <w:sz w:val="21"/>
                      <w:szCs w:val="21"/>
                    </w:rPr>
                  </w:pPr>
                  <w:r>
                    <w:rPr>
                      <w:rFonts w:hint="eastAsia"/>
                      <w:sz w:val="21"/>
                      <w:szCs w:val="21"/>
                    </w:rPr>
                    <w:t>20</w:t>
                  </w:r>
                </w:p>
              </w:tc>
              <w:tc>
                <w:tcPr>
                  <w:tcW w:w="366" w:type="pct"/>
                  <w:tcBorders>
                    <w:tl2br w:val="nil"/>
                    <w:tr2bl w:val="nil"/>
                  </w:tcBorders>
                  <w:noWrap w:val="0"/>
                  <w:vAlign w:val="center"/>
                </w:tcPr>
                <w:p>
                  <w:pPr>
                    <w:rPr>
                      <w:rFonts w:ascii="宋体" w:hAnsi="宋体" w:cs="宋体"/>
                      <w:sz w:val="21"/>
                      <w:szCs w:val="21"/>
                    </w:rPr>
                  </w:pPr>
                  <w:r>
                    <w:rPr>
                      <w:rFonts w:hint="eastAsia"/>
                      <w:kern w:val="2"/>
                      <w:sz w:val="21"/>
                      <w:szCs w:val="21"/>
                    </w:rPr>
                    <w:t>5</w:t>
                  </w:r>
                  <w:r>
                    <w:rPr>
                      <w:rFonts w:hint="eastAsia"/>
                      <w:kern w:val="2"/>
                      <w:sz w:val="21"/>
                      <w:szCs w:val="21"/>
                      <w:lang w:val="en-US" w:eastAsia="zh-CN"/>
                    </w:rPr>
                    <w:t>3</w:t>
                  </w:r>
                  <w:r>
                    <w:rPr>
                      <w:rFonts w:hint="eastAsia"/>
                      <w:kern w:val="2"/>
                      <w:sz w:val="21"/>
                      <w:szCs w:val="21"/>
                    </w:rPr>
                    <w:t>.0</w:t>
                  </w:r>
                  <w:r>
                    <w:rPr>
                      <w:rFonts w:hint="eastAsia"/>
                      <w:kern w:val="2"/>
                      <w:sz w:val="21"/>
                      <w:szCs w:val="21"/>
                      <w:lang w:val="en-US" w:eastAsia="zh-CN"/>
                    </w:rPr>
                    <w:t>4</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rFonts w:hint="default" w:eastAsia="宋体"/>
                      <w:szCs w:val="21"/>
                      <w:lang w:val="en-US" w:eastAsia="zh-CN"/>
                    </w:rPr>
                  </w:pPr>
                  <w:r>
                    <w:rPr>
                      <w:rFonts w:hint="eastAsia"/>
                      <w:szCs w:val="21"/>
                      <w:lang w:val="en-US" w:eastAsia="zh-CN"/>
                    </w:rPr>
                    <w:t>12</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rFonts w:hint="eastAsia"/>
                      <w:szCs w:val="21"/>
                    </w:rPr>
                  </w:pPr>
                </w:p>
              </w:tc>
              <w:tc>
                <w:tcPr>
                  <w:tcW w:w="529" w:type="pct"/>
                  <w:tcBorders>
                    <w:tl2br w:val="nil"/>
                    <w:tr2bl w:val="nil"/>
                  </w:tcBorders>
                  <w:noWrap w:val="0"/>
                  <w:vAlign w:val="center"/>
                </w:tcPr>
                <w:p>
                  <w:pPr>
                    <w:pStyle w:val="50"/>
                    <w:spacing w:line="380" w:lineRule="exact"/>
                    <w:rPr>
                      <w:rFonts w:hint="eastAsia"/>
                      <w:szCs w:val="21"/>
                    </w:rPr>
                  </w:pPr>
                  <w:r>
                    <w:rPr>
                      <w:rFonts w:hint="eastAsia"/>
                      <w:szCs w:val="21"/>
                    </w:rPr>
                    <w:t>风机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85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lang w:val="en-US" w:eastAsia="zh-CN"/>
                    </w:rPr>
                    <w:t>1</w:t>
                  </w:r>
                  <w:r>
                    <w:rPr>
                      <w:rFonts w:hint="eastAsia"/>
                      <w:szCs w:val="21"/>
                    </w:rPr>
                    <w:t>2</w:t>
                  </w:r>
                </w:p>
              </w:tc>
              <w:tc>
                <w:tcPr>
                  <w:tcW w:w="165" w:type="pct"/>
                  <w:tcBorders>
                    <w:tl2br w:val="nil"/>
                    <w:tr2bl w:val="nil"/>
                  </w:tcBorders>
                  <w:noWrap w:val="0"/>
                  <w:vAlign w:val="center"/>
                </w:tcPr>
                <w:p>
                  <w:pPr>
                    <w:pStyle w:val="50"/>
                    <w:spacing w:line="380" w:lineRule="exact"/>
                    <w:rPr>
                      <w:szCs w:val="21"/>
                    </w:rPr>
                  </w:pPr>
                  <w:r>
                    <w:rPr>
                      <w:rFonts w:hint="eastAsia"/>
                      <w:szCs w:val="21"/>
                    </w:rPr>
                    <w:t>1</w:t>
                  </w:r>
                </w:p>
              </w:tc>
              <w:tc>
                <w:tcPr>
                  <w:tcW w:w="231" w:type="pct"/>
                  <w:tcBorders>
                    <w:tl2br w:val="nil"/>
                    <w:tr2bl w:val="nil"/>
                  </w:tcBorders>
                  <w:noWrap w:val="0"/>
                  <w:vAlign w:val="center"/>
                </w:tcPr>
                <w:p>
                  <w:pPr>
                    <w:pStyle w:val="95"/>
                    <w:rPr>
                      <w:sz w:val="21"/>
                      <w:szCs w:val="21"/>
                    </w:rPr>
                  </w:pPr>
                  <w:r>
                    <w:rPr>
                      <w:rFonts w:hint="eastAsia"/>
                      <w:sz w:val="21"/>
                      <w:szCs w:val="21"/>
                    </w:rPr>
                    <w:t>1.5</w:t>
                  </w:r>
                </w:p>
              </w:tc>
              <w:tc>
                <w:tcPr>
                  <w:tcW w:w="273" w:type="pct"/>
                  <w:tcBorders>
                    <w:tl2br w:val="nil"/>
                    <w:tr2bl w:val="nil"/>
                  </w:tcBorders>
                  <w:noWrap w:val="0"/>
                  <w:vAlign w:val="center"/>
                </w:tcPr>
                <w:p>
                  <w:pPr>
                    <w:pStyle w:val="50"/>
                    <w:spacing w:line="380" w:lineRule="exact"/>
                    <w:rPr>
                      <w:szCs w:val="21"/>
                    </w:rPr>
                  </w:pPr>
                  <w:r>
                    <w:rPr>
                      <w:rFonts w:hint="eastAsia"/>
                      <w:szCs w:val="21"/>
                    </w:rPr>
                    <w:t>1</w:t>
                  </w:r>
                </w:p>
              </w:tc>
              <w:tc>
                <w:tcPr>
                  <w:tcW w:w="366" w:type="pct"/>
                  <w:tcBorders>
                    <w:tl2br w:val="nil"/>
                    <w:tr2bl w:val="nil"/>
                  </w:tcBorders>
                  <w:noWrap w:val="0"/>
                  <w:vAlign w:val="center"/>
                </w:tcPr>
                <w:p>
                  <w:pPr>
                    <w:rPr>
                      <w:rFonts w:ascii="宋体" w:hAnsi="宋体" w:cs="宋体"/>
                      <w:sz w:val="21"/>
                      <w:szCs w:val="21"/>
                    </w:rPr>
                  </w:pPr>
                  <w:r>
                    <w:rPr>
                      <w:rFonts w:hint="eastAsia"/>
                      <w:kern w:val="2"/>
                      <w:sz w:val="21"/>
                      <w:szCs w:val="21"/>
                    </w:rPr>
                    <w:t>7</w:t>
                  </w:r>
                  <w:r>
                    <w:rPr>
                      <w:rFonts w:hint="eastAsia"/>
                      <w:kern w:val="2"/>
                      <w:sz w:val="21"/>
                      <w:szCs w:val="21"/>
                      <w:lang w:val="en-US" w:eastAsia="zh-CN"/>
                    </w:rPr>
                    <w:t>1</w:t>
                  </w:r>
                  <w:r>
                    <w:rPr>
                      <w:rFonts w:hint="eastAsia"/>
                      <w:kern w:val="2"/>
                      <w:sz w:val="21"/>
                      <w:szCs w:val="21"/>
                    </w:rPr>
                    <w:t>.00</w:t>
                  </w:r>
                </w:p>
              </w:tc>
              <w:tc>
                <w:tcPr>
                  <w:tcW w:w="331" w:type="pct"/>
                  <w:tcBorders>
                    <w:tl2br w:val="nil"/>
                    <w:tr2bl w:val="nil"/>
                  </w:tcBorders>
                  <w:noWrap w:val="0"/>
                  <w:vAlign w:val="center"/>
                </w:tcPr>
                <w:p>
                  <w:pPr>
                    <w:pStyle w:val="95"/>
                    <w:rPr>
                      <w:sz w:val="21"/>
                      <w:szCs w:val="21"/>
                    </w:rPr>
                  </w:pPr>
                  <w:r>
                    <w:rPr>
                      <w:rFonts w:hint="eastAsia"/>
                      <w:sz w:val="21"/>
                      <w:szCs w:val="21"/>
                    </w:rPr>
                    <w:t>20</w:t>
                  </w:r>
                </w:p>
              </w:tc>
              <w:tc>
                <w:tcPr>
                  <w:tcW w:w="366" w:type="pct"/>
                  <w:tcBorders>
                    <w:tl2br w:val="nil"/>
                    <w:tr2bl w:val="nil"/>
                  </w:tcBorders>
                  <w:noWrap w:val="0"/>
                  <w:vAlign w:val="center"/>
                </w:tcPr>
                <w:p>
                  <w:pPr>
                    <w:rPr>
                      <w:rFonts w:ascii="宋体" w:hAnsi="宋体" w:cs="宋体"/>
                      <w:sz w:val="21"/>
                      <w:szCs w:val="21"/>
                    </w:rPr>
                  </w:pPr>
                  <w:r>
                    <w:rPr>
                      <w:rFonts w:hint="eastAsia"/>
                      <w:kern w:val="2"/>
                      <w:sz w:val="21"/>
                      <w:szCs w:val="21"/>
                    </w:rPr>
                    <w:t>5</w:t>
                  </w:r>
                  <w:r>
                    <w:rPr>
                      <w:rFonts w:hint="eastAsia"/>
                      <w:kern w:val="2"/>
                      <w:sz w:val="21"/>
                      <w:szCs w:val="21"/>
                      <w:lang w:val="en-US" w:eastAsia="zh-CN"/>
                    </w:rPr>
                    <w:t>3</w:t>
                  </w:r>
                  <w:r>
                    <w:rPr>
                      <w:rFonts w:hint="eastAsia"/>
                      <w:kern w:val="2"/>
                      <w:sz w:val="21"/>
                      <w:szCs w:val="21"/>
                    </w:rPr>
                    <w:t>.0</w:t>
                  </w:r>
                  <w:r>
                    <w:rPr>
                      <w:rFonts w:hint="eastAsia"/>
                      <w:kern w:val="2"/>
                      <w:sz w:val="21"/>
                      <w:szCs w:val="21"/>
                      <w:lang w:val="en-US" w:eastAsia="zh-CN"/>
                    </w:rPr>
                    <w:t>4</w:t>
                  </w:r>
                </w:p>
              </w:tc>
              <w:tc>
                <w:tcPr>
                  <w:tcW w:w="224" w:type="pct"/>
                  <w:tcBorders>
                    <w:tl2br w:val="nil"/>
                    <w:tr2bl w:val="nil"/>
                  </w:tcBorders>
                  <w:noWrap w:val="0"/>
                  <w:vAlign w:val="center"/>
                </w:tcPr>
                <w:p>
                  <w:pPr>
                    <w:pStyle w:val="95"/>
                    <w:rPr>
                      <w:sz w:val="21"/>
                      <w:szCs w:val="21"/>
                    </w:rPr>
                  </w:pPr>
                  <w:r>
                    <w:rPr>
                      <w:rFonts w:hint="eastAsia"/>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31" w:type="pct"/>
                  <w:tcBorders>
                    <w:tl2br w:val="nil"/>
                    <w:tr2bl w:val="nil"/>
                  </w:tcBorders>
                  <w:noWrap w:val="0"/>
                  <w:vAlign w:val="center"/>
                </w:tcPr>
                <w:p>
                  <w:pPr>
                    <w:pStyle w:val="50"/>
                    <w:spacing w:line="380" w:lineRule="exact"/>
                    <w:rPr>
                      <w:rFonts w:hint="default" w:eastAsia="宋体"/>
                      <w:szCs w:val="21"/>
                      <w:lang w:val="en-US" w:eastAsia="zh-CN"/>
                    </w:rPr>
                  </w:pPr>
                  <w:r>
                    <w:rPr>
                      <w:rFonts w:hint="eastAsia"/>
                      <w:szCs w:val="21"/>
                      <w:lang w:val="en-US" w:eastAsia="zh-CN"/>
                    </w:rPr>
                    <w:t>13</w:t>
                  </w:r>
                </w:p>
              </w:tc>
              <w:tc>
                <w:tcPr>
                  <w:tcW w:w="205" w:type="pct"/>
                  <w:vMerge w:val="continue"/>
                  <w:tcBorders>
                    <w:tl2br w:val="nil"/>
                    <w:tr2bl w:val="nil"/>
                  </w:tcBorders>
                  <w:noWrap w:val="0"/>
                  <w:vAlign w:val="center"/>
                </w:tcPr>
                <w:p>
                  <w:pPr>
                    <w:pStyle w:val="50"/>
                    <w:spacing w:line="380" w:lineRule="exact"/>
                    <w:rPr>
                      <w:rFonts w:hint="eastAsia"/>
                      <w:szCs w:val="21"/>
                    </w:rPr>
                  </w:pPr>
                </w:p>
              </w:tc>
              <w:tc>
                <w:tcPr>
                  <w:tcW w:w="259" w:type="pct"/>
                  <w:vMerge w:val="continue"/>
                  <w:tcBorders>
                    <w:tl2br w:val="nil"/>
                    <w:tr2bl w:val="nil"/>
                  </w:tcBorders>
                  <w:noWrap w:val="0"/>
                  <w:vAlign w:val="center"/>
                </w:tcPr>
                <w:p>
                  <w:pPr>
                    <w:pStyle w:val="50"/>
                    <w:spacing w:line="380" w:lineRule="exact"/>
                    <w:rPr>
                      <w:szCs w:val="21"/>
                    </w:rPr>
                  </w:pPr>
                </w:p>
              </w:tc>
              <w:tc>
                <w:tcPr>
                  <w:tcW w:w="529" w:type="pct"/>
                  <w:tcBorders>
                    <w:tl2br w:val="nil"/>
                    <w:tr2bl w:val="nil"/>
                  </w:tcBorders>
                  <w:noWrap w:val="0"/>
                  <w:vAlign w:val="center"/>
                </w:tcPr>
                <w:p>
                  <w:pPr>
                    <w:pStyle w:val="50"/>
                    <w:spacing w:line="380" w:lineRule="exact"/>
                    <w:rPr>
                      <w:szCs w:val="21"/>
                    </w:rPr>
                  </w:pPr>
                  <w:r>
                    <w:rPr>
                      <w:rFonts w:hint="eastAsia"/>
                      <w:szCs w:val="21"/>
                    </w:rPr>
                    <w:t>风机</w:t>
                  </w:r>
                </w:p>
              </w:tc>
              <w:tc>
                <w:tcPr>
                  <w:tcW w:w="221"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655" w:type="pct"/>
                  <w:tcBorders>
                    <w:tl2br w:val="nil"/>
                    <w:tr2bl w:val="nil"/>
                  </w:tcBorders>
                  <w:noWrap w:val="0"/>
                  <w:vAlign w:val="center"/>
                </w:tcPr>
                <w:p>
                  <w:pPr>
                    <w:pStyle w:val="50"/>
                    <w:spacing w:line="380" w:lineRule="exact"/>
                    <w:rPr>
                      <w:rFonts w:hint="eastAsia"/>
                      <w:szCs w:val="21"/>
                    </w:rPr>
                  </w:pPr>
                  <w:r>
                    <w:rPr>
                      <w:rFonts w:hint="eastAsia"/>
                      <w:szCs w:val="21"/>
                    </w:rPr>
                    <w:t>/</w:t>
                  </w:r>
                </w:p>
              </w:tc>
              <w:tc>
                <w:tcPr>
                  <w:tcW w:w="574" w:type="pct"/>
                  <w:tcBorders>
                    <w:tl2br w:val="nil"/>
                    <w:tr2bl w:val="nil"/>
                  </w:tcBorders>
                  <w:noWrap w:val="0"/>
                  <w:vAlign w:val="center"/>
                </w:tcPr>
                <w:p>
                  <w:pPr>
                    <w:pStyle w:val="95"/>
                    <w:rPr>
                      <w:sz w:val="21"/>
                      <w:szCs w:val="21"/>
                    </w:rPr>
                  </w:pPr>
                  <w:r>
                    <w:rPr>
                      <w:rFonts w:hint="eastAsia"/>
                      <w:sz w:val="21"/>
                      <w:szCs w:val="21"/>
                    </w:rPr>
                    <w:t>85</w:t>
                  </w:r>
                </w:p>
              </w:tc>
              <w:tc>
                <w:tcPr>
                  <w:tcW w:w="300" w:type="pct"/>
                  <w:vMerge w:val="continue"/>
                  <w:tcBorders>
                    <w:tl2br w:val="nil"/>
                    <w:tr2bl w:val="nil"/>
                  </w:tcBorders>
                  <w:noWrap w:val="0"/>
                  <w:vAlign w:val="center"/>
                </w:tcPr>
                <w:p>
                  <w:pPr>
                    <w:pStyle w:val="50"/>
                    <w:spacing w:line="380" w:lineRule="exact"/>
                    <w:rPr>
                      <w:rFonts w:hint="eastAsia"/>
                      <w:szCs w:val="21"/>
                    </w:rPr>
                  </w:pPr>
                </w:p>
              </w:tc>
              <w:tc>
                <w:tcPr>
                  <w:tcW w:w="165" w:type="pct"/>
                  <w:tcBorders>
                    <w:tl2br w:val="nil"/>
                    <w:tr2bl w:val="nil"/>
                  </w:tcBorders>
                  <w:noWrap w:val="0"/>
                  <w:vAlign w:val="center"/>
                </w:tcPr>
                <w:p>
                  <w:pPr>
                    <w:pStyle w:val="50"/>
                    <w:spacing w:line="380" w:lineRule="exact"/>
                    <w:rPr>
                      <w:szCs w:val="21"/>
                    </w:rPr>
                  </w:pPr>
                  <w:r>
                    <w:rPr>
                      <w:rFonts w:hint="eastAsia"/>
                      <w:szCs w:val="21"/>
                      <w:lang w:val="en-US" w:eastAsia="zh-CN"/>
                    </w:rPr>
                    <w:t>1</w:t>
                  </w:r>
                  <w:r>
                    <w:rPr>
                      <w:rFonts w:hint="eastAsia"/>
                      <w:szCs w:val="21"/>
                    </w:rPr>
                    <w:t>8</w:t>
                  </w:r>
                </w:p>
              </w:tc>
              <w:tc>
                <w:tcPr>
                  <w:tcW w:w="165" w:type="pct"/>
                  <w:tcBorders>
                    <w:tl2br w:val="nil"/>
                    <w:tr2bl w:val="nil"/>
                  </w:tcBorders>
                  <w:noWrap w:val="0"/>
                  <w:vAlign w:val="center"/>
                </w:tcPr>
                <w:p>
                  <w:pPr>
                    <w:pStyle w:val="50"/>
                    <w:spacing w:line="380" w:lineRule="exact"/>
                    <w:rPr>
                      <w:szCs w:val="21"/>
                    </w:rPr>
                  </w:pPr>
                  <w:r>
                    <w:rPr>
                      <w:rFonts w:hint="eastAsia"/>
                      <w:szCs w:val="21"/>
                    </w:rPr>
                    <w:t>23</w:t>
                  </w:r>
                </w:p>
              </w:tc>
              <w:tc>
                <w:tcPr>
                  <w:tcW w:w="231" w:type="pct"/>
                  <w:tcBorders>
                    <w:tl2br w:val="nil"/>
                    <w:tr2bl w:val="nil"/>
                  </w:tcBorders>
                  <w:noWrap w:val="0"/>
                  <w:vAlign w:val="center"/>
                </w:tcPr>
                <w:p>
                  <w:pPr>
                    <w:pStyle w:val="95"/>
                    <w:rPr>
                      <w:sz w:val="21"/>
                      <w:szCs w:val="21"/>
                    </w:rPr>
                  </w:pPr>
                  <w:r>
                    <w:rPr>
                      <w:rFonts w:hint="eastAsia"/>
                      <w:sz w:val="21"/>
                      <w:szCs w:val="21"/>
                    </w:rPr>
                    <w:t>1.5</w:t>
                  </w:r>
                </w:p>
              </w:tc>
              <w:tc>
                <w:tcPr>
                  <w:tcW w:w="273" w:type="pct"/>
                  <w:tcBorders>
                    <w:tl2br w:val="nil"/>
                    <w:tr2bl w:val="nil"/>
                  </w:tcBorders>
                  <w:noWrap w:val="0"/>
                  <w:vAlign w:val="center"/>
                </w:tcPr>
                <w:p>
                  <w:pPr>
                    <w:pStyle w:val="50"/>
                    <w:spacing w:line="380" w:lineRule="exact"/>
                    <w:rPr>
                      <w:szCs w:val="21"/>
                    </w:rPr>
                  </w:pPr>
                  <w:r>
                    <w:rPr>
                      <w:rFonts w:hint="eastAsia"/>
                      <w:szCs w:val="21"/>
                    </w:rPr>
                    <w:t>1</w:t>
                  </w:r>
                </w:p>
              </w:tc>
              <w:tc>
                <w:tcPr>
                  <w:tcW w:w="366" w:type="pct"/>
                  <w:tcBorders>
                    <w:tl2br w:val="nil"/>
                    <w:tr2bl w:val="nil"/>
                  </w:tcBorders>
                  <w:noWrap w:val="0"/>
                  <w:vAlign w:val="center"/>
                </w:tcPr>
                <w:p>
                  <w:pPr>
                    <w:rPr>
                      <w:rFonts w:ascii="宋体" w:hAnsi="宋体" w:cs="宋体"/>
                      <w:sz w:val="21"/>
                      <w:szCs w:val="21"/>
                    </w:rPr>
                  </w:pPr>
                  <w:r>
                    <w:rPr>
                      <w:rFonts w:hint="eastAsia"/>
                      <w:kern w:val="2"/>
                      <w:sz w:val="21"/>
                      <w:szCs w:val="21"/>
                    </w:rPr>
                    <w:t>7</w:t>
                  </w:r>
                  <w:r>
                    <w:rPr>
                      <w:rFonts w:hint="eastAsia"/>
                      <w:kern w:val="2"/>
                      <w:sz w:val="21"/>
                      <w:szCs w:val="21"/>
                      <w:lang w:val="en-US" w:eastAsia="zh-CN"/>
                    </w:rPr>
                    <w:t>1</w:t>
                  </w:r>
                  <w:r>
                    <w:rPr>
                      <w:rFonts w:hint="eastAsia"/>
                      <w:kern w:val="2"/>
                      <w:sz w:val="21"/>
                      <w:szCs w:val="21"/>
                    </w:rPr>
                    <w:t>.00</w:t>
                  </w:r>
                </w:p>
              </w:tc>
              <w:tc>
                <w:tcPr>
                  <w:tcW w:w="331" w:type="pct"/>
                  <w:tcBorders>
                    <w:tl2br w:val="nil"/>
                    <w:tr2bl w:val="nil"/>
                  </w:tcBorders>
                  <w:noWrap w:val="0"/>
                  <w:vAlign w:val="center"/>
                </w:tcPr>
                <w:p>
                  <w:pPr>
                    <w:pStyle w:val="50"/>
                    <w:spacing w:line="380" w:lineRule="exact"/>
                    <w:rPr>
                      <w:szCs w:val="21"/>
                    </w:rPr>
                  </w:pPr>
                  <w:r>
                    <w:rPr>
                      <w:rFonts w:hint="eastAsia"/>
                      <w:szCs w:val="21"/>
                    </w:rPr>
                    <w:t>20</w:t>
                  </w:r>
                </w:p>
              </w:tc>
              <w:tc>
                <w:tcPr>
                  <w:tcW w:w="366" w:type="pct"/>
                  <w:tcBorders>
                    <w:tl2br w:val="nil"/>
                    <w:tr2bl w:val="nil"/>
                  </w:tcBorders>
                  <w:noWrap w:val="0"/>
                  <w:vAlign w:val="center"/>
                </w:tcPr>
                <w:p>
                  <w:pPr>
                    <w:rPr>
                      <w:rFonts w:ascii="宋体" w:hAnsi="宋体" w:cs="宋体"/>
                      <w:sz w:val="21"/>
                      <w:szCs w:val="21"/>
                    </w:rPr>
                  </w:pPr>
                  <w:r>
                    <w:rPr>
                      <w:rFonts w:hint="eastAsia"/>
                      <w:kern w:val="2"/>
                      <w:sz w:val="21"/>
                      <w:szCs w:val="21"/>
                    </w:rPr>
                    <w:t>5</w:t>
                  </w:r>
                  <w:r>
                    <w:rPr>
                      <w:rFonts w:hint="eastAsia"/>
                      <w:kern w:val="2"/>
                      <w:sz w:val="21"/>
                      <w:szCs w:val="21"/>
                      <w:lang w:val="en-US" w:eastAsia="zh-CN"/>
                    </w:rPr>
                    <w:t>3</w:t>
                  </w:r>
                  <w:r>
                    <w:rPr>
                      <w:rFonts w:hint="eastAsia"/>
                      <w:kern w:val="2"/>
                      <w:sz w:val="21"/>
                      <w:szCs w:val="21"/>
                    </w:rPr>
                    <w:t>.0</w:t>
                  </w:r>
                  <w:r>
                    <w:rPr>
                      <w:rFonts w:hint="eastAsia"/>
                      <w:kern w:val="2"/>
                      <w:sz w:val="21"/>
                      <w:szCs w:val="21"/>
                      <w:lang w:val="en-US" w:eastAsia="zh-CN"/>
                    </w:rPr>
                    <w:t>4</w:t>
                  </w:r>
                </w:p>
              </w:tc>
              <w:tc>
                <w:tcPr>
                  <w:tcW w:w="224" w:type="pct"/>
                  <w:tcBorders>
                    <w:tl2br w:val="nil"/>
                    <w:tr2bl w:val="nil"/>
                  </w:tcBorders>
                  <w:noWrap w:val="0"/>
                  <w:vAlign w:val="center"/>
                </w:tcPr>
                <w:p>
                  <w:pPr>
                    <w:pStyle w:val="95"/>
                    <w:rPr>
                      <w:sz w:val="21"/>
                      <w:szCs w:val="21"/>
                    </w:rPr>
                  </w:pPr>
                  <w:r>
                    <w:rPr>
                      <w:rFonts w:hint="eastAsia"/>
                      <w:sz w:val="21"/>
                      <w:szCs w:val="21"/>
                    </w:rPr>
                    <w:t>1</w:t>
                  </w:r>
                </w:p>
              </w:tc>
            </w:tr>
          </w:tbl>
          <w:p>
            <w:pPr>
              <w:pStyle w:val="60"/>
              <w:ind w:firstLine="0" w:firstLineChars="0"/>
              <w:rPr>
                <w:b/>
                <w:bCs/>
              </w:rPr>
            </w:pPr>
            <w:r>
              <w:rPr>
                <w:rFonts w:hint="eastAsia"/>
                <w:b/>
                <w:bCs/>
                <w:lang w:val="en-US" w:eastAsia="zh-CN"/>
              </w:rPr>
              <w:t>3.2</w:t>
            </w:r>
            <w:r>
              <w:rPr>
                <w:b/>
                <w:bCs/>
              </w:rPr>
              <w:t>厂界达标情况</w:t>
            </w:r>
          </w:p>
          <w:p>
            <w:pPr>
              <w:pStyle w:val="74"/>
              <w:snapToGrid w:val="0"/>
              <w:spacing w:line="520" w:lineRule="exact"/>
              <w:ind w:firstLine="480" w:firstLineChars="200"/>
            </w:pPr>
            <w:r>
              <w:t>根据《环境影响评价技术导则声环境》（HJ2.4-2021），选用预测模式，应用过程中将根据具体情况作必要简化。</w:t>
            </w:r>
          </w:p>
          <w:p>
            <w:pPr>
              <w:pStyle w:val="74"/>
              <w:snapToGrid w:val="0"/>
              <w:spacing w:line="520" w:lineRule="exact"/>
              <w:ind w:firstLine="480" w:firstLineChars="200"/>
            </w:pPr>
            <w:r>
              <w:rPr>
                <w:rFonts w:ascii="宋体"/>
              </w:rPr>
              <w:t>①</w:t>
            </w:r>
            <w:r>
              <w:t>室内点声源的预测</w:t>
            </w:r>
          </w:p>
          <w:p>
            <w:pPr>
              <w:pStyle w:val="74"/>
              <w:snapToGrid w:val="0"/>
              <w:spacing w:line="520" w:lineRule="exact"/>
              <w:ind w:firstLine="480" w:firstLineChars="200"/>
            </w:pPr>
            <w:r>
              <w:t>a、室内靠近围护结构处的倍频带声压级：</w:t>
            </w:r>
            <w:r>
              <w:rPr>
                <w:position w:val="-10"/>
              </w:rPr>
              <w:object>
                <v:shape id="_x0000_i1027" o:spt="75" type="#_x0000_t75" style="height:17pt;width:8.85pt;" o:ole="t" filled="f" o:preferrelative="t" stroked="f" coordsize="21600,21600">
                  <v:path/>
                  <v:fill on="f" focussize="0,0"/>
                  <v:stroke on="f"/>
                  <v:imagedata r:id="rId12" o:title=""/>
                  <o:lock v:ext="edit" aspectratio="t"/>
                  <w10:wrap type="none"/>
                  <w10:anchorlock/>
                </v:shape>
                <o:OLEObject Type="Embed" ProgID="Equation.3" ShapeID="_x0000_i1027" DrawAspect="Content" ObjectID="_1468075727" r:id="rId11">
                  <o:LockedField>false</o:LockedField>
                </o:OLEObject>
              </w:object>
            </w:r>
          </w:p>
          <w:p>
            <w:pPr>
              <w:pStyle w:val="74"/>
              <w:snapToGrid w:val="0"/>
              <w:spacing w:line="288" w:lineRule="auto"/>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p1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+10lg⁡(</m:t>
                </m:r>
                <m:f>
                  <m:fPr>
                    <m:ctrlPr>
                      <w:rPr>
                        <w:rFonts w:ascii="Cambria Math" w:hAnsi="Cambria Math"/>
                      </w:rPr>
                    </m:ctrlPr>
                  </m:fPr>
                  <m:num>
                    <m:r>
                      <m:rPr>
                        <m:sty m:val="p"/>
                      </m:rPr>
                      <w:rPr>
                        <w:rFonts w:ascii="Cambria Math" w:hAnsi="Cambria Math"/>
                      </w:rPr>
                      <m:t>Q</m:t>
                    </m:r>
                    <m:ctrlPr>
                      <w:rPr>
                        <w:rFonts w:ascii="Cambria Math" w:hAnsi="Cambria Math"/>
                      </w:rPr>
                    </m:ctrlPr>
                  </m:num>
                  <m:den>
                    <m:r>
                      <m:rPr>
                        <m:sty m:val="p"/>
                      </m:rPr>
                      <w:rPr>
                        <w:rFonts w:ascii="Cambria Math" w:hAnsi="Cambria Math"/>
                      </w:rPr>
                      <m:t>4π</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4</m:t>
                    </m:r>
                    <m:ctrlPr>
                      <w:rPr>
                        <w:rFonts w:ascii="Cambria Math" w:hAnsi="Cambria Math"/>
                      </w:rPr>
                    </m:ctrlPr>
                  </m:num>
                  <m:den>
                    <m:r>
                      <m:rPr>
                        <m:sty m:val="p"/>
                      </m:rPr>
                      <w:rPr>
                        <w:rFonts w:ascii="Cambria Math" w:hAnsi="Cambria Math"/>
                      </w:rPr>
                      <m:t>R</m:t>
                    </m:r>
                    <m:ctrlPr>
                      <w:rPr>
                        <w:rFonts w:ascii="Cambria Math" w:hAnsi="Cambria Math"/>
                      </w:rPr>
                    </m:ctrlPr>
                  </m:den>
                </m:f>
                <m:r>
                  <m:rPr>
                    <m:sty m:val="p"/>
                  </m:rPr>
                  <w:rPr>
                    <w:rFonts w:ascii="Cambria Math" w:hAnsi="Cambria Math"/>
                  </w:rPr>
                  <m:t>)</m:t>
                </m:r>
              </m:oMath>
            </m:oMathPara>
          </w:p>
          <w:p>
            <w:pPr>
              <w:pStyle w:val="74"/>
              <w:snapToGrid w:val="0"/>
              <w:spacing w:line="520" w:lineRule="exact"/>
              <w:ind w:firstLine="480" w:firstLineChars="200"/>
            </w:pPr>
            <w:r>
              <w:t>式中：L</w:t>
            </w:r>
            <w:r>
              <w:rPr>
                <w:vertAlign w:val="subscript"/>
              </w:rPr>
              <w:t>p1</w:t>
            </w:r>
            <w:r>
              <w:t>—靠近开口处（或窗户）室内某倍频带的声压级或A 声级，dB；</w:t>
            </w:r>
          </w:p>
          <w:p>
            <w:pPr>
              <w:pStyle w:val="74"/>
              <w:snapToGrid w:val="0"/>
              <w:spacing w:line="520" w:lineRule="exact"/>
              <w:ind w:firstLine="480" w:firstLineChars="200"/>
            </w:pPr>
            <w:r>
              <w:t xml:space="preserve">      L</w:t>
            </w:r>
            <w:r>
              <w:rPr>
                <w:vertAlign w:val="subscript"/>
              </w:rPr>
              <w:t>w</w:t>
            </w:r>
            <w:r>
              <w:t>—点声源声功率级（A 计权或倍频带），dB；</w:t>
            </w:r>
          </w:p>
          <w:p>
            <w:pPr>
              <w:pStyle w:val="74"/>
              <w:snapToGrid w:val="0"/>
              <w:spacing w:line="520" w:lineRule="exact"/>
              <w:ind w:firstLine="480" w:firstLineChars="200"/>
            </w:pPr>
            <w:r>
              <w:t xml:space="preserve">      Q—指向性因数；通常对无指向性声源，当声源放在房间中心时，Q=1；当放在一面墙的中心时，Q=2；当放在两面墙夹角处时，Q=4；当放在三面墙夹角处时，Q=8；</w:t>
            </w:r>
          </w:p>
          <w:p>
            <w:pPr>
              <w:pStyle w:val="74"/>
              <w:snapToGrid w:val="0"/>
              <w:spacing w:line="520" w:lineRule="exact"/>
              <w:ind w:firstLine="480" w:firstLineChars="200"/>
            </w:pPr>
            <w:r>
              <w:t xml:space="preserve">      R—</w:t>
            </w:r>
            <w:r>
              <w:rPr>
                <w:rFonts w:hint="eastAsia"/>
              </w:rPr>
              <w:t>房间常数；</w:t>
            </w:r>
            <w:r>
              <w:t xml:space="preserve"> </w:t>
            </w:r>
            <w:r>
              <w:fldChar w:fldCharType="begin"/>
            </w:r>
            <w:r>
              <w:instrText xml:space="preserve"> QUOTE </w:instrText>
            </w:r>
            <w:r>
              <w:rPr>
                <w:position w:val="-6"/>
              </w:rPr>
              <w:pict>
                <v:shape id="_x0000_i1028" o:spt="75" type="#_x0000_t75" style="height:24pt;width:7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171A9&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3171A9&quot;&gt;&lt;m:oMathPara&gt;&lt;m:oMath&gt;&lt;m:r&gt;&lt;m:rPr&gt;&lt;m:sty m:val=&quot;p&quot;/&gt;&lt;/m:rPr&gt;&lt;w:rPr&gt;&lt;w:rFonts w:ascii=&quot;Cambria Math&quot; w:h-ansi=&quot;Cambria Math&quot;/&gt;&lt;wx:font wx:val=&quot;Cambria Math&quot;/&gt;&lt;/w:rPr&gt;&lt;m:t&gt;R=Sα/(1-α)&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instrText xml:space="preserve"> </w:instrText>
            </w:r>
            <w:r>
              <w:fldChar w:fldCharType="separate"/>
            </w:r>
            <w:r>
              <w:rPr>
                <w:position w:val="-6"/>
              </w:rPr>
              <w:pict>
                <v:shape id="_x0000_i1029" o:spt="75" type="#_x0000_t75" style="height:24pt;width:7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171A9&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3171A9&quot;&gt;&lt;m:oMathPara&gt;&lt;m:oMath&gt;&lt;m:r&gt;&lt;m:rPr&gt;&lt;m:sty m:val=&quot;p&quot;/&gt;&lt;/m:rPr&gt;&lt;w:rPr&gt;&lt;w:rFonts w:ascii=&quot;Cambria Math&quot; w:h-ansi=&quot;Cambria Math&quot;/&gt;&lt;wx:font wx:val=&quot;Cambria Math&quot;/&gt;&lt;/w:rPr&gt;&lt;m:t&gt;R=Sα/(1-α)&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fldChar w:fldCharType="end"/>
            </w:r>
            <w:r>
              <w:t>，S</w:t>
            </w:r>
            <w:r>
              <w:rPr>
                <w:rFonts w:hint="eastAsia"/>
              </w:rPr>
              <w:t>为房间内表面面积，</w:t>
            </w:r>
            <w:r>
              <w:t>m</w:t>
            </w:r>
            <w:r>
              <w:rPr>
                <w:vertAlign w:val="superscript"/>
              </w:rPr>
              <w:t>2</w:t>
            </w:r>
            <w:r>
              <w:rPr>
                <w:rFonts w:hint="eastAsia"/>
              </w:rPr>
              <w:t>；</w:t>
            </w:r>
            <w:r>
              <w:rPr>
                <w:position w:val="-6"/>
              </w:rPr>
              <w:drawing>
                <wp:inline distT="0" distB="0" distL="114300" distR="114300">
                  <wp:extent cx="85090" cy="301625"/>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85090" cy="301625"/>
                          </a:xfrm>
                          <a:prstGeom prst="rect">
                            <a:avLst/>
                          </a:prstGeom>
                          <a:noFill/>
                          <a:ln>
                            <a:noFill/>
                          </a:ln>
                        </pic:spPr>
                      </pic:pic>
                    </a:graphicData>
                  </a:graphic>
                </wp:inline>
              </w:drawing>
            </w:r>
            <w:r>
              <w:rPr>
                <w:rFonts w:hint="eastAsia"/>
              </w:rPr>
              <w:t>为平均吸声系数；</w:t>
            </w:r>
          </w:p>
          <w:p>
            <w:pPr>
              <w:pStyle w:val="74"/>
              <w:snapToGrid w:val="0"/>
              <w:spacing w:line="520" w:lineRule="exact"/>
              <w:ind w:firstLine="480" w:firstLineChars="200"/>
            </w:pPr>
            <w:r>
              <w:t xml:space="preserve">      r—声源到靠近围护结构某点处的距离，m。</w:t>
            </w:r>
          </w:p>
          <w:p>
            <w:pPr>
              <w:pStyle w:val="74"/>
              <w:snapToGrid w:val="0"/>
              <w:spacing w:line="520" w:lineRule="exact"/>
              <w:ind w:firstLine="480" w:firstLineChars="200"/>
            </w:pPr>
            <w:r>
              <w:t>b、室内声源在靠近围护结构处产生的i倍频带声压级：</w:t>
            </w:r>
          </w:p>
          <w:p>
            <w:pPr>
              <w:pStyle w:val="74"/>
              <w:snapToGrid w:val="0"/>
              <w:spacing w:line="288" w:lineRule="auto"/>
              <w:ind w:firstLine="480" w:firstLineChars="200"/>
            </w:pPr>
            <m:oMathPara>
              <m:oMath>
                <m:sSub>
                  <m:sSubPr>
                    <m:ctrlPr>
                      <w:rPr>
                        <w:rFonts w:ascii="Cambria Math" w:hAnsi="Cambria Math"/>
                      </w:rPr>
                    </m:ctrlPr>
                  </m:sSubPr>
                  <m:e>
                    <m:r>
                      <m:rPr>
                        <m:sty m:val="p"/>
                      </m:rPr>
                      <w:rPr>
                        <w:rFonts w:ascii="Cambria Math"/>
                      </w:rPr>
                      <m:t>L</m:t>
                    </m:r>
                    <m:ctrlPr>
                      <w:rPr>
                        <w:rFonts w:ascii="Cambria Math" w:hAnsi="Cambria Math"/>
                      </w:rPr>
                    </m:ctrlPr>
                  </m:e>
                  <m:sub>
                    <m:r>
                      <m:rPr>
                        <m:sty m:val="p"/>
                      </m:rPr>
                      <w:rPr>
                        <w:rFonts w:ascii="Cambria Math"/>
                      </w:rPr>
                      <m:t>p1i</m:t>
                    </m:r>
                    <m:ctrlPr>
                      <w:rPr>
                        <w:rFonts w:ascii="Cambria Math" w:hAnsi="Cambria Math"/>
                      </w:rPr>
                    </m:ctrlPr>
                  </m:sub>
                </m:sSub>
                <m:d>
                  <m:dPr>
                    <m:ctrlPr>
                      <w:rPr>
                        <w:rFonts w:ascii="Cambria Math" w:hAnsi="Cambria Math"/>
                      </w:rPr>
                    </m:ctrlPr>
                  </m:dPr>
                  <m:e>
                    <m:r>
                      <m:rPr>
                        <m:sty m:val="p"/>
                      </m:rPr>
                      <w:rPr>
                        <w:rFonts w:ascii="Cambria Math"/>
                      </w:rPr>
                      <m:t>T</m:t>
                    </m:r>
                    <m:ctrlPr>
                      <w:rPr>
                        <w:rFonts w:ascii="Cambria Math" w:hAnsi="Cambria Math"/>
                      </w:rPr>
                    </m:ctrlPr>
                  </m:e>
                </m:d>
                <m:r>
                  <m:rPr>
                    <m:sty m:val="p"/>
                  </m:rPr>
                  <w:rPr>
                    <w:rFonts w:ascii="Cambria Math"/>
                  </w:rPr>
                  <m:t>=10lg</m:t>
                </m:r>
                <m:r>
                  <m:rPr>
                    <m:sty m:val="p"/>
                  </m:rPr>
                  <w:rPr>
                    <w:rFonts w:hAnsi="Cambria Math"/>
                  </w:rPr>
                  <m:t>⁡</m:t>
                </m:r>
                <m:r>
                  <m:rPr>
                    <m:sty m:val="p"/>
                  </m:rPr>
                  <w:rPr>
                    <w:rFonts w:ascii="Cambria Math"/>
                  </w:rPr>
                  <m:t>(</m:t>
                </m:r>
                <m:nary>
                  <m:naryPr>
                    <m:chr m:val="∑"/>
                    <m:limLoc m:val="undOvr"/>
                    <m:ctrlPr>
                      <w:rPr>
                        <w:rFonts w:ascii="Cambria Math" w:hAnsi="Cambria Math"/>
                      </w:rPr>
                    </m:ctrlPr>
                  </m:naryPr>
                  <m:sub>
                    <m:r>
                      <m:rPr>
                        <m:sty m:val="p"/>
                      </m:rPr>
                      <w:rPr>
                        <w:rFonts w:ascii="Cambria Math"/>
                      </w:rPr>
                      <m:t>j=1</m:t>
                    </m:r>
                    <m:ctrlPr>
                      <w:rPr>
                        <w:rFonts w:ascii="Cambria Math" w:hAnsi="Cambria Math"/>
                      </w:rPr>
                    </m:ctrlPr>
                  </m:sub>
                  <m:sup>
                    <m:r>
                      <m:rPr>
                        <m:sty m:val="p"/>
                      </m:rPr>
                      <w:rPr>
                        <w:rFonts w:ascii="Cambria Math"/>
                      </w:rPr>
                      <m:t>N</m:t>
                    </m:r>
                    <m:ctrlPr>
                      <w:rPr>
                        <w:rFonts w:ascii="Cambria Math" w:hAnsi="Cambria Math"/>
                      </w:rPr>
                    </m:ctrlPr>
                  </m:sup>
                  <m:e>
                    <m:sSup>
                      <m:sSupPr>
                        <m:ctrlPr>
                          <w:rPr>
                            <w:rFonts w:ascii="Cambria Math" w:hAnsi="Cambria Math"/>
                          </w:rPr>
                        </m:ctrlPr>
                      </m:sSupPr>
                      <m:e>
                        <m:r>
                          <m:rPr>
                            <m:sty m:val="p"/>
                          </m:rPr>
                          <w:rPr>
                            <w:rFonts w:ascii="Cambria Math"/>
                          </w:rPr>
                          <m:t>10</m:t>
                        </m:r>
                        <m:ctrlPr>
                          <w:rPr>
                            <w:rFonts w:ascii="Cambria Math" w:hAnsi="Cambria Math"/>
                          </w:rPr>
                        </m:ctrlPr>
                      </m:e>
                      <m:sup>
                        <m:r>
                          <m:rPr>
                            <m:sty m:val="p"/>
                          </m:rPr>
                          <w:rPr>
                            <w:rFonts w:ascii="Cambria Math"/>
                          </w:rPr>
                          <m:t>0.1</m:t>
                        </m:r>
                        <m:sSub>
                          <m:sSubPr>
                            <m:ctrlPr>
                              <w:rPr>
                                <w:rFonts w:ascii="Cambria Math" w:hAnsi="Cambria Math"/>
                              </w:rPr>
                            </m:ctrlPr>
                          </m:sSubPr>
                          <m:e>
                            <m:r>
                              <m:rPr>
                                <m:sty m:val="p"/>
                              </m:rPr>
                              <w:rPr>
                                <w:rFonts w:ascii="Cambria Math"/>
                              </w:rPr>
                              <m:t>L</m:t>
                            </m:r>
                            <m:ctrlPr>
                              <w:rPr>
                                <w:rFonts w:ascii="Cambria Math" w:hAnsi="Cambria Math"/>
                              </w:rPr>
                            </m:ctrlPr>
                          </m:e>
                          <m:sub>
                            <m:r>
                              <m:rPr>
                                <m:sty m:val="p"/>
                              </m:rPr>
                              <w:rPr>
                                <w:rFonts w:ascii="Cambria Math"/>
                              </w:rPr>
                              <m:t>p1ij</m:t>
                            </m:r>
                            <m:ctrlPr>
                              <w:rPr>
                                <w:rFonts w:ascii="Cambria Math" w:hAnsi="Cambria Math"/>
                              </w:rPr>
                            </m:ctrlPr>
                          </m:sub>
                        </m:sSub>
                        <m:ctrlPr>
                          <w:rPr>
                            <w:rFonts w:ascii="Cambria Math" w:hAnsi="Cambria Math"/>
                          </w:rPr>
                        </m:ctrlPr>
                      </m:sup>
                    </m:sSup>
                    <m:ctrlPr>
                      <w:rPr>
                        <w:rFonts w:ascii="Cambria Math" w:hAnsi="Cambria Math"/>
                      </w:rPr>
                    </m:ctrlPr>
                  </m:e>
                </m:nary>
                <m:r>
                  <m:rPr>
                    <m:sty m:val="p"/>
                  </m:rPr>
                  <w:rPr>
                    <w:rFonts w:ascii="Cambria Math"/>
                  </w:rPr>
                  <m:t>)</m:t>
                </m:r>
              </m:oMath>
            </m:oMathPara>
          </w:p>
          <w:p>
            <w:pPr>
              <w:pStyle w:val="74"/>
              <w:snapToGrid w:val="0"/>
              <w:spacing w:line="520" w:lineRule="exact"/>
              <w:ind w:firstLine="480" w:firstLineChars="200"/>
            </w:pPr>
            <w:r>
              <w:t>式中：</w:t>
            </w:r>
            <w:r>
              <w:fldChar w:fldCharType="begin"/>
            </w:r>
            <w:r>
              <w:instrText xml:space="preserve"> QUOTE </w:instrText>
            </w:r>
            <w:r>
              <w:rPr>
                <w:position w:val="-9"/>
              </w:rPr>
              <w:pict>
                <v:shape id="_x0000_i1030"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A68&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AC6A68&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lt;/m:t&gt;&lt;/m:r&gt;&lt;/m:sub&gt;&lt;/m:sSub&gt;&lt;m:r&gt;&lt;m:rPr&gt;&lt;m:sty m:val=&quot;p&quot;/&gt;&lt;/m:rPr&gt;&lt;w:rPr&gt;&lt;w:rFonts w:ascii=&quot;Cambria Math&quot;/&gt;&lt;wx:font wx:val=&quot;Cambria Math&quot;/&gt;&lt;/w:rPr&gt;&lt;m:t&gt;(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instrText xml:space="preserve"> </w:instrText>
            </w:r>
            <w:r>
              <w:fldChar w:fldCharType="separate"/>
            </w:r>
            <w:r>
              <w:rPr>
                <w:position w:val="-9"/>
              </w:rPr>
              <w:pict>
                <v:shape id="_x0000_i1031"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A68&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AC6A68&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lt;/m:t&gt;&lt;/m:r&gt;&lt;/m:sub&gt;&lt;/m:sSub&gt;&lt;m:r&gt;&lt;m:rPr&gt;&lt;m:sty m:val=&quot;p&quot;/&gt;&lt;/m:rPr&gt;&lt;w:rPr&gt;&lt;w:rFonts w:ascii=&quot;Cambria Math&quot;/&gt;&lt;wx:font wx:val=&quot;Cambria Math&quot;/&gt;&lt;/w:rPr&gt;&lt;m:t&gt;(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fldChar w:fldCharType="end"/>
            </w:r>
            <w:r>
              <w:rPr>
                <w:rFonts w:hint="eastAsia"/>
              </w:rPr>
              <w:t>-</w:t>
            </w:r>
            <w:r>
              <w:t>靠近围护结构处室内N 个声源i 倍频带的叠加声压级，dB；</w:t>
            </w:r>
          </w:p>
          <w:p>
            <w:pPr>
              <w:pStyle w:val="74"/>
              <w:snapToGrid w:val="0"/>
              <w:spacing w:line="520" w:lineRule="exact"/>
              <w:ind w:firstLine="480" w:firstLineChars="200"/>
            </w:pPr>
            <w:r>
              <w:t xml:space="preserve">       </w:t>
            </w:r>
            <w:r>
              <w:fldChar w:fldCharType="begin"/>
            </w:r>
            <w:r>
              <w:instrText xml:space="preserve"> QUOTE </w:instrText>
            </w:r>
            <w:r>
              <w:rPr>
                <w:position w:val="-9"/>
              </w:rPr>
              <w:pict>
                <v:shape id="_x0000_i1032" o:spt="75" type="#_x0000_t75" style="height:24pt;width:2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368FE&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7368F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j&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6" chromakey="#FFFFFF" o:title=""/>
                  <o:lock v:ext="edit" aspectratio="t"/>
                  <w10:wrap type="none"/>
                  <w10:anchorlock/>
                </v:shape>
              </w:pict>
            </w:r>
            <w:r>
              <w:instrText xml:space="preserve"> </w:instrText>
            </w:r>
            <w:r>
              <w:fldChar w:fldCharType="separate"/>
            </w:r>
            <w:r>
              <w:rPr>
                <w:position w:val="-9"/>
              </w:rPr>
              <w:pict>
                <v:shape id="_x0000_i1033" o:spt="75" type="#_x0000_t75" style="height:24pt;width:2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368FE&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7368F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j&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6" chromakey="#FFFFFF" o:title=""/>
                  <o:lock v:ext="edit" aspectratio="t"/>
                  <w10:wrap type="none"/>
                  <w10:anchorlock/>
                </v:shape>
              </w:pict>
            </w:r>
            <w:r>
              <w:fldChar w:fldCharType="end"/>
            </w:r>
            <w:r>
              <w:t>—室内j 声源i 倍频带的声压级，dB；</w:t>
            </w:r>
          </w:p>
          <w:p>
            <w:pPr>
              <w:pStyle w:val="74"/>
              <w:snapToGrid w:val="0"/>
              <w:spacing w:line="520" w:lineRule="exact"/>
              <w:ind w:firstLine="480" w:firstLineChars="200"/>
            </w:pPr>
            <w:r>
              <w:t xml:space="preserve">      N—室内声源总数。</w:t>
            </w:r>
          </w:p>
          <w:p>
            <w:pPr>
              <w:pStyle w:val="74"/>
              <w:snapToGrid w:val="0"/>
              <w:spacing w:line="520" w:lineRule="exact"/>
              <w:ind w:firstLine="480" w:firstLineChars="200"/>
            </w:pPr>
            <w:r>
              <w:t>c、室外靠近围护结构处的总的声压级：</w:t>
            </w:r>
          </w:p>
          <w:p>
            <w:pPr>
              <w:pStyle w:val="74"/>
              <w:snapToGrid w:val="0"/>
              <w:spacing w:line="520" w:lineRule="exact"/>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p2i</m:t>
                    </m:r>
                    <m:ctrlPr>
                      <w:rPr>
                        <w:rFonts w:ascii="Cambria Math" w:hAnsi="Cambria Math"/>
                      </w:rPr>
                    </m:ctrlPr>
                  </m:sub>
                </m:sSub>
                <m:d>
                  <m:dPr>
                    <m:ctrlPr>
                      <w:rPr>
                        <w:rFonts w:ascii="Cambria Math" w:hAnsi="Cambria Math"/>
                      </w:rPr>
                    </m:ctrlPr>
                  </m:dPr>
                  <m:e>
                    <m:r>
                      <m:rPr>
                        <m:sty m:val="p"/>
                      </m:rPr>
                      <w:rPr>
                        <w:rFonts w:ascii="Cambria Math" w:hAnsi="Cambria Math"/>
                      </w:rPr>
                      <m:t>T</m:t>
                    </m:r>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p1i</m:t>
                    </m:r>
                    <m:ctrlPr>
                      <w:rPr>
                        <w:rFonts w:ascii="Cambria Math" w:hAnsi="Cambria Math"/>
                      </w:rPr>
                    </m:ctrlPr>
                  </m:sub>
                </m:sSub>
                <m:d>
                  <m:dPr>
                    <m:ctrlPr>
                      <w:rPr>
                        <w:rFonts w:ascii="Cambria Math" w:hAnsi="Cambria Math"/>
                      </w:rPr>
                    </m:ctrlPr>
                  </m:dPr>
                  <m:e>
                    <m:r>
                      <m:rPr>
                        <m:sty m:val="p"/>
                      </m:rPr>
                      <w:rPr>
                        <w:rFonts w:ascii="Cambria Math" w:hAnsi="Cambria Math"/>
                      </w:rPr>
                      <m:t>T</m:t>
                    </m:r>
                    <m:ctrlPr>
                      <w:rPr>
                        <w:rFonts w:ascii="Cambria Math" w:hAnsi="Cambria Math"/>
                      </w:rPr>
                    </m:ctrlPr>
                  </m:e>
                </m:d>
                <m:r>
                  <m:rPr>
                    <m:sty m:val="p"/>
                  </m:rPr>
                  <w:rPr>
                    <w:rFonts w:ascii="Cambria Math" w:hAnsi="Cambria Math"/>
                  </w:rPr>
                  <m:t>−(T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+6)</m:t>
                </m:r>
              </m:oMath>
            </m:oMathPara>
          </w:p>
          <w:p>
            <w:pPr>
              <w:pStyle w:val="74"/>
              <w:snapToGrid w:val="0"/>
              <w:spacing w:line="520" w:lineRule="exact"/>
              <w:ind w:firstLine="480" w:firstLineChars="200"/>
            </w:pPr>
            <w:r>
              <w:t>式中：</w:t>
            </w:r>
            <w:r>
              <w:fldChar w:fldCharType="begin"/>
            </w:r>
            <w:r>
              <w:instrText xml:space="preserve"> QUOTE </w:instrText>
            </w:r>
            <w:r>
              <w:rPr>
                <w:position w:val="-9"/>
              </w:rPr>
              <w:pict>
                <v:shape id="_x0000_i1034"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4C59&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F74C5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7" chromakey="#FFFFFF" o:title=""/>
                  <o:lock v:ext="edit" aspectratio="t"/>
                  <w10:wrap type="none"/>
                  <w10:anchorlock/>
                </v:shape>
              </w:pict>
            </w:r>
            <w:r>
              <w:instrText xml:space="preserve"> </w:instrText>
            </w:r>
            <w:r>
              <w:fldChar w:fldCharType="separate"/>
            </w:r>
            <w:r>
              <w:rPr>
                <w:position w:val="-9"/>
              </w:rPr>
              <w:pict>
                <v:shape id="_x0000_i1035"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4C59&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F74C5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7" chromakey="#FFFFFF" o:title=""/>
                  <o:lock v:ext="edit" aspectratio="t"/>
                  <w10:wrap type="none"/>
                  <w10:anchorlock/>
                </v:shape>
              </w:pict>
            </w:r>
            <w:r>
              <w:fldChar w:fldCharType="end"/>
            </w:r>
            <w:r>
              <w:t>为靠近围护结构处室外N个声源i倍频带的叠加声压级，dB；</w:t>
            </w:r>
          </w:p>
          <w:p>
            <w:pPr>
              <w:pStyle w:val="74"/>
              <w:snapToGrid w:val="0"/>
              <w:spacing w:line="520" w:lineRule="exact"/>
              <w:ind w:firstLine="480" w:firstLineChars="200"/>
            </w:pPr>
            <w:r>
              <w:t xml:space="preserve">      </w:t>
            </w:r>
            <w:r>
              <w:fldChar w:fldCharType="begin"/>
            </w:r>
            <w:r>
              <w:instrText xml:space="preserve"> QUOTE </w:instrText>
            </w:r>
            <w:r>
              <w:rPr>
                <w:position w:val="-9"/>
              </w:rPr>
              <w:pict>
                <v:shape id="_x0000_i1036"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50FB4&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050FB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1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instrText xml:space="preserve"> </w:instrText>
            </w:r>
            <w:r>
              <w:fldChar w:fldCharType="separate"/>
            </w:r>
            <w:r>
              <w:rPr>
                <w:position w:val="-9"/>
              </w:rPr>
              <w:pict>
                <v:shape id="_x0000_i1037"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50FB4&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050FB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1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fldChar w:fldCharType="end"/>
            </w:r>
            <w:r>
              <w:t>为靠近围护结构处室内N个声源i倍频带的叠加声压级，dB；</w:t>
            </w:r>
          </w:p>
          <w:p>
            <w:pPr>
              <w:pStyle w:val="74"/>
              <w:snapToGrid w:val="0"/>
              <w:spacing w:line="520" w:lineRule="exact"/>
              <w:ind w:firstLine="480" w:firstLineChars="200"/>
            </w:pPr>
            <w:r>
              <w:t xml:space="preserve">      TL</w:t>
            </w:r>
            <w:r>
              <w:rPr>
                <w:vertAlign w:val="subscript"/>
              </w:rPr>
              <w:t>i</w:t>
            </w:r>
            <w:r>
              <w:t>为围护结构i倍频带的隔声量，dB。</w:t>
            </w:r>
          </w:p>
          <w:p>
            <w:pPr>
              <w:pStyle w:val="74"/>
              <w:snapToGrid w:val="0"/>
              <w:spacing w:line="520" w:lineRule="exact"/>
              <w:ind w:firstLine="480" w:firstLineChars="200"/>
            </w:pPr>
            <w:r>
              <w:t>d、室外声压级换算成等效的室外声源：</w:t>
            </w:r>
          </w:p>
          <w:p>
            <w:pPr>
              <w:pStyle w:val="74"/>
              <w:snapToGrid w:val="0"/>
              <w:spacing w:line="520" w:lineRule="exact"/>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p2</m:t>
                    </m:r>
                    <m:ctrlPr>
                      <w:rPr>
                        <w:rFonts w:ascii="Cambria Math" w:hAnsi="Cambria Math"/>
                      </w:rPr>
                    </m:ctrlPr>
                  </m:sub>
                </m:sSub>
                <m:d>
                  <m:dPr>
                    <m:ctrlPr>
                      <w:rPr>
                        <w:rFonts w:ascii="Cambria Math" w:hAnsi="Cambria Math"/>
                      </w:rPr>
                    </m:ctrlPr>
                  </m:dPr>
                  <m:e>
                    <m:r>
                      <m:rPr>
                        <m:sty m:val="p"/>
                      </m:rPr>
                      <w:rPr>
                        <w:rFonts w:ascii="Cambria Math" w:hAnsi="Cambria Math"/>
                      </w:rPr>
                      <m:t>T</m:t>
                    </m:r>
                    <m:ctrlPr>
                      <w:rPr>
                        <w:rFonts w:ascii="Cambria Math" w:hAnsi="Cambria Math"/>
                      </w:rPr>
                    </m:ctrlPr>
                  </m:e>
                </m:d>
                <m:r>
                  <m:rPr>
                    <m:sty m:val="p"/>
                  </m:rPr>
                  <w:rPr>
                    <w:rFonts w:ascii="Cambria Math" w:hAnsi="Cambria Math"/>
                  </w:rPr>
                  <m:t>+10lgS</m:t>
                </m:r>
              </m:oMath>
            </m:oMathPara>
          </w:p>
          <w:p>
            <w:pPr>
              <w:pStyle w:val="74"/>
              <w:snapToGrid w:val="0"/>
              <w:spacing w:line="520" w:lineRule="exact"/>
              <w:ind w:firstLine="480" w:firstLineChars="200"/>
            </w:pPr>
            <w:r>
              <w:t>式中：L</w:t>
            </w:r>
            <w:r>
              <w:rPr>
                <w:vertAlign w:val="subscript"/>
              </w:rPr>
              <w:t>w</w:t>
            </w:r>
            <w:r>
              <w:t>为中心位置位于透声面积（S）处的等效声源的倍频带声功率级，dB；</w:t>
            </w:r>
          </w:p>
          <w:p>
            <w:pPr>
              <w:pStyle w:val="74"/>
              <w:snapToGrid w:val="0"/>
              <w:spacing w:line="520" w:lineRule="exact"/>
              <w:ind w:firstLine="480" w:firstLineChars="200"/>
            </w:pPr>
            <w:r>
              <w:t xml:space="preserve">      </w:t>
            </w:r>
            <w:r>
              <w:fldChar w:fldCharType="begin"/>
            </w:r>
            <w:r>
              <w:instrText xml:space="preserve"> QUOTE </w:instrText>
            </w:r>
            <w:r>
              <w:rPr>
                <w:position w:val="-9"/>
              </w:rPr>
              <w:pict>
                <v:shape id="_x0000_i1038" o:spt="75" type="#_x0000_t75" style="height:24pt;width:3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0F4&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4100F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instrText xml:space="preserve"> </w:instrText>
            </w:r>
            <w:r>
              <w:fldChar w:fldCharType="separate"/>
            </w:r>
            <w:r>
              <w:rPr>
                <w:position w:val="-9"/>
              </w:rPr>
              <w:pict>
                <v:shape id="_x0000_i1039" o:spt="75" type="#_x0000_t75" style="height:24pt;width:3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0F4&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4100F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8" chromakey="#FFFFFF" o:title=""/>
                  <o:lock v:ext="edit" aspectratio="t"/>
                  <w10:wrap type="none"/>
                  <w10:anchorlock/>
                </v:shape>
              </w:pict>
            </w:r>
            <w:r>
              <w:fldChar w:fldCharType="end"/>
            </w:r>
            <w:r>
              <w:t>为靠近围护结构处室外声源的声压级，dB；</w:t>
            </w:r>
          </w:p>
          <w:p>
            <w:pPr>
              <w:pStyle w:val="74"/>
              <w:snapToGrid w:val="0"/>
              <w:spacing w:line="520" w:lineRule="exact"/>
              <w:ind w:firstLine="480" w:firstLineChars="200"/>
            </w:pPr>
            <w:r>
              <w:t xml:space="preserve">      S为透声面积，m</w:t>
            </w:r>
            <w:r>
              <w:rPr>
                <w:vertAlign w:val="superscript"/>
              </w:rPr>
              <w:t>2</w:t>
            </w:r>
            <w:r>
              <w:t>。</w:t>
            </w:r>
          </w:p>
          <w:p>
            <w:pPr>
              <w:pStyle w:val="74"/>
              <w:snapToGrid w:val="0"/>
              <w:spacing w:line="520" w:lineRule="exact"/>
              <w:ind w:firstLine="480" w:firstLineChars="200"/>
            </w:pPr>
            <w:r>
              <w:t>e、等效室外声源的位置为围护结构的位置，其倍频带声功率级为Lwoct，由此按室外声源方法计算等效室外声源在预测点产生的声级。</w:t>
            </w:r>
          </w:p>
          <w:p>
            <w:pPr>
              <w:pStyle w:val="74"/>
              <w:snapToGrid w:val="0"/>
              <w:spacing w:line="520" w:lineRule="exact"/>
              <w:ind w:firstLine="480" w:firstLineChars="200"/>
            </w:pPr>
            <w:r>
              <w:rPr>
                <w:rFonts w:ascii="宋体"/>
              </w:rPr>
              <w:t>①</w:t>
            </w:r>
            <w:r>
              <w:t>室外声源传播衰减预测模式：</w:t>
            </w:r>
          </w:p>
          <w:p>
            <w:pPr>
              <w:pStyle w:val="74"/>
              <w:snapToGrid w:val="0"/>
              <w:spacing w:line="288" w:lineRule="auto"/>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(r2)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d>
                      <m:dPr>
                        <m:ctrlPr>
                          <w:rPr>
                            <w:rFonts w:ascii="Cambria Math" w:hAnsi="Cambria Math"/>
                          </w:rPr>
                        </m:ctrlPr>
                      </m:dPr>
                      <m:e>
                        <m:r>
                          <m:rPr>
                            <m:sty m:val="p"/>
                          </m:rPr>
                          <w:rPr>
                            <w:rFonts w:ascii="Cambria Math" w:hAnsi="Cambria Math"/>
                          </w:rPr>
                          <m:t>r1</m:t>
                        </m:r>
                        <m:ctrlPr>
                          <w:rPr>
                            <w:rFonts w:ascii="Cambria Math" w:hAnsi="Cambria Math"/>
                          </w:rPr>
                        </m:ctrlPr>
                      </m:e>
                    </m:d>
                    <m:ctrlPr>
                      <w:rPr>
                        <w:rFonts w:ascii="Cambria Math" w:hAnsi="Cambria Math"/>
                      </w:rPr>
                    </m:ctrlPr>
                  </m:sub>
                </m:sSub>
                <m:r>
                  <m:rPr>
                    <m:sty m:val="p"/>
                  </m:rPr>
                  <w:rPr>
                    <w:rFonts w:ascii="Cambria Math" w:hAnsi="Cambria Math"/>
                  </w:rPr>
                  <m:t>−Alg</m:t>
                </m:r>
                <m:f>
                  <m:fPr>
                    <m:ctrlPr>
                      <w:rPr>
                        <w:rFonts w:ascii="Cambria Math" w:hAnsi="Cambria Math"/>
                      </w:rPr>
                    </m:ctrlPr>
                  </m:fPr>
                  <m:num>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den>
                </m:f>
                <m:r>
                  <m:rPr>
                    <m:sty m:val="p"/>
                  </m:rPr>
                  <w:rPr>
                    <w:rFonts w:ascii="Cambria Math" w:hAnsi="Cambria Math"/>
                  </w:rPr>
                  <m:t>−∆L</m:t>
                </m:r>
              </m:oMath>
            </m:oMathPara>
          </w:p>
          <w:p>
            <w:pPr>
              <w:pStyle w:val="74"/>
              <w:snapToGrid w:val="0"/>
              <w:spacing w:line="520" w:lineRule="exact"/>
              <w:ind w:firstLine="480" w:firstLineChars="200"/>
            </w:pPr>
            <w:r>
              <w:t>式中：L</w:t>
            </w:r>
            <w:r>
              <w:rPr>
                <w:vertAlign w:val="subscript"/>
              </w:rPr>
              <w:t>(r1)</w:t>
            </w:r>
            <w:r>
              <w:t>为距声源距离r1处声级，dB(A)；</w:t>
            </w:r>
          </w:p>
          <w:p>
            <w:pPr>
              <w:pStyle w:val="74"/>
              <w:snapToGrid w:val="0"/>
              <w:spacing w:line="520" w:lineRule="exact"/>
              <w:ind w:firstLine="480" w:firstLineChars="200"/>
            </w:pPr>
            <w:r>
              <w:t xml:space="preserve">      L</w:t>
            </w:r>
            <w:r>
              <w:rPr>
                <w:vertAlign w:val="subscript"/>
              </w:rPr>
              <w:t>(r2)</w:t>
            </w:r>
            <w:r>
              <w:t>为距声源距离r2处声级，dB(A)；</w:t>
            </w:r>
          </w:p>
          <w:p>
            <w:pPr>
              <w:pStyle w:val="74"/>
              <w:snapToGrid w:val="0"/>
              <w:spacing w:line="520" w:lineRule="exact"/>
              <w:ind w:firstLine="480" w:firstLineChars="200"/>
            </w:pPr>
            <w:r>
              <w:t xml:space="preserve">      r</w:t>
            </w:r>
            <w:r>
              <w:rPr>
                <w:vertAlign w:val="subscript"/>
              </w:rPr>
              <w:t>1</w:t>
            </w:r>
            <w:r>
              <w:t>为受声点1距声源间的距离，(m)；</w:t>
            </w:r>
          </w:p>
          <w:p>
            <w:pPr>
              <w:pStyle w:val="74"/>
              <w:snapToGrid w:val="0"/>
              <w:spacing w:line="520" w:lineRule="exact"/>
              <w:ind w:firstLine="480" w:firstLineChars="200"/>
            </w:pPr>
            <w:r>
              <w:t xml:space="preserve">      r</w:t>
            </w:r>
            <w:r>
              <w:rPr>
                <w:vertAlign w:val="subscript"/>
              </w:rPr>
              <w:t>2</w:t>
            </w:r>
            <w:r>
              <w:t>为受声点2距声源间的距离，(m)；</w:t>
            </w:r>
          </w:p>
          <w:p>
            <w:pPr>
              <w:pStyle w:val="74"/>
              <w:snapToGrid w:val="0"/>
              <w:spacing w:line="520" w:lineRule="exact"/>
              <w:ind w:firstLine="480" w:firstLineChars="200"/>
            </w:pPr>
            <w:r>
              <w:t xml:space="preserve">     </w:t>
            </w:r>
            <w:r>
              <w:rPr>
                <w:rFonts w:ascii="Cambria Math"/>
              </w:rPr>
              <w:t>△</w:t>
            </w:r>
            <w:r>
              <w:t>L为各种因素引起的衰减量，包括声屏障、遮挡物、绿化等；</w:t>
            </w:r>
          </w:p>
          <w:p>
            <w:pPr>
              <w:pStyle w:val="74"/>
              <w:snapToGrid w:val="0"/>
              <w:spacing w:line="520" w:lineRule="exact"/>
              <w:ind w:firstLine="480" w:firstLineChars="200"/>
            </w:pPr>
            <w:r>
              <w:t xml:space="preserve">      A为预测线声源时取10，预测点声源时取20。</w:t>
            </w:r>
          </w:p>
          <w:p>
            <w:pPr>
              <w:pStyle w:val="74"/>
              <w:snapToGrid w:val="0"/>
              <w:spacing w:line="520" w:lineRule="exact"/>
              <w:ind w:firstLine="480" w:firstLineChars="200"/>
            </w:pPr>
            <w:r>
              <w:rPr>
                <w:rFonts w:ascii="宋体"/>
              </w:rPr>
              <w:t>②</w:t>
            </w:r>
            <w:r>
              <w:t>声级叠加</w:t>
            </w:r>
          </w:p>
          <w:p>
            <w:pPr>
              <w:pStyle w:val="74"/>
              <w:snapToGrid w:val="0"/>
              <w:spacing w:line="288" w:lineRule="auto"/>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总</m:t>
                    </m:r>
                    <m:ctrlPr>
                      <w:rPr>
                        <w:rFonts w:ascii="Cambria Math" w:hAnsi="Cambria Math"/>
                      </w:rPr>
                    </m:ctrlPr>
                  </m:sub>
                </m:sSub>
                <m:r>
                  <m:rPr>
                    <m:sty m:val="p"/>
                  </m:rPr>
                  <w:rPr>
                    <w:rFonts w:ascii="Cambria Math" w:hAnsi="Cambria Math"/>
                  </w:rPr>
                  <m:t>=10lg⁡（</m:t>
                </m:r>
                <m:nary>
                  <m:naryPr>
                    <m:chr m:val="∑"/>
                    <m:limLoc m:val="undOvr"/>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0.1</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Ai</m:t>
                            </m:r>
                            <m:ctrlPr>
                              <w:rPr>
                                <w:rFonts w:ascii="Cambria Math" w:hAnsi="Cambria Math"/>
                              </w:rPr>
                            </m:ctrlPr>
                          </m:sub>
                        </m:sSub>
                        <m:ctrlPr>
                          <w:rPr>
                            <w:rFonts w:ascii="Cambria Math" w:hAnsi="Cambria Math"/>
                          </w:rPr>
                        </m:ctrlPr>
                      </m:sup>
                    </m:sSup>
                    <m:ctrlPr>
                      <w:rPr>
                        <w:rFonts w:ascii="Cambria Math" w:hAnsi="Cambria Math"/>
                      </w:rPr>
                    </m:ctrlPr>
                  </m:e>
                </m:nary>
                <m:r>
                  <m:rPr>
                    <m:sty m:val="p"/>
                  </m:rPr>
                  <w:rPr>
                    <w:rFonts w:ascii="Cambria Math" w:hAnsi="Cambria Math"/>
                  </w:rPr>
                  <m:t>）</m:t>
                </m:r>
              </m:oMath>
            </m:oMathPara>
          </w:p>
          <w:p>
            <w:pPr>
              <w:pStyle w:val="74"/>
              <w:snapToGrid w:val="0"/>
              <w:spacing w:line="520" w:lineRule="exact"/>
              <w:ind w:firstLine="480" w:firstLineChars="200"/>
            </w:pPr>
            <w:r>
              <w:t>式中：L总为噪声叠加后总的声压级dB(A)；</w:t>
            </w:r>
          </w:p>
          <w:p>
            <w:pPr>
              <w:pStyle w:val="74"/>
              <w:snapToGrid w:val="0"/>
              <w:spacing w:line="520" w:lineRule="exact"/>
              <w:ind w:firstLine="480" w:firstLineChars="200"/>
            </w:pPr>
            <w:r>
              <w:t xml:space="preserve">      L</w:t>
            </w:r>
            <w:r>
              <w:rPr>
                <w:vertAlign w:val="subscript"/>
              </w:rPr>
              <w:t>Ai</w:t>
            </w:r>
            <w:r>
              <w:t>单个噪声源的声压级dB(A)；</w:t>
            </w:r>
          </w:p>
          <w:p>
            <w:pPr>
              <w:pStyle w:val="74"/>
              <w:snapToGrid w:val="0"/>
              <w:spacing w:line="520" w:lineRule="exact"/>
              <w:ind w:firstLine="480" w:firstLineChars="200"/>
            </w:pPr>
            <w:r>
              <w:t xml:space="preserve">      n—噪声源个数。</w:t>
            </w:r>
          </w:p>
          <w:p>
            <w:pPr>
              <w:pStyle w:val="74"/>
              <w:snapToGrid w:val="0"/>
              <w:spacing w:line="520" w:lineRule="exact"/>
              <w:ind w:firstLine="480" w:firstLineChars="200"/>
              <w:rPr>
                <w:rFonts w:hint="eastAsia"/>
              </w:rPr>
            </w:pPr>
            <w:r>
              <w:t>经预测，本项目各厂界噪声贡献值噪声预测结果见下表。</w:t>
            </w:r>
          </w:p>
          <w:p>
            <w:pPr>
              <w:pStyle w:val="79"/>
              <w:ind w:firstLine="480"/>
              <w:jc w:val="center"/>
              <w:rPr>
                <w:rFonts w:hint="default" w:ascii="Times New Roman" w:hAnsi="Times New Roman" w:eastAsia="宋体" w:cs="Times New Roman"/>
                <w:b/>
                <w:bCs/>
              </w:rPr>
            </w:pPr>
            <w:r>
              <w:rPr>
                <w:rFonts w:hint="default" w:ascii="Times New Roman" w:hAnsi="Times New Roman" w:eastAsia="宋体" w:cs="Times New Roman"/>
                <w:b/>
                <w:bCs/>
              </w:rPr>
              <w:t>表</w:t>
            </w:r>
            <w:r>
              <w:rPr>
                <w:rFonts w:hint="eastAsia" w:ascii="Times New Roman" w:hAnsi="Times New Roman" w:eastAsia="宋体" w:cs="Times New Roman"/>
                <w:b/>
                <w:bCs/>
                <w:lang w:val="en-US" w:eastAsia="zh-CN"/>
              </w:rPr>
              <w:t>20</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噪声产排情况一览表</w:t>
            </w:r>
          </w:p>
          <w:tbl>
            <w:tblPr>
              <w:tblStyle w:val="2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099"/>
              <w:gridCol w:w="869"/>
              <w:gridCol w:w="867"/>
              <w:gridCol w:w="863"/>
              <w:gridCol w:w="1131"/>
              <w:gridCol w:w="1309"/>
              <w:gridCol w:w="1447"/>
              <w:gridCol w:w="9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vMerge w:val="restart"/>
                  <w:tcBorders>
                    <w:tl2br w:val="nil"/>
                    <w:tr2bl w:val="nil"/>
                  </w:tcBorders>
                  <w:noWrap w:val="0"/>
                  <w:vAlign w:val="center"/>
                </w:tcPr>
                <w:p>
                  <w:pPr>
                    <w:pStyle w:val="95"/>
                    <w:rPr>
                      <w:sz w:val="21"/>
                      <w:szCs w:val="21"/>
                    </w:rPr>
                  </w:pPr>
                  <w:r>
                    <w:rPr>
                      <w:sz w:val="21"/>
                      <w:szCs w:val="21"/>
                    </w:rPr>
                    <w:t>预测方位</w:t>
                  </w:r>
                </w:p>
              </w:tc>
              <w:tc>
                <w:tcPr>
                  <w:tcW w:w="2702" w:type="dxa"/>
                  <w:gridSpan w:val="3"/>
                  <w:tcBorders>
                    <w:tl2br w:val="nil"/>
                    <w:tr2bl w:val="nil"/>
                  </w:tcBorders>
                  <w:noWrap w:val="0"/>
                  <w:vAlign w:val="center"/>
                </w:tcPr>
                <w:p>
                  <w:pPr>
                    <w:pStyle w:val="95"/>
                    <w:rPr>
                      <w:sz w:val="21"/>
                      <w:szCs w:val="21"/>
                    </w:rPr>
                  </w:pPr>
                  <w:r>
                    <w:rPr>
                      <w:sz w:val="21"/>
                      <w:szCs w:val="21"/>
                    </w:rPr>
                    <w:t>空间相对位置/m</w:t>
                  </w:r>
                </w:p>
              </w:tc>
              <w:tc>
                <w:tcPr>
                  <w:tcW w:w="1179" w:type="dxa"/>
                  <w:vMerge w:val="restart"/>
                  <w:tcBorders>
                    <w:tl2br w:val="nil"/>
                    <w:tr2bl w:val="nil"/>
                  </w:tcBorders>
                  <w:noWrap w:val="0"/>
                  <w:vAlign w:val="center"/>
                </w:tcPr>
                <w:p>
                  <w:pPr>
                    <w:pStyle w:val="95"/>
                    <w:rPr>
                      <w:sz w:val="21"/>
                      <w:szCs w:val="21"/>
                    </w:rPr>
                  </w:pPr>
                  <w:r>
                    <w:rPr>
                      <w:sz w:val="21"/>
                      <w:szCs w:val="21"/>
                    </w:rPr>
                    <w:t>时段</w:t>
                  </w:r>
                </w:p>
              </w:tc>
              <w:tc>
                <w:tcPr>
                  <w:tcW w:w="1327" w:type="dxa"/>
                  <w:vMerge w:val="restart"/>
                  <w:tcBorders>
                    <w:tl2br w:val="nil"/>
                    <w:tr2bl w:val="nil"/>
                  </w:tcBorders>
                  <w:noWrap w:val="0"/>
                  <w:vAlign w:val="center"/>
                </w:tcPr>
                <w:p>
                  <w:pPr>
                    <w:pStyle w:val="95"/>
                    <w:rPr>
                      <w:sz w:val="21"/>
                      <w:szCs w:val="21"/>
                    </w:rPr>
                  </w:pPr>
                  <w:r>
                    <w:rPr>
                      <w:rFonts w:hint="eastAsia"/>
                      <w:sz w:val="21"/>
                      <w:szCs w:val="21"/>
                    </w:rPr>
                    <w:t>贡</w:t>
                  </w:r>
                  <w:r>
                    <w:rPr>
                      <w:sz w:val="21"/>
                      <w:szCs w:val="21"/>
                    </w:rPr>
                    <w:t>献值（dB(A)）</w:t>
                  </w:r>
                </w:p>
              </w:tc>
              <w:tc>
                <w:tcPr>
                  <w:tcW w:w="1473" w:type="dxa"/>
                  <w:vMerge w:val="restart"/>
                  <w:tcBorders>
                    <w:tl2br w:val="nil"/>
                    <w:tr2bl w:val="nil"/>
                  </w:tcBorders>
                  <w:noWrap w:val="0"/>
                  <w:vAlign w:val="center"/>
                </w:tcPr>
                <w:p>
                  <w:pPr>
                    <w:pStyle w:val="95"/>
                    <w:rPr>
                      <w:sz w:val="21"/>
                      <w:szCs w:val="21"/>
                    </w:rPr>
                  </w:pPr>
                  <w:r>
                    <w:rPr>
                      <w:sz w:val="21"/>
                      <w:szCs w:val="21"/>
                    </w:rPr>
                    <w:t>标准限值（dB(A)）</w:t>
                  </w:r>
                </w:p>
              </w:tc>
              <w:tc>
                <w:tcPr>
                  <w:tcW w:w="1006" w:type="dxa"/>
                  <w:vMerge w:val="restart"/>
                  <w:tcBorders>
                    <w:tl2br w:val="nil"/>
                    <w:tr2bl w:val="nil"/>
                  </w:tcBorders>
                  <w:noWrap w:val="0"/>
                  <w:vAlign w:val="center"/>
                </w:tcPr>
                <w:p>
                  <w:pPr>
                    <w:pStyle w:val="95"/>
                    <w:rPr>
                      <w:sz w:val="21"/>
                      <w:szCs w:val="21"/>
                    </w:rPr>
                  </w:pPr>
                  <w:r>
                    <w:rPr>
                      <w:sz w:val="21"/>
                      <w:szCs w:val="21"/>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vMerge w:val="continue"/>
                  <w:tcBorders>
                    <w:tl2br w:val="nil"/>
                    <w:tr2bl w:val="nil"/>
                  </w:tcBorders>
                  <w:noWrap w:val="0"/>
                  <w:vAlign w:val="center"/>
                </w:tcPr>
                <w:p>
                  <w:pPr>
                    <w:pStyle w:val="95"/>
                    <w:rPr>
                      <w:sz w:val="21"/>
                      <w:szCs w:val="21"/>
                    </w:rPr>
                  </w:pPr>
                </w:p>
              </w:tc>
              <w:tc>
                <w:tcPr>
                  <w:tcW w:w="900" w:type="dxa"/>
                  <w:tcBorders>
                    <w:tl2br w:val="nil"/>
                    <w:tr2bl w:val="nil"/>
                  </w:tcBorders>
                  <w:noWrap w:val="0"/>
                  <w:vAlign w:val="center"/>
                </w:tcPr>
                <w:p>
                  <w:pPr>
                    <w:pStyle w:val="95"/>
                    <w:rPr>
                      <w:sz w:val="21"/>
                      <w:szCs w:val="21"/>
                    </w:rPr>
                  </w:pPr>
                  <w:r>
                    <w:rPr>
                      <w:sz w:val="21"/>
                      <w:szCs w:val="21"/>
                    </w:rPr>
                    <w:t>X</w:t>
                  </w:r>
                </w:p>
              </w:tc>
              <w:tc>
                <w:tcPr>
                  <w:tcW w:w="901" w:type="dxa"/>
                  <w:tcBorders>
                    <w:tl2br w:val="nil"/>
                    <w:tr2bl w:val="nil"/>
                  </w:tcBorders>
                  <w:noWrap w:val="0"/>
                  <w:vAlign w:val="center"/>
                </w:tcPr>
                <w:p>
                  <w:pPr>
                    <w:pStyle w:val="95"/>
                    <w:rPr>
                      <w:sz w:val="21"/>
                      <w:szCs w:val="21"/>
                    </w:rPr>
                  </w:pPr>
                  <w:r>
                    <w:rPr>
                      <w:sz w:val="21"/>
                      <w:szCs w:val="21"/>
                    </w:rPr>
                    <w:t>Y</w:t>
                  </w:r>
                </w:p>
              </w:tc>
              <w:tc>
                <w:tcPr>
                  <w:tcW w:w="901" w:type="dxa"/>
                  <w:tcBorders>
                    <w:tl2br w:val="nil"/>
                    <w:tr2bl w:val="nil"/>
                  </w:tcBorders>
                  <w:noWrap w:val="0"/>
                  <w:vAlign w:val="center"/>
                </w:tcPr>
                <w:p>
                  <w:pPr>
                    <w:pStyle w:val="95"/>
                    <w:rPr>
                      <w:sz w:val="21"/>
                      <w:szCs w:val="21"/>
                    </w:rPr>
                  </w:pPr>
                  <w:r>
                    <w:rPr>
                      <w:sz w:val="21"/>
                      <w:szCs w:val="21"/>
                    </w:rPr>
                    <w:t>Z</w:t>
                  </w:r>
                </w:p>
              </w:tc>
              <w:tc>
                <w:tcPr>
                  <w:tcW w:w="1179" w:type="dxa"/>
                  <w:vMerge w:val="continue"/>
                  <w:tcBorders>
                    <w:tl2br w:val="nil"/>
                    <w:tr2bl w:val="nil"/>
                  </w:tcBorders>
                  <w:noWrap w:val="0"/>
                  <w:vAlign w:val="center"/>
                </w:tcPr>
                <w:p>
                  <w:pPr>
                    <w:pStyle w:val="95"/>
                    <w:rPr>
                      <w:sz w:val="21"/>
                      <w:szCs w:val="21"/>
                    </w:rPr>
                  </w:pPr>
                </w:p>
              </w:tc>
              <w:tc>
                <w:tcPr>
                  <w:tcW w:w="1327" w:type="dxa"/>
                  <w:vMerge w:val="continue"/>
                  <w:tcBorders>
                    <w:tl2br w:val="nil"/>
                    <w:tr2bl w:val="nil"/>
                  </w:tcBorders>
                  <w:noWrap w:val="0"/>
                  <w:vAlign w:val="center"/>
                </w:tcPr>
                <w:p>
                  <w:pPr>
                    <w:pStyle w:val="95"/>
                    <w:rPr>
                      <w:b/>
                      <w:sz w:val="21"/>
                      <w:szCs w:val="21"/>
                      <w:u w:val="single"/>
                    </w:rPr>
                  </w:pPr>
                </w:p>
              </w:tc>
              <w:tc>
                <w:tcPr>
                  <w:tcW w:w="1473" w:type="dxa"/>
                  <w:vMerge w:val="continue"/>
                  <w:tcBorders>
                    <w:tl2br w:val="nil"/>
                    <w:tr2bl w:val="nil"/>
                  </w:tcBorders>
                  <w:noWrap w:val="0"/>
                  <w:vAlign w:val="center"/>
                </w:tcPr>
                <w:p>
                  <w:pPr>
                    <w:pStyle w:val="95"/>
                    <w:rPr>
                      <w:sz w:val="21"/>
                      <w:szCs w:val="21"/>
                    </w:rPr>
                  </w:pPr>
                </w:p>
              </w:tc>
              <w:tc>
                <w:tcPr>
                  <w:tcW w:w="1006" w:type="dxa"/>
                  <w:vMerge w:val="continue"/>
                  <w:tcBorders>
                    <w:tl2br w:val="nil"/>
                    <w:tr2bl w:val="nil"/>
                  </w:tcBorders>
                  <w:noWrap w:val="0"/>
                  <w:vAlign w:val="center"/>
                </w:tcPr>
                <w:p>
                  <w:pPr>
                    <w:pStyle w:val="95"/>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5"/>
                    <w:rPr>
                      <w:sz w:val="21"/>
                      <w:szCs w:val="21"/>
                    </w:rPr>
                  </w:pPr>
                  <w:r>
                    <w:rPr>
                      <w:rFonts w:hint="eastAsia"/>
                      <w:sz w:val="21"/>
                      <w:szCs w:val="21"/>
                    </w:rPr>
                    <w:t>北</w:t>
                  </w:r>
                  <w:r>
                    <w:rPr>
                      <w:sz w:val="21"/>
                      <w:szCs w:val="21"/>
                    </w:rPr>
                    <w:t>侧</w:t>
                  </w:r>
                </w:p>
              </w:tc>
              <w:tc>
                <w:tcPr>
                  <w:tcW w:w="900" w:type="dxa"/>
                  <w:tcBorders>
                    <w:tl2br w:val="nil"/>
                    <w:tr2bl w:val="nil"/>
                  </w:tcBorders>
                  <w:noWrap w:val="0"/>
                  <w:vAlign w:val="center"/>
                </w:tcPr>
                <w:p>
                  <w:pPr>
                    <w:pStyle w:val="95"/>
                    <w:rPr>
                      <w:rFonts w:hint="eastAsia"/>
                      <w:sz w:val="21"/>
                      <w:szCs w:val="21"/>
                    </w:rPr>
                  </w:pPr>
                  <w:r>
                    <w:rPr>
                      <w:rFonts w:hint="eastAsia"/>
                      <w:sz w:val="21"/>
                      <w:szCs w:val="21"/>
                      <w:lang w:val="en-US" w:eastAsia="zh-CN"/>
                    </w:rPr>
                    <w:t>1</w:t>
                  </w:r>
                  <w:r>
                    <w:rPr>
                      <w:rFonts w:hint="eastAsia"/>
                      <w:sz w:val="21"/>
                      <w:szCs w:val="21"/>
                    </w:rPr>
                    <w:t>2</w:t>
                  </w:r>
                </w:p>
              </w:tc>
              <w:tc>
                <w:tcPr>
                  <w:tcW w:w="901" w:type="dxa"/>
                  <w:tcBorders>
                    <w:tl2br w:val="nil"/>
                    <w:tr2bl w:val="nil"/>
                  </w:tcBorders>
                  <w:noWrap w:val="0"/>
                  <w:vAlign w:val="center"/>
                </w:tcPr>
                <w:p>
                  <w:pPr>
                    <w:pStyle w:val="95"/>
                    <w:rPr>
                      <w:rFonts w:hint="eastAsia"/>
                      <w:sz w:val="21"/>
                      <w:szCs w:val="21"/>
                    </w:rPr>
                  </w:pPr>
                  <w:r>
                    <w:rPr>
                      <w:rFonts w:hint="eastAsia"/>
                      <w:sz w:val="21"/>
                      <w:szCs w:val="21"/>
                      <w:lang w:val="en-US" w:eastAsia="zh-CN"/>
                    </w:rPr>
                    <w:t>2</w:t>
                  </w:r>
                  <w:r>
                    <w:rPr>
                      <w:rFonts w:hint="eastAsia"/>
                      <w:sz w:val="21"/>
                      <w:szCs w:val="21"/>
                    </w:rPr>
                    <w:t>9</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w:t>
                  </w:r>
                </w:p>
              </w:tc>
              <w:tc>
                <w:tcPr>
                  <w:tcW w:w="1179" w:type="dxa"/>
                  <w:tcBorders>
                    <w:tl2br w:val="nil"/>
                    <w:tr2bl w:val="nil"/>
                  </w:tcBorders>
                  <w:noWrap w:val="0"/>
                  <w:vAlign w:val="center"/>
                </w:tcPr>
                <w:p>
                  <w:pPr>
                    <w:pStyle w:val="95"/>
                    <w:rPr>
                      <w:sz w:val="21"/>
                      <w:szCs w:val="21"/>
                    </w:rPr>
                  </w:pPr>
                  <w:r>
                    <w:rPr>
                      <w:sz w:val="21"/>
                      <w:szCs w:val="21"/>
                    </w:rPr>
                    <w:t>昼间</w:t>
                  </w:r>
                </w:p>
              </w:tc>
              <w:tc>
                <w:tcPr>
                  <w:tcW w:w="1327" w:type="dxa"/>
                  <w:tcBorders>
                    <w:tl2br w:val="nil"/>
                    <w:tr2bl w:val="nil"/>
                  </w:tcBorders>
                  <w:noWrap w:val="0"/>
                  <w:vAlign w:val="center"/>
                </w:tcPr>
                <w:p>
                  <w:pPr>
                    <w:pStyle w:val="95"/>
                    <w:rPr>
                      <w:rFonts w:hint="eastAsia"/>
                      <w:b w:val="0"/>
                      <w:bCs/>
                      <w:sz w:val="21"/>
                      <w:szCs w:val="21"/>
                      <w:u w:val="none"/>
                    </w:rPr>
                  </w:pPr>
                  <w:r>
                    <w:rPr>
                      <w:rFonts w:hint="eastAsia"/>
                      <w:b w:val="0"/>
                      <w:bCs/>
                      <w:sz w:val="21"/>
                      <w:szCs w:val="21"/>
                      <w:u w:val="none"/>
                    </w:rPr>
                    <w:t>38.75</w:t>
                  </w:r>
                </w:p>
              </w:tc>
              <w:tc>
                <w:tcPr>
                  <w:tcW w:w="1473" w:type="dxa"/>
                  <w:tcBorders>
                    <w:tl2br w:val="nil"/>
                    <w:tr2bl w:val="nil"/>
                  </w:tcBorders>
                  <w:noWrap w:val="0"/>
                  <w:vAlign w:val="center"/>
                </w:tcPr>
                <w:p>
                  <w:pPr>
                    <w:pStyle w:val="95"/>
                    <w:rPr>
                      <w:rFonts w:hint="eastAsia"/>
                      <w:sz w:val="21"/>
                      <w:szCs w:val="21"/>
                    </w:rPr>
                  </w:pPr>
                  <w:r>
                    <w:rPr>
                      <w:rFonts w:hint="eastAsia"/>
                      <w:sz w:val="21"/>
                      <w:szCs w:val="21"/>
                    </w:rPr>
                    <w:t>60</w:t>
                  </w:r>
                </w:p>
              </w:tc>
              <w:tc>
                <w:tcPr>
                  <w:tcW w:w="1006" w:type="dxa"/>
                  <w:tcBorders>
                    <w:tl2br w:val="nil"/>
                    <w:tr2bl w:val="nil"/>
                  </w:tcBorders>
                  <w:noWrap w:val="0"/>
                  <w:vAlign w:val="center"/>
                </w:tcPr>
                <w:p>
                  <w:pPr>
                    <w:pStyle w:val="95"/>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5"/>
                    <w:rPr>
                      <w:rFonts w:hint="eastAsia"/>
                      <w:sz w:val="21"/>
                      <w:szCs w:val="21"/>
                    </w:rPr>
                  </w:pPr>
                  <w:r>
                    <w:rPr>
                      <w:rFonts w:hint="eastAsia"/>
                      <w:sz w:val="21"/>
                      <w:szCs w:val="21"/>
                    </w:rPr>
                    <w:t>东侧</w:t>
                  </w:r>
                </w:p>
              </w:tc>
              <w:tc>
                <w:tcPr>
                  <w:tcW w:w="900" w:type="dxa"/>
                  <w:tcBorders>
                    <w:tl2br w:val="nil"/>
                    <w:tr2bl w:val="nil"/>
                  </w:tcBorders>
                  <w:noWrap w:val="0"/>
                  <w:vAlign w:val="center"/>
                </w:tcPr>
                <w:p>
                  <w:pPr>
                    <w:pStyle w:val="95"/>
                    <w:rPr>
                      <w:rFonts w:hint="default"/>
                      <w:sz w:val="21"/>
                      <w:szCs w:val="21"/>
                      <w:lang w:val="en-US"/>
                    </w:rPr>
                  </w:pPr>
                  <w:r>
                    <w:rPr>
                      <w:rFonts w:hint="eastAsia"/>
                      <w:sz w:val="21"/>
                      <w:szCs w:val="21"/>
                      <w:lang w:val="en-US" w:eastAsia="zh-CN"/>
                    </w:rPr>
                    <w:t>25</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12</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w:t>
                  </w:r>
                </w:p>
              </w:tc>
              <w:tc>
                <w:tcPr>
                  <w:tcW w:w="1179" w:type="dxa"/>
                  <w:tcBorders>
                    <w:tl2br w:val="nil"/>
                    <w:tr2bl w:val="nil"/>
                  </w:tcBorders>
                  <w:noWrap w:val="0"/>
                  <w:vAlign w:val="center"/>
                </w:tcPr>
                <w:p>
                  <w:pPr>
                    <w:pStyle w:val="95"/>
                    <w:rPr>
                      <w:sz w:val="21"/>
                      <w:szCs w:val="21"/>
                    </w:rPr>
                  </w:pPr>
                  <w:r>
                    <w:rPr>
                      <w:sz w:val="21"/>
                      <w:szCs w:val="21"/>
                    </w:rPr>
                    <w:t>昼间</w:t>
                  </w:r>
                </w:p>
              </w:tc>
              <w:tc>
                <w:tcPr>
                  <w:tcW w:w="1327" w:type="dxa"/>
                  <w:tcBorders>
                    <w:tl2br w:val="nil"/>
                    <w:tr2bl w:val="nil"/>
                  </w:tcBorders>
                  <w:noWrap w:val="0"/>
                  <w:vAlign w:val="center"/>
                </w:tcPr>
                <w:p>
                  <w:pPr>
                    <w:pStyle w:val="95"/>
                    <w:rPr>
                      <w:rFonts w:hint="eastAsia"/>
                      <w:b w:val="0"/>
                      <w:bCs/>
                      <w:sz w:val="21"/>
                      <w:szCs w:val="21"/>
                      <w:u w:val="none"/>
                    </w:rPr>
                  </w:pPr>
                  <w:r>
                    <w:rPr>
                      <w:rFonts w:hint="eastAsia"/>
                      <w:b w:val="0"/>
                      <w:bCs/>
                      <w:sz w:val="21"/>
                      <w:szCs w:val="21"/>
                      <w:u w:val="none"/>
                    </w:rPr>
                    <w:t>23.99</w:t>
                  </w:r>
                </w:p>
              </w:tc>
              <w:tc>
                <w:tcPr>
                  <w:tcW w:w="1473" w:type="dxa"/>
                  <w:tcBorders>
                    <w:tl2br w:val="nil"/>
                    <w:tr2bl w:val="nil"/>
                  </w:tcBorders>
                  <w:noWrap w:val="0"/>
                  <w:vAlign w:val="center"/>
                </w:tcPr>
                <w:p>
                  <w:pPr>
                    <w:pStyle w:val="95"/>
                    <w:rPr>
                      <w:rFonts w:hint="eastAsia"/>
                      <w:sz w:val="21"/>
                      <w:szCs w:val="21"/>
                    </w:rPr>
                  </w:pPr>
                  <w:r>
                    <w:rPr>
                      <w:rFonts w:hint="eastAsia"/>
                      <w:sz w:val="21"/>
                      <w:szCs w:val="21"/>
                    </w:rPr>
                    <w:t>60</w:t>
                  </w:r>
                </w:p>
              </w:tc>
              <w:tc>
                <w:tcPr>
                  <w:tcW w:w="1006" w:type="dxa"/>
                  <w:tcBorders>
                    <w:tl2br w:val="nil"/>
                    <w:tr2bl w:val="nil"/>
                  </w:tcBorders>
                  <w:noWrap w:val="0"/>
                  <w:vAlign w:val="center"/>
                </w:tcPr>
                <w:p>
                  <w:pPr>
                    <w:pStyle w:val="95"/>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5"/>
                    <w:rPr>
                      <w:rFonts w:hint="eastAsia"/>
                      <w:sz w:val="21"/>
                      <w:szCs w:val="21"/>
                    </w:rPr>
                  </w:pPr>
                  <w:r>
                    <w:rPr>
                      <w:rFonts w:hint="eastAsia"/>
                      <w:sz w:val="21"/>
                      <w:szCs w:val="21"/>
                    </w:rPr>
                    <w:t>南侧</w:t>
                  </w:r>
                </w:p>
              </w:tc>
              <w:tc>
                <w:tcPr>
                  <w:tcW w:w="900" w:type="dxa"/>
                  <w:tcBorders>
                    <w:tl2br w:val="nil"/>
                    <w:tr2bl w:val="nil"/>
                  </w:tcBorders>
                  <w:noWrap w:val="0"/>
                  <w:vAlign w:val="center"/>
                </w:tcPr>
                <w:p>
                  <w:pPr>
                    <w:pStyle w:val="95"/>
                    <w:rPr>
                      <w:rFonts w:hint="eastAsia"/>
                      <w:sz w:val="21"/>
                      <w:szCs w:val="21"/>
                    </w:rPr>
                  </w:pPr>
                  <w:r>
                    <w:rPr>
                      <w:rFonts w:hint="eastAsia"/>
                      <w:sz w:val="21"/>
                      <w:szCs w:val="21"/>
                      <w:lang w:val="en-US" w:eastAsia="zh-CN"/>
                    </w:rPr>
                    <w:t>6</w:t>
                  </w:r>
                  <w:r>
                    <w:rPr>
                      <w:rFonts w:hint="eastAsia"/>
                      <w:sz w:val="21"/>
                      <w:szCs w:val="21"/>
                    </w:rPr>
                    <w:t>2</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16</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w:t>
                  </w:r>
                </w:p>
              </w:tc>
              <w:tc>
                <w:tcPr>
                  <w:tcW w:w="1179" w:type="dxa"/>
                  <w:tcBorders>
                    <w:tl2br w:val="nil"/>
                    <w:tr2bl w:val="nil"/>
                  </w:tcBorders>
                  <w:noWrap w:val="0"/>
                  <w:vAlign w:val="center"/>
                </w:tcPr>
                <w:p>
                  <w:pPr>
                    <w:pStyle w:val="95"/>
                    <w:rPr>
                      <w:sz w:val="21"/>
                      <w:szCs w:val="21"/>
                    </w:rPr>
                  </w:pPr>
                  <w:r>
                    <w:rPr>
                      <w:sz w:val="21"/>
                      <w:szCs w:val="21"/>
                    </w:rPr>
                    <w:t>昼间</w:t>
                  </w:r>
                </w:p>
              </w:tc>
              <w:tc>
                <w:tcPr>
                  <w:tcW w:w="1327" w:type="dxa"/>
                  <w:tcBorders>
                    <w:tl2br w:val="nil"/>
                    <w:tr2bl w:val="nil"/>
                  </w:tcBorders>
                  <w:noWrap w:val="0"/>
                  <w:vAlign w:val="center"/>
                </w:tcPr>
                <w:p>
                  <w:pPr>
                    <w:pStyle w:val="95"/>
                    <w:rPr>
                      <w:rFonts w:hint="eastAsia"/>
                      <w:b w:val="0"/>
                      <w:bCs/>
                      <w:sz w:val="21"/>
                      <w:szCs w:val="21"/>
                      <w:u w:val="none"/>
                    </w:rPr>
                  </w:pPr>
                  <w:r>
                    <w:rPr>
                      <w:rFonts w:hint="eastAsia"/>
                      <w:b w:val="0"/>
                      <w:bCs/>
                      <w:sz w:val="21"/>
                      <w:szCs w:val="21"/>
                      <w:u w:val="none"/>
                    </w:rPr>
                    <w:t>13.32</w:t>
                  </w:r>
                </w:p>
              </w:tc>
              <w:tc>
                <w:tcPr>
                  <w:tcW w:w="1473" w:type="dxa"/>
                  <w:tcBorders>
                    <w:tl2br w:val="nil"/>
                    <w:tr2bl w:val="nil"/>
                  </w:tcBorders>
                  <w:noWrap w:val="0"/>
                  <w:vAlign w:val="center"/>
                </w:tcPr>
                <w:p>
                  <w:pPr>
                    <w:pStyle w:val="95"/>
                    <w:rPr>
                      <w:rFonts w:hint="eastAsia"/>
                      <w:sz w:val="21"/>
                      <w:szCs w:val="21"/>
                    </w:rPr>
                  </w:pPr>
                  <w:r>
                    <w:rPr>
                      <w:rFonts w:hint="eastAsia"/>
                      <w:sz w:val="21"/>
                      <w:szCs w:val="21"/>
                    </w:rPr>
                    <w:t>60</w:t>
                  </w:r>
                </w:p>
              </w:tc>
              <w:tc>
                <w:tcPr>
                  <w:tcW w:w="1006" w:type="dxa"/>
                  <w:tcBorders>
                    <w:tl2br w:val="nil"/>
                    <w:tr2bl w:val="nil"/>
                  </w:tcBorders>
                  <w:noWrap w:val="0"/>
                  <w:vAlign w:val="center"/>
                </w:tcPr>
                <w:p>
                  <w:pPr>
                    <w:pStyle w:val="95"/>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5"/>
                    <w:rPr>
                      <w:rFonts w:hint="eastAsia"/>
                      <w:sz w:val="21"/>
                      <w:szCs w:val="21"/>
                    </w:rPr>
                  </w:pPr>
                  <w:r>
                    <w:rPr>
                      <w:rFonts w:hint="eastAsia"/>
                      <w:sz w:val="21"/>
                      <w:szCs w:val="21"/>
                    </w:rPr>
                    <w:t>西侧</w:t>
                  </w:r>
                </w:p>
              </w:tc>
              <w:tc>
                <w:tcPr>
                  <w:tcW w:w="900" w:type="dxa"/>
                  <w:tcBorders>
                    <w:tl2br w:val="nil"/>
                    <w:tr2bl w:val="nil"/>
                  </w:tcBorders>
                  <w:noWrap w:val="0"/>
                  <w:vAlign w:val="center"/>
                </w:tcPr>
                <w:p>
                  <w:pPr>
                    <w:pStyle w:val="95"/>
                    <w:rPr>
                      <w:rFonts w:hint="default" w:eastAsia="宋体"/>
                      <w:sz w:val="21"/>
                      <w:szCs w:val="21"/>
                      <w:lang w:val="en-US" w:eastAsia="zh-CN"/>
                    </w:rPr>
                  </w:pPr>
                  <w:r>
                    <w:rPr>
                      <w:rFonts w:hint="eastAsia"/>
                      <w:sz w:val="21"/>
                      <w:szCs w:val="21"/>
                      <w:lang w:val="en-US" w:eastAsia="zh-CN"/>
                    </w:rPr>
                    <w:t>-30</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12</w:t>
                  </w:r>
                </w:p>
              </w:tc>
              <w:tc>
                <w:tcPr>
                  <w:tcW w:w="901" w:type="dxa"/>
                  <w:tcBorders>
                    <w:tl2br w:val="nil"/>
                    <w:tr2bl w:val="nil"/>
                  </w:tcBorders>
                  <w:noWrap w:val="0"/>
                  <w:vAlign w:val="center"/>
                </w:tcPr>
                <w:p>
                  <w:pPr>
                    <w:pStyle w:val="95"/>
                    <w:rPr>
                      <w:rFonts w:hint="eastAsia"/>
                      <w:sz w:val="21"/>
                      <w:szCs w:val="21"/>
                    </w:rPr>
                  </w:pPr>
                  <w:r>
                    <w:rPr>
                      <w:rFonts w:hint="eastAsia"/>
                      <w:sz w:val="21"/>
                      <w:szCs w:val="21"/>
                    </w:rPr>
                    <w:t>1</w:t>
                  </w:r>
                </w:p>
              </w:tc>
              <w:tc>
                <w:tcPr>
                  <w:tcW w:w="1179" w:type="dxa"/>
                  <w:tcBorders>
                    <w:tl2br w:val="nil"/>
                    <w:tr2bl w:val="nil"/>
                  </w:tcBorders>
                  <w:noWrap w:val="0"/>
                  <w:vAlign w:val="center"/>
                </w:tcPr>
                <w:p>
                  <w:pPr>
                    <w:pStyle w:val="95"/>
                    <w:rPr>
                      <w:sz w:val="21"/>
                      <w:szCs w:val="21"/>
                    </w:rPr>
                  </w:pPr>
                  <w:r>
                    <w:rPr>
                      <w:sz w:val="21"/>
                      <w:szCs w:val="21"/>
                    </w:rPr>
                    <w:t>昼间</w:t>
                  </w:r>
                </w:p>
              </w:tc>
              <w:tc>
                <w:tcPr>
                  <w:tcW w:w="1327" w:type="dxa"/>
                  <w:tcBorders>
                    <w:tl2br w:val="nil"/>
                    <w:tr2bl w:val="nil"/>
                  </w:tcBorders>
                  <w:noWrap w:val="0"/>
                  <w:vAlign w:val="center"/>
                </w:tcPr>
                <w:p>
                  <w:pPr>
                    <w:pStyle w:val="95"/>
                    <w:rPr>
                      <w:rFonts w:hint="eastAsia"/>
                      <w:b w:val="0"/>
                      <w:bCs/>
                      <w:sz w:val="21"/>
                      <w:szCs w:val="21"/>
                      <w:u w:val="none"/>
                    </w:rPr>
                  </w:pPr>
                  <w:r>
                    <w:rPr>
                      <w:rFonts w:hint="eastAsia"/>
                      <w:b w:val="0"/>
                      <w:bCs/>
                      <w:sz w:val="21"/>
                      <w:szCs w:val="21"/>
                      <w:u w:val="none"/>
                    </w:rPr>
                    <w:t>24.79</w:t>
                  </w:r>
                </w:p>
              </w:tc>
              <w:tc>
                <w:tcPr>
                  <w:tcW w:w="1473" w:type="dxa"/>
                  <w:tcBorders>
                    <w:tl2br w:val="nil"/>
                    <w:tr2bl w:val="nil"/>
                  </w:tcBorders>
                  <w:noWrap w:val="0"/>
                  <w:vAlign w:val="center"/>
                </w:tcPr>
                <w:p>
                  <w:pPr>
                    <w:pStyle w:val="95"/>
                    <w:rPr>
                      <w:rFonts w:hint="eastAsia"/>
                      <w:sz w:val="21"/>
                      <w:szCs w:val="21"/>
                    </w:rPr>
                  </w:pPr>
                  <w:r>
                    <w:rPr>
                      <w:rFonts w:hint="eastAsia"/>
                      <w:sz w:val="21"/>
                      <w:szCs w:val="21"/>
                    </w:rPr>
                    <w:t>60</w:t>
                  </w:r>
                </w:p>
              </w:tc>
              <w:tc>
                <w:tcPr>
                  <w:tcW w:w="1006" w:type="dxa"/>
                  <w:tcBorders>
                    <w:tl2br w:val="nil"/>
                    <w:tr2bl w:val="nil"/>
                  </w:tcBorders>
                  <w:noWrap w:val="0"/>
                  <w:vAlign w:val="center"/>
                </w:tcPr>
                <w:p>
                  <w:pPr>
                    <w:pStyle w:val="95"/>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8833" w:type="dxa"/>
                  <w:gridSpan w:val="8"/>
                  <w:tcBorders>
                    <w:tl2br w:val="nil"/>
                    <w:tr2bl w:val="nil"/>
                  </w:tcBorders>
                  <w:noWrap w:val="0"/>
                  <w:vAlign w:val="center"/>
                </w:tcPr>
                <w:p>
                  <w:pPr>
                    <w:pStyle w:val="95"/>
                    <w:jc w:val="left"/>
                    <w:rPr>
                      <w:sz w:val="21"/>
                      <w:szCs w:val="21"/>
                    </w:rPr>
                  </w:pPr>
                  <w:r>
                    <w:rPr>
                      <w:rFonts w:hint="eastAsia"/>
                      <w:sz w:val="21"/>
                      <w:szCs w:val="21"/>
                    </w:rPr>
                    <w:t>注：以车间西南角为坐标原点。</w:t>
                  </w:r>
                </w:p>
              </w:tc>
            </w:tr>
          </w:tbl>
          <w:p>
            <w:pPr>
              <w:pStyle w:val="13"/>
              <w:spacing w:line="360" w:lineRule="auto"/>
              <w:ind w:left="0" w:right="0" w:firstLine="480" w:firstLineChars="200"/>
              <w:rPr>
                <w:rFonts w:hint="default" w:ascii="Times New Roman" w:hAnsi="Times New Roman" w:eastAsia="宋体" w:cs="Times New Roman"/>
                <w:color w:val="000000"/>
                <w:sz w:val="24"/>
                <w:szCs w:val="24"/>
                <w:u w:val="none"/>
              </w:rPr>
            </w:pPr>
            <w:r>
              <w:t>由上表可知，本项目运营期，东、西、南、北厂界噪声预测值能够满足《工业企业厂界环境噪声排放标准》(GB12348-2008)中2类标准要求</w:t>
            </w:r>
            <w:r>
              <w:rPr>
                <w:rFonts w:hint="default" w:ascii="Times New Roman" w:hAnsi="Times New Roman" w:eastAsia="宋体" w:cs="Times New Roman"/>
                <w:color w:val="000000"/>
                <w:sz w:val="24"/>
                <w:szCs w:val="24"/>
                <w:u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3.</w:t>
            </w:r>
            <w:r>
              <w:rPr>
                <w:rFonts w:hint="eastAsia" w:ascii="Times New Roman" w:hAnsi="Times New Roman" w:cs="Times New Roman"/>
                <w:b/>
                <w:bCs/>
                <w:color w:val="000000"/>
                <w:sz w:val="24"/>
                <w:szCs w:val="24"/>
                <w:u w:val="none"/>
                <w:lang w:val="en-US" w:eastAsia="zh-CN"/>
              </w:rPr>
              <w:t>3</w:t>
            </w:r>
            <w:r>
              <w:rPr>
                <w:rFonts w:hint="default" w:ascii="Times New Roman" w:hAnsi="Times New Roman" w:eastAsia="宋体" w:cs="Times New Roman"/>
                <w:b/>
                <w:bCs/>
                <w:color w:val="000000"/>
                <w:sz w:val="24"/>
                <w:szCs w:val="24"/>
                <w:u w:val="none"/>
                <w:lang w:val="en-US" w:eastAsia="zh-CN"/>
              </w:rPr>
              <w:t>噪声污染源监测计划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黑体" w:cs="Times New Roman"/>
                <w:b w:val="0"/>
                <w:bCs w:val="0"/>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default" w:ascii="Times New Roman" w:hAnsi="Times New Roman" w:cs="Times New Roman"/>
                <w:b/>
                <w:bCs/>
                <w:color w:val="000000"/>
                <w:sz w:val="24"/>
                <w:szCs w:val="24"/>
                <w:u w:val="none"/>
                <w:lang w:val="en-US" w:eastAsia="zh-CN"/>
              </w:rPr>
              <w:t>21</w:t>
            </w:r>
            <w:r>
              <w:rPr>
                <w:rFonts w:hint="default" w:ascii="Times New Roman" w:hAnsi="Times New Roman" w:eastAsia="宋体" w:cs="Times New Roman"/>
                <w:b/>
                <w:bCs/>
                <w:color w:val="000000"/>
                <w:sz w:val="24"/>
                <w:szCs w:val="24"/>
                <w:u w:val="none"/>
                <w:lang w:val="en-US" w:eastAsia="zh-CN"/>
              </w:rPr>
              <w:t xml:space="preserve">   本项目噪声污染源监测计划表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1382"/>
              <w:gridCol w:w="1269"/>
              <w:gridCol w:w="3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78"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监测点位</w:t>
                  </w:r>
                </w:p>
              </w:tc>
              <w:tc>
                <w:tcPr>
                  <w:tcW w:w="809"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监测指标</w:t>
                  </w:r>
                </w:p>
              </w:tc>
              <w:tc>
                <w:tcPr>
                  <w:tcW w:w="743"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监测频次</w:t>
                  </w:r>
                </w:p>
              </w:tc>
              <w:tc>
                <w:tcPr>
                  <w:tcW w:w="2068"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执行排放标准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8" w:type="pct"/>
                  <w:tcBorders>
                    <w:tl2br w:val="nil"/>
                    <w:tr2bl w:val="nil"/>
                  </w:tcBorders>
                  <w:noWrap w:val="0"/>
                  <w:vAlign w:val="center"/>
                </w:tcPr>
                <w:p>
                  <w:pPr>
                    <w:spacing w:line="400" w:lineRule="exact"/>
                    <w:jc w:val="center"/>
                    <w:rPr>
                      <w:rFonts w:hint="default" w:ascii="Times New Roman" w:hAnsi="Times New Roman" w:eastAsia="宋体" w:cs="Times New Roman"/>
                      <w:color w:val="000000"/>
                      <w:szCs w:val="21"/>
                      <w:u w:val="none"/>
                      <w:lang w:val="en-US" w:eastAsia="zh-CN"/>
                    </w:rPr>
                  </w:pPr>
                  <w:r>
                    <w:rPr>
                      <w:rFonts w:hint="eastAsia" w:ascii="Times New Roman" w:hAnsi="Times New Roman" w:cs="Times New Roman"/>
                      <w:color w:val="000000"/>
                      <w:szCs w:val="21"/>
                      <w:u w:val="none"/>
                      <w:lang w:val="en-US" w:eastAsia="zh-CN"/>
                    </w:rPr>
                    <w:t>北、东、西</w:t>
                  </w:r>
                  <w:r>
                    <w:rPr>
                      <w:rFonts w:hint="default" w:ascii="Times New Roman" w:hAnsi="Times New Roman" w:cs="Times New Roman"/>
                      <w:color w:val="000000"/>
                      <w:szCs w:val="21"/>
                      <w:u w:val="none"/>
                    </w:rPr>
                    <w:t>厂界</w:t>
                  </w:r>
                </w:p>
              </w:tc>
              <w:tc>
                <w:tcPr>
                  <w:tcW w:w="809"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none"/>
                    </w:rPr>
                  </w:pPr>
                  <w:r>
                    <w:rPr>
                      <w:rFonts w:hint="default" w:ascii="Times New Roman" w:hAnsi="Times New Roman" w:cs="Times New Roman"/>
                      <w:color w:val="000000"/>
                      <w:szCs w:val="21"/>
                      <w:u w:val="none"/>
                    </w:rPr>
                    <w:t>噪声</w:t>
                  </w:r>
                </w:p>
              </w:tc>
              <w:tc>
                <w:tcPr>
                  <w:tcW w:w="743"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none"/>
                    </w:rPr>
                  </w:pPr>
                  <w:r>
                    <w:rPr>
                      <w:rFonts w:hint="default" w:ascii="Times New Roman" w:hAnsi="Times New Roman" w:cs="Times New Roman"/>
                      <w:color w:val="000000"/>
                      <w:szCs w:val="21"/>
                      <w:u w:val="none"/>
                    </w:rPr>
                    <w:t>1次/季</w:t>
                  </w:r>
                </w:p>
              </w:tc>
              <w:tc>
                <w:tcPr>
                  <w:tcW w:w="2068"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none"/>
                    </w:rPr>
                  </w:pPr>
                  <w:r>
                    <w:rPr>
                      <w:rFonts w:hint="default" w:ascii="Times New Roman" w:hAnsi="Times New Roman" w:cs="Times New Roman"/>
                      <w:color w:val="000000"/>
                      <w:szCs w:val="21"/>
                      <w:u w:val="none"/>
                    </w:rPr>
                    <w:t>《工业企业厂界环境噪声排放标准》（GB12348-2008）</w:t>
                  </w:r>
                  <w:r>
                    <w:rPr>
                      <w:rFonts w:hint="eastAsia" w:ascii="Times New Roman" w:hAnsi="Times New Roman" w:cs="Times New Roman"/>
                      <w:color w:val="000000"/>
                      <w:szCs w:val="21"/>
                      <w:u w:val="none"/>
                      <w:lang w:val="en-US" w:eastAsia="zh-CN"/>
                    </w:rPr>
                    <w:t>2</w:t>
                  </w:r>
                  <w:r>
                    <w:rPr>
                      <w:rFonts w:hint="default" w:ascii="Times New Roman" w:hAnsi="Times New Roman" w:cs="Times New Roman"/>
                      <w:color w:val="000000"/>
                      <w:szCs w:val="21"/>
                      <w:u w:val="none"/>
                    </w:rPr>
                    <w:t>类标准</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val="0"/>
                <w:bCs w:val="0"/>
                <w:color w:val="000000"/>
                <w:sz w:val="24"/>
                <w:szCs w:val="24"/>
                <w:u w:val="none"/>
                <w:lang w:val="en-US" w:eastAsia="zh-CN"/>
              </w:rPr>
            </w:pPr>
            <w:r>
              <w:rPr>
                <w:rFonts w:hint="eastAsia" w:cs="Times New Roman"/>
                <w:b w:val="0"/>
                <w:bCs w:val="0"/>
                <w:color w:val="000000"/>
                <w:sz w:val="24"/>
                <w:szCs w:val="24"/>
                <w:u w:val="none"/>
                <w:lang w:val="en-US" w:eastAsia="zh-CN"/>
              </w:rPr>
              <w:t>注：本项目南侧厂界为公共厂界不具备监测条件。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四、固体废物影响分析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2" w:firstLineChars="200"/>
              <w:jc w:val="both"/>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4.1固体废物产排情况</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default" w:ascii="Times New Roman" w:hAnsi="Times New Roman" w:cs="Times New Roman"/>
                <w:bCs/>
                <w:color w:val="000000"/>
                <w:sz w:val="24"/>
                <w:u w:val="single"/>
              </w:rPr>
            </w:pPr>
            <w:r>
              <w:rPr>
                <w:rFonts w:hint="default" w:ascii="Times New Roman" w:hAnsi="Times New Roman" w:cs="Times New Roman"/>
                <w:color w:val="000000"/>
                <w:sz w:val="24"/>
                <w:u w:val="single"/>
              </w:rPr>
              <w:t>本项目生产过程中产生的固体废物主要为</w:t>
            </w:r>
            <w:r>
              <w:rPr>
                <w:rFonts w:hint="default" w:ascii="Times New Roman" w:hAnsi="Times New Roman" w:cs="Times New Roman"/>
                <w:bCs/>
                <w:color w:val="000000"/>
                <w:sz w:val="24"/>
                <w:u w:val="single"/>
                <w:lang w:val="en-US" w:eastAsia="zh-CN"/>
              </w:rPr>
              <w:t>生活垃圾、</w:t>
            </w:r>
            <w:r>
              <w:rPr>
                <w:rFonts w:hint="default" w:ascii="Times New Roman" w:hAnsi="Times New Roman" w:cs="Times New Roman"/>
                <w:color w:val="auto"/>
                <w:sz w:val="24"/>
                <w:u w:val="single"/>
                <w:lang w:val="en-US" w:eastAsia="zh-CN"/>
              </w:rPr>
              <w:t>废包装材料</w:t>
            </w:r>
            <w:r>
              <w:rPr>
                <w:rFonts w:hint="default" w:ascii="Times New Roman" w:hAnsi="Times New Roman" w:cs="Times New Roman"/>
                <w:bCs/>
                <w:color w:val="000000"/>
                <w:sz w:val="24"/>
                <w:u w:val="single"/>
                <w:lang w:eastAsia="zh-CN"/>
              </w:rPr>
              <w:t>、</w:t>
            </w:r>
            <w:r>
              <w:rPr>
                <w:rFonts w:hint="default" w:ascii="Times New Roman" w:hAnsi="Times New Roman" w:cs="Times New Roman"/>
                <w:color w:val="000000"/>
                <w:sz w:val="24"/>
                <w:szCs w:val="20"/>
                <w:u w:val="single"/>
                <w:lang w:val="en-US" w:eastAsia="zh-CN"/>
              </w:rPr>
              <w:t>废</w:t>
            </w:r>
            <w:r>
              <w:rPr>
                <w:rFonts w:hint="eastAsia" w:cs="Times New Roman"/>
                <w:color w:val="000000"/>
                <w:sz w:val="24"/>
                <w:szCs w:val="20"/>
                <w:u w:val="single"/>
                <w:lang w:val="en-US" w:eastAsia="zh-CN"/>
              </w:rPr>
              <w:t>机油</w:t>
            </w:r>
            <w:r>
              <w:rPr>
                <w:rFonts w:hint="default" w:ascii="Times New Roman" w:hAnsi="Times New Roman" w:cs="Times New Roman"/>
                <w:color w:val="000000"/>
                <w:sz w:val="24"/>
                <w:szCs w:val="20"/>
                <w:u w:val="single"/>
                <w:lang w:val="en-US" w:eastAsia="zh-CN"/>
              </w:rPr>
              <w:t>、</w:t>
            </w:r>
            <w:r>
              <w:rPr>
                <w:rFonts w:hint="eastAsia" w:cs="Times New Roman"/>
                <w:color w:val="000000"/>
                <w:sz w:val="24"/>
                <w:szCs w:val="20"/>
                <w:u w:val="single"/>
                <w:lang w:val="en-US" w:eastAsia="zh-CN"/>
              </w:rPr>
              <w:t>废UV灯管</w:t>
            </w:r>
            <w:r>
              <w:rPr>
                <w:rFonts w:hint="default" w:ascii="Times New Roman" w:hAnsi="Times New Roman" w:cs="Times New Roman"/>
                <w:color w:val="000000"/>
                <w:sz w:val="24"/>
                <w:szCs w:val="20"/>
                <w:u w:val="single"/>
              </w:rPr>
              <w:t>、废活性炭</w:t>
            </w:r>
            <w:r>
              <w:rPr>
                <w:rFonts w:hint="default" w:ascii="Times New Roman" w:hAnsi="Times New Roman" w:cs="Times New Roman"/>
                <w:bCs/>
                <w:color w:val="000000"/>
                <w:sz w:val="24"/>
                <w:u w:val="single"/>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u w:val="single"/>
                <w:lang w:val="en-US" w:eastAsia="zh-CN"/>
              </w:rPr>
            </w:pPr>
            <w:r>
              <w:rPr>
                <w:rFonts w:hint="default" w:ascii="Times New Roman" w:hAnsi="Times New Roman" w:cs="Times New Roman"/>
                <w:b/>
                <w:bCs/>
                <w:color w:val="auto"/>
                <w:sz w:val="24"/>
                <w:u w:val="single"/>
                <w:lang w:val="en-US" w:eastAsia="zh-CN"/>
              </w:rPr>
              <w:t>4.2生活垃圾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u w:val="single"/>
                <w:lang w:val="en-US"/>
              </w:rPr>
            </w:pPr>
            <w:r>
              <w:rPr>
                <w:rFonts w:hint="default" w:ascii="Times New Roman" w:hAnsi="Times New Roman" w:cs="Times New Roman"/>
                <w:sz w:val="24"/>
                <w:szCs w:val="24"/>
                <w:u w:val="single"/>
                <w:lang w:val="en-US" w:eastAsia="zh-CN"/>
              </w:rPr>
              <w:t>本项目劳动定员10人，</w:t>
            </w:r>
            <w:r>
              <w:rPr>
                <w:rFonts w:hint="default" w:ascii="Times New Roman" w:hAnsi="Times New Roman" w:cs="Times New Roman"/>
                <w:color w:val="auto"/>
                <w:sz w:val="24"/>
                <w:szCs w:val="24"/>
                <w:u w:val="single"/>
                <w:lang w:val="en-US" w:eastAsia="zh-CN"/>
              </w:rPr>
              <w:t>年工作300天，生活垃圾产生量按0.5kg/人·d，则生活垃圾产生量共1.5t/a，经厂区垃圾桶收集后交由当地环卫部门运至垃圾填埋场处理</w:t>
            </w:r>
            <w:r>
              <w:rPr>
                <w:rFonts w:hint="default" w:ascii="Times New Roman" w:hAnsi="Times New Roman" w:cs="Times New Roman"/>
                <w:sz w:val="24"/>
                <w:szCs w:val="24"/>
                <w:u w:val="single"/>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4.</w:t>
            </w:r>
            <w:r>
              <w:rPr>
                <w:rFonts w:hint="default" w:ascii="Times New Roman" w:hAnsi="Times New Roman" w:cs="Times New Roman"/>
                <w:b/>
                <w:bCs/>
                <w:color w:val="auto"/>
                <w:sz w:val="24"/>
                <w:u w:val="single"/>
                <w:lang w:val="en-US" w:eastAsia="zh-CN"/>
              </w:rPr>
              <w:t>3</w:t>
            </w:r>
            <w:r>
              <w:rPr>
                <w:rFonts w:hint="default" w:ascii="Times New Roman" w:hAnsi="Times New Roman" w:cs="Times New Roman"/>
                <w:b/>
                <w:bCs/>
                <w:color w:val="auto"/>
                <w:sz w:val="24"/>
                <w:u w:val="single"/>
              </w:rPr>
              <w:t>一般固废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lang w:val="en-US" w:eastAsia="zh-CN"/>
              </w:rPr>
            </w:pPr>
            <w:r>
              <w:rPr>
                <w:rFonts w:hint="default" w:ascii="Times New Roman" w:hAnsi="Times New Roman" w:cs="Times New Roman"/>
                <w:color w:val="auto"/>
                <w:sz w:val="24"/>
                <w:u w:val="single"/>
                <w:lang w:val="en-US" w:eastAsia="zh-CN"/>
              </w:rPr>
              <w:t>（1）废包装材料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single"/>
                <w:lang w:val="en-US" w:eastAsia="zh-CN"/>
              </w:rPr>
            </w:pPr>
            <w:r>
              <w:rPr>
                <w:rFonts w:hint="default" w:ascii="Times New Roman" w:hAnsi="Times New Roman" w:cs="Times New Roman"/>
                <w:kern w:val="0"/>
                <w:sz w:val="24"/>
                <w:u w:val="single"/>
                <w:lang w:val="en-US" w:eastAsia="zh-CN"/>
              </w:rPr>
              <w:t>生产过程中会产生废包装材料</w:t>
            </w:r>
            <w:r>
              <w:rPr>
                <w:rFonts w:hint="default" w:ascii="Times New Roman" w:hAnsi="Times New Roman" w:cs="Times New Roman"/>
                <w:kern w:val="0"/>
                <w:sz w:val="24"/>
                <w:u w:val="single"/>
              </w:rPr>
              <w:t>（产生</w:t>
            </w:r>
            <w:r>
              <w:rPr>
                <w:rFonts w:hint="default" w:ascii="Times New Roman" w:hAnsi="Times New Roman" w:cs="Times New Roman"/>
                <w:color w:val="auto"/>
                <w:kern w:val="0"/>
                <w:sz w:val="24"/>
                <w:u w:val="single"/>
              </w:rPr>
              <w:t>量约</w:t>
            </w:r>
            <w:r>
              <w:rPr>
                <w:rFonts w:hint="default" w:ascii="Times New Roman" w:hAnsi="Times New Roman" w:cs="Times New Roman"/>
                <w:color w:val="auto"/>
                <w:kern w:val="0"/>
                <w:sz w:val="24"/>
                <w:u w:val="single"/>
                <w:lang w:val="en-US" w:eastAsia="zh-CN"/>
              </w:rPr>
              <w:t>0.5</w:t>
            </w:r>
            <w:r>
              <w:rPr>
                <w:rFonts w:hint="default" w:ascii="Times New Roman" w:hAnsi="Times New Roman" w:cs="Times New Roman"/>
                <w:color w:val="auto"/>
                <w:kern w:val="0"/>
                <w:sz w:val="24"/>
                <w:u w:val="single"/>
              </w:rPr>
              <w:t>t/a）</w:t>
            </w:r>
            <w:r>
              <w:rPr>
                <w:rFonts w:hint="default" w:ascii="Times New Roman" w:hAnsi="Times New Roman" w:cs="Times New Roman"/>
                <w:kern w:val="0"/>
                <w:sz w:val="24"/>
                <w:u w:val="single"/>
              </w:rPr>
              <w:t>，此部分固废收集后全部外售废品收购站</w:t>
            </w:r>
            <w:r>
              <w:rPr>
                <w:rFonts w:hint="default" w:ascii="Times New Roman" w:hAnsi="Times New Roman" w:cs="Times New Roman"/>
                <w:color w:val="auto"/>
                <w:sz w:val="24"/>
                <w:szCs w:val="24"/>
                <w:u w:val="single"/>
                <w:lang w:val="en-US" w:eastAsia="zh-CN"/>
              </w:rPr>
              <w:t>。</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auto"/>
                <w:sz w:val="24"/>
                <w:u w:val="single"/>
                <w:lang w:val="en-US" w:eastAsia="zh-CN"/>
              </w:rPr>
              <w:t>（2）除尘灰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u w:val="single"/>
                <w:lang w:val="en-US" w:eastAsia="zh-CN"/>
              </w:rPr>
            </w:pPr>
            <w:r>
              <w:rPr>
                <w:rFonts w:hint="default" w:ascii="Times New Roman" w:hAnsi="Times New Roman" w:cs="Times New Roman"/>
                <w:sz w:val="24"/>
                <w:szCs w:val="24"/>
                <w:u w:val="single"/>
                <w:lang w:val="en-US" w:eastAsia="zh-CN"/>
              </w:rPr>
              <w:t>本项目袋式除尘器收集的颗粒</w:t>
            </w:r>
            <w:r>
              <w:rPr>
                <w:rFonts w:hint="default" w:ascii="Times New Roman" w:hAnsi="Times New Roman" w:cs="Times New Roman"/>
                <w:sz w:val="24"/>
                <w:szCs w:val="24"/>
                <w:u w:val="single"/>
              </w:rPr>
              <w:t>约</w:t>
            </w:r>
            <w:r>
              <w:rPr>
                <w:rFonts w:hint="default" w:ascii="Times New Roman" w:hAnsi="Times New Roman" w:cs="Times New Roman"/>
                <w:sz w:val="24"/>
                <w:szCs w:val="24"/>
                <w:u w:val="single"/>
                <w:lang w:val="en-US" w:eastAsia="zh-CN"/>
              </w:rPr>
              <w:t>0.969</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val="en-US" w:eastAsia="zh-CN"/>
              </w:rPr>
              <w:t>收集后定期回用于生产</w:t>
            </w:r>
            <w:r>
              <w:rPr>
                <w:rFonts w:hint="eastAsia" w:cs="Times New Roman"/>
                <w:sz w:val="24"/>
                <w:szCs w:val="24"/>
                <w:u w:val="single"/>
                <w:lang w:val="en-US" w:eastAsia="zh-CN"/>
              </w:rPr>
              <w:t>。</w:t>
            </w:r>
          </w:p>
          <w:p>
            <w:pPr>
              <w:pStyle w:val="2"/>
              <w:numPr>
                <w:ilvl w:val="0"/>
                <w:numId w:val="7"/>
              </w:numPr>
              <w:ind w:left="0" w:leftChars="0" w:firstLine="480" w:firstLineChars="200"/>
              <w:rPr>
                <w:rFonts w:hint="eastAsia" w:cs="Times New Roman"/>
                <w:sz w:val="24"/>
                <w:szCs w:val="24"/>
                <w:u w:val="single"/>
                <w:lang w:val="en-US" w:eastAsia="zh-CN"/>
              </w:rPr>
            </w:pPr>
            <w:r>
              <w:rPr>
                <w:rFonts w:hint="eastAsia" w:cs="Times New Roman"/>
                <w:sz w:val="24"/>
                <w:szCs w:val="24"/>
                <w:u w:val="single"/>
                <w:lang w:val="en-US" w:eastAsia="zh-CN"/>
              </w:rPr>
              <w:t>不合格品</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default"/>
                <w:sz w:val="24"/>
                <w:szCs w:val="24"/>
                <w:u w:val="single"/>
                <w:lang w:val="en-US" w:eastAsia="zh-CN"/>
              </w:rPr>
            </w:pPr>
            <w:r>
              <w:rPr>
                <w:rFonts w:hint="eastAsia"/>
                <w:sz w:val="24"/>
                <w:szCs w:val="24"/>
                <w:u w:val="single"/>
                <w:lang w:val="en-US" w:eastAsia="zh-CN"/>
              </w:rPr>
              <w:t>本项目不合格品约为10t/a，收集后回用于生产。</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4.</w:t>
            </w:r>
            <w:r>
              <w:rPr>
                <w:rFonts w:hint="default" w:ascii="Times New Roman" w:hAnsi="Times New Roman" w:cs="Times New Roman"/>
                <w:b/>
                <w:bCs/>
                <w:color w:val="auto"/>
                <w:sz w:val="24"/>
                <w:u w:val="single"/>
                <w:lang w:val="en-US" w:eastAsia="zh-CN"/>
              </w:rPr>
              <w:t>4</w:t>
            </w:r>
            <w:r>
              <w:rPr>
                <w:rFonts w:hint="default" w:ascii="Times New Roman" w:hAnsi="Times New Roman" w:cs="Times New Roman"/>
                <w:b/>
                <w:bCs/>
                <w:color w:val="auto"/>
                <w:sz w:val="24"/>
                <w:u w:val="single"/>
              </w:rPr>
              <w:t>危险废物</w:t>
            </w:r>
          </w:p>
          <w:p>
            <w:pPr>
              <w:pStyle w:val="85"/>
              <w:keepNext w:val="0"/>
              <w:keepLines w:val="0"/>
              <w:pageBreakBefore w:val="0"/>
              <w:kinsoku/>
              <w:wordWrap/>
              <w:overflowPunct/>
              <w:topLinePunct w:val="0"/>
              <w:autoSpaceDE/>
              <w:autoSpaceDN/>
              <w:bidi w:val="0"/>
              <w:spacing w:line="360" w:lineRule="auto"/>
              <w:ind w:left="0" w:leftChars="0" w:firstLine="480" w:firstLineChars="200"/>
              <w:rPr>
                <w:rFonts w:hint="default" w:ascii="Times New Roman" w:hAnsi="Times New Roman" w:cs="Times New Roman"/>
                <w:bCs/>
                <w:color w:val="auto"/>
                <w:u w:val="single"/>
              </w:rPr>
            </w:pPr>
            <w:r>
              <w:rPr>
                <w:rFonts w:hint="default" w:ascii="Times New Roman" w:hAnsi="Times New Roman" w:cs="Times New Roman"/>
                <w:bCs/>
                <w:color w:val="auto"/>
                <w:u w:val="single"/>
                <w:lang w:eastAsia="zh-CN"/>
              </w:rPr>
              <w:t>（</w:t>
            </w:r>
            <w:r>
              <w:rPr>
                <w:rFonts w:hint="default" w:ascii="Times New Roman" w:hAnsi="Times New Roman" w:cs="Times New Roman"/>
                <w:bCs/>
                <w:color w:val="auto"/>
                <w:u w:val="single"/>
                <w:lang w:val="en-US" w:eastAsia="zh-CN"/>
              </w:rPr>
              <w:t>1</w:t>
            </w:r>
            <w:r>
              <w:rPr>
                <w:rFonts w:hint="default" w:ascii="Times New Roman" w:hAnsi="Times New Roman" w:cs="Times New Roman"/>
                <w:bCs/>
                <w:color w:val="auto"/>
                <w:u w:val="single"/>
                <w:lang w:eastAsia="zh-CN"/>
              </w:rPr>
              <w:t>）</w:t>
            </w:r>
            <w:r>
              <w:rPr>
                <w:rFonts w:hint="default" w:ascii="Times New Roman" w:hAnsi="Times New Roman" w:cs="Times New Roman"/>
                <w:bCs/>
                <w:color w:val="auto"/>
                <w:u w:val="single"/>
              </w:rPr>
              <w:t>废UV灯管</w:t>
            </w:r>
          </w:p>
          <w:p>
            <w:pPr>
              <w:pStyle w:val="85"/>
              <w:keepNext w:val="0"/>
              <w:keepLines w:val="0"/>
              <w:pageBreakBefore w:val="0"/>
              <w:kinsoku/>
              <w:wordWrap/>
              <w:overflowPunct/>
              <w:topLinePunct w:val="0"/>
              <w:autoSpaceDE/>
              <w:autoSpaceDN/>
              <w:bidi w:val="0"/>
              <w:spacing w:line="360" w:lineRule="auto"/>
              <w:rPr>
                <w:rFonts w:hint="default" w:ascii="Times New Roman" w:hAnsi="Times New Roman" w:cs="Times New Roman"/>
                <w:bCs/>
                <w:color w:val="auto"/>
                <w:u w:val="single"/>
              </w:rPr>
            </w:pPr>
            <w:r>
              <w:rPr>
                <w:rFonts w:hint="default" w:ascii="Times New Roman" w:hAnsi="Times New Roman" w:cs="Times New Roman"/>
                <w:bCs/>
                <w:color w:val="auto"/>
                <w:u w:val="single"/>
              </w:rPr>
              <w:t>本项目有机废气处理装置UV灯管每年更换一次，废UV灯管产生量为</w:t>
            </w:r>
            <w:r>
              <w:rPr>
                <w:rFonts w:hint="default" w:ascii="Times New Roman" w:hAnsi="Times New Roman" w:cs="Times New Roman"/>
                <w:bCs/>
                <w:color w:val="auto"/>
                <w:u w:val="single"/>
                <w:lang w:val="en-US" w:eastAsia="zh-CN"/>
              </w:rPr>
              <w:t>10根</w:t>
            </w:r>
            <w:r>
              <w:rPr>
                <w:rFonts w:hint="default" w:ascii="Times New Roman" w:hAnsi="Times New Roman" w:cs="Times New Roman"/>
                <w:bCs/>
                <w:color w:val="auto"/>
                <w:u w:val="single"/>
              </w:rPr>
              <w:t>/a，经查询《国家危险废物名录》（2021年版），项目产生的废UV灯管属于危险废物（HW29），危废代码为900-023-29，</w:t>
            </w:r>
            <w:r>
              <w:rPr>
                <w:rFonts w:hint="default" w:ascii="Times New Roman" w:hAnsi="Times New Roman" w:cs="Times New Roman"/>
                <w:color w:val="auto"/>
                <w:u w:val="single"/>
              </w:rPr>
              <w:t>设置专门容器收集后，存放于危废暂存间，定期送有资质的危险废物处置单位进行处置。</w:t>
            </w:r>
          </w:p>
          <w:p>
            <w:pPr>
              <w:pStyle w:val="85"/>
              <w:keepNext w:val="0"/>
              <w:keepLines w:val="0"/>
              <w:pageBreakBefore w:val="0"/>
              <w:kinsoku/>
              <w:wordWrap/>
              <w:overflowPunct/>
              <w:topLinePunct w:val="0"/>
              <w:autoSpaceDE/>
              <w:autoSpaceDN/>
              <w:bidi w:val="0"/>
              <w:spacing w:line="360" w:lineRule="auto"/>
              <w:rPr>
                <w:rFonts w:hint="default" w:ascii="Times New Roman" w:hAnsi="Times New Roman" w:cs="Times New Roman"/>
                <w:bCs/>
                <w:color w:val="auto"/>
                <w:u w:val="single"/>
              </w:rPr>
            </w:pPr>
            <w:r>
              <w:rPr>
                <w:rFonts w:hint="default" w:ascii="Times New Roman" w:hAnsi="Times New Roman" w:cs="Times New Roman"/>
                <w:bCs/>
                <w:color w:val="auto"/>
                <w:u w:val="single"/>
                <w:lang w:eastAsia="zh-CN"/>
              </w:rPr>
              <w:t>（</w:t>
            </w:r>
            <w:r>
              <w:rPr>
                <w:rFonts w:hint="default" w:ascii="Times New Roman" w:hAnsi="Times New Roman" w:cs="Times New Roman"/>
                <w:bCs/>
                <w:color w:val="auto"/>
                <w:u w:val="single"/>
                <w:lang w:val="en-US" w:eastAsia="zh-CN"/>
              </w:rPr>
              <w:t>2</w:t>
            </w:r>
            <w:r>
              <w:rPr>
                <w:rFonts w:hint="default" w:ascii="Times New Roman" w:hAnsi="Times New Roman" w:cs="Times New Roman"/>
                <w:bCs/>
                <w:color w:val="auto"/>
                <w:u w:val="single"/>
                <w:lang w:eastAsia="zh-CN"/>
              </w:rPr>
              <w:t>）</w:t>
            </w:r>
            <w:r>
              <w:rPr>
                <w:rFonts w:hint="default" w:ascii="Times New Roman" w:hAnsi="Times New Roman" w:cs="Times New Roman"/>
                <w:bCs/>
                <w:color w:val="auto"/>
                <w:u w:val="single"/>
              </w:rPr>
              <w:t>废活性炭</w:t>
            </w:r>
          </w:p>
          <w:p>
            <w:pPr>
              <w:pStyle w:val="89"/>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auto"/>
                <w:u w:val="single"/>
              </w:rPr>
            </w:pPr>
            <w:r>
              <w:rPr>
                <w:rFonts w:hint="default" w:ascii="Times New Roman" w:hAnsi="Times New Roman" w:cs="Times New Roman"/>
                <w:snapToGrid w:val="0"/>
                <w:color w:val="auto"/>
                <w:u w:val="single"/>
              </w:rPr>
              <w:t>本项目固化过程更有机废气进</w:t>
            </w:r>
            <w:r>
              <w:rPr>
                <w:rFonts w:hint="default" w:ascii="Times New Roman" w:hAnsi="Times New Roman" w:cs="Times New Roman"/>
                <w:b w:val="0"/>
                <w:bCs w:val="0"/>
                <w:snapToGrid w:val="0"/>
                <w:color w:val="auto"/>
                <w:u w:val="single"/>
              </w:rPr>
              <w:t>入</w:t>
            </w:r>
            <w:r>
              <w:rPr>
                <w:rFonts w:hint="default" w:ascii="Times New Roman" w:hAnsi="Times New Roman" w:cs="Times New Roman"/>
                <w:b w:val="0"/>
                <w:bCs w:val="0"/>
                <w:color w:val="auto"/>
                <w:u w:val="single"/>
              </w:rPr>
              <w:t>“UV光氧+活性炭吸附”废气处理装置处理，经活性炭吸附的有机废气量为</w:t>
            </w:r>
            <w:r>
              <w:rPr>
                <w:rFonts w:hint="eastAsia" w:ascii="Times New Roman" w:hAnsi="Times New Roman" w:cs="Times New Roman"/>
                <w:b w:val="0"/>
                <w:bCs w:val="0"/>
                <w:color w:val="auto"/>
                <w:u w:val="single"/>
                <w:lang w:val="en-US" w:eastAsia="zh-CN"/>
              </w:rPr>
              <w:t>1.1741</w:t>
            </w:r>
            <w:r>
              <w:rPr>
                <w:rFonts w:hint="default" w:ascii="Times New Roman" w:hAnsi="Times New Roman" w:cs="Times New Roman"/>
                <w:b w:val="0"/>
                <w:bCs w:val="0"/>
                <w:color w:val="auto"/>
                <w:u w:val="single"/>
              </w:rPr>
              <w:t>t/a。</w:t>
            </w:r>
            <w:r>
              <w:rPr>
                <w:rFonts w:hint="default" w:ascii="Times New Roman" w:hAnsi="Times New Roman" w:cs="Times New Roman"/>
                <w:b w:val="0"/>
                <w:bCs w:val="0"/>
                <w:color w:val="auto"/>
                <w:sz w:val="24"/>
                <w:u w:val="single"/>
              </w:rPr>
              <w:t>根据《简明通风设计手册》可知，1t性炭约能吸附0.2t</w:t>
            </w:r>
            <w:r>
              <w:rPr>
                <w:rFonts w:hint="default" w:ascii="Times New Roman" w:hAnsi="Times New Roman" w:cs="Times New Roman"/>
                <w:b w:val="0"/>
                <w:bCs w:val="0"/>
                <w:color w:val="auto"/>
                <w:sz w:val="24"/>
                <w:u w:val="single"/>
                <w:lang w:eastAsia="zh-CN"/>
              </w:rPr>
              <w:t>～</w:t>
            </w:r>
            <w:r>
              <w:rPr>
                <w:rFonts w:hint="default" w:ascii="Times New Roman" w:hAnsi="Times New Roman" w:cs="Times New Roman"/>
                <w:b w:val="0"/>
                <w:bCs w:val="0"/>
                <w:color w:val="auto"/>
                <w:sz w:val="24"/>
                <w:u w:val="single"/>
              </w:rPr>
              <w:t>0.3t有机废气，本项目取活性炭吸附能力为0.2</w:t>
            </w:r>
            <w:r>
              <w:rPr>
                <w:rFonts w:hint="default" w:ascii="Times New Roman" w:hAnsi="Times New Roman" w:cs="Times New Roman"/>
                <w:b w:val="0"/>
                <w:bCs w:val="0"/>
                <w:color w:val="auto"/>
                <w:sz w:val="24"/>
                <w:u w:val="single"/>
                <w:lang w:val="en-US" w:eastAsia="zh-CN"/>
              </w:rPr>
              <w:t>5</w:t>
            </w:r>
            <w:r>
              <w:rPr>
                <w:rFonts w:hint="default" w:ascii="Times New Roman" w:hAnsi="Times New Roman" w:cs="Times New Roman"/>
                <w:b w:val="0"/>
                <w:bCs w:val="0"/>
                <w:color w:val="auto"/>
                <w:sz w:val="24"/>
                <w:u w:val="single"/>
              </w:rPr>
              <w:t>t有机废气/1t活性炭</w:t>
            </w:r>
            <w:r>
              <w:rPr>
                <w:rFonts w:hint="default" w:ascii="Times New Roman" w:hAnsi="Times New Roman" w:cs="Times New Roman"/>
                <w:b w:val="0"/>
                <w:bCs w:val="0"/>
                <w:color w:val="auto"/>
                <w:u w:val="single"/>
              </w:rPr>
              <w:t>，则</w:t>
            </w:r>
            <w:r>
              <w:rPr>
                <w:rFonts w:hint="default" w:ascii="Times New Roman" w:hAnsi="Times New Roman" w:cs="Times New Roman"/>
                <w:b w:val="0"/>
                <w:bCs w:val="0"/>
                <w:color w:val="auto"/>
                <w:u w:val="single"/>
                <w:lang w:val="en-US" w:eastAsia="zh-CN"/>
              </w:rPr>
              <w:t>本项目</w:t>
            </w:r>
            <w:r>
              <w:rPr>
                <w:rFonts w:hint="default" w:ascii="Times New Roman" w:hAnsi="Times New Roman" w:cs="Times New Roman"/>
                <w:b w:val="0"/>
                <w:bCs w:val="0"/>
                <w:color w:val="auto"/>
                <w:u w:val="single"/>
              </w:rPr>
              <w:t>活性炭</w:t>
            </w:r>
            <w:r>
              <w:rPr>
                <w:rFonts w:hint="default" w:ascii="Times New Roman" w:hAnsi="Times New Roman" w:cs="Times New Roman"/>
                <w:b w:val="0"/>
                <w:bCs w:val="0"/>
                <w:color w:val="auto"/>
                <w:u w:val="single"/>
                <w:lang w:val="en-US" w:eastAsia="zh-CN"/>
              </w:rPr>
              <w:t>一次填充量为</w:t>
            </w:r>
            <w:r>
              <w:rPr>
                <w:rFonts w:hint="eastAsia" w:ascii="Times New Roman" w:hAnsi="Times New Roman" w:cs="Times New Roman"/>
                <w:b w:val="0"/>
                <w:bCs w:val="0"/>
                <w:color w:val="auto"/>
                <w:u w:val="single"/>
                <w:lang w:val="en-US" w:eastAsia="zh-CN"/>
              </w:rPr>
              <w:t>1.4t</w:t>
            </w:r>
            <w:r>
              <w:rPr>
                <w:rFonts w:hint="default" w:ascii="Times New Roman" w:hAnsi="Times New Roman" w:cs="Times New Roman"/>
                <w:b w:val="0"/>
                <w:bCs w:val="0"/>
                <w:color w:val="auto"/>
                <w:u w:val="single"/>
                <w:lang w:val="en-US" w:eastAsia="zh-CN"/>
              </w:rPr>
              <w:t>，每三个月更换一次，废活性炭产</w:t>
            </w:r>
            <w:r>
              <w:rPr>
                <w:rFonts w:hint="default" w:ascii="Times New Roman" w:hAnsi="Times New Roman" w:cs="Times New Roman"/>
                <w:b w:val="0"/>
                <w:bCs w:val="0"/>
                <w:color w:val="auto"/>
                <w:u w:val="single"/>
              </w:rPr>
              <w:t>生量约为</w:t>
            </w:r>
            <w:r>
              <w:rPr>
                <w:rFonts w:hint="eastAsia" w:ascii="Times New Roman" w:hAnsi="Times New Roman" w:cs="Times New Roman"/>
                <w:b w:val="0"/>
                <w:bCs w:val="0"/>
                <w:color w:val="auto"/>
                <w:u w:val="single"/>
                <w:lang w:val="en-US" w:eastAsia="zh-CN"/>
              </w:rPr>
              <w:t>5.9741</w:t>
            </w:r>
            <w:r>
              <w:rPr>
                <w:rFonts w:hint="default" w:ascii="Times New Roman" w:hAnsi="Times New Roman" w:cs="Times New Roman"/>
                <w:b w:val="0"/>
                <w:bCs w:val="0"/>
                <w:color w:val="auto"/>
                <w:u w:val="single"/>
              </w:rPr>
              <w:t>t/a。</w:t>
            </w:r>
          </w:p>
          <w:p>
            <w:pPr>
              <w:pStyle w:val="89"/>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0000FF"/>
                <w:u w:val="single"/>
                <w:lang w:bidi="he-IL"/>
              </w:rPr>
            </w:pPr>
            <w:r>
              <w:rPr>
                <w:rFonts w:hint="default" w:ascii="Times New Roman" w:hAnsi="Times New Roman" w:cs="Times New Roman"/>
                <w:b w:val="0"/>
                <w:bCs w:val="0"/>
                <w:color w:val="auto"/>
                <w:u w:val="single"/>
              </w:rPr>
              <w:t>经查询《国家危险废物名录》（2021年版），</w:t>
            </w:r>
            <w:r>
              <w:rPr>
                <w:rFonts w:hint="default" w:ascii="Times New Roman" w:hAnsi="Times New Roman" w:cs="Times New Roman"/>
                <w:b w:val="0"/>
                <w:bCs w:val="0"/>
                <w:color w:val="auto"/>
                <w:u w:val="single"/>
                <w:lang w:bidi="he-IL"/>
              </w:rPr>
              <w:t>项目产生的</w:t>
            </w:r>
            <w:r>
              <w:rPr>
                <w:rFonts w:hint="default" w:ascii="Times New Roman" w:hAnsi="Times New Roman" w:cs="Times New Roman"/>
                <w:b w:val="0"/>
                <w:bCs w:val="0"/>
                <w:color w:val="auto"/>
                <w:u w:val="single"/>
              </w:rPr>
              <w:t>废活性炭</w:t>
            </w:r>
            <w:r>
              <w:rPr>
                <w:rFonts w:hint="default" w:ascii="Times New Roman" w:hAnsi="Times New Roman" w:cs="Times New Roman"/>
                <w:b w:val="0"/>
                <w:bCs w:val="0"/>
                <w:color w:val="auto"/>
                <w:u w:val="single"/>
                <w:lang w:bidi="he-IL"/>
              </w:rPr>
              <w:t>属于危险废物（HW49）</w:t>
            </w:r>
            <w:r>
              <w:rPr>
                <w:rFonts w:hint="default" w:ascii="Times New Roman" w:hAnsi="Times New Roman" w:cs="Times New Roman"/>
                <w:b w:val="0"/>
                <w:bCs w:val="0"/>
                <w:color w:val="auto"/>
                <w:u w:val="single"/>
              </w:rPr>
              <w:t>，废物代码为900-039-49，</w:t>
            </w:r>
            <w:r>
              <w:rPr>
                <w:rFonts w:hint="default" w:ascii="Times New Roman" w:hAnsi="Times New Roman" w:cs="Times New Roman"/>
                <w:b w:val="0"/>
                <w:bCs w:val="0"/>
                <w:color w:val="auto"/>
                <w:u w:val="single"/>
                <w:lang w:bidi="he-IL"/>
              </w:rPr>
              <w:t>设置专门容器收集后，存放于危废暂存间，定期送有资质的危险废物处置单位进行处置。</w:t>
            </w:r>
          </w:p>
          <w:p>
            <w:pPr>
              <w:pStyle w:val="89"/>
              <w:keepNext w:val="0"/>
              <w:keepLines w:val="0"/>
              <w:pageBreakBefore w:val="0"/>
              <w:numPr>
                <w:ilvl w:val="0"/>
                <w:numId w:val="7"/>
              </w:numPr>
              <w:kinsoku/>
              <w:wordWrap/>
              <w:overflowPunct/>
              <w:topLinePunct w:val="0"/>
              <w:autoSpaceDE/>
              <w:autoSpaceDN/>
              <w:bidi w:val="0"/>
              <w:spacing w:line="360" w:lineRule="auto"/>
              <w:ind w:left="0" w:leftChars="0" w:firstLine="482" w:firstLineChars="200"/>
              <w:rPr>
                <w:rFonts w:hint="eastAsia" w:cs="Times New Roman"/>
                <w:b/>
                <w:bCs/>
                <w:color w:val="auto"/>
                <w:u w:val="single"/>
                <w:lang w:val="en-US" w:eastAsia="zh-CN"/>
              </w:rPr>
            </w:pPr>
            <w:r>
              <w:rPr>
                <w:rFonts w:hint="eastAsia" w:cs="Times New Roman"/>
                <w:b/>
                <w:bCs/>
                <w:color w:val="auto"/>
                <w:u w:val="single"/>
                <w:lang w:val="en-US" w:eastAsia="zh-CN"/>
              </w:rPr>
              <w:t>废机油</w:t>
            </w:r>
          </w:p>
          <w:p>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cs="Times New Roman"/>
                <w:b/>
                <w:bCs/>
                <w:color w:val="auto"/>
                <w:u w:val="single"/>
                <w:lang w:val="en-US" w:eastAsia="zh-CN"/>
              </w:rPr>
            </w:pPr>
            <w:r>
              <w:rPr>
                <w:rFonts w:hint="eastAsia" w:cs="Times New Roman"/>
                <w:b/>
                <w:bCs/>
                <w:color w:val="auto"/>
                <w:u w:val="single"/>
                <w:lang w:val="en-US" w:eastAsia="zh-CN"/>
              </w:rPr>
              <w:t>项目设备使用的机油需定期维护更换，废机油产生量约为0.05t/a。废机油属于《国家危险废物名录》（2021年版）中的危险废物，类别为HW08，代码为900-217-08。</w:t>
            </w:r>
          </w:p>
          <w:p>
            <w:pPr>
              <w:keepNext w:val="0"/>
              <w:keepLines w:val="0"/>
              <w:pageBreakBefore w:val="0"/>
              <w:widowControl/>
              <w:kinsoku/>
              <w:wordWrap/>
              <w:overflowPunct/>
              <w:topLinePunct w:val="0"/>
              <w:autoSpaceDE/>
              <w:autoSpaceDN/>
              <w:bidi w:val="0"/>
              <w:snapToGrid w:val="0"/>
              <w:spacing w:line="460" w:lineRule="atLeast"/>
              <w:jc w:val="center"/>
              <w:rPr>
                <w:rFonts w:hint="default" w:ascii="Times New Roman" w:hAnsi="Times New Roman" w:cs="Times New Roman"/>
                <w:b/>
                <w:bCs/>
                <w:color w:val="auto"/>
                <w:sz w:val="24"/>
                <w:u w:val="single"/>
              </w:rPr>
            </w:pPr>
          </w:p>
          <w:p>
            <w:pPr>
              <w:keepNext w:val="0"/>
              <w:keepLines w:val="0"/>
              <w:pageBreakBefore w:val="0"/>
              <w:widowControl/>
              <w:kinsoku/>
              <w:wordWrap/>
              <w:overflowPunct/>
              <w:topLinePunct w:val="0"/>
              <w:autoSpaceDE/>
              <w:autoSpaceDN/>
              <w:bidi w:val="0"/>
              <w:snapToGrid w:val="0"/>
              <w:spacing w:line="460" w:lineRule="atLeast"/>
              <w:jc w:val="center"/>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表</w:t>
            </w:r>
            <w:r>
              <w:rPr>
                <w:rFonts w:hint="default" w:ascii="Times New Roman" w:hAnsi="Times New Roman" w:cs="Times New Roman"/>
                <w:b/>
                <w:bCs/>
                <w:color w:val="auto"/>
                <w:sz w:val="24"/>
                <w:u w:val="single"/>
                <w:lang w:val="en-US" w:eastAsia="zh-CN"/>
              </w:rPr>
              <w:t xml:space="preserve">22   </w:t>
            </w:r>
            <w:r>
              <w:rPr>
                <w:rFonts w:hint="default" w:ascii="Times New Roman" w:hAnsi="Times New Roman" w:cs="Times New Roman"/>
                <w:b/>
                <w:bCs/>
                <w:color w:val="auto"/>
                <w:sz w:val="24"/>
                <w:u w:val="single"/>
              </w:rPr>
              <w:t>本项目危险废物汇总表</w:t>
            </w:r>
          </w:p>
          <w:tbl>
            <w:tblPr>
              <w:tblStyle w:val="25"/>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7"/>
              <w:gridCol w:w="703"/>
              <w:gridCol w:w="845"/>
              <w:gridCol w:w="1196"/>
              <w:gridCol w:w="1060"/>
              <w:gridCol w:w="881"/>
              <w:gridCol w:w="427"/>
              <w:gridCol w:w="799"/>
              <w:gridCol w:w="589"/>
              <w:gridCol w:w="627"/>
              <w:gridCol w:w="9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5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序号</w:t>
                  </w:r>
                </w:p>
              </w:tc>
              <w:tc>
                <w:tcPr>
                  <w:tcW w:w="412"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危险废物名称</w:t>
                  </w:r>
                </w:p>
              </w:tc>
              <w:tc>
                <w:tcPr>
                  <w:tcW w:w="49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危险废物类别</w:t>
                  </w:r>
                </w:p>
              </w:tc>
              <w:tc>
                <w:tcPr>
                  <w:tcW w:w="70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危险废物代码</w:t>
                  </w:r>
                </w:p>
              </w:tc>
              <w:tc>
                <w:tcPr>
                  <w:tcW w:w="621"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产生量</w:t>
                  </w:r>
                </w:p>
              </w:tc>
              <w:tc>
                <w:tcPr>
                  <w:tcW w:w="516"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产生工序及装置</w:t>
                  </w:r>
                </w:p>
              </w:tc>
              <w:tc>
                <w:tcPr>
                  <w:tcW w:w="25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形态</w:t>
                  </w:r>
                </w:p>
              </w:tc>
              <w:tc>
                <w:tcPr>
                  <w:tcW w:w="468"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有害成分</w:t>
                  </w:r>
                </w:p>
              </w:tc>
              <w:tc>
                <w:tcPr>
                  <w:tcW w:w="34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产废周期</w:t>
                  </w:r>
                </w:p>
              </w:tc>
              <w:tc>
                <w:tcPr>
                  <w:tcW w:w="367"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w:t>
                  </w:r>
                </w:p>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特性</w:t>
                  </w:r>
                </w:p>
              </w:tc>
              <w:tc>
                <w:tcPr>
                  <w:tcW w:w="572"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污染防治措施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5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eastAsia="zh-CN"/>
                    </w:rPr>
                  </w:pPr>
                  <w:r>
                    <w:rPr>
                      <w:rFonts w:hint="default" w:ascii="Times New Roman" w:hAnsi="Times New Roman" w:cs="Times New Roman"/>
                      <w:b w:val="0"/>
                      <w:bCs w:val="0"/>
                      <w:color w:val="auto"/>
                      <w:szCs w:val="21"/>
                      <w:u w:val="single"/>
                      <w:lang w:val="en-US" w:eastAsia="zh-CN"/>
                    </w:rPr>
                    <w:t>1</w:t>
                  </w:r>
                </w:p>
              </w:tc>
              <w:tc>
                <w:tcPr>
                  <w:tcW w:w="41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废UV灯管</w:t>
                  </w:r>
                </w:p>
              </w:tc>
              <w:tc>
                <w:tcPr>
                  <w:tcW w:w="495"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HW29</w:t>
                  </w:r>
                </w:p>
              </w:tc>
              <w:tc>
                <w:tcPr>
                  <w:tcW w:w="70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900-023-29</w:t>
                  </w:r>
                </w:p>
              </w:tc>
              <w:tc>
                <w:tcPr>
                  <w:tcW w:w="621"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val="en-US" w:eastAsia="zh-CN"/>
                    </w:rPr>
                  </w:pPr>
                  <w:r>
                    <w:rPr>
                      <w:rFonts w:hint="default" w:ascii="Times New Roman" w:hAnsi="Times New Roman" w:cs="Times New Roman"/>
                      <w:b w:val="0"/>
                      <w:bCs w:val="0"/>
                      <w:color w:val="auto"/>
                      <w:szCs w:val="21"/>
                      <w:u w:val="single"/>
                      <w:lang w:val="en-US" w:eastAsia="zh-CN"/>
                    </w:rPr>
                    <w:t>10根/a</w:t>
                  </w:r>
                </w:p>
              </w:tc>
              <w:tc>
                <w:tcPr>
                  <w:tcW w:w="516" w:type="pct"/>
                  <w:vMerge w:val="restar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有机废气处理装置</w:t>
                  </w:r>
                </w:p>
              </w:tc>
              <w:tc>
                <w:tcPr>
                  <w:tcW w:w="25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固态</w:t>
                  </w:r>
                </w:p>
              </w:tc>
              <w:tc>
                <w:tcPr>
                  <w:tcW w:w="468"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汞</w:t>
                  </w:r>
                </w:p>
              </w:tc>
              <w:tc>
                <w:tcPr>
                  <w:tcW w:w="34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1年</w:t>
                  </w:r>
                </w:p>
              </w:tc>
              <w:tc>
                <w:tcPr>
                  <w:tcW w:w="367" w:type="pct"/>
                  <w:tcBorders>
                    <w:tl2br w:val="nil"/>
                    <w:tr2bl w:val="nil"/>
                  </w:tcBorders>
                  <w:noWrap w:val="0"/>
                  <w:vAlign w:val="center"/>
                </w:tcPr>
                <w:p>
                  <w:pPr>
                    <w:shd w:val="clear" w:color="auto" w:fill="F2F6FC"/>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T</w:t>
                  </w:r>
                </w:p>
              </w:tc>
              <w:tc>
                <w:tcPr>
                  <w:tcW w:w="572"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收集于危废暂存区临时存储，定期委托有资质公司安全处置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5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eastAsia="zh-CN"/>
                    </w:rPr>
                  </w:pPr>
                  <w:r>
                    <w:rPr>
                      <w:rFonts w:hint="default" w:ascii="Times New Roman" w:hAnsi="Times New Roman" w:cs="Times New Roman"/>
                      <w:b w:val="0"/>
                      <w:bCs w:val="0"/>
                      <w:color w:val="auto"/>
                      <w:szCs w:val="21"/>
                      <w:u w:val="single"/>
                      <w:lang w:val="en-US" w:eastAsia="zh-CN"/>
                    </w:rPr>
                    <w:t>2</w:t>
                  </w:r>
                </w:p>
              </w:tc>
              <w:tc>
                <w:tcPr>
                  <w:tcW w:w="41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废活性炭</w:t>
                  </w:r>
                </w:p>
              </w:tc>
              <w:tc>
                <w:tcPr>
                  <w:tcW w:w="495"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HW49</w:t>
                  </w:r>
                </w:p>
              </w:tc>
              <w:tc>
                <w:tcPr>
                  <w:tcW w:w="70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u w:val="single"/>
                    </w:rPr>
                    <w:t>900-039-49</w:t>
                  </w:r>
                </w:p>
              </w:tc>
              <w:tc>
                <w:tcPr>
                  <w:tcW w:w="621"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highlight w:val="none"/>
                      <w:u w:val="single"/>
                    </w:rPr>
                  </w:pPr>
                  <w:r>
                    <w:rPr>
                      <w:rFonts w:hint="eastAsia" w:ascii="Times New Roman" w:hAnsi="Times New Roman" w:cs="Times New Roman"/>
                      <w:b w:val="0"/>
                      <w:bCs w:val="0"/>
                      <w:color w:val="auto"/>
                      <w:u w:val="single"/>
                      <w:lang w:val="en-US" w:eastAsia="zh-CN"/>
                    </w:rPr>
                    <w:t>5.9741</w:t>
                  </w:r>
                  <w:r>
                    <w:rPr>
                      <w:rFonts w:hint="default" w:ascii="Times New Roman" w:hAnsi="Times New Roman" w:cs="Times New Roman"/>
                      <w:b w:val="0"/>
                      <w:bCs w:val="0"/>
                      <w:color w:val="auto"/>
                      <w:highlight w:val="none"/>
                      <w:u w:val="single"/>
                    </w:rPr>
                    <w:t>t/a</w:t>
                  </w:r>
                </w:p>
              </w:tc>
              <w:tc>
                <w:tcPr>
                  <w:tcW w:w="516" w:type="pct"/>
                  <w:vMerge w:val="continue"/>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single"/>
                    </w:rPr>
                  </w:pPr>
                </w:p>
              </w:tc>
              <w:tc>
                <w:tcPr>
                  <w:tcW w:w="25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固态</w:t>
                  </w:r>
                </w:p>
              </w:tc>
              <w:tc>
                <w:tcPr>
                  <w:tcW w:w="468"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挥发性有机物</w:t>
                  </w:r>
                </w:p>
              </w:tc>
              <w:tc>
                <w:tcPr>
                  <w:tcW w:w="34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single"/>
                      <w:lang w:val="en-US"/>
                    </w:rPr>
                  </w:pPr>
                  <w:r>
                    <w:rPr>
                      <w:rFonts w:hint="default" w:ascii="Times New Roman" w:hAnsi="Times New Roman" w:cs="Times New Roman"/>
                      <w:b w:val="0"/>
                      <w:bCs w:val="0"/>
                      <w:color w:val="auto"/>
                      <w:szCs w:val="21"/>
                      <w:u w:val="single"/>
                      <w:lang w:val="en-US" w:eastAsia="zh-CN"/>
                    </w:rPr>
                    <w:t>三个月</w:t>
                  </w:r>
                </w:p>
              </w:tc>
              <w:tc>
                <w:tcPr>
                  <w:tcW w:w="367" w:type="pct"/>
                  <w:tcBorders>
                    <w:tl2br w:val="nil"/>
                    <w:tr2bl w:val="nil"/>
                  </w:tcBorders>
                  <w:noWrap w:val="0"/>
                  <w:vAlign w:val="center"/>
                </w:tcPr>
                <w:p>
                  <w:pPr>
                    <w:shd w:val="clear" w:color="auto" w:fill="F2F6FC"/>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T</w:t>
                  </w:r>
                </w:p>
              </w:tc>
              <w:tc>
                <w:tcPr>
                  <w:tcW w:w="572"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5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single"/>
                      <w:lang w:val="en-US" w:eastAsia="zh-CN"/>
                    </w:rPr>
                  </w:pPr>
                  <w:r>
                    <w:rPr>
                      <w:rFonts w:hint="eastAsia" w:cs="Times New Roman"/>
                      <w:b w:val="0"/>
                      <w:bCs w:val="0"/>
                      <w:color w:val="auto"/>
                      <w:szCs w:val="21"/>
                      <w:u w:val="single"/>
                      <w:lang w:val="en-US" w:eastAsia="zh-CN"/>
                    </w:rPr>
                    <w:t>3</w:t>
                  </w:r>
                </w:p>
              </w:tc>
              <w:tc>
                <w:tcPr>
                  <w:tcW w:w="412" w:type="pct"/>
                  <w:tcBorders>
                    <w:tl2br w:val="nil"/>
                    <w:tr2bl w:val="nil"/>
                  </w:tcBorders>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废机油</w:t>
                  </w:r>
                </w:p>
              </w:tc>
              <w:tc>
                <w:tcPr>
                  <w:tcW w:w="495" w:type="pct"/>
                  <w:tcBorders>
                    <w:tl2br w:val="nil"/>
                    <w:tr2bl w:val="nil"/>
                  </w:tcBorders>
                  <w:noWrap w:val="0"/>
                  <w:vAlign w:val="center"/>
                </w:tcPr>
                <w:p>
                  <w:pPr>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eastAsia="宋体" w:cs="Times New Roman"/>
                      <w:b w:val="0"/>
                      <w:bCs w:val="0"/>
                      <w:i w:val="0"/>
                      <w:iCs w:val="0"/>
                      <w:color w:val="000000"/>
                      <w:kern w:val="0"/>
                      <w:sz w:val="21"/>
                      <w:szCs w:val="21"/>
                      <w:u w:val="single"/>
                    </w:rPr>
                    <w:t>HW</w:t>
                  </w:r>
                  <w:r>
                    <w:rPr>
                      <w:rFonts w:hint="eastAsia" w:cs="Times New Roman"/>
                      <w:b w:val="0"/>
                      <w:bCs w:val="0"/>
                      <w:i w:val="0"/>
                      <w:iCs w:val="0"/>
                      <w:color w:val="000000"/>
                      <w:kern w:val="0"/>
                      <w:sz w:val="21"/>
                      <w:szCs w:val="21"/>
                      <w:u w:val="single"/>
                      <w:lang w:val="en-US" w:eastAsia="zh-CN"/>
                    </w:rPr>
                    <w:t>08</w:t>
                  </w:r>
                </w:p>
              </w:tc>
              <w:tc>
                <w:tcPr>
                  <w:tcW w:w="70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u w:val="single"/>
                    </w:rPr>
                  </w:pPr>
                  <w:r>
                    <w:rPr>
                      <w:rFonts w:hint="eastAsia" w:cs="Times New Roman"/>
                      <w:b w:val="0"/>
                      <w:bCs w:val="0"/>
                      <w:i w:val="0"/>
                      <w:iCs w:val="0"/>
                      <w:color w:val="000000"/>
                      <w:kern w:val="0"/>
                      <w:sz w:val="21"/>
                      <w:szCs w:val="21"/>
                      <w:u w:val="single"/>
                      <w:lang w:eastAsia="zh-CN"/>
                    </w:rPr>
                    <w:t>900-217-08</w:t>
                  </w:r>
                </w:p>
              </w:tc>
              <w:tc>
                <w:tcPr>
                  <w:tcW w:w="621" w:type="pct"/>
                  <w:tcBorders>
                    <w:tl2br w:val="nil"/>
                    <w:tr2bl w:val="nil"/>
                  </w:tcBorders>
                  <w:noWrap w:val="0"/>
                  <w:vAlign w:val="center"/>
                </w:tcPr>
                <w:p>
                  <w:pPr>
                    <w:topLinePunct/>
                    <w:adjustRightInd w:val="0"/>
                    <w:snapToGrid w:val="0"/>
                    <w:spacing w:line="240" w:lineRule="auto"/>
                    <w:jc w:val="center"/>
                    <w:rPr>
                      <w:rFonts w:hint="eastAsia" w:ascii="Times New Roman" w:hAnsi="Times New Roman" w:cs="Times New Roman"/>
                      <w:b w:val="0"/>
                      <w:bCs w:val="0"/>
                      <w:color w:val="auto"/>
                      <w:u w:val="single"/>
                      <w:lang w:val="en-US" w:eastAsia="zh-CN"/>
                    </w:rPr>
                  </w:pPr>
                  <w:r>
                    <w:rPr>
                      <w:rFonts w:hint="eastAsia" w:cs="Times New Roman"/>
                      <w:b w:val="0"/>
                      <w:bCs w:val="0"/>
                      <w:i w:val="0"/>
                      <w:iCs w:val="0"/>
                      <w:color w:val="000000"/>
                      <w:kern w:val="0"/>
                      <w:sz w:val="21"/>
                      <w:szCs w:val="21"/>
                      <w:u w:val="single"/>
                      <w:lang w:val="en-US" w:eastAsia="zh-CN"/>
                    </w:rPr>
                    <w:t>0.05</w:t>
                  </w:r>
                </w:p>
              </w:tc>
              <w:tc>
                <w:tcPr>
                  <w:tcW w:w="516" w:type="pct"/>
                  <w:tcBorders>
                    <w:tl2br w:val="nil"/>
                    <w:tr2bl w:val="nil"/>
                  </w:tcBorders>
                  <w:noWrap w:val="0"/>
                  <w:vAlign w:val="center"/>
                </w:tcPr>
                <w:p>
                  <w:pPr>
                    <w:topLinePunct/>
                    <w:adjustRightInd w:val="0"/>
                    <w:snapToGrid w:val="0"/>
                    <w:spacing w:line="240" w:lineRule="auto"/>
                    <w:jc w:val="center"/>
                    <w:rPr>
                      <w:rFonts w:hint="eastAsia"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机械</w:t>
                  </w:r>
                </w:p>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eastAsia" w:cs="Times New Roman"/>
                      <w:b w:val="0"/>
                      <w:bCs w:val="0"/>
                      <w:i w:val="0"/>
                      <w:iCs w:val="0"/>
                      <w:color w:val="000000"/>
                      <w:kern w:val="0"/>
                      <w:sz w:val="21"/>
                      <w:szCs w:val="21"/>
                      <w:u w:val="single"/>
                      <w:lang w:val="en-US" w:eastAsia="zh-CN"/>
                    </w:rPr>
                    <w:t>设备</w:t>
                  </w:r>
                </w:p>
              </w:tc>
              <w:tc>
                <w:tcPr>
                  <w:tcW w:w="25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eastAsia="宋体" w:cs="Times New Roman"/>
                      <w:b w:val="0"/>
                      <w:bCs w:val="0"/>
                      <w:i w:val="0"/>
                      <w:iCs w:val="0"/>
                      <w:color w:val="000000"/>
                      <w:kern w:val="0"/>
                      <w:sz w:val="21"/>
                      <w:szCs w:val="21"/>
                      <w:u w:val="single"/>
                    </w:rPr>
                    <w:t>固态</w:t>
                  </w:r>
                </w:p>
              </w:tc>
              <w:tc>
                <w:tcPr>
                  <w:tcW w:w="468" w:type="pct"/>
                  <w:tcBorders>
                    <w:tl2br w:val="nil"/>
                    <w:tr2bl w:val="nil"/>
                  </w:tcBorders>
                  <w:noWrap w:val="0"/>
                  <w:vAlign w:val="center"/>
                </w:tcPr>
                <w:p>
                  <w:pPr>
                    <w:topLinePunct/>
                    <w:spacing w:line="240" w:lineRule="auto"/>
                    <w:jc w:val="center"/>
                    <w:rPr>
                      <w:rFonts w:hint="eastAsia" w:cs="Times New Roman"/>
                      <w:sz w:val="21"/>
                      <w:szCs w:val="21"/>
                      <w:u w:val="single"/>
                      <w:lang w:val="en-US" w:eastAsia="zh-CN"/>
                    </w:rPr>
                  </w:pPr>
                  <w:r>
                    <w:rPr>
                      <w:rFonts w:hint="eastAsia" w:cs="Times New Roman"/>
                      <w:sz w:val="21"/>
                      <w:szCs w:val="21"/>
                      <w:u w:val="single"/>
                      <w:lang w:val="en-US" w:eastAsia="zh-CN"/>
                    </w:rPr>
                    <w:t>含油</w:t>
                  </w:r>
                </w:p>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eastAsia" w:cs="Times New Roman"/>
                      <w:sz w:val="21"/>
                      <w:szCs w:val="21"/>
                      <w:u w:val="single"/>
                      <w:lang w:val="en-US" w:eastAsia="zh-CN"/>
                    </w:rPr>
                    <w:t>废物</w:t>
                  </w:r>
                </w:p>
              </w:tc>
              <w:tc>
                <w:tcPr>
                  <w:tcW w:w="345"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lang w:val="en-US" w:eastAsia="zh-CN"/>
                    </w:rPr>
                  </w:pPr>
                  <w:r>
                    <w:rPr>
                      <w:rFonts w:hint="eastAsia" w:cs="Times New Roman"/>
                      <w:b w:val="0"/>
                      <w:bCs w:val="0"/>
                      <w:color w:val="auto"/>
                      <w:szCs w:val="21"/>
                      <w:u w:val="single"/>
                      <w:lang w:val="en-US" w:eastAsia="zh-CN"/>
                    </w:rPr>
                    <w:t>六个月</w:t>
                  </w:r>
                </w:p>
              </w:tc>
              <w:tc>
                <w:tcPr>
                  <w:tcW w:w="36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eastAsia="宋体" w:cs="Times New Roman"/>
                      <w:b w:val="0"/>
                      <w:bCs w:val="0"/>
                      <w:i w:val="0"/>
                      <w:iCs w:val="0"/>
                      <w:color w:val="000000"/>
                      <w:kern w:val="0"/>
                      <w:sz w:val="21"/>
                      <w:szCs w:val="21"/>
                      <w:u w:val="single"/>
                    </w:rPr>
                    <w:t>T/I</w:t>
                  </w:r>
                </w:p>
              </w:tc>
              <w:tc>
                <w:tcPr>
                  <w:tcW w:w="572"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p>
              </w:tc>
            </w:tr>
          </w:tbl>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表</w:t>
            </w:r>
            <w:r>
              <w:rPr>
                <w:rFonts w:hint="default" w:ascii="Times New Roman" w:hAnsi="Times New Roman" w:cs="Times New Roman"/>
                <w:b/>
                <w:bCs/>
                <w:color w:val="auto"/>
                <w:sz w:val="24"/>
                <w:highlight w:val="none"/>
                <w:u w:val="single"/>
                <w:lang w:val="en-US" w:eastAsia="zh-CN"/>
              </w:rPr>
              <w:t xml:space="preserve">23   </w:t>
            </w:r>
            <w:r>
              <w:rPr>
                <w:rFonts w:hint="default" w:ascii="Times New Roman" w:hAnsi="Times New Roman" w:cs="Times New Roman"/>
                <w:b/>
                <w:bCs/>
                <w:color w:val="auto"/>
                <w:sz w:val="24"/>
                <w:highlight w:val="none"/>
                <w:u w:val="single"/>
              </w:rPr>
              <w:t>建设项目危险废物贮存场所（设施）基本情况一览表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86"/>
              <w:gridCol w:w="1117"/>
              <w:gridCol w:w="812"/>
              <w:gridCol w:w="1418"/>
              <w:gridCol w:w="697"/>
              <w:gridCol w:w="788"/>
              <w:gridCol w:w="752"/>
              <w:gridCol w:w="948"/>
              <w:gridCol w:w="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636"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贮存场所（设施）</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名称</w:t>
                  </w:r>
                </w:p>
              </w:tc>
              <w:tc>
                <w:tcPr>
                  <w:tcW w:w="65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危险废物名称</w:t>
                  </w:r>
                </w:p>
              </w:tc>
              <w:tc>
                <w:tcPr>
                  <w:tcW w:w="47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危险废物类别</w:t>
                  </w:r>
                </w:p>
              </w:tc>
              <w:tc>
                <w:tcPr>
                  <w:tcW w:w="830"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危险废物代码</w:t>
                  </w:r>
                </w:p>
              </w:tc>
              <w:tc>
                <w:tcPr>
                  <w:tcW w:w="408"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位置</w:t>
                  </w:r>
                </w:p>
              </w:tc>
              <w:tc>
                <w:tcPr>
                  <w:tcW w:w="461"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占地</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面积</w:t>
                  </w:r>
                </w:p>
              </w:tc>
              <w:tc>
                <w:tcPr>
                  <w:tcW w:w="440"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方式</w:t>
                  </w:r>
                </w:p>
              </w:tc>
              <w:tc>
                <w:tcPr>
                  <w:tcW w:w="55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能力</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周期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36"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default" w:ascii="Times New Roman" w:hAnsi="Times New Roman" w:cs="Times New Roman"/>
                      <w:b w:val="0"/>
                      <w:bCs/>
                      <w:color w:val="auto"/>
                      <w:szCs w:val="21"/>
                      <w:highlight w:val="none"/>
                      <w:u w:val="single"/>
                      <w:lang w:val="en-US" w:eastAsia="zh-CN"/>
                    </w:rPr>
                    <w:t>危废暂存间</w:t>
                  </w:r>
                </w:p>
              </w:tc>
              <w:tc>
                <w:tcPr>
                  <w:tcW w:w="65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废UV</w:t>
                  </w:r>
                </w:p>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灯管</w:t>
                  </w:r>
                </w:p>
              </w:tc>
              <w:tc>
                <w:tcPr>
                  <w:tcW w:w="47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HW</w:t>
                  </w:r>
                </w:p>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29</w:t>
                  </w:r>
                </w:p>
              </w:tc>
              <w:tc>
                <w:tcPr>
                  <w:tcW w:w="830"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900-023-29</w:t>
                  </w:r>
                </w:p>
              </w:tc>
              <w:tc>
                <w:tcPr>
                  <w:tcW w:w="408"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default" w:ascii="Times New Roman" w:hAnsi="Times New Roman" w:cs="Times New Roman"/>
                      <w:b w:val="0"/>
                      <w:bCs/>
                      <w:color w:val="auto"/>
                      <w:szCs w:val="21"/>
                      <w:highlight w:val="none"/>
                      <w:u w:val="single"/>
                      <w:lang w:val="en-US" w:eastAsia="zh-CN"/>
                    </w:rPr>
                    <w:t>车间东南角</w:t>
                  </w:r>
                </w:p>
              </w:tc>
              <w:tc>
                <w:tcPr>
                  <w:tcW w:w="461"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vertAlign w:val="baseline"/>
                      <w:lang w:val="en-US" w:eastAsia="zh-CN"/>
                    </w:rPr>
                  </w:pPr>
                  <w:r>
                    <w:rPr>
                      <w:rFonts w:hint="default" w:ascii="Times New Roman" w:hAnsi="Times New Roman" w:cs="Times New Roman"/>
                      <w:b w:val="0"/>
                      <w:bCs/>
                      <w:color w:val="auto"/>
                      <w:szCs w:val="21"/>
                      <w:highlight w:val="none"/>
                      <w:u w:val="single"/>
                      <w:lang w:val="en-US" w:eastAsia="zh-CN"/>
                    </w:rPr>
                    <w:t>10m</w:t>
                  </w:r>
                  <w:r>
                    <w:rPr>
                      <w:rFonts w:hint="default" w:ascii="Times New Roman" w:hAnsi="Times New Roman" w:cs="Times New Roman"/>
                      <w:b w:val="0"/>
                      <w:bCs/>
                      <w:color w:val="auto"/>
                      <w:szCs w:val="21"/>
                      <w:highlight w:val="none"/>
                      <w:u w:val="single"/>
                      <w:vertAlign w:val="superscript"/>
                      <w:lang w:val="en-US" w:eastAsia="zh-CN"/>
                    </w:rPr>
                    <w:t>2</w:t>
                  </w:r>
                </w:p>
              </w:tc>
              <w:tc>
                <w:tcPr>
                  <w:tcW w:w="440"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default" w:ascii="Times New Roman" w:hAnsi="Times New Roman" w:cs="Times New Roman"/>
                      <w:b w:val="0"/>
                      <w:bCs/>
                      <w:color w:val="auto"/>
                      <w:szCs w:val="21"/>
                      <w:highlight w:val="none"/>
                      <w:u w:val="single"/>
                      <w:lang w:val="en-US" w:eastAsia="zh-CN"/>
                    </w:rPr>
                    <w:t>桶装</w:t>
                  </w:r>
                  <w:r>
                    <w:rPr>
                      <w:rFonts w:hint="eastAsia" w:cs="Times New Roman"/>
                      <w:b w:val="0"/>
                      <w:bCs/>
                      <w:color w:val="auto"/>
                      <w:szCs w:val="21"/>
                      <w:highlight w:val="none"/>
                      <w:u w:val="single"/>
                      <w:lang w:val="en-US" w:eastAsia="zh-CN"/>
                    </w:rPr>
                    <w:t>密闭储存</w:t>
                  </w:r>
                </w:p>
              </w:tc>
              <w:tc>
                <w:tcPr>
                  <w:tcW w:w="555" w:type="pct"/>
                  <w:tcBorders>
                    <w:tl2br w:val="nil"/>
                    <w:tr2bl w:val="nil"/>
                  </w:tcBorders>
                  <w:noWrap w:val="0"/>
                  <w:vAlign w:val="center"/>
                </w:tcPr>
                <w:p>
                  <w:pPr>
                    <w:widowControl/>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lang w:val="en-US" w:eastAsia="zh-CN"/>
                    </w:rPr>
                    <w:t>20根</w:t>
                  </w:r>
                  <w:r>
                    <w:rPr>
                      <w:rFonts w:hint="default" w:ascii="Times New Roman" w:hAnsi="Times New Roman" w:cs="Times New Roman"/>
                      <w:b w:val="0"/>
                      <w:bCs/>
                      <w:color w:val="auto"/>
                      <w:szCs w:val="21"/>
                      <w:highlight w:val="none"/>
                      <w:u w:val="single"/>
                    </w:rPr>
                    <w:t>/a</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1年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36"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65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废活</w:t>
                  </w:r>
                </w:p>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性炭</w:t>
                  </w:r>
                </w:p>
              </w:tc>
              <w:tc>
                <w:tcPr>
                  <w:tcW w:w="47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HW</w:t>
                  </w:r>
                </w:p>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szCs w:val="21"/>
                      <w:highlight w:val="none"/>
                      <w:u w:val="single"/>
                    </w:rPr>
                    <w:t>49</w:t>
                  </w:r>
                </w:p>
              </w:tc>
              <w:tc>
                <w:tcPr>
                  <w:tcW w:w="830"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highlight w:val="none"/>
                      <w:u w:val="single"/>
                    </w:rPr>
                    <w:t>900-039-49</w:t>
                  </w:r>
                </w:p>
              </w:tc>
              <w:tc>
                <w:tcPr>
                  <w:tcW w:w="408"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461"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440"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555" w:type="pct"/>
                  <w:tcBorders>
                    <w:tl2br w:val="nil"/>
                    <w:tr2bl w:val="nil"/>
                  </w:tcBorders>
                  <w:noWrap w:val="0"/>
                  <w:vAlign w:val="center"/>
                </w:tcPr>
                <w:p>
                  <w:pPr>
                    <w:widowControl/>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color w:val="auto"/>
                      <w:highlight w:val="none"/>
                      <w:u w:val="single"/>
                      <w:lang w:val="en-US" w:eastAsia="zh-CN"/>
                    </w:rPr>
                    <w:t>5</w:t>
                  </w:r>
                  <w:r>
                    <w:rPr>
                      <w:rFonts w:hint="default" w:ascii="Times New Roman" w:hAnsi="Times New Roman" w:cs="Times New Roman"/>
                      <w:b w:val="0"/>
                      <w:bCs/>
                      <w:color w:val="auto"/>
                      <w:highlight w:val="none"/>
                      <w:u w:val="single"/>
                    </w:rPr>
                    <w:t>t/a</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eastAsia="zh-CN"/>
                    </w:rPr>
                  </w:pPr>
                  <w:r>
                    <w:rPr>
                      <w:rFonts w:hint="default" w:ascii="Times New Roman" w:hAnsi="Times New Roman" w:cs="Times New Roman"/>
                      <w:b w:val="0"/>
                      <w:bCs/>
                      <w:color w:val="auto"/>
                      <w:szCs w:val="21"/>
                      <w:highlight w:val="none"/>
                      <w:u w:val="single"/>
                      <w:lang w:val="en-US" w:eastAsia="zh-CN"/>
                    </w:rPr>
                    <w:t>三个月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36"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1117"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eastAsia" w:cs="Times New Roman"/>
                      <w:b w:val="0"/>
                      <w:bCs w:val="0"/>
                      <w:color w:val="auto"/>
                      <w:szCs w:val="21"/>
                      <w:u w:val="single"/>
                      <w:lang w:val="en-US" w:eastAsia="zh-CN"/>
                    </w:rPr>
                    <w:t>废机油</w:t>
                  </w:r>
                </w:p>
              </w:tc>
              <w:tc>
                <w:tcPr>
                  <w:tcW w:w="812" w:type="dxa"/>
                  <w:tcBorders>
                    <w:tl2br w:val="nil"/>
                    <w:tr2bl w:val="nil"/>
                  </w:tcBorders>
                  <w:noWrap w:val="0"/>
                  <w:vAlign w:val="center"/>
                </w:tcPr>
                <w:p>
                  <w:pPr>
                    <w:spacing w:line="240" w:lineRule="auto"/>
                    <w:jc w:val="center"/>
                    <w:rPr>
                      <w:rFonts w:hint="default" w:ascii="Times New Roman" w:hAnsi="Times New Roman" w:cs="Times New Roman"/>
                      <w:b w:val="0"/>
                      <w:bCs/>
                      <w:color w:val="auto"/>
                      <w:szCs w:val="21"/>
                      <w:highlight w:val="none"/>
                      <w:u w:val="single"/>
                    </w:rPr>
                  </w:pPr>
                  <w:r>
                    <w:rPr>
                      <w:rFonts w:hint="default" w:ascii="Times New Roman" w:hAnsi="Times New Roman" w:eastAsia="宋体" w:cs="Times New Roman"/>
                      <w:b w:val="0"/>
                      <w:bCs w:val="0"/>
                      <w:i w:val="0"/>
                      <w:iCs w:val="0"/>
                      <w:color w:val="000000"/>
                      <w:kern w:val="0"/>
                      <w:sz w:val="21"/>
                      <w:szCs w:val="21"/>
                      <w:u w:val="single"/>
                    </w:rPr>
                    <w:t>HW</w:t>
                  </w:r>
                  <w:r>
                    <w:rPr>
                      <w:rFonts w:hint="eastAsia" w:cs="Times New Roman"/>
                      <w:b w:val="0"/>
                      <w:bCs w:val="0"/>
                      <w:i w:val="0"/>
                      <w:iCs w:val="0"/>
                      <w:color w:val="000000"/>
                      <w:kern w:val="0"/>
                      <w:sz w:val="21"/>
                      <w:szCs w:val="21"/>
                      <w:u w:val="single"/>
                      <w:lang w:val="en-US" w:eastAsia="zh-CN"/>
                    </w:rPr>
                    <w:t>08</w:t>
                  </w:r>
                </w:p>
              </w:tc>
              <w:tc>
                <w:tcPr>
                  <w:tcW w:w="1418"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highlight w:val="none"/>
                      <w:u w:val="single"/>
                    </w:rPr>
                  </w:pPr>
                  <w:r>
                    <w:rPr>
                      <w:rFonts w:hint="eastAsia" w:cs="Times New Roman"/>
                      <w:b w:val="0"/>
                      <w:bCs w:val="0"/>
                      <w:i w:val="0"/>
                      <w:iCs w:val="0"/>
                      <w:color w:val="000000"/>
                      <w:kern w:val="0"/>
                      <w:sz w:val="21"/>
                      <w:szCs w:val="21"/>
                      <w:u w:val="single"/>
                      <w:lang w:eastAsia="zh-CN"/>
                    </w:rPr>
                    <w:t>900-217-08</w:t>
                  </w:r>
                </w:p>
              </w:tc>
              <w:tc>
                <w:tcPr>
                  <w:tcW w:w="408"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461"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440"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555" w:type="pct"/>
                  <w:tcBorders>
                    <w:tl2br w:val="nil"/>
                    <w:tr2bl w:val="nil"/>
                  </w:tcBorders>
                  <w:noWrap w:val="0"/>
                  <w:vAlign w:val="center"/>
                </w:tcPr>
                <w:p>
                  <w:pPr>
                    <w:widowControl/>
                    <w:topLinePunct/>
                    <w:adjustRightInd w:val="0"/>
                    <w:snapToGrid w:val="0"/>
                    <w:spacing w:line="320" w:lineRule="exact"/>
                    <w:jc w:val="center"/>
                    <w:rPr>
                      <w:rFonts w:hint="default" w:ascii="Times New Roman" w:hAnsi="Times New Roman" w:cs="Times New Roman"/>
                      <w:b w:val="0"/>
                      <w:bCs/>
                      <w:color w:val="auto"/>
                      <w:highlight w:val="none"/>
                      <w:u w:val="single"/>
                      <w:lang w:val="en-US" w:eastAsia="zh-CN"/>
                    </w:rPr>
                  </w:pPr>
                  <w:r>
                    <w:rPr>
                      <w:rFonts w:hint="eastAsia" w:cs="Times New Roman"/>
                      <w:b w:val="0"/>
                      <w:bCs/>
                      <w:color w:val="auto"/>
                      <w:highlight w:val="none"/>
                      <w:u w:val="single"/>
                      <w:lang w:val="en-US" w:eastAsia="zh-CN"/>
                    </w:rPr>
                    <w:t>0.1t/a</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lang w:val="en-US" w:eastAsia="zh-CN"/>
                    </w:rPr>
                  </w:pPr>
                  <w:r>
                    <w:rPr>
                      <w:rFonts w:hint="eastAsia" w:cs="Times New Roman"/>
                      <w:b w:val="0"/>
                      <w:bCs w:val="0"/>
                      <w:color w:val="auto"/>
                      <w:szCs w:val="21"/>
                      <w:u w:val="single"/>
                      <w:lang w:val="en-US" w:eastAsia="zh-CN"/>
                    </w:rPr>
                    <w:t>六个月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color w:val="000000"/>
                <w:kern w:val="0"/>
                <w:sz w:val="24"/>
                <w:u w:val="single"/>
                <w:lang w:val="en-US" w:eastAsia="zh-CN"/>
              </w:rPr>
              <w:t>厂区东南角建设一间</w:t>
            </w:r>
            <w:r>
              <w:rPr>
                <w:rFonts w:hint="default" w:ascii="Times New Roman" w:hAnsi="Times New Roman" w:cs="Times New Roman"/>
                <w:color w:val="000000"/>
                <w:kern w:val="0"/>
                <w:sz w:val="24"/>
                <w:u w:val="single"/>
              </w:rPr>
              <w:t>危废储存间（</w:t>
            </w:r>
            <w:r>
              <w:rPr>
                <w:rFonts w:hint="default" w:ascii="Times New Roman" w:hAnsi="Times New Roman" w:cs="Times New Roman"/>
                <w:color w:val="000000"/>
                <w:kern w:val="0"/>
                <w:sz w:val="24"/>
                <w:u w:val="single"/>
                <w:lang w:val="en-US" w:eastAsia="zh-CN"/>
              </w:rPr>
              <w:t>10</w:t>
            </w:r>
            <w:r>
              <w:rPr>
                <w:rFonts w:hint="default" w:ascii="Times New Roman" w:hAnsi="Times New Roman" w:cs="Times New Roman"/>
                <w:color w:val="000000"/>
                <w:kern w:val="0"/>
                <w:sz w:val="24"/>
                <w:u w:val="single"/>
              </w:rPr>
              <w:t>m</w:t>
            </w:r>
            <w:r>
              <w:rPr>
                <w:rFonts w:hint="default" w:ascii="Times New Roman" w:hAnsi="Times New Roman" w:cs="Times New Roman"/>
                <w:color w:val="000000"/>
                <w:kern w:val="0"/>
                <w:sz w:val="24"/>
                <w:u w:val="single"/>
                <w:vertAlign w:val="superscript"/>
              </w:rPr>
              <w:t>2</w:t>
            </w:r>
            <w:r>
              <w:rPr>
                <w:rFonts w:hint="default" w:ascii="Times New Roman" w:hAnsi="Times New Roman" w:cs="Times New Roman"/>
                <w:color w:val="000000"/>
                <w:kern w:val="0"/>
                <w:sz w:val="24"/>
                <w:u w:val="single"/>
              </w:rPr>
              <w:t>），采用全封闭结构、地面硬化，储存间外明显处悬挂危险废物识别标志。废活性炭采用</w:t>
            </w:r>
            <w:r>
              <w:rPr>
                <w:rFonts w:hint="default" w:ascii="Times New Roman" w:hAnsi="Times New Roman" w:cs="Times New Roman"/>
                <w:color w:val="000000"/>
                <w:kern w:val="0"/>
                <w:sz w:val="24"/>
                <w:u w:val="single"/>
                <w:lang w:eastAsia="zh-CN"/>
              </w:rPr>
              <w:t>金属箱</w:t>
            </w:r>
            <w:r>
              <w:rPr>
                <w:rFonts w:hint="default" w:ascii="Times New Roman" w:hAnsi="Times New Roman" w:cs="Times New Roman"/>
                <w:color w:val="000000"/>
                <w:kern w:val="0"/>
                <w:sz w:val="24"/>
                <w:u w:val="single"/>
              </w:rPr>
              <w:t>作为临时存储，保存在危废暂存间。</w:t>
            </w:r>
            <w:r>
              <w:rPr>
                <w:rFonts w:hint="default" w:ascii="Times New Roman" w:hAnsi="Times New Roman" w:cs="Times New Roman"/>
                <w:color w:val="000000"/>
                <w:sz w:val="24"/>
                <w:u w:val="single"/>
              </w:rPr>
              <w:t>按照《危险废物贮存污染控制标准》和《河南省危险废物规范化管理工作指南（试行）》（豫环文</w:t>
            </w:r>
            <w:r>
              <w:rPr>
                <w:rFonts w:hint="default" w:ascii="Times New Roman" w:hAnsi="Times New Roman" w:cs="Times New Roman"/>
                <w:color w:val="000000"/>
                <w:sz w:val="24"/>
                <w:u w:val="single"/>
                <w:lang w:eastAsia="zh-CN"/>
              </w:rPr>
              <w:t>〔</w:t>
            </w:r>
            <w:r>
              <w:rPr>
                <w:rFonts w:hint="default" w:ascii="Times New Roman" w:hAnsi="Times New Roman" w:cs="Times New Roman"/>
                <w:color w:val="000000"/>
                <w:sz w:val="24"/>
                <w:u w:val="single"/>
              </w:rPr>
              <w:t>2012</w:t>
            </w:r>
            <w:r>
              <w:rPr>
                <w:rFonts w:hint="default" w:ascii="Times New Roman" w:hAnsi="Times New Roman" w:cs="Times New Roman"/>
                <w:color w:val="000000"/>
                <w:sz w:val="24"/>
                <w:u w:val="single"/>
                <w:lang w:eastAsia="zh-CN"/>
              </w:rPr>
              <w:t>〕</w:t>
            </w:r>
            <w:r>
              <w:rPr>
                <w:rFonts w:hint="default" w:ascii="Times New Roman" w:hAnsi="Times New Roman" w:cs="Times New Roman"/>
                <w:color w:val="000000"/>
                <w:sz w:val="24"/>
                <w:u w:val="single"/>
              </w:rPr>
              <w:t>18号文件）</w:t>
            </w:r>
            <w:r>
              <w:rPr>
                <w:rFonts w:hint="default" w:ascii="Times New Roman" w:hAnsi="Times New Roman" w:cs="Times New Roman"/>
                <w:bCs/>
                <w:color w:val="000000"/>
                <w:sz w:val="24"/>
                <w:u w:val="single"/>
              </w:rPr>
              <w:t>有关规定危废暂存间需采取防风、防雨、防晒、防泄漏、防流失等措施，地面采取防渗措施，并设有危险废物标识牌，定期检查，</w:t>
            </w:r>
            <w:r>
              <w:rPr>
                <w:rFonts w:hint="default" w:ascii="Times New Roman" w:hAnsi="Times New Roman" w:cs="Times New Roman"/>
                <w:bCs/>
                <w:color w:val="000000"/>
                <w:sz w:val="24"/>
                <w:u w:val="single"/>
                <w:lang w:eastAsia="zh-CN"/>
              </w:rPr>
              <w:t>防止</w:t>
            </w:r>
            <w:r>
              <w:rPr>
                <w:rFonts w:hint="default" w:ascii="Times New Roman" w:hAnsi="Times New Roman" w:cs="Times New Roman"/>
                <w:bCs/>
                <w:color w:val="000000"/>
                <w:sz w:val="24"/>
                <w:u w:val="single"/>
              </w:rPr>
              <w:t>二次污染</w:t>
            </w:r>
            <w:r>
              <w:rPr>
                <w:rFonts w:hint="eastAsia" w:ascii="Times New Roman" w:hAnsi="Times New Roman" w:cs="Times New Roman"/>
                <w:bCs/>
                <w:color w:val="000000"/>
                <w:sz w:val="24"/>
                <w:u w:val="single"/>
                <w:lang w:eastAsia="zh-CN"/>
              </w:rPr>
              <w:t>，</w:t>
            </w:r>
            <w:r>
              <w:rPr>
                <w:rFonts w:hint="eastAsia" w:ascii="Times New Roman" w:hAnsi="Times New Roman" w:cs="Times New Roman"/>
                <w:bCs/>
                <w:color w:val="000000"/>
                <w:sz w:val="24"/>
                <w:u w:val="single"/>
                <w:lang w:val="en-US" w:eastAsia="zh-CN"/>
              </w:rPr>
              <w:t>废活性炭在密闭容器内储存、运输</w:t>
            </w:r>
            <w:r>
              <w:rPr>
                <w:rFonts w:hint="default" w:ascii="Times New Roman" w:hAnsi="Times New Roman" w:cs="Times New Roman"/>
                <w:bCs/>
                <w:color w:val="000000"/>
                <w:sz w:val="24"/>
                <w:u w:val="single"/>
              </w:rPr>
              <w:t>。</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①危废暂存间位于</w:t>
            </w:r>
            <w:r>
              <w:rPr>
                <w:rFonts w:hint="default" w:ascii="Times New Roman" w:hAnsi="Times New Roman" w:cs="Times New Roman"/>
                <w:bCs/>
                <w:color w:val="000000"/>
                <w:sz w:val="24"/>
                <w:highlight w:val="none"/>
                <w:u w:val="single"/>
                <w:lang w:val="en-US" w:eastAsia="zh-CN"/>
              </w:rPr>
              <w:t>车间东南角</w:t>
            </w:r>
            <w:r>
              <w:rPr>
                <w:rFonts w:hint="default" w:ascii="Times New Roman" w:hAnsi="Times New Roman" w:cs="Times New Roman"/>
                <w:bCs/>
                <w:color w:val="000000"/>
                <w:sz w:val="24"/>
                <w:highlight w:val="none"/>
                <w:u w:val="single"/>
              </w:rPr>
              <w:t>，</w:t>
            </w:r>
            <w:r>
              <w:rPr>
                <w:rFonts w:hint="default" w:ascii="Times New Roman" w:hAnsi="Times New Roman" w:cs="Times New Roman"/>
                <w:bCs/>
                <w:color w:val="000000"/>
                <w:sz w:val="24"/>
                <w:u w:val="single"/>
              </w:rPr>
              <w:t>占地面积</w:t>
            </w:r>
            <w:r>
              <w:rPr>
                <w:rFonts w:hint="default" w:ascii="Times New Roman" w:hAnsi="Times New Roman" w:cs="Times New Roman"/>
                <w:bCs/>
                <w:color w:val="000000"/>
                <w:sz w:val="24"/>
                <w:u w:val="single"/>
                <w:lang w:val="en-US" w:eastAsia="zh-CN"/>
              </w:rPr>
              <w:t>10</w:t>
            </w:r>
            <w:r>
              <w:rPr>
                <w:rFonts w:hint="default" w:ascii="Times New Roman" w:hAnsi="Times New Roman" w:cs="Times New Roman"/>
                <w:bCs/>
                <w:color w:val="000000"/>
                <w:sz w:val="24"/>
                <w:u w:val="single"/>
              </w:rPr>
              <w:t>m</w:t>
            </w:r>
            <w:r>
              <w:rPr>
                <w:rFonts w:hint="default" w:ascii="Times New Roman" w:hAnsi="Times New Roman" w:cs="Times New Roman"/>
                <w:bCs/>
                <w:color w:val="000000"/>
                <w:sz w:val="24"/>
                <w:u w:val="single"/>
                <w:vertAlign w:val="superscript"/>
              </w:rPr>
              <w:t>2</w:t>
            </w:r>
            <w:r>
              <w:rPr>
                <w:rFonts w:hint="default" w:ascii="Times New Roman" w:hAnsi="Times New Roman" w:cs="Times New Roman"/>
                <w:bCs/>
                <w:color w:val="000000"/>
                <w:sz w:val="24"/>
                <w:u w:val="single"/>
              </w:rPr>
              <w:t>，满足《危险废物贮存污染控制标准》（GB18597-20</w:t>
            </w:r>
            <w:r>
              <w:rPr>
                <w:rFonts w:hint="default" w:ascii="Times New Roman" w:hAnsi="Times New Roman" w:cs="Times New Roman"/>
                <w:bCs/>
                <w:color w:val="000000"/>
                <w:sz w:val="24"/>
                <w:u w:val="single"/>
                <w:lang w:val="en-US" w:eastAsia="zh-CN"/>
              </w:rPr>
              <w:t>23</w:t>
            </w:r>
            <w:r>
              <w:rPr>
                <w:rFonts w:hint="default" w:ascii="Times New Roman" w:hAnsi="Times New Roman" w:cs="Times New Roman"/>
                <w:bCs/>
                <w:color w:val="000000"/>
                <w:sz w:val="24"/>
                <w:u w:val="single"/>
              </w:rPr>
              <w:t>）</w:t>
            </w:r>
            <w:r>
              <w:rPr>
                <w:rFonts w:hint="default" w:ascii="Times New Roman" w:hAnsi="Times New Roman" w:eastAsia="宋体" w:cs="Times New Roman"/>
                <w:sz w:val="24"/>
                <w:szCs w:val="24"/>
                <w:u w:val="single"/>
              </w:rPr>
              <w:t>防风、防晒、防雨、防漏、防渗、防腐</w:t>
            </w:r>
            <w:r>
              <w:rPr>
                <w:rFonts w:hint="default" w:ascii="Times New Roman" w:hAnsi="Times New Roman" w:cs="Times New Roman"/>
                <w:color w:val="auto"/>
                <w:sz w:val="24"/>
                <w:u w:val="single"/>
              </w:rPr>
              <w:t>要求；</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②本项目专用容器作为危废暂存容器，危废暂存容器置于危废暂存间。危险废物贮存设施根据贮存的废物种类和特性按照《危险废物贮存污染控制标准》（GB18597-20</w:t>
            </w:r>
            <w:r>
              <w:rPr>
                <w:rFonts w:hint="default" w:ascii="Times New Roman" w:hAnsi="Times New Roman" w:cs="Times New Roman"/>
                <w:bCs/>
                <w:color w:val="000000"/>
                <w:sz w:val="24"/>
                <w:u w:val="single"/>
                <w:lang w:val="en-US" w:eastAsia="zh-CN"/>
              </w:rPr>
              <w:t>23</w:t>
            </w:r>
            <w:r>
              <w:rPr>
                <w:rFonts w:hint="default" w:ascii="Times New Roman" w:hAnsi="Times New Roman" w:cs="Times New Roman"/>
                <w:bCs/>
                <w:color w:val="000000"/>
                <w:sz w:val="24"/>
                <w:u w:val="single"/>
              </w:rPr>
              <w:t>）设置标志，且将标签粘贴于盛装危险废物的容器上。加强管理，</w:t>
            </w:r>
            <w:r>
              <w:rPr>
                <w:rFonts w:hint="default" w:ascii="Times New Roman" w:hAnsi="Times New Roman" w:cs="Times New Roman"/>
                <w:bCs/>
                <w:color w:val="000000"/>
                <w:sz w:val="24"/>
                <w:u w:val="single"/>
                <w:lang w:eastAsia="zh-CN"/>
              </w:rPr>
              <w:t>制定</w:t>
            </w:r>
            <w:r>
              <w:rPr>
                <w:rFonts w:hint="default" w:ascii="Times New Roman" w:hAnsi="Times New Roman" w:cs="Times New Roman"/>
                <w:bCs/>
                <w:color w:val="000000"/>
                <w:sz w:val="24"/>
                <w:u w:val="single"/>
              </w:rPr>
              <w:t>危废管理制度。</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③危险废物均室内贮存，装载危险废物的容器必须完好无损，材质满足相应的强度要求，容器材质与衬里要与危险废物相容（不相互反应）。危险废物暂存场所专人负责管理，定期对所暂存的危险废物容器进行检查，发现破损，可以及时采取措施清理更换。同时，将产生的危废定期交由有危废废物资质的单位进行处理，严禁随意处置危险废物。</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④禁止将危险废物与一般固体废物及其他废物混合堆放，按处置去向分别存放。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lang w:val="en-US" w:eastAsia="zh-CN"/>
              </w:rPr>
            </w:pPr>
            <w:r>
              <w:rPr>
                <w:rFonts w:hint="default" w:ascii="Times New Roman" w:hAnsi="Times New Roman" w:cs="Times New Roman"/>
                <w:bCs/>
                <w:color w:val="000000"/>
                <w:sz w:val="24"/>
                <w:u w:val="single"/>
                <w:lang w:val="en-US" w:eastAsia="zh-CN"/>
              </w:rPr>
              <w:t>本项目采取以上措施后危险废物均得到合理</w:t>
            </w:r>
            <w:r>
              <w:rPr>
                <w:rFonts w:hint="default" w:ascii="Times New Roman" w:hAnsi="Times New Roman" w:cs="Times New Roman"/>
                <w:bCs/>
                <w:color w:val="000000"/>
                <w:sz w:val="24"/>
                <w:highlight w:val="none"/>
                <w:u w:val="single"/>
                <w:lang w:val="en-US" w:eastAsia="zh-CN"/>
              </w:rPr>
              <w:t>有效的处理</w:t>
            </w:r>
            <w:r>
              <w:rPr>
                <w:rFonts w:hint="default" w:ascii="Times New Roman" w:hAnsi="Times New Roman" w:cs="Times New Roman"/>
                <w:bCs/>
                <w:color w:val="000000"/>
                <w:sz w:val="24"/>
                <w:u w:val="single"/>
                <w:lang w:val="en-US" w:eastAsia="zh-CN"/>
              </w:rPr>
              <w:t>，对环境影响较小。</w:t>
            </w:r>
          </w:p>
          <w:p>
            <w:pPr>
              <w:spacing w:line="360" w:lineRule="auto"/>
              <w:rPr>
                <w:rFonts w:hint="default" w:ascii="Times New Roman" w:hAnsi="Times New Roman" w:cs="Times New Roman"/>
                <w:b/>
                <w:bCs/>
                <w:sz w:val="28"/>
                <w:szCs w:val="28"/>
                <w:u w:val="none"/>
              </w:rPr>
            </w:pPr>
            <w:r>
              <w:rPr>
                <w:rFonts w:hint="default" w:ascii="Times New Roman" w:hAnsi="Times New Roman" w:cs="Times New Roman"/>
                <w:b/>
                <w:bCs/>
                <w:sz w:val="28"/>
                <w:szCs w:val="28"/>
                <w:u w:val="none"/>
                <w:lang w:val="en-US" w:eastAsia="zh-CN"/>
              </w:rPr>
              <w:t>五</w:t>
            </w:r>
            <w:r>
              <w:rPr>
                <w:rFonts w:hint="default" w:ascii="Times New Roman" w:hAnsi="Times New Roman" w:cs="Times New Roman"/>
                <w:b/>
                <w:bCs/>
                <w:sz w:val="28"/>
                <w:szCs w:val="28"/>
                <w:u w:val="none"/>
                <w:lang w:eastAsia="zh-CN"/>
              </w:rPr>
              <w:t>、</w:t>
            </w:r>
            <w:r>
              <w:rPr>
                <w:rFonts w:hint="default" w:ascii="Times New Roman" w:hAnsi="Times New Roman" w:cs="Times New Roman"/>
                <w:b/>
                <w:bCs/>
                <w:sz w:val="28"/>
                <w:szCs w:val="28"/>
                <w:u w:val="none"/>
              </w:rPr>
              <w:t>地下水、土壤环境影响分析</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sz w:val="24"/>
                <w:szCs w:val="28"/>
                <w:u w:val="none"/>
              </w:rPr>
            </w:pPr>
            <w:r>
              <w:rPr>
                <w:rFonts w:hint="default" w:ascii="Times New Roman" w:hAnsi="Times New Roman" w:eastAsia="宋体" w:cs="Times New Roman"/>
                <w:b/>
                <w:bCs/>
                <w:sz w:val="24"/>
                <w:szCs w:val="28"/>
                <w:u w:val="none"/>
              </w:rPr>
              <w:t>5.1地下水、土壤污染源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本项目为“污染影响型建设项目”，排放的废气污染物主要为非甲烷总烃</w:t>
            </w:r>
            <w:r>
              <w:rPr>
                <w:rFonts w:hint="default" w:ascii="Times New Roman" w:hAnsi="Times New Roman" w:cs="Times New Roman"/>
                <w:sz w:val="24"/>
                <w:szCs w:val="24"/>
                <w:u w:val="none"/>
                <w:lang w:val="en-US" w:eastAsia="zh-CN"/>
              </w:rPr>
              <w:t>。不涉及含重金属粉尘、多环芳烃、石油烃等其他有毒有害物质排放，因此项目不存在通过大气沉降途径污染土壤和地下水环境的可能</w:t>
            </w:r>
            <w:r>
              <w:rPr>
                <w:rFonts w:hint="default" w:ascii="Times New Roman" w:hAnsi="Times New Roman" w:eastAsia="宋体" w:cs="Times New Roman"/>
                <w:sz w:val="24"/>
                <w:szCs w:val="24"/>
                <w:u w:val="none"/>
                <w:lang w:val="en-US" w:eastAsia="zh-CN"/>
              </w:rPr>
              <w:t>；对土壤及地下水有影响的主要为危废暂存间暂存的危险废物</w:t>
            </w:r>
            <w:r>
              <w:rPr>
                <w:rFonts w:hint="default" w:ascii="Times New Roman" w:hAnsi="Times New Roman" w:cs="Times New Roman"/>
                <w:sz w:val="24"/>
                <w:szCs w:val="24"/>
                <w:u w:val="none"/>
                <w:lang w:val="en-US" w:eastAsia="zh-CN"/>
              </w:rPr>
              <w:t>泄漏</w:t>
            </w:r>
            <w:r>
              <w:rPr>
                <w:rFonts w:hint="default" w:ascii="Times New Roman" w:hAnsi="Times New Roman" w:eastAsia="宋体" w:cs="Times New Roman"/>
                <w:sz w:val="24"/>
                <w:szCs w:val="24"/>
                <w:u w:val="none"/>
                <w:lang w:val="en-US" w:eastAsia="zh-CN"/>
              </w:rPr>
              <w:t>垂直入渗</w:t>
            </w:r>
            <w:r>
              <w:rPr>
                <w:rFonts w:hint="default" w:ascii="Times New Roman" w:hAnsi="Times New Roman" w:cs="Times New Roman"/>
                <w:sz w:val="24"/>
                <w:szCs w:val="24"/>
                <w:u w:val="none"/>
                <w:lang w:val="en-US" w:eastAsia="zh-CN"/>
              </w:rPr>
              <w:t>产生的污染</w:t>
            </w:r>
            <w:r>
              <w:rPr>
                <w:rFonts w:hint="default" w:ascii="Times New Roman" w:hAnsi="Times New Roman" w:eastAsia="宋体" w:cs="Times New Roman"/>
                <w:sz w:val="24"/>
                <w:szCs w:val="24"/>
                <w:u w:val="none"/>
                <w:lang w:val="en-US" w:eastAsia="zh-CN"/>
              </w:rPr>
              <w:t>。</w:t>
            </w:r>
          </w:p>
          <w:p>
            <w:pPr>
              <w:pStyle w:val="51"/>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sz w:val="24"/>
                <w:u w:val="none"/>
                <w:lang w:val="en-US" w:eastAsia="zh-CN"/>
              </w:rPr>
            </w:pPr>
            <w:r>
              <w:rPr>
                <w:rFonts w:hint="default" w:ascii="Times New Roman" w:hAnsi="Times New Roman" w:eastAsia="宋体" w:cs="Times New Roman"/>
                <w:b/>
                <w:sz w:val="24"/>
                <w:u w:val="none"/>
                <w:lang w:val="en-US" w:eastAsia="zh-CN"/>
              </w:rPr>
              <w:t>5.2地下水、土壤防控措施</w:t>
            </w:r>
          </w:p>
          <w:p>
            <w:pPr>
              <w:pStyle w:val="51"/>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bCs/>
                <w:sz w:val="24"/>
                <w:u w:val="none"/>
                <w:lang w:val="en-US" w:eastAsia="zh-CN"/>
              </w:rPr>
            </w:pPr>
            <w:r>
              <w:rPr>
                <w:rFonts w:hint="default" w:ascii="Times New Roman" w:hAnsi="Times New Roman" w:eastAsia="宋体" w:cs="Times New Roman"/>
                <w:b w:val="0"/>
                <w:bCs/>
                <w:sz w:val="24"/>
                <w:u w:val="none"/>
                <w:lang w:val="en-US" w:eastAsia="zh-CN"/>
              </w:rPr>
              <w:t>本项目危废暂存间专人管理，地面均采取防渗措施做好防渗，本项目分区防渗措施见下表。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jc w:val="center"/>
              <w:textAlignment w:val="auto"/>
              <w:rPr>
                <w:rFonts w:hint="default" w:ascii="Times New Roman" w:hAnsi="Times New Roman" w:cs="Times New Roman"/>
                <w:b/>
                <w:snapToGrid w:val="0"/>
                <w:sz w:val="24"/>
                <w:szCs w:val="28"/>
                <w:u w:val="none"/>
              </w:rPr>
            </w:pPr>
            <w:r>
              <w:rPr>
                <w:rFonts w:hint="default" w:ascii="Times New Roman" w:hAnsi="Times New Roman" w:cs="Times New Roman"/>
                <w:b/>
                <w:snapToGrid w:val="0"/>
                <w:sz w:val="24"/>
                <w:szCs w:val="28"/>
                <w:u w:val="none"/>
                <w:lang w:val="en-US" w:eastAsia="zh-CN"/>
              </w:rPr>
              <w:t xml:space="preserve">表24   </w:t>
            </w:r>
            <w:r>
              <w:rPr>
                <w:rFonts w:hint="default" w:ascii="Times New Roman" w:hAnsi="Times New Roman" w:cs="Times New Roman"/>
                <w:b/>
                <w:snapToGrid w:val="0"/>
                <w:sz w:val="24"/>
                <w:szCs w:val="28"/>
                <w:u w:val="none"/>
              </w:rPr>
              <w:t>工程防渗措施一览表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31"/>
              <w:gridCol w:w="1751"/>
              <w:gridCol w:w="45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57"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污染源</w:t>
                  </w:r>
                </w:p>
              </w:tc>
              <w:tc>
                <w:tcPr>
                  <w:tcW w:w="1770"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防渗分区</w:t>
                  </w:r>
                </w:p>
              </w:tc>
              <w:tc>
                <w:tcPr>
                  <w:tcW w:w="4595"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防渗措施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57"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危废暂存间</w:t>
                  </w:r>
                </w:p>
              </w:tc>
              <w:tc>
                <w:tcPr>
                  <w:tcW w:w="1770"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重点防渗区</w:t>
                  </w:r>
                </w:p>
              </w:tc>
              <w:tc>
                <w:tcPr>
                  <w:tcW w:w="4595"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防渗层为2</w:t>
                  </w:r>
                  <w:r>
                    <w:rPr>
                      <w:rFonts w:hint="default" w:ascii="Times New Roman" w:hAnsi="Times New Roman" w:eastAsia="宋体" w:cs="Times New Roman"/>
                      <w:color w:val="auto"/>
                      <w:sz w:val="21"/>
                      <w:szCs w:val="21"/>
                      <w:highlight w:val="none"/>
                      <w:u w:val="none"/>
                      <w:lang w:val="en-US" w:eastAsia="zh-CN"/>
                    </w:rPr>
                    <w:t>mm</w:t>
                  </w:r>
                  <w:r>
                    <w:rPr>
                      <w:rFonts w:hint="default" w:ascii="Times New Roman" w:hAnsi="Times New Roman" w:eastAsia="宋体" w:cs="Times New Roman"/>
                      <w:color w:val="auto"/>
                      <w:sz w:val="21"/>
                      <w:szCs w:val="21"/>
                      <w:u w:val="none"/>
                      <w:lang w:val="en-US" w:eastAsia="zh-CN"/>
                    </w:rPr>
                    <w:t>厚高密度聚乙烯（渗透系数不大于1.0×10</w:t>
                  </w:r>
                  <w:r>
                    <w:rPr>
                      <w:rFonts w:hint="default" w:ascii="Times New Roman" w:hAnsi="Times New Roman" w:eastAsia="宋体" w:cs="Times New Roman"/>
                      <w:color w:val="auto"/>
                      <w:sz w:val="21"/>
                      <w:szCs w:val="21"/>
                      <w:u w:val="none"/>
                      <w:vertAlign w:val="superscript"/>
                      <w:lang w:val="en-US" w:eastAsia="zh-CN"/>
                    </w:rPr>
                    <w:t>-10</w:t>
                  </w:r>
                  <w:r>
                    <w:rPr>
                      <w:rFonts w:hint="default" w:ascii="Times New Roman" w:hAnsi="Times New Roman" w:cs="Times New Roman"/>
                      <w:color w:val="auto"/>
                      <w:sz w:val="21"/>
                      <w:szCs w:val="21"/>
                      <w:u w:val="none"/>
                      <w:lang w:val="en-US" w:eastAsia="zh-CN"/>
                    </w:rPr>
                    <w:t>C</w:t>
                  </w:r>
                  <w:r>
                    <w:rPr>
                      <w:rFonts w:hint="default" w:ascii="Times New Roman" w:hAnsi="Times New Roman" w:eastAsia="宋体" w:cs="Times New Roman"/>
                      <w:color w:val="auto"/>
                      <w:sz w:val="21"/>
                      <w:szCs w:val="21"/>
                      <w:u w:val="none"/>
                      <w:lang w:val="en-US" w:eastAsia="zh-CN"/>
                    </w:rPr>
                    <w:t>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57"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生产车间</w:t>
                  </w:r>
                </w:p>
              </w:tc>
              <w:tc>
                <w:tcPr>
                  <w:tcW w:w="1770"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一般防渗区</w:t>
                  </w:r>
                </w:p>
              </w:tc>
              <w:tc>
                <w:tcPr>
                  <w:tcW w:w="4595" w:type="dxa"/>
                  <w:tcBorders>
                    <w:tl2br w:val="nil"/>
                    <w:tr2bl w:val="nil"/>
                  </w:tcBorders>
                  <w:noWrap w:val="0"/>
                  <w:vAlign w:val="center"/>
                </w:tcPr>
                <w:p>
                  <w:pPr>
                    <w:pStyle w:val="5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u w:val="none"/>
                      <w:lang w:val="en-US" w:eastAsia="zh-CN"/>
                    </w:rPr>
                  </w:pPr>
                  <w:r>
                    <w:rPr>
                      <w:sz w:val="21"/>
                      <w:szCs w:val="21"/>
                      <w:lang w:val="en-US" w:eastAsia="zh-CN"/>
                    </w:rPr>
                    <w:t>采用在抗渗混凝土面层（包括钢筋混凝土、钢纤维混凝土）中掺水泥基渗透结晶型防水剂，其下铺砌砂石基层防渗(渗透系数不大于1.0×10</w:t>
                  </w:r>
                  <w:r>
                    <w:rPr>
                      <w:sz w:val="21"/>
                      <w:szCs w:val="21"/>
                      <w:vertAlign w:val="superscript"/>
                      <w:lang w:val="en-US" w:eastAsia="zh-CN"/>
                    </w:rPr>
                    <w:t>-7</w:t>
                  </w:r>
                  <w:r>
                    <w:rPr>
                      <w:sz w:val="21"/>
                      <w:szCs w:val="21"/>
                      <w:lang w:val="en-US" w:eastAsia="zh-CN"/>
                    </w:rPr>
                    <w:t>cm/s)</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采取以上措施后，本项目对地下水、土壤的影响较小。</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cs="Times New Roman"/>
                <w:b/>
                <w:bCs/>
                <w:color w:val="000000"/>
                <w:sz w:val="28"/>
                <w:szCs w:val="28"/>
                <w:u w:val="none"/>
                <w:lang w:val="en-US" w:eastAsia="zh-CN" w:bidi="zh-CN"/>
              </w:rPr>
              <w:t>六</w:t>
            </w:r>
            <w:r>
              <w:rPr>
                <w:rFonts w:hint="default" w:ascii="Times New Roman" w:hAnsi="Times New Roman" w:eastAsia="宋体" w:cs="Times New Roman"/>
                <w:b/>
                <w:bCs/>
                <w:color w:val="000000"/>
                <w:sz w:val="28"/>
                <w:szCs w:val="28"/>
                <w:u w:val="none"/>
                <w:lang w:val="en-US" w:eastAsia="zh-CN" w:bidi="zh-CN"/>
              </w:rPr>
              <w:t>、环保投资及验收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该项目总投资为</w:t>
            </w:r>
            <w:r>
              <w:rPr>
                <w:rFonts w:hint="default" w:ascii="Times New Roman" w:hAnsi="Times New Roman" w:cs="Times New Roman"/>
                <w:color w:val="000000"/>
                <w:sz w:val="24"/>
                <w:szCs w:val="24"/>
                <w:u w:val="none"/>
                <w:lang w:val="en-US" w:eastAsia="zh-CN"/>
              </w:rPr>
              <w:t>50</w:t>
            </w:r>
            <w:r>
              <w:rPr>
                <w:rFonts w:hint="default" w:ascii="Times New Roman" w:hAnsi="Times New Roman" w:eastAsia="宋体" w:cs="Times New Roman"/>
                <w:color w:val="000000"/>
                <w:sz w:val="24"/>
                <w:szCs w:val="24"/>
                <w:u w:val="none"/>
                <w:lang w:val="en-US" w:eastAsia="zh-CN"/>
              </w:rPr>
              <w:t>万元，其中环保投资</w:t>
            </w:r>
            <w:r>
              <w:rPr>
                <w:rFonts w:hint="default" w:ascii="Times New Roman" w:hAnsi="Times New Roman" w:cs="Times New Roman"/>
                <w:color w:val="000000"/>
                <w:sz w:val="24"/>
                <w:szCs w:val="24"/>
                <w:u w:val="none"/>
                <w:lang w:val="en-US" w:eastAsia="zh-CN"/>
              </w:rPr>
              <w:t>10</w:t>
            </w:r>
            <w:r>
              <w:rPr>
                <w:rFonts w:hint="default" w:ascii="Times New Roman" w:hAnsi="Times New Roman" w:eastAsia="宋体" w:cs="Times New Roman"/>
                <w:color w:val="000000"/>
                <w:sz w:val="24"/>
                <w:szCs w:val="24"/>
                <w:u w:val="none"/>
                <w:lang w:val="en-US" w:eastAsia="zh-CN"/>
              </w:rPr>
              <w:t>万元，占总投资的</w:t>
            </w:r>
            <w:r>
              <w:rPr>
                <w:rFonts w:hint="default" w:ascii="Times New Roman" w:hAnsi="Times New Roman" w:cs="Times New Roman"/>
                <w:color w:val="000000"/>
                <w:sz w:val="24"/>
                <w:szCs w:val="24"/>
                <w:u w:val="none"/>
                <w:lang w:val="en-US" w:eastAsia="zh-CN"/>
              </w:rPr>
              <w:t>20</w:t>
            </w:r>
            <w:r>
              <w:rPr>
                <w:rFonts w:hint="default" w:ascii="Times New Roman" w:hAnsi="Times New Roman" w:eastAsia="宋体" w:cs="Times New Roman"/>
                <w:color w:val="000000"/>
                <w:sz w:val="24"/>
                <w:szCs w:val="24"/>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表</w:t>
            </w:r>
            <w:r>
              <w:rPr>
                <w:rFonts w:hint="default" w:ascii="Times New Roman" w:hAnsi="Times New Roman" w:cs="Times New Roman"/>
                <w:b/>
                <w:bCs/>
                <w:color w:val="000000"/>
                <w:sz w:val="24"/>
                <w:szCs w:val="24"/>
                <w:u w:val="single"/>
                <w:lang w:val="en-US" w:eastAsia="zh-CN"/>
              </w:rPr>
              <w:t>25</w:t>
            </w:r>
            <w:r>
              <w:rPr>
                <w:rFonts w:hint="default" w:ascii="Times New Roman" w:hAnsi="Times New Roman" w:eastAsia="宋体" w:cs="Times New Roman"/>
                <w:b/>
                <w:bCs/>
                <w:color w:val="000000"/>
                <w:sz w:val="24"/>
                <w:szCs w:val="24"/>
                <w:u w:val="single"/>
                <w:lang w:val="en-US" w:eastAsia="zh-CN"/>
              </w:rPr>
              <w:t xml:space="preserve">   本项目环保投资估算表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1933"/>
              <w:gridCol w:w="2396"/>
              <w:gridCol w:w="2392"/>
              <w:gridCol w:w="119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98" w:type="pct"/>
                  <w:gridSpan w:val="2"/>
                  <w:tcBorders>
                    <w:tl2br w:val="single" w:color="auto" w:sz="8" w:space="0"/>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t>内容</w:t>
                  </w:r>
                </w:p>
                <w:p>
                  <w:pPr>
                    <w:topLinePunct/>
                    <w:adjustRightInd w:val="0"/>
                    <w:snapToGrid w:val="0"/>
                    <w:spacing w:line="240" w:lineRule="auto"/>
                    <w:jc w:val="cente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t>类型</w:t>
                  </w:r>
                </w:p>
              </w:tc>
              <w:tc>
                <w:tcPr>
                  <w:tcW w:w="2804" w:type="pct"/>
                  <w:gridSpan w:val="2"/>
                  <w:tcBorders>
                    <w:right w:val="single" w:color="auto" w:sz="8" w:space="0"/>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t>防治措施</w:t>
                  </w:r>
                </w:p>
              </w:tc>
              <w:tc>
                <w:tcPr>
                  <w:tcW w:w="697" w:type="pct"/>
                  <w:tcBorders>
                    <w:left w:val="single" w:color="auto" w:sz="8" w:space="0"/>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t>投资</w:t>
                  </w:r>
                </w:p>
                <w:p>
                  <w:pPr>
                    <w:topLinePunct/>
                    <w:adjustRightInd w:val="0"/>
                    <w:snapToGrid w:val="0"/>
                    <w:spacing w:line="240" w:lineRule="auto"/>
                    <w:jc w:val="cente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bCs/>
                      <w:i w:val="0"/>
                      <w:iCs w:val="0"/>
                      <w:color w:val="000000" w:themeColor="text1"/>
                      <w:kern w:val="0"/>
                      <w:sz w:val="21"/>
                      <w:szCs w:val="21"/>
                      <w:highlight w:val="none"/>
                      <w:u w:val="single"/>
                      <w14:textFill>
                        <w14:solidFill>
                          <w14:schemeClr w14:val="tx1"/>
                        </w14:solidFill>
                      </w14:textFill>
                    </w:rPr>
                    <w:t>(</w:t>
                  </w:r>
                  <w:r>
                    <w:rPr>
                      <w:rFonts w:hint="default" w:ascii="Times New Roman" w:hAnsi="Times New Roman" w:cs="Times New Roman"/>
                      <w:b/>
                      <w:bCs/>
                      <w:i w:val="0"/>
                      <w:iCs w:val="0"/>
                      <w:color w:val="000000" w:themeColor="text1"/>
                      <w:kern w:val="0"/>
                      <w:sz w:val="21"/>
                      <w:szCs w:val="21"/>
                      <w:u w:val="single"/>
                      <w14:textFill>
                        <w14:solidFill>
                          <w14:schemeClr w14:val="tx1"/>
                        </w14:solidFill>
                      </w14:textFill>
                    </w:rPr>
                    <w:t>万元</w:t>
                  </w:r>
                  <w:r>
                    <w:rPr>
                      <w:rFonts w:hint="default" w:ascii="Times New Roman" w:hAnsi="Times New Roman" w:cs="Times New Roman"/>
                      <w:b/>
                      <w:bCs/>
                      <w:i w:val="0"/>
                      <w:iCs w:val="0"/>
                      <w:color w:val="000000" w:themeColor="text1"/>
                      <w:kern w:val="0"/>
                      <w:sz w:val="21"/>
                      <w:szCs w:val="21"/>
                      <w:u w:val="singl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6"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废气</w:t>
                  </w: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single"/>
                      <w:lang w:val="en-US" w:eastAsia="zh-CN"/>
                      <w14:textFill>
                        <w14:solidFill>
                          <w14:schemeClr w14:val="tx1"/>
                        </w14:solidFill>
                      </w14:textFill>
                    </w:rPr>
                    <w:t>拆包、上料</w:t>
                  </w: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工序</w:t>
                  </w:r>
                </w:p>
              </w:tc>
              <w:tc>
                <w:tcPr>
                  <w:tcW w:w="2804" w:type="pct"/>
                  <w:gridSpan w:val="2"/>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一套袋式除尘器+</w:t>
                  </w: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15m高排气筒排放</w:t>
                  </w:r>
                </w:p>
              </w:tc>
              <w:tc>
                <w:tcPr>
                  <w:tcW w:w="69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6"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注塑挤出工序</w:t>
                  </w:r>
                </w:p>
              </w:tc>
              <w:tc>
                <w:tcPr>
                  <w:tcW w:w="2804" w:type="pct"/>
                  <w:gridSpan w:val="2"/>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UV光氧+活性炭+15m排气筒</w:t>
                  </w:r>
                </w:p>
              </w:tc>
              <w:tc>
                <w:tcPr>
                  <w:tcW w:w="69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single"/>
                      <w:lang w:val="en-US" w:eastAsia="zh-CN"/>
                      <w14:textFill>
                        <w14:solidFill>
                          <w14:schemeClr w14:val="tx1"/>
                        </w14:solidFill>
                      </w14:textFill>
                    </w:rPr>
                    <w:t>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6"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噪声</w:t>
                  </w: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设备噪声</w:t>
                  </w:r>
                </w:p>
              </w:tc>
              <w:tc>
                <w:tcPr>
                  <w:tcW w:w="2804" w:type="pct"/>
                  <w:gridSpan w:val="2"/>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建筑隔声、室内安装</w:t>
                  </w:r>
                </w:p>
              </w:tc>
              <w:tc>
                <w:tcPr>
                  <w:tcW w:w="69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66"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固废</w:t>
                  </w: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除尘灰</w:t>
                  </w:r>
                </w:p>
              </w:tc>
              <w:tc>
                <w:tcPr>
                  <w:tcW w:w="1403"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暂存于</w:t>
                  </w:r>
                  <w:r>
                    <w:rPr>
                      <w:rFonts w:hint="default" w:ascii="Times New Roman" w:hAnsi="Times New Roman" w:cs="Times New Roman"/>
                      <w:b w:val="0"/>
                      <w:bCs w:val="0"/>
                      <w:i w:val="0"/>
                      <w:iCs w:val="0"/>
                      <w:color w:val="000000" w:themeColor="text1"/>
                      <w:kern w:val="0"/>
                      <w:sz w:val="21"/>
                      <w:szCs w:val="21"/>
                      <w:highlight w:val="none"/>
                      <w:u w:val="single"/>
                      <w:lang w:val="en-US" w:eastAsia="zh-CN"/>
                      <w14:textFill>
                        <w14:solidFill>
                          <w14:schemeClr w14:val="tx1"/>
                        </w14:solidFill>
                      </w14:textFill>
                    </w:rPr>
                    <w:t>一般固废暂存处</w:t>
                  </w: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w:t>
                  </w:r>
                  <w:r>
                    <w:rPr>
                      <w:rFonts w:hint="default" w:ascii="Times New Roman" w:hAnsi="Times New Roman" w:cs="Times New Roman"/>
                      <w:b w:val="0"/>
                      <w:bCs w:val="0"/>
                      <w:i w:val="0"/>
                      <w:iCs w:val="0"/>
                      <w:color w:val="000000" w:themeColor="text1"/>
                      <w:kern w:val="0"/>
                      <w:sz w:val="21"/>
                      <w:szCs w:val="21"/>
                      <w:highlight w:val="none"/>
                      <w:u w:val="single"/>
                      <w:lang w:val="en-US" w:eastAsia="zh-CN"/>
                      <w14:textFill>
                        <w14:solidFill>
                          <w14:schemeClr w14:val="tx1"/>
                        </w14:solidFill>
                      </w14:textFill>
                    </w:rPr>
                    <w:t>5</w:t>
                  </w: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m</w:t>
                  </w:r>
                  <w:r>
                    <w:rPr>
                      <w:rFonts w:hint="default" w:ascii="Times New Roman" w:hAnsi="Times New Roman" w:cs="Times New Roman"/>
                      <w:b w:val="0"/>
                      <w:bCs w:val="0"/>
                      <w:i w:val="0"/>
                      <w:iCs w:val="0"/>
                      <w:color w:val="000000" w:themeColor="text1"/>
                      <w:kern w:val="0"/>
                      <w:sz w:val="21"/>
                      <w:szCs w:val="21"/>
                      <w:highlight w:val="none"/>
                      <w:u w:val="single"/>
                      <w:vertAlign w:val="superscript"/>
                      <w14:textFill>
                        <w14:solidFill>
                          <w14:schemeClr w14:val="tx1"/>
                        </w14:solidFill>
                      </w14:textFill>
                    </w:rPr>
                    <w:t>2</w:t>
                  </w: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w:t>
                  </w:r>
                </w:p>
              </w:tc>
              <w:tc>
                <w:tcPr>
                  <w:tcW w:w="140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highlight w:val="none"/>
                      <w:u w:val="single"/>
                      <w:lang w:val="en-US" w:eastAsia="zh-CN"/>
                      <w14:textFill>
                        <w14:solidFill>
                          <w14:schemeClr w14:val="tx1"/>
                        </w14:solidFill>
                      </w14:textFill>
                    </w:rPr>
                    <w:t>回用生产</w:t>
                  </w:r>
                </w:p>
              </w:tc>
              <w:tc>
                <w:tcPr>
                  <w:tcW w:w="697"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66"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废包装袋</w:t>
                  </w:r>
                </w:p>
              </w:tc>
              <w:tc>
                <w:tcPr>
                  <w:tcW w:w="1403"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pPr>
                </w:p>
              </w:tc>
              <w:tc>
                <w:tcPr>
                  <w:tcW w:w="140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highlight w:val="none"/>
                      <w:u w:val="single"/>
                      <w:lang w:val="en-US" w:eastAsia="zh-CN"/>
                      <w14:textFill>
                        <w14:solidFill>
                          <w14:schemeClr w14:val="tx1"/>
                        </w14:solidFill>
                      </w14:textFill>
                    </w:rPr>
                    <w:t>外售</w:t>
                  </w:r>
                </w:p>
              </w:tc>
              <w:tc>
                <w:tcPr>
                  <w:tcW w:w="697"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66"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废活性炭</w:t>
                  </w:r>
                </w:p>
              </w:tc>
              <w:tc>
                <w:tcPr>
                  <w:tcW w:w="2804" w:type="pct"/>
                  <w:gridSpan w:val="2"/>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暂存于危废</w:t>
                  </w:r>
                  <w:r>
                    <w:rPr>
                      <w:rFonts w:hint="default" w:ascii="Times New Roman" w:hAnsi="Times New Roman" w:cs="Times New Roman"/>
                      <w:b w:val="0"/>
                      <w:bCs w:val="0"/>
                      <w:i w:val="0"/>
                      <w:iCs w:val="0"/>
                      <w:color w:val="000000" w:themeColor="text1"/>
                      <w:kern w:val="0"/>
                      <w:sz w:val="21"/>
                      <w:szCs w:val="21"/>
                      <w:highlight w:val="none"/>
                      <w:u w:val="single"/>
                      <w:lang w:val="en-US" w:eastAsia="zh-CN"/>
                      <w14:textFill>
                        <w14:solidFill>
                          <w14:schemeClr w14:val="tx1"/>
                        </w14:solidFill>
                      </w14:textFill>
                    </w:rPr>
                    <w:t>暂存</w:t>
                  </w: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间（</w:t>
                  </w:r>
                  <w:r>
                    <w:rPr>
                      <w:rFonts w:hint="default" w:ascii="Times New Roman" w:hAnsi="Times New Roman" w:cs="Times New Roman"/>
                      <w:b w:val="0"/>
                      <w:bCs w:val="0"/>
                      <w:i w:val="0"/>
                      <w:iCs w:val="0"/>
                      <w:color w:val="000000" w:themeColor="text1"/>
                      <w:kern w:val="0"/>
                      <w:sz w:val="21"/>
                      <w:szCs w:val="21"/>
                      <w:highlight w:val="none"/>
                      <w:u w:val="single"/>
                      <w:lang w:val="en-US" w:eastAsia="zh-CN"/>
                      <w14:textFill>
                        <w14:solidFill>
                          <w14:schemeClr w14:val="tx1"/>
                        </w14:solidFill>
                      </w14:textFill>
                    </w:rPr>
                    <w:t>10</w:t>
                  </w: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m</w:t>
                  </w:r>
                  <w:r>
                    <w:rPr>
                      <w:rFonts w:hint="default" w:ascii="Times New Roman" w:hAnsi="Times New Roman" w:cs="Times New Roman"/>
                      <w:b w:val="0"/>
                      <w:bCs w:val="0"/>
                      <w:i w:val="0"/>
                      <w:iCs w:val="0"/>
                      <w:color w:val="000000" w:themeColor="text1"/>
                      <w:kern w:val="0"/>
                      <w:sz w:val="21"/>
                      <w:szCs w:val="21"/>
                      <w:highlight w:val="none"/>
                      <w:u w:val="single"/>
                      <w:vertAlign w:val="superscript"/>
                      <w14:textFill>
                        <w14:solidFill>
                          <w14:schemeClr w14:val="tx1"/>
                        </w14:solidFill>
                      </w14:textFill>
                    </w:rPr>
                    <w:t>2</w:t>
                  </w:r>
                  <w:r>
                    <w:rPr>
                      <w:rFonts w:hint="default" w:ascii="Times New Roman" w:hAnsi="Times New Roman" w:cs="Times New Roman"/>
                      <w:b w:val="0"/>
                      <w:bCs w:val="0"/>
                      <w:i w:val="0"/>
                      <w:iCs w:val="0"/>
                      <w:color w:val="000000" w:themeColor="text1"/>
                      <w:kern w:val="0"/>
                      <w:sz w:val="21"/>
                      <w:szCs w:val="21"/>
                      <w:highlight w:val="none"/>
                      <w:u w:val="single"/>
                      <w14:textFill>
                        <w14:solidFill>
                          <w14:schemeClr w14:val="tx1"/>
                        </w14:solidFill>
                      </w14:textFill>
                    </w:rPr>
                    <w:t>），定期交有资质单位处置</w:t>
                  </w:r>
                </w:p>
              </w:tc>
              <w:tc>
                <w:tcPr>
                  <w:tcW w:w="697"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277" w:hRule="atLeast"/>
                <w:jc w:val="center"/>
              </w:trPr>
              <w:tc>
                <w:tcPr>
                  <w:tcW w:w="366"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eastAsia="zh-CN"/>
                      <w14:textFill>
                        <w14:solidFill>
                          <w14:schemeClr w14:val="tx1"/>
                        </w14:solidFill>
                      </w14:textFill>
                    </w:rPr>
                    <w:t>废</w:t>
                  </w: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UV灯管</w:t>
                  </w:r>
                </w:p>
              </w:tc>
              <w:tc>
                <w:tcPr>
                  <w:tcW w:w="2804" w:type="pct"/>
                  <w:gridSpan w:val="2"/>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eastAsia="zh-CN"/>
                      <w14:textFill>
                        <w14:solidFill>
                          <w14:schemeClr w14:val="tx1"/>
                        </w14:solidFill>
                      </w14:textFill>
                    </w:rPr>
                  </w:pPr>
                </w:p>
              </w:tc>
              <w:tc>
                <w:tcPr>
                  <w:tcW w:w="697"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267" w:hRule="atLeast"/>
                <w:jc w:val="center"/>
              </w:trPr>
              <w:tc>
                <w:tcPr>
                  <w:tcW w:w="366" w:type="pct"/>
                  <w:vMerge w:val="continue"/>
                  <w:tcBorders>
                    <w:tl2br w:val="nil"/>
                    <w:tr2bl w:val="nil"/>
                  </w:tcBorders>
                  <w:noWrap w:val="0"/>
                  <w:vAlign w:val="center"/>
                </w:tcPr>
                <w:p>
                  <w:pPr>
                    <w:topLinePunct/>
                    <w:adjustRightInd w:val="0"/>
                    <w:snapToGrid w:val="0"/>
                    <w:spacing w:line="240" w:lineRule="auto"/>
                    <w:jc w:val="center"/>
                  </w:pPr>
                </w:p>
              </w:tc>
              <w:tc>
                <w:tcPr>
                  <w:tcW w:w="1132"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single"/>
                      <w:lang w:val="en-US" w:eastAsia="zh-CN"/>
                      <w14:textFill>
                        <w14:solidFill>
                          <w14:schemeClr w14:val="tx1"/>
                        </w14:solidFill>
                      </w14:textFill>
                    </w:rPr>
                    <w:t>废机油</w:t>
                  </w:r>
                </w:p>
              </w:tc>
              <w:tc>
                <w:tcPr>
                  <w:tcW w:w="2804" w:type="pct"/>
                  <w:gridSpan w:val="2"/>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eastAsia="zh-CN"/>
                      <w14:textFill>
                        <w14:solidFill>
                          <w14:schemeClr w14:val="tx1"/>
                        </w14:solidFill>
                      </w14:textFill>
                    </w:rPr>
                  </w:pPr>
                </w:p>
              </w:tc>
              <w:tc>
                <w:tcPr>
                  <w:tcW w:w="697"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267" w:hRule="atLeast"/>
                <w:jc w:val="center"/>
              </w:trPr>
              <w:tc>
                <w:tcPr>
                  <w:tcW w:w="366" w:type="pct"/>
                  <w:tcBorders>
                    <w:tl2br w:val="nil"/>
                    <w:tr2bl w:val="nil"/>
                  </w:tcBorders>
                  <w:noWrap w:val="0"/>
                  <w:vAlign w:val="center"/>
                </w:tcPr>
                <w:p>
                  <w:pPr>
                    <w:topLinePunct/>
                    <w:adjustRightInd w:val="0"/>
                    <w:snapToGrid w:val="0"/>
                    <w:spacing w:line="240" w:lineRule="auto"/>
                    <w:jc w:val="center"/>
                    <w:rPr>
                      <w:rFonts w:hint="eastAsia" w:eastAsia="宋体"/>
                      <w:lang w:val="en-US" w:eastAsia="zh-CN"/>
                    </w:rPr>
                  </w:pPr>
                  <w:r>
                    <w:rPr>
                      <w:rFonts w:hint="eastAsia"/>
                      <w:lang w:val="en-US" w:eastAsia="zh-CN"/>
                    </w:rPr>
                    <w:t>土壤</w:t>
                  </w:r>
                </w:p>
              </w:tc>
              <w:tc>
                <w:tcPr>
                  <w:tcW w:w="1132" w:type="pct"/>
                  <w:tcBorders>
                    <w:tl2br w:val="nil"/>
                    <w:tr2bl w:val="nil"/>
                  </w:tcBorders>
                  <w:noWrap w:val="0"/>
                  <w:vAlign w:val="center"/>
                </w:tcPr>
                <w:p>
                  <w:pPr>
                    <w:topLinePunct/>
                    <w:adjustRightInd w:val="0"/>
                    <w:snapToGrid w:val="0"/>
                    <w:spacing w:line="240" w:lineRule="auto"/>
                    <w:jc w:val="center"/>
                    <w:rPr>
                      <w:rFonts w:hint="default" w:cs="Times New Roman"/>
                      <w:b w:val="0"/>
                      <w:bCs w:val="0"/>
                      <w:i w:val="0"/>
                      <w:iCs w:val="0"/>
                      <w:color w:val="000000" w:themeColor="text1"/>
                      <w:kern w:val="0"/>
                      <w:sz w:val="21"/>
                      <w:szCs w:val="21"/>
                      <w:u w:val="single"/>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single"/>
                      <w:lang w:val="en-US" w:eastAsia="zh-CN"/>
                      <w14:textFill>
                        <w14:solidFill>
                          <w14:schemeClr w14:val="tx1"/>
                        </w14:solidFill>
                      </w14:textFill>
                    </w:rPr>
                    <w:t>重点防渗区</w:t>
                  </w:r>
                </w:p>
              </w:tc>
              <w:tc>
                <w:tcPr>
                  <w:tcW w:w="2804" w:type="pct"/>
                  <w:gridSpan w:val="2"/>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eastAsia="zh-CN"/>
                      <w14:textFill>
                        <w14:solidFill>
                          <w14:schemeClr w14:val="tx1"/>
                        </w14:solidFill>
                      </w14:textFill>
                    </w:rPr>
                  </w:pPr>
                  <w:r>
                    <w:rPr>
                      <w:rFonts w:hint="default" w:ascii="Times New Roman" w:hAnsi="Times New Roman" w:eastAsia="宋体" w:cs="Times New Roman"/>
                      <w:color w:val="auto"/>
                      <w:sz w:val="21"/>
                      <w:szCs w:val="21"/>
                      <w:u w:val="none"/>
                      <w:lang w:val="en-US" w:eastAsia="zh-CN"/>
                    </w:rPr>
                    <w:t>防渗层为2</w:t>
                  </w:r>
                  <w:r>
                    <w:rPr>
                      <w:rFonts w:hint="default" w:ascii="Times New Roman" w:hAnsi="Times New Roman" w:eastAsia="宋体" w:cs="Times New Roman"/>
                      <w:color w:val="auto"/>
                      <w:sz w:val="21"/>
                      <w:szCs w:val="21"/>
                      <w:highlight w:val="none"/>
                      <w:u w:val="none"/>
                      <w:lang w:val="en-US" w:eastAsia="zh-CN"/>
                    </w:rPr>
                    <w:t>mm</w:t>
                  </w:r>
                  <w:r>
                    <w:rPr>
                      <w:rFonts w:hint="default" w:ascii="Times New Roman" w:hAnsi="Times New Roman" w:eastAsia="宋体" w:cs="Times New Roman"/>
                      <w:color w:val="auto"/>
                      <w:sz w:val="21"/>
                      <w:szCs w:val="21"/>
                      <w:u w:val="none"/>
                      <w:lang w:val="en-US" w:eastAsia="zh-CN"/>
                    </w:rPr>
                    <w:t>厚高密度聚乙烯（渗透系数不大于1.0×10</w:t>
                  </w:r>
                  <w:r>
                    <w:rPr>
                      <w:rFonts w:hint="default" w:ascii="Times New Roman" w:hAnsi="Times New Roman" w:eastAsia="宋体" w:cs="Times New Roman"/>
                      <w:color w:val="auto"/>
                      <w:sz w:val="21"/>
                      <w:szCs w:val="21"/>
                      <w:u w:val="none"/>
                      <w:vertAlign w:val="superscript"/>
                      <w:lang w:val="en-US" w:eastAsia="zh-CN"/>
                    </w:rPr>
                    <w:t>-10</w:t>
                  </w:r>
                  <w:r>
                    <w:rPr>
                      <w:rFonts w:hint="default" w:ascii="Times New Roman" w:hAnsi="Times New Roman" w:cs="Times New Roman"/>
                      <w:color w:val="auto"/>
                      <w:sz w:val="21"/>
                      <w:szCs w:val="21"/>
                      <w:u w:val="none"/>
                      <w:lang w:val="en-US" w:eastAsia="zh-CN"/>
                    </w:rPr>
                    <w:t>C</w:t>
                  </w:r>
                  <w:r>
                    <w:rPr>
                      <w:rFonts w:hint="default" w:ascii="Times New Roman" w:hAnsi="Times New Roman" w:eastAsia="宋体" w:cs="Times New Roman"/>
                      <w:color w:val="auto"/>
                      <w:sz w:val="21"/>
                      <w:szCs w:val="21"/>
                      <w:u w:val="none"/>
                      <w:lang w:val="en-US" w:eastAsia="zh-CN"/>
                    </w:rPr>
                    <w:t>m/s）</w:t>
                  </w:r>
                </w:p>
              </w:tc>
              <w:tc>
                <w:tcPr>
                  <w:tcW w:w="69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pPr>
                  <w:r>
                    <w:rPr>
                      <w:rFonts w:hint="eastAsia" w:cs="Times New Roman"/>
                      <w:b w:val="0"/>
                      <w:bCs w:val="0"/>
                      <w:i w:val="0"/>
                      <w:iCs w:val="0"/>
                      <w:color w:val="000000" w:themeColor="text1"/>
                      <w:kern w:val="0"/>
                      <w:sz w:val="21"/>
                      <w:szCs w:val="21"/>
                      <w:u w:val="single"/>
                      <w:lang w:val="en-US" w:eastAsia="zh-CN"/>
                      <w14:textFill>
                        <w14:solidFill>
                          <w14:schemeClr w14:val="tx1"/>
                        </w14:solidFill>
                      </w14:textFill>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02" w:type="pct"/>
                  <w:gridSpan w:val="4"/>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14:textFill>
                        <w14:solidFill>
                          <w14:schemeClr w14:val="tx1"/>
                        </w14:solidFill>
                      </w14:textFill>
                    </w:rPr>
                    <w:t>合  计</w:t>
                  </w:r>
                </w:p>
              </w:tc>
              <w:tc>
                <w:tcPr>
                  <w:tcW w:w="69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u w:val="single"/>
                      <w:lang w:val="en-US" w:eastAsia="zh-CN"/>
                      <w14:textFill>
                        <w14:solidFill>
                          <w14:schemeClr w14:val="tx1"/>
                        </w14:solidFill>
                      </w14:textFill>
                    </w:rPr>
                  </w:pPr>
                  <w:r>
                    <w:rPr>
                      <w:rFonts w:hint="default" w:ascii="Times New Roman" w:hAnsi="Times New Roman" w:cs="Times New Roman"/>
                      <w:b w:val="0"/>
                      <w:bCs w:val="0"/>
                      <w:i w:val="0"/>
                      <w:iCs w:val="0"/>
                      <w:color w:val="000000" w:themeColor="text1"/>
                      <w:kern w:val="0"/>
                      <w:sz w:val="21"/>
                      <w:szCs w:val="21"/>
                      <w:u w:val="single"/>
                      <w:lang w:val="en-US" w:eastAsia="zh-CN"/>
                      <w14:textFill>
                        <w14:solidFill>
                          <w14:schemeClr w14:val="tx1"/>
                        </w14:solidFill>
                      </w14:textFill>
                    </w:rPr>
                    <w:t>10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tc>
      </w:tr>
    </w:tbl>
    <w:p>
      <w:pPr>
        <w:pStyle w:val="22"/>
        <w:jc w:val="center"/>
        <w:outlineLvl w:val="0"/>
        <w:rPr>
          <w:rFonts w:hint="eastAsia" w:ascii="黑体" w:hAnsi="黑体" w:eastAsia="黑体"/>
          <w:snapToGrid w:val="0"/>
          <w:color w:val="000000"/>
          <w:sz w:val="30"/>
          <w:szCs w:val="30"/>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五、环境保护措施监督检查清单</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00"/>
        <w:gridCol w:w="1437"/>
        <w:gridCol w:w="1373"/>
        <w:gridCol w:w="1800"/>
        <w:gridCol w:w="279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bottom"/>
            <mc:AlternateContent>
              <mc:Choice Requires="wpsCustomData">
                <wpsCustomData:diagonals>
                  <wpsCustomData:diagonal from="30000" to="10000">
                    <wpsCustomData:border w:val="single" w:color="auto" w:sz="8" w:space="0"/>
                  </wpsCustomData:diagonal>
                </wpsCustomData:diagonals>
              </mc:Choice>
            </mc:AlternateContent>
          </w:tcPr>
          <w:p>
            <w:pPr>
              <w:pStyle w:val="3"/>
              <w:keepNext w:val="0"/>
              <w:keepLines w:val="0"/>
              <w:pageBreakBefore w:val="0"/>
              <w:widowControl w:val="0"/>
              <w:kinsoku/>
              <w:wordWrap/>
              <w:overflowPunct/>
              <w:topLinePunct w:val="0"/>
              <w:autoSpaceDE/>
              <w:autoSpaceDN/>
              <w:bidi/>
              <w:adjustRightInd/>
              <w:snapToGrid/>
              <w:spacing w:after="0" w:line="240" w:lineRule="auto"/>
              <w:ind w:left="0" w:leftChars="0" w:right="0" w:firstLine="0" w:firstLineChars="0"/>
              <w:jc w:val="both"/>
              <w:textAlignment w:val="auto"/>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val="0"/>
              <w:spacing w:before="157" w:beforeLines="50" w:after="0" w:line="240" w:lineRule="auto"/>
              <w:ind w:right="0"/>
              <w:textAlignment w:val="auto"/>
              <mc:AlternateContent>
                <mc:Choice Requires="wpsCustomData">
                  <wpsCustomData:diagonalParaType/>
                </mc:Choice>
              </mc:AlternateContent>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eastAsia="zh-CN"/>
                <w14:textFill>
                  <w14:solidFill>
                    <w14:schemeClr w14:val="tx1"/>
                  </w14:solidFill>
                </w14:textFill>
              </w:rPr>
              <w:t>要</w:t>
            </w:r>
            <w:r>
              <w:rPr>
                <w:rFonts w:hint="eastAsia" w:cs="Times New Roman"/>
                <w:b/>
                <w:bCs/>
                <w:color w:val="000000" w:themeColor="text1"/>
                <w:sz w:val="21"/>
                <w:szCs w:val="21"/>
                <w:u w:val="single"/>
                <w:lang w:eastAsia="zh-CN"/>
                <w14:textFill>
                  <w14:solidFill>
                    <w14:schemeClr w14:val="tx1"/>
                  </w14:solidFill>
                </w14:textFill>
              </w:rPr>
              <w:t>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211" w:firstLineChars="100"/>
              <w:jc w:val="both"/>
              <w:textAlignment w:val="auto"/>
              <w:rPr>
                <w:rFonts w:hint="eastAsia"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cs="Times New Roman"/>
                <w:b/>
                <w:bCs/>
                <w:color w:val="000000" w:themeColor="text1"/>
                <w:sz w:val="21"/>
                <w:szCs w:val="21"/>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cs="Times New Roman"/>
                <w:b/>
                <w:bCs/>
                <w:color w:val="000000" w:themeColor="text1"/>
                <w:sz w:val="21"/>
                <w:szCs w:val="21"/>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要素</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排放口</w:t>
            </w:r>
            <w:r>
              <w:rPr>
                <w:rFonts w:hint="eastAsia" w:cs="Times New Roman"/>
                <w:b/>
                <w:bCs/>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编号、</w:t>
            </w:r>
          </w:p>
          <w:p>
            <w:pPr>
              <w:adjustRightInd w:val="0"/>
              <w:snapToGrid w:val="0"/>
              <w:spacing w:line="240" w:lineRule="auto"/>
              <w:jc w:val="center"/>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名称</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default" w:ascii="Times New Roman" w:hAnsi="Times New Roman" w:eastAsia="宋体" w:cs="Times New Roman"/>
                <w:b/>
                <w:bCs/>
                <w:color w:val="000000" w:themeColor="text1"/>
                <w:sz w:val="21"/>
                <w:szCs w:val="21"/>
                <w:u w:val="single"/>
                <w14:textFill>
                  <w14:solidFill>
                    <w14:schemeClr w14:val="tx1"/>
                  </w14:solidFill>
                </w14:textFill>
              </w:rPr>
              <w:t>/污染源</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污染物</w:t>
            </w:r>
          </w:p>
          <w:p>
            <w:pPr>
              <w:adjustRightInd w:val="0"/>
              <w:snapToGrid w:val="0"/>
              <w:spacing w:line="240" w:lineRule="auto"/>
              <w:jc w:val="center"/>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项目</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环境保护措施</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大气环境</w:t>
            </w:r>
          </w:p>
        </w:tc>
        <w:tc>
          <w:tcPr>
            <w:tcW w:w="1437" w:type="dxa"/>
            <w:tcBorders>
              <w:tl2br w:val="nil"/>
              <w:tr2bl w:val="nil"/>
            </w:tcBorders>
            <w:noWrap w:val="0"/>
            <w:vAlign w:val="center"/>
          </w:tcPr>
          <w:p>
            <w:pPr>
              <w:spacing w:line="240" w:lineRule="auto"/>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DA0</w:t>
            </w:r>
            <w:r>
              <w:rPr>
                <w:rFonts w:hint="eastAsia" w:cs="Times New Roman"/>
                <w:color w:val="000000" w:themeColor="text1"/>
                <w:sz w:val="21"/>
                <w:szCs w:val="21"/>
                <w:u w:val="single"/>
                <w:lang w:val="en-US" w:eastAsia="zh-CN"/>
                <w14:textFill>
                  <w14:solidFill>
                    <w14:schemeClr w14:val="tx1"/>
                  </w14:solidFill>
                </w14:textFill>
              </w:rPr>
              <w:t>01</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非甲烷总烃</w:t>
            </w:r>
          </w:p>
        </w:tc>
        <w:tc>
          <w:tcPr>
            <w:tcW w:w="1800" w:type="dxa"/>
            <w:tcBorders>
              <w:tl2br w:val="nil"/>
              <w:tr2bl w:val="nil"/>
            </w:tcBorders>
            <w:noWrap w:val="0"/>
            <w:vAlign w:val="center"/>
          </w:tcPr>
          <w:p>
            <w:pPr>
              <w:spacing w:line="240" w:lineRule="auto"/>
              <w:jc w:val="center"/>
              <w:rPr>
                <w:rFonts w:hint="eastAsia" w:cs="Times New Roman"/>
                <w:b w:val="0"/>
                <w:bCs w:val="0"/>
                <w:color w:val="000000" w:themeColor="text1"/>
                <w:spacing w:val="5"/>
                <w:sz w:val="21"/>
                <w:szCs w:val="21"/>
                <w:u w:val="single"/>
                <w:lang w:val="en-US" w:eastAsia="zh-CN"/>
                <w14:textFill>
                  <w14:solidFill>
                    <w14:schemeClr w14:val="tx1"/>
                  </w14:solidFill>
                </w14:textFill>
              </w:rPr>
            </w:pPr>
            <w:r>
              <w:rPr>
                <w:rFonts w:hint="eastAsia" w:cs="Times New Roman"/>
                <w:b w:val="0"/>
                <w:bCs w:val="0"/>
                <w:color w:val="000000" w:themeColor="text1"/>
                <w:spacing w:val="5"/>
                <w:sz w:val="21"/>
                <w:szCs w:val="21"/>
                <w:u w:val="single"/>
                <w:lang w:val="en-US" w:eastAsia="zh-CN"/>
                <w14:textFill>
                  <w14:solidFill>
                    <w14:schemeClr w14:val="tx1"/>
                  </w14:solidFill>
                </w14:textFill>
              </w:rPr>
              <w:t>集气罩+UV光氧+活性炭</w:t>
            </w:r>
            <w:r>
              <w:rPr>
                <w:rFonts w:hint="default" w:ascii="Times New Roman" w:hAnsi="Times New Roman" w:eastAsia="宋体" w:cs="Times New Roman"/>
                <w:b w:val="0"/>
                <w:bCs w:val="0"/>
                <w:color w:val="000000" w:themeColor="text1"/>
                <w:spacing w:val="5"/>
                <w:sz w:val="21"/>
                <w:szCs w:val="21"/>
                <w:u w:val="single"/>
                <w:lang w:val="en-US" w:eastAsia="zh-CN"/>
                <w14:textFill>
                  <w14:solidFill>
                    <w14:schemeClr w14:val="tx1"/>
                  </w14:solidFill>
                </w14:textFill>
              </w:rPr>
              <w:t>+15m高排气筒</w:t>
            </w:r>
          </w:p>
        </w:tc>
        <w:tc>
          <w:tcPr>
            <w:tcW w:w="2790" w:type="dxa"/>
            <w:tcBorders>
              <w:tl2br w:val="nil"/>
              <w:tr2bl w:val="nil"/>
            </w:tcBorders>
            <w:noWrap w:val="0"/>
            <w:vAlign w:val="center"/>
          </w:tcPr>
          <w:p>
            <w:pPr>
              <w:spacing w:line="240" w:lineRule="auto"/>
              <w:jc w:val="both"/>
              <w:rPr>
                <w:rFonts w:hint="default"/>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t>《合成树脂工业污染物排放标准》（GB31572-2015）</w:t>
            </w:r>
            <w:r>
              <w:rPr>
                <w:rFonts w:hint="default"/>
                <w:color w:val="000000" w:themeColor="text1"/>
                <w:sz w:val="21"/>
                <w:szCs w:val="21"/>
                <w:u w:val="single"/>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河南省</w:t>
            </w:r>
            <w:r>
              <w:rPr>
                <w:rFonts w:hint="default"/>
                <w:color w:val="000000" w:themeColor="text1"/>
                <w:sz w:val="21"/>
                <w:szCs w:val="21"/>
                <w:u w:val="single"/>
                <w14:textFill>
                  <w14:solidFill>
                    <w14:schemeClr w14:val="tx1"/>
                  </w14:solidFill>
                </w14:textFill>
              </w:rPr>
              <w:t>重污染天气重点行业应急减排措施制定技术指南（2021年修订版）》（</w:t>
            </w:r>
            <w:r>
              <w:rPr>
                <w:rFonts w:hint="default"/>
                <w:color w:val="000000" w:themeColor="text1"/>
                <w:sz w:val="21"/>
                <w:szCs w:val="21"/>
                <w:u w:val="single"/>
                <w:lang w:val="en-US" w:eastAsia="zh-CN"/>
                <w14:textFill>
                  <w14:solidFill>
                    <w14:schemeClr w14:val="tx1"/>
                  </w14:solidFill>
                </w14:textFill>
              </w:rPr>
              <w:t>塑料制品A级限值</w:t>
            </w:r>
            <w:r>
              <w:rPr>
                <w:rFonts w:hint="default"/>
                <w:color w:val="000000" w:themeColor="text1"/>
                <w:sz w:val="21"/>
                <w:szCs w:val="21"/>
                <w:u w:val="singl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continue"/>
            <w:tcBorders>
              <w:tl2br w:val="nil"/>
              <w:tr2bl w:val="nil"/>
            </w:tcBorders>
            <w:noWrap w:val="0"/>
            <w:vAlign w:val="center"/>
          </w:tcPr>
          <w:p>
            <w:pPr>
              <w:adjustRightInd w:val="0"/>
              <w:snapToGrid w:val="0"/>
              <w:spacing w:line="240" w:lineRule="auto"/>
              <w:jc w:val="center"/>
              <w:rPr>
                <w:rFonts w:hint="eastAsia" w:cs="Times New Roman"/>
                <w:color w:val="000000" w:themeColor="text1"/>
                <w:sz w:val="21"/>
                <w:szCs w:val="21"/>
                <w:u w:val="single"/>
                <w:lang w:val="en-US" w:eastAsia="zh-CN"/>
                <w14:textFill>
                  <w14:solidFill>
                    <w14:schemeClr w14:val="tx1"/>
                  </w14:solidFill>
                </w14:textFill>
              </w:rPr>
            </w:pPr>
          </w:p>
        </w:tc>
        <w:tc>
          <w:tcPr>
            <w:tcW w:w="1437" w:type="dxa"/>
            <w:tcBorders>
              <w:tl2br w:val="nil"/>
              <w:tr2bl w:val="nil"/>
            </w:tcBorders>
            <w:noWrap w:val="0"/>
            <w:vAlign w:val="center"/>
          </w:tcPr>
          <w:p>
            <w:pPr>
              <w:spacing w:line="240" w:lineRule="auto"/>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DA002</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颗粒物</w:t>
            </w:r>
          </w:p>
        </w:tc>
        <w:tc>
          <w:tcPr>
            <w:tcW w:w="1800" w:type="dxa"/>
            <w:tcBorders>
              <w:tl2br w:val="nil"/>
              <w:tr2bl w:val="nil"/>
            </w:tcBorders>
            <w:noWrap w:val="0"/>
            <w:vAlign w:val="center"/>
          </w:tcPr>
          <w:p>
            <w:pPr>
              <w:spacing w:line="240" w:lineRule="auto"/>
              <w:jc w:val="center"/>
              <w:rPr>
                <w:rFonts w:hint="eastAsia" w:cs="Times New Roman"/>
                <w:b w:val="0"/>
                <w:bCs w:val="0"/>
                <w:color w:val="000000" w:themeColor="text1"/>
                <w:spacing w:val="5"/>
                <w:sz w:val="21"/>
                <w:szCs w:val="21"/>
                <w:u w:val="single"/>
                <w:lang w:val="en-US" w:eastAsia="zh-CN"/>
                <w14:textFill>
                  <w14:solidFill>
                    <w14:schemeClr w14:val="tx1"/>
                  </w14:solidFill>
                </w14:textFill>
              </w:rPr>
            </w:pPr>
            <w:r>
              <w:rPr>
                <w:rFonts w:hint="eastAsia" w:cs="Times New Roman"/>
                <w:b w:val="0"/>
                <w:bCs w:val="0"/>
                <w:color w:val="000000" w:themeColor="text1"/>
                <w:spacing w:val="5"/>
                <w:sz w:val="21"/>
                <w:szCs w:val="21"/>
                <w:u w:val="single"/>
                <w:lang w:val="en-US" w:eastAsia="zh-CN"/>
                <w14:textFill>
                  <w14:solidFill>
                    <w14:schemeClr w14:val="tx1"/>
                  </w14:solidFill>
                </w14:textFill>
              </w:rPr>
              <w:t>集气罩+袋式除尘器+15m排气筒</w:t>
            </w:r>
          </w:p>
        </w:tc>
        <w:tc>
          <w:tcPr>
            <w:tcW w:w="2790" w:type="dxa"/>
            <w:tcBorders>
              <w:tl2br w:val="nil"/>
              <w:tr2bl w:val="nil"/>
            </w:tcBorders>
            <w:noWrap w:val="0"/>
            <w:vAlign w:val="center"/>
          </w:tcPr>
          <w:p>
            <w:pPr>
              <w:spacing w:line="240" w:lineRule="auto"/>
              <w:jc w:val="both"/>
              <w:rPr>
                <w:rFonts w:hint="default"/>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t>《合成树脂工业污染物排放标准》（GB31572-2015）</w:t>
            </w:r>
            <w:r>
              <w:rPr>
                <w:rFonts w:hint="default"/>
                <w:color w:val="000000" w:themeColor="text1"/>
                <w:sz w:val="21"/>
                <w:szCs w:val="21"/>
                <w:u w:val="single"/>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河南省</w:t>
            </w:r>
            <w:r>
              <w:rPr>
                <w:rFonts w:hint="default"/>
                <w:color w:val="000000" w:themeColor="text1"/>
                <w:sz w:val="21"/>
                <w:szCs w:val="21"/>
                <w:u w:val="single"/>
                <w14:textFill>
                  <w14:solidFill>
                    <w14:schemeClr w14:val="tx1"/>
                  </w14:solidFill>
                </w14:textFill>
              </w:rPr>
              <w:t>重污染天气重点行业应急减排措施制定技术指南（2021年修订版）》（</w:t>
            </w:r>
            <w:r>
              <w:rPr>
                <w:rFonts w:hint="default"/>
                <w:color w:val="000000" w:themeColor="text1"/>
                <w:sz w:val="21"/>
                <w:szCs w:val="21"/>
                <w:u w:val="single"/>
                <w:lang w:val="en-US" w:eastAsia="zh-CN"/>
                <w14:textFill>
                  <w14:solidFill>
                    <w14:schemeClr w14:val="tx1"/>
                  </w14:solidFill>
                </w14:textFill>
              </w:rPr>
              <w:t>塑料制品A级限值</w:t>
            </w:r>
            <w:r>
              <w:rPr>
                <w:rFonts w:hint="default"/>
                <w:color w:val="000000" w:themeColor="text1"/>
                <w:sz w:val="21"/>
                <w:szCs w:val="21"/>
                <w:u w:val="singl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437" w:type="dxa"/>
            <w:vMerge w:val="restart"/>
            <w:tcBorders>
              <w:tl2br w:val="nil"/>
              <w:tr2bl w:val="nil"/>
            </w:tcBorders>
            <w:noWrap w:val="0"/>
            <w:vAlign w:val="center"/>
          </w:tcPr>
          <w:p>
            <w:pPr>
              <w:spacing w:line="240" w:lineRule="auto"/>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无组织废气</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非甲烷总烃</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cs="Times New Roman"/>
                <w:b w:val="0"/>
                <w:bCs w:val="0"/>
                <w:color w:val="000000" w:themeColor="text1"/>
                <w:spacing w:val="5"/>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车间密闭</w:t>
            </w:r>
          </w:p>
        </w:tc>
        <w:tc>
          <w:tcPr>
            <w:tcW w:w="2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default"/>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t>《合成树脂工业污染物排放标准》（GB31572-2015）</w:t>
            </w:r>
            <w:r>
              <w:rPr>
                <w:rFonts w:hint="default" w:ascii="Times New Roman" w:hAnsi="Times New Roman" w:cs="Times New Roman"/>
                <w:color w:val="000000" w:themeColor="text1"/>
                <w:sz w:val="21"/>
                <w:szCs w:val="21"/>
                <w:u w:val="single"/>
                <w14:textFill>
                  <w14:solidFill>
                    <w14:schemeClr w14:val="tx1"/>
                  </w14:solidFill>
                </w14:textFill>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437" w:type="dxa"/>
            <w:vMerge w:val="continue"/>
            <w:tcBorders>
              <w:tl2br w:val="nil"/>
              <w:tr2bl w:val="nil"/>
            </w:tcBorders>
            <w:noWrap w:val="0"/>
            <w:vAlign w:val="center"/>
          </w:tcPr>
          <w:p>
            <w:pPr>
              <w:spacing w:line="240" w:lineRule="auto"/>
              <w:jc w:val="center"/>
              <w:rPr>
                <w:rFonts w:hint="eastAsia" w:cs="Times New Roman"/>
                <w:color w:val="000000" w:themeColor="text1"/>
                <w:sz w:val="21"/>
                <w:szCs w:val="21"/>
                <w:u w:val="single"/>
                <w:lang w:val="en-US" w:eastAsia="zh-CN"/>
                <w14:textFill>
                  <w14:solidFill>
                    <w14:schemeClr w14:val="tx1"/>
                  </w14:solidFill>
                </w14:textFill>
              </w:rPr>
            </w:pPr>
          </w:p>
        </w:tc>
        <w:tc>
          <w:tcPr>
            <w:tcW w:w="1373" w:type="dxa"/>
            <w:tcBorders>
              <w:tl2br w:val="nil"/>
              <w:tr2bl w:val="nil"/>
            </w:tcBorders>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颗粒物</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车间密闭</w:t>
            </w:r>
          </w:p>
        </w:tc>
        <w:tc>
          <w:tcPr>
            <w:tcW w:w="2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地表水环境</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生活污水</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pPr>
            <w:r>
              <w:rPr>
                <w:rFonts w:hint="eastAsia" w:cs="Times New Roman"/>
                <w:color w:val="000000" w:themeColor="text1"/>
                <w:sz w:val="21"/>
                <w:szCs w:val="21"/>
                <w:u w:val="single"/>
                <w:lang w:val="zh-CN" w:eastAsia="zh-CN"/>
                <w14:textFill>
                  <w14:solidFill>
                    <w14:schemeClr w14:val="tx1"/>
                  </w14:solidFill>
                </w14:textFill>
              </w:rPr>
              <w:t>C</w:t>
            </w: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OD</w:t>
            </w:r>
            <w:r>
              <w:rPr>
                <w:rFonts w:hint="eastAsia" w:cs="Times New Roman"/>
                <w:color w:val="000000" w:themeColor="text1"/>
                <w:sz w:val="21"/>
                <w:szCs w:val="21"/>
                <w:u w:val="single"/>
                <w:lang w:val="zh-CN" w:eastAsia="zh-CN"/>
                <w14:textFill>
                  <w14:solidFill>
                    <w14:schemeClr w14:val="tx1"/>
                  </w14:solidFill>
                </w14:textFill>
              </w:rPr>
              <w:t>、</w:t>
            </w: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氨氮、SS</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化粪池</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清淘肥田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声环境</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设备噪声</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等效噪</w:t>
            </w:r>
          </w:p>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声级</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基础减振、</w:t>
            </w:r>
          </w:p>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隔声等措施</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《工业企业厂界环境噪声排放标准》（GB12348-2008）</w:t>
            </w:r>
            <w:r>
              <w:rPr>
                <w:rFonts w:hint="eastAsia" w:cs="Times New Roman"/>
                <w:color w:val="000000" w:themeColor="text1"/>
                <w:sz w:val="21"/>
                <w:szCs w:val="21"/>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u w:val="single"/>
                <w:lang w:val="zh-CN" w:eastAsia="zh-CN"/>
                <w14:textFill>
                  <w14:solidFill>
                    <w14:schemeClr w14:val="tx1"/>
                  </w14:solidFill>
                </w14:textFill>
              </w:rPr>
              <w:t>类</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电磁辐射</w:t>
            </w:r>
          </w:p>
        </w:tc>
        <w:tc>
          <w:tcPr>
            <w:tcW w:w="7400" w:type="dxa"/>
            <w:gridSpan w:val="4"/>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固体废物</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生活垃圾分类收集，交由环卫部门处置；除尘灰和不合格品回用于生产。废包装材料一般固废暂存处暂存后外售；</w:t>
            </w:r>
            <w:r>
              <w:rPr>
                <w:rFonts w:hint="default" w:ascii="Times New Roman" w:hAnsi="Times New Roman" w:eastAsia="宋体" w:cs="Times New Roman"/>
                <w:color w:val="000000" w:themeColor="text1"/>
                <w:sz w:val="21"/>
                <w:szCs w:val="21"/>
                <w:u w:val="single"/>
                <w14:textFill>
                  <w14:solidFill>
                    <w14:schemeClr w14:val="tx1"/>
                  </w14:solidFill>
                </w14:textFill>
              </w:rPr>
              <w:t>废活性炭</w:t>
            </w:r>
            <w: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t>、</w:t>
            </w:r>
            <w:r>
              <w:rPr>
                <w:rFonts w:hint="eastAsia" w:cs="Times New Roman"/>
                <w:color w:val="000000" w:themeColor="text1"/>
                <w:sz w:val="21"/>
                <w:szCs w:val="21"/>
                <w:u w:val="single"/>
                <w:lang w:val="en-US" w:eastAsia="zh-CN"/>
                <w14:textFill>
                  <w14:solidFill>
                    <w14:schemeClr w14:val="tx1"/>
                  </w14:solidFill>
                </w14:textFill>
              </w:rPr>
              <w:t>废UV灯管、废机油</w:t>
            </w:r>
            <w:r>
              <w:rPr>
                <w:rFonts w:hint="default" w:ascii="Times New Roman" w:hAnsi="Times New Roman" w:eastAsia="宋体" w:cs="Times New Roman"/>
                <w:color w:val="000000" w:themeColor="text1"/>
                <w:sz w:val="21"/>
                <w:szCs w:val="21"/>
                <w:u w:val="single"/>
                <w14:textFill>
                  <w14:solidFill>
                    <w14:schemeClr w14:val="tx1"/>
                  </w14:solidFill>
                </w14:textFill>
              </w:rPr>
              <w:t>暂存于危废暂存间，定期委托有危废处理资质的单位安全处置</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土壤及地</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下</w:t>
            </w:r>
          </w:p>
          <w:p>
            <w:pPr>
              <w:adjustRightInd w:val="0"/>
              <w:snapToGrid w:val="0"/>
              <w:spacing w:line="240" w:lineRule="auto"/>
              <w:jc w:val="both"/>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水污染防治措施</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color w:val="000000" w:themeColor="text1"/>
                <w:sz w:val="21"/>
                <w:szCs w:val="21"/>
                <w:u w:val="single"/>
                <w14:textFill>
                  <w14:solidFill>
                    <w14:schemeClr w14:val="tx1"/>
                  </w14:solidFill>
                </w14:textFill>
              </w:rPr>
              <w:t>危废暂存间</w:t>
            </w:r>
            <w:r>
              <w:rPr>
                <w:rFonts w:hint="eastAsia"/>
                <w:color w:val="000000" w:themeColor="text1"/>
                <w:sz w:val="21"/>
                <w:szCs w:val="21"/>
                <w:u w:val="single"/>
                <w14:textFill>
                  <w14:solidFill>
                    <w14:schemeClr w14:val="tx1"/>
                  </w14:solidFill>
                </w14:textFill>
              </w:rPr>
              <w:t>为</w:t>
            </w:r>
            <w:r>
              <w:rPr>
                <w:color w:val="000000" w:themeColor="text1"/>
                <w:sz w:val="21"/>
                <w:szCs w:val="21"/>
                <w:u w:val="single"/>
                <w14:textFill>
                  <w14:solidFill>
                    <w14:schemeClr w14:val="tx1"/>
                  </w14:solidFill>
                </w14:textFill>
              </w:rPr>
              <w:t>重点防渗区</w:t>
            </w:r>
            <w:r>
              <w:rPr>
                <w:rFonts w:hint="eastAsia"/>
                <w:color w:val="000000" w:themeColor="text1"/>
                <w:sz w:val="21"/>
                <w:szCs w:val="21"/>
                <w:u w:val="single"/>
                <w14:textFill>
                  <w14:solidFill>
                    <w14:schemeClr w14:val="tx1"/>
                  </w14:solidFill>
                </w14:textFill>
              </w:rPr>
              <w:t>，</w:t>
            </w:r>
            <w:r>
              <w:rPr>
                <w:color w:val="000000" w:themeColor="text1"/>
                <w:sz w:val="21"/>
                <w:szCs w:val="21"/>
                <w:u w:val="single"/>
                <w14:textFill>
                  <w14:solidFill>
                    <w14:schemeClr w14:val="tx1"/>
                  </w14:solidFill>
                </w14:textFill>
              </w:rPr>
              <w:t>防渗层为2</w:t>
            </w:r>
            <w:r>
              <w:rPr>
                <w:color w:val="000000" w:themeColor="text1"/>
                <w:sz w:val="21"/>
                <w:szCs w:val="21"/>
                <w:highlight w:val="none"/>
                <w:u w:val="single"/>
                <w14:textFill>
                  <w14:solidFill>
                    <w14:schemeClr w14:val="tx1"/>
                  </w14:solidFill>
                </w14:textFill>
              </w:rPr>
              <w:t>mm</w:t>
            </w:r>
            <w:r>
              <w:rPr>
                <w:color w:val="000000" w:themeColor="text1"/>
                <w:sz w:val="21"/>
                <w:szCs w:val="21"/>
                <w:u w:val="single"/>
                <w14:textFill>
                  <w14:solidFill>
                    <w14:schemeClr w14:val="tx1"/>
                  </w14:solidFill>
                </w14:textFill>
              </w:rPr>
              <w:t>厚高密度聚乙烯（渗透系数不大于1.0×10</w:t>
            </w:r>
            <w:r>
              <w:rPr>
                <w:color w:val="000000" w:themeColor="text1"/>
                <w:sz w:val="21"/>
                <w:szCs w:val="21"/>
                <w:u w:val="single"/>
                <w:vertAlign w:val="superscript"/>
                <w14:textFill>
                  <w14:solidFill>
                    <w14:schemeClr w14:val="tx1"/>
                  </w14:solidFill>
                </w14:textFill>
              </w:rPr>
              <w:t>-10</w:t>
            </w:r>
            <w:r>
              <w:rPr>
                <w:rFonts w:hint="eastAsia"/>
                <w:color w:val="000000" w:themeColor="text1"/>
                <w:sz w:val="21"/>
                <w:szCs w:val="21"/>
                <w:u w:val="single"/>
                <w:lang w:eastAsia="zh-CN"/>
                <w14:textFill>
                  <w14:solidFill>
                    <w14:schemeClr w14:val="tx1"/>
                  </w14:solidFill>
                </w14:textFill>
              </w:rPr>
              <w:t>C</w:t>
            </w:r>
            <w:r>
              <w:rPr>
                <w:color w:val="000000" w:themeColor="text1"/>
                <w:sz w:val="21"/>
                <w:szCs w:val="21"/>
                <w:u w:val="single"/>
                <w14:textFill>
                  <w14:solidFill>
                    <w14:schemeClr w14:val="tx1"/>
                  </w14:solidFill>
                </w14:textFill>
              </w:rPr>
              <w:t>m/s）</w:t>
            </w:r>
            <w:r>
              <w:rPr>
                <w:rFonts w:hint="eastAsia"/>
                <w:color w:val="000000" w:themeColor="text1"/>
                <w:sz w:val="21"/>
                <w:szCs w:val="21"/>
                <w:u w:val="single"/>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生产车间为</w:t>
            </w:r>
            <w:r>
              <w:rPr>
                <w:rFonts w:hint="eastAsia"/>
                <w:color w:val="000000" w:themeColor="text1"/>
                <w:sz w:val="21"/>
                <w:szCs w:val="21"/>
                <w:u w:val="single"/>
                <w14:textFill>
                  <w14:solidFill>
                    <w14:schemeClr w14:val="tx1"/>
                  </w14:solidFill>
                </w14:textFill>
              </w:rPr>
              <w:t>一般防渗区</w:t>
            </w:r>
            <w:r>
              <w:rPr>
                <w:rFonts w:hint="eastAsia"/>
                <w:color w:val="000000" w:themeColor="text1"/>
                <w:sz w:val="21"/>
                <w:szCs w:val="21"/>
                <w:u w:val="single"/>
                <w:lang w:eastAsia="zh-CN"/>
                <w14:textFill>
                  <w14:solidFill>
                    <w14:schemeClr w14:val="tx1"/>
                  </w14:solidFill>
                </w14:textFill>
              </w:rPr>
              <w:t>，</w:t>
            </w:r>
            <w:r>
              <w:rPr>
                <w:rFonts w:hint="eastAsia"/>
                <w:color w:val="000000" w:themeColor="text1"/>
                <w:sz w:val="21"/>
                <w:szCs w:val="21"/>
                <w:u w:val="single"/>
                <w14:textFill>
                  <w14:solidFill>
                    <w14:schemeClr w14:val="tx1"/>
                  </w14:solidFill>
                </w14:textFill>
              </w:rPr>
              <w:t>采用在抗渗混凝土面层（包括钢筋混凝土、钢纤维混凝土）中掺水泥基渗透结晶型防水剂，其下铺砌砂石基层防渗(渗透系数不大于1.0×10-7cm/s)</w:t>
            </w:r>
            <w:r>
              <w:rPr>
                <w:color w:val="000000" w:themeColor="text1"/>
                <w:sz w:val="21"/>
                <w:szCs w:val="21"/>
                <w:u w:val="single"/>
                <w14:textFill>
                  <w14:solidFill>
                    <w14:schemeClr w14:val="tx1"/>
                  </w14:solidFill>
                </w14:textFill>
              </w:rPr>
              <w:t>废气污染源经过</w:t>
            </w:r>
            <w:r>
              <w:rPr>
                <w:rFonts w:hint="eastAsia"/>
                <w:color w:val="000000" w:themeColor="text1"/>
                <w:sz w:val="21"/>
                <w:szCs w:val="21"/>
                <w:u w:val="single"/>
                <w14:textFill>
                  <w14:solidFill>
                    <w14:schemeClr w14:val="tx1"/>
                  </w14:solidFill>
                </w14:textFill>
              </w:rPr>
              <w:t>有效</w:t>
            </w:r>
            <w:r>
              <w:rPr>
                <w:color w:val="000000" w:themeColor="text1"/>
                <w:sz w:val="21"/>
                <w:szCs w:val="21"/>
                <w:u w:val="single"/>
                <w14:textFill>
                  <w14:solidFill>
                    <w14:schemeClr w14:val="tx1"/>
                  </w14:solidFill>
                </w14:textFill>
              </w:rPr>
              <w:t>处理净化后，</w:t>
            </w:r>
            <w:r>
              <w:rPr>
                <w:rFonts w:hint="eastAsia"/>
                <w:color w:val="000000" w:themeColor="text1"/>
                <w:sz w:val="21"/>
                <w:szCs w:val="21"/>
                <w:u w:val="single"/>
                <w14:textFill>
                  <w14:solidFill>
                    <w14:schemeClr w14:val="tx1"/>
                  </w14:solidFill>
                </w14:textFill>
              </w:rPr>
              <w:t>减少</w:t>
            </w:r>
            <w:r>
              <w:rPr>
                <w:color w:val="000000" w:themeColor="text1"/>
                <w:sz w:val="21"/>
                <w:szCs w:val="21"/>
                <w:u w:val="single"/>
                <w14:textFill>
                  <w14:solidFill>
                    <w14:schemeClr w14:val="tx1"/>
                  </w14:solidFill>
                </w14:textFill>
              </w:rPr>
              <w:t>对土壤</w:t>
            </w:r>
            <w:r>
              <w:rPr>
                <w:rFonts w:hint="eastAsia"/>
                <w:color w:val="000000" w:themeColor="text1"/>
                <w:sz w:val="21"/>
                <w:szCs w:val="21"/>
                <w:u w:val="single"/>
                <w:lang w:eastAsia="zh-CN"/>
                <w14:textFill>
                  <w14:solidFill>
                    <w14:schemeClr w14:val="tx1"/>
                  </w14:solidFill>
                </w14:textFill>
              </w:rPr>
              <w:t>造成</w:t>
            </w:r>
            <w:r>
              <w:rPr>
                <w:color w:val="000000" w:themeColor="text1"/>
                <w:sz w:val="21"/>
                <w:szCs w:val="21"/>
                <w:u w:val="single"/>
                <w14:textFill>
                  <w14:solidFill>
                    <w14:schemeClr w14:val="tx1"/>
                  </w14:solidFill>
                </w14:textFill>
              </w:rPr>
              <w:t>重大影响。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生态保护措施</w:t>
            </w:r>
          </w:p>
        </w:tc>
        <w:tc>
          <w:tcPr>
            <w:tcW w:w="7400" w:type="dxa"/>
            <w:gridSpan w:val="4"/>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pacing w:val="-8"/>
                <w:sz w:val="21"/>
                <w:szCs w:val="21"/>
                <w:u w:val="single"/>
                <w14:textFill>
                  <w14:solidFill>
                    <w14:schemeClr w14:val="tx1"/>
                  </w14:solidFill>
                </w14:textFill>
              </w:rPr>
            </w:pPr>
            <w:r>
              <w:rPr>
                <w:rFonts w:hint="default" w:ascii="Times New Roman" w:hAnsi="Times New Roman" w:eastAsia="宋体" w:cs="Times New Roman"/>
                <w:color w:val="000000" w:themeColor="text1"/>
                <w:spacing w:val="-8"/>
                <w:sz w:val="21"/>
                <w:szCs w:val="21"/>
                <w:u w:val="single"/>
                <w14:textFill>
                  <w14:solidFill>
                    <w14:schemeClr w14:val="tx1"/>
                  </w14:solidFill>
                </w14:textFill>
              </w:rPr>
              <w:t>环境风险防范措施</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pacing w:val="-8"/>
                <w:sz w:val="21"/>
                <w:szCs w:val="21"/>
                <w:u w:val="single"/>
                <w14:textFill>
                  <w14:solidFill>
                    <w14:schemeClr w14:val="tx1"/>
                  </w14:solidFill>
                </w14:textFill>
              </w:rPr>
            </w:pPr>
            <w:r>
              <w:rPr>
                <w:rFonts w:hint="default" w:ascii="Times New Roman" w:hAnsi="Times New Roman" w:eastAsia="宋体" w:cs="Times New Roman"/>
                <w:color w:val="000000" w:themeColor="text1"/>
                <w:spacing w:val="-8"/>
                <w:sz w:val="21"/>
                <w:szCs w:val="21"/>
                <w:u w:val="single"/>
                <w14:textFill>
                  <w14:solidFill>
                    <w14:schemeClr w14:val="tx1"/>
                  </w14:solidFill>
                </w14:textFill>
              </w:rPr>
              <w:t>其他环境管理要求</w:t>
            </w:r>
          </w:p>
        </w:tc>
        <w:tc>
          <w:tcPr>
            <w:tcW w:w="7400" w:type="dxa"/>
            <w:gridSpan w:val="4"/>
            <w:tcBorders>
              <w:tl2br w:val="nil"/>
              <w:tr2bl w:val="nil"/>
            </w:tcBorders>
            <w:noWrap w:val="0"/>
            <w:vAlign w:val="center"/>
          </w:tcPr>
          <w:p>
            <w:pPr>
              <w:pStyle w:val="13"/>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right="0" w:firstLine="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完善并</w:t>
            </w:r>
            <w:r>
              <w:rPr>
                <w:rFonts w:hint="eastAsia"/>
                <w:color w:val="000000" w:themeColor="text1"/>
                <w:sz w:val="21"/>
                <w:szCs w:val="21"/>
                <w:u w:val="single"/>
                <w:lang w:eastAsia="zh-CN"/>
                <w14:textFill>
                  <w14:solidFill>
                    <w14:schemeClr w14:val="tx1"/>
                  </w14:solidFill>
                </w14:textFill>
              </w:rPr>
              <w:t>妥善</w:t>
            </w:r>
            <w:r>
              <w:rPr>
                <w:rFonts w:hint="eastAsia"/>
                <w:color w:val="000000" w:themeColor="text1"/>
                <w:sz w:val="21"/>
                <w:szCs w:val="21"/>
                <w:u w:val="single"/>
                <w14:textFill>
                  <w14:solidFill>
                    <w14:schemeClr w14:val="tx1"/>
                  </w14:solidFill>
                </w14:textFill>
              </w:rPr>
              <w:t>保存环保档案：</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①环评批复文件或环境现状评估备案证明；②排污许可证；③竣工环保验收文件；④环境管理制度；⑤废气治理设施运行管理规程；⑥一年内废气监测报告；</w:t>
            </w:r>
          </w:p>
          <w:p>
            <w:pPr>
              <w:pStyle w:val="13"/>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firstLine="0" w:firstLineChars="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台账记录：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①生产设施运行管理信息（生产时间、运行负荷、产品产量等；）②废气污染治理设施运行管理信息；③监测记录信息（主要污染排放口废气排放记录等）；④主要原辅材料消耗记录等；</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（3）人员配置：配备专（兼）职环保人员，并具备相应的环境管理能力</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（4）加强环保治理设施管理，确保治理设施正常运行，污染物稳定达标排放。</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（5）排放口规范化设置，粘贴标识牌。</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（6）落实当地管理部门制定的重污染天气管控政策和减排指标。</w:t>
            </w:r>
          </w:p>
          <w:p>
            <w:pP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7</w:t>
            </w:r>
            <w:r>
              <w:rPr>
                <w:rFonts w:hint="eastAsia"/>
                <w:color w:val="000000" w:themeColor="text1"/>
                <w:sz w:val="21"/>
                <w:szCs w:val="21"/>
                <w:u w:val="single"/>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项目建设完成后及时申报排污许可进行建设项目环境竣工验收，完成验收后方可投入生产，持证排污。</w:t>
            </w:r>
          </w:p>
          <w:p>
            <w:pPr>
              <w:pStyle w:val="13"/>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13"/>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13"/>
              <w:rPr>
                <w:rFonts w:hint="eastAsia"/>
                <w:color w:val="000000" w:themeColor="text1"/>
                <w:sz w:val="21"/>
                <w:szCs w:val="21"/>
                <w:u w:val="single"/>
                <w14:textFill>
                  <w14:solidFill>
                    <w14:schemeClr w14:val="tx1"/>
                  </w14:solidFill>
                </w14:textFill>
              </w:rPr>
            </w:pPr>
          </w:p>
          <w:p>
            <w:pPr>
              <w:pStyle w:val="13"/>
              <w:ind w:left="0" w:leftChars="0" w:firstLine="0" w:firstLineChars="0"/>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5"/>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5"/>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5"/>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5"/>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2"/>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rPr>
                <w:rFonts w:hint="eastAsia"/>
                <w:color w:val="000000" w:themeColor="text1"/>
                <w:sz w:val="21"/>
                <w:szCs w:val="21"/>
                <w:u w:val="single"/>
                <w14:textFill>
                  <w14:solidFill>
                    <w14:schemeClr w14:val="tx1"/>
                  </w14:solidFill>
                </w14:textFill>
              </w:rPr>
            </w:pPr>
          </w:p>
          <w:p>
            <w:pPr>
              <w:pStyle w:val="13"/>
              <w:ind w:left="0" w:leftChars="0" w:firstLine="0" w:firstLineChars="0"/>
              <w:rPr>
                <w:rFonts w:hint="default"/>
                <w:color w:val="000000" w:themeColor="text1"/>
                <w:sz w:val="21"/>
                <w:szCs w:val="21"/>
                <w:u w:val="single"/>
                <w:lang w:eastAsia="zh-CN"/>
                <w14:textFill>
                  <w14:solidFill>
                    <w14:schemeClr w14:val="tx1"/>
                  </w14:solidFill>
                </w14:textFill>
              </w:rPr>
            </w:pP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color w:val="000000"/>
          <w:sz w:val="30"/>
          <w:szCs w:val="30"/>
          <w:u w:val="none"/>
        </w:rPr>
      </w:pPr>
      <w:r>
        <w:rPr>
          <w:snapToGrid w:val="0"/>
          <w:color w:val="000000"/>
          <w:u w:val="none"/>
        </w:rPr>
        <w:br w:type="page"/>
      </w:r>
      <w:r>
        <w:rPr>
          <w:rFonts w:hint="eastAsia" w:ascii="黑体" w:hAnsi="黑体" w:eastAsia="黑体"/>
          <w:snapToGrid w:val="0"/>
          <w:color w:val="000000"/>
          <w:sz w:val="30"/>
          <w:szCs w:val="30"/>
          <w:u w:val="none"/>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综合上述分析，本项目的建设符合当前国家产业政策和地方环保管理要求，符合相关规划，厂址选择及厂区平面布置合理可行。本项目产生的废气、噪声和固体废物等各类污染物经采取相应防治措施后均可达标排放，对周围环境的影响较小。建设单位在项目建设及运行中只要认真落实本评价提出的各项污染防治措施，切实做到“三同时”，并在营运期内</w:t>
            </w:r>
            <w:r>
              <w:rPr>
                <w:rFonts w:hint="eastAsia" w:cs="Times New Roman"/>
                <w:color w:val="000000"/>
                <w:sz w:val="24"/>
                <w:szCs w:val="24"/>
                <w:highlight w:val="none"/>
                <w:u w:val="none"/>
                <w:lang w:val="en-US" w:eastAsia="zh-CN"/>
              </w:rPr>
              <w:t>持之以恒地加强</w:t>
            </w:r>
            <w:r>
              <w:rPr>
                <w:rFonts w:hint="eastAsia" w:ascii="Times New Roman" w:hAnsi="Times New Roman" w:eastAsia="宋体" w:cs="Times New Roman"/>
                <w:color w:val="000000"/>
                <w:sz w:val="24"/>
                <w:szCs w:val="24"/>
                <w:u w:val="none"/>
                <w:lang w:val="en-US" w:eastAsia="zh-CN"/>
              </w:rPr>
              <w:t>环境管理，实现污染物达标排放。因此，从环境保护角度来看，本项目的建设是可行的。</w:t>
            </w:r>
          </w:p>
          <w:p>
            <w:pPr>
              <w:pStyle w:val="4"/>
              <w:spacing w:before="123" w:line="364" w:lineRule="auto"/>
              <w:ind w:left="98" w:right="-15" w:firstLine="316"/>
              <w:jc w:val="both"/>
              <w:rPr>
                <w:color w:val="000000"/>
                <w:spacing w:val="-8"/>
                <w:u w:val="none"/>
              </w:rPr>
            </w:pPr>
          </w:p>
        </w:tc>
      </w:tr>
    </w:tbl>
    <w:p>
      <w:pPr>
        <w:rPr>
          <w:rFonts w:ascii="宋体"/>
          <w:color w:val="000000"/>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outlineLvl w:val="0"/>
        <w:rPr>
          <w:rFonts w:hint="eastAsia" w:ascii="Times New Roman" w:hAnsi="Times New Roman" w:eastAsia="黑体"/>
          <w:snapToGrid w:val="0"/>
          <w:color w:val="000000"/>
          <w:sz w:val="32"/>
          <w:szCs w:val="32"/>
          <w:u w:val="none"/>
          <w:lang w:eastAsia="zh-CN"/>
        </w:rPr>
      </w:pPr>
      <w:r>
        <w:rPr>
          <w:rFonts w:ascii="Times New Roman" w:hAnsi="Times New Roman" w:eastAsia="黑体"/>
          <w:snapToGrid w:val="0"/>
          <w:color w:val="000000"/>
          <w:sz w:val="32"/>
          <w:szCs w:val="32"/>
          <w:u w:val="none"/>
        </w:rPr>
        <w:t>附表</w:t>
      </w:r>
    </w:p>
    <w:p>
      <w:pPr>
        <w:pStyle w:val="22"/>
        <w:adjustRightInd w:val="0"/>
        <w:snapToGrid w:val="0"/>
        <w:spacing w:before="0" w:beforeAutospacing="0" w:after="0" w:afterAutospacing="0"/>
        <w:jc w:val="center"/>
        <w:outlineLvl w:val="0"/>
        <w:rPr>
          <w:rFonts w:hint="default" w:ascii="Times New Roman" w:hAnsi="Times New Roman" w:eastAsia="方正小标宋_GBK"/>
          <w:snapToGrid w:val="0"/>
          <w:color w:val="000000"/>
          <w:sz w:val="24"/>
          <w:szCs w:val="24"/>
          <w:u w:val="none"/>
          <w:lang w:val="en-US" w:eastAsia="zh-CN"/>
        </w:rPr>
      </w:pPr>
      <w:r>
        <w:rPr>
          <w:rFonts w:ascii="Times New Roman" w:hAnsi="Times New Roman" w:eastAsia="方正小标宋_GBK"/>
          <w:snapToGrid w:val="0"/>
          <w:color w:val="000000"/>
          <w:sz w:val="38"/>
          <w:szCs w:val="38"/>
          <w:u w:val="none"/>
        </w:rPr>
        <w:t>建设项目污染物排放量汇总表</w:t>
      </w:r>
    </w:p>
    <w:tbl>
      <w:tblPr>
        <w:tblStyle w:val="25"/>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615"/>
        <w:gridCol w:w="1535"/>
        <w:gridCol w:w="1536"/>
        <w:gridCol w:w="1958"/>
        <w:gridCol w:w="1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noWrap w:val="0"/>
            <w:tcMar>
              <w:left w:w="28" w:type="dxa"/>
              <w:right w:w="28" w:type="dxa"/>
            </w:tcMar>
            <w:vAlign w:val="center"/>
          </w:tcPr>
          <w:p>
            <w:pPr>
              <w:ind w:firstLine="840" w:firstLineChars="40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项目</w:t>
            </w:r>
          </w:p>
          <w:p>
            <w:pPr>
              <w:jc w:val="both"/>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分类</w:t>
            </w:r>
          </w:p>
        </w:tc>
        <w:tc>
          <w:tcPr>
            <w:tcW w:w="1417"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污染物名称</w:t>
            </w:r>
          </w:p>
        </w:tc>
        <w:tc>
          <w:tcPr>
            <w:tcW w:w="1701"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现有工程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1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①</w:t>
            </w:r>
            <w:r>
              <w:rPr>
                <w:rFonts w:hint="default" w:ascii="Times New Roman" w:hAnsi="Times New Roman" w:eastAsia="宋体" w:cs="Times New Roman"/>
                <w:color w:val="000000"/>
                <w:sz w:val="21"/>
                <w:szCs w:val="21"/>
                <w:u w:val="none"/>
                <w:lang w:val="en-US" w:eastAsia="zh-CN"/>
              </w:rPr>
              <w:fldChar w:fldCharType="end"/>
            </w:r>
          </w:p>
        </w:tc>
        <w:tc>
          <w:tcPr>
            <w:tcW w:w="1276"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现有工程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许可排放量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2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②</w:t>
            </w:r>
            <w:r>
              <w:rPr>
                <w:rFonts w:hint="default" w:ascii="Times New Roman" w:hAnsi="Times New Roman" w:eastAsia="宋体" w:cs="Times New Roman"/>
                <w:color w:val="000000"/>
                <w:sz w:val="21"/>
                <w:szCs w:val="21"/>
                <w:u w:val="none"/>
                <w:lang w:val="en-US" w:eastAsia="zh-CN"/>
              </w:rPr>
              <w:fldChar w:fldCharType="end"/>
            </w:r>
          </w:p>
        </w:tc>
        <w:tc>
          <w:tcPr>
            <w:tcW w:w="1615"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在建工程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3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③</w:t>
            </w:r>
            <w:r>
              <w:rPr>
                <w:rFonts w:hint="default" w:ascii="Times New Roman" w:hAnsi="Times New Roman" w:eastAsia="宋体" w:cs="Times New Roman"/>
                <w:color w:val="000000"/>
                <w:sz w:val="21"/>
                <w:szCs w:val="21"/>
                <w:u w:val="none"/>
                <w:lang w:val="en-US" w:eastAsia="zh-CN"/>
              </w:rPr>
              <w:fldChar w:fldCharType="end"/>
            </w:r>
          </w:p>
        </w:tc>
        <w:tc>
          <w:tcPr>
            <w:tcW w:w="1535"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本项目</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4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④</w:t>
            </w:r>
            <w:r>
              <w:rPr>
                <w:rFonts w:hint="default" w:ascii="Times New Roman" w:hAnsi="Times New Roman" w:eastAsia="宋体" w:cs="Times New Roman"/>
                <w:color w:val="000000"/>
                <w:sz w:val="21"/>
                <w:szCs w:val="21"/>
                <w:u w:val="none"/>
                <w:lang w:val="en-US" w:eastAsia="zh-CN"/>
              </w:rPr>
              <w:fldChar w:fldCharType="end"/>
            </w:r>
          </w:p>
        </w:tc>
        <w:tc>
          <w:tcPr>
            <w:tcW w:w="1536"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以新带老削减量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（新建项目不填）</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5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⑤</w:t>
            </w:r>
            <w:r>
              <w:rPr>
                <w:rFonts w:hint="default" w:ascii="Times New Roman" w:hAnsi="Times New Roman" w:eastAsia="宋体" w:cs="Times New Roman"/>
                <w:color w:val="000000"/>
                <w:sz w:val="21"/>
                <w:szCs w:val="21"/>
                <w:u w:val="none"/>
                <w:lang w:val="en-US" w:eastAsia="zh-CN"/>
              </w:rPr>
              <w:fldChar w:fldCharType="end"/>
            </w:r>
          </w:p>
        </w:tc>
        <w:tc>
          <w:tcPr>
            <w:tcW w:w="1958"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本项目建成后</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全厂排放量（固体废物产生量）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6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⑥</w:t>
            </w:r>
            <w:r>
              <w:rPr>
                <w:rFonts w:hint="default" w:ascii="Times New Roman" w:hAnsi="Times New Roman" w:eastAsia="宋体" w:cs="Times New Roman"/>
                <w:color w:val="000000"/>
                <w:sz w:val="21"/>
                <w:szCs w:val="21"/>
                <w:u w:val="none"/>
                <w:lang w:val="en-US" w:eastAsia="zh-CN"/>
              </w:rPr>
              <w:fldChar w:fldCharType="end"/>
            </w:r>
          </w:p>
        </w:tc>
        <w:tc>
          <w:tcPr>
            <w:tcW w:w="1162"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变化量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7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⑦</w:t>
            </w:r>
            <w:r>
              <w:rPr>
                <w:rFonts w:hint="default" w:ascii="Times New Roman" w:hAnsi="Times New Roman" w:eastAsia="宋体" w:cs="Times New Roman"/>
                <w:color w:val="000000"/>
                <w:sz w:val="21"/>
                <w:szCs w:val="21"/>
                <w:u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废气</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rPr>
            </w:pPr>
            <w:r>
              <w:rPr>
                <w:rFonts w:hint="eastAsia"/>
                <w:bCs/>
                <w:color w:val="auto"/>
                <w:spacing w:val="-10"/>
                <w:szCs w:val="21"/>
                <w:highlight w:val="none"/>
                <w:u w:val="none"/>
              </w:rPr>
              <w:t>非甲烷总烃</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0.451t/a</w:t>
            </w:r>
          </w:p>
        </w:tc>
        <w:tc>
          <w:tcPr>
            <w:tcW w:w="153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0.451t/a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+0.451t/a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bCs/>
                <w:color w:val="auto"/>
                <w:spacing w:val="-10"/>
                <w:szCs w:val="21"/>
                <w:highlight w:val="none"/>
                <w:u w:val="none"/>
              </w:rPr>
            </w:pPr>
            <w:r>
              <w:rPr>
                <w:rFonts w:hint="eastAsia"/>
                <w:bCs/>
                <w:color w:val="auto"/>
                <w:spacing w:val="-10"/>
                <w:szCs w:val="21"/>
                <w:highlight w:val="none"/>
                <w:u w:val="none"/>
                <w:lang w:val="en-US" w:eastAsia="zh-CN"/>
              </w:rPr>
              <w:t>颗粒物</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0.0385t/a</w:t>
            </w:r>
          </w:p>
        </w:tc>
        <w:tc>
          <w:tcPr>
            <w:tcW w:w="1536" w:type="dxa"/>
            <w:noWrap w:val="0"/>
            <w:vAlign w:val="center"/>
          </w:tcPr>
          <w:p>
            <w:pPr>
              <w:jc w:val="center"/>
              <w:rPr>
                <w:rFonts w:hint="eastAsia"/>
                <w:bCs/>
                <w:color w:val="auto"/>
                <w:spacing w:val="-10"/>
                <w:szCs w:val="21"/>
                <w:highlight w:val="none"/>
                <w:u w:val="none"/>
                <w:lang w:val="en-US" w:eastAsia="zh-CN"/>
              </w:rPr>
            </w:pP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0.0385t/a</w:t>
            </w:r>
          </w:p>
        </w:tc>
        <w:tc>
          <w:tcPr>
            <w:tcW w:w="1162"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+0.0385t/a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废水</w:t>
            </w: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eastAsia" w:cs="Times New Roman"/>
                <w:color w:val="000000"/>
                <w:sz w:val="21"/>
                <w:szCs w:val="21"/>
                <w:u w:val="none"/>
                <w:lang w:eastAsia="zh-CN"/>
              </w:rPr>
              <w:t>C</w:t>
            </w:r>
            <w:r>
              <w:rPr>
                <w:rFonts w:hint="default" w:ascii="Times New Roman" w:hAnsi="Times New Roman" w:eastAsia="宋体" w:cs="Times New Roman"/>
                <w:color w:val="000000"/>
                <w:sz w:val="21"/>
                <w:szCs w:val="21"/>
                <w:u w:val="none"/>
              </w:rPr>
              <w:t>OD</w:t>
            </w:r>
          </w:p>
        </w:tc>
        <w:tc>
          <w:tcPr>
            <w:tcW w:w="1701" w:type="dxa"/>
            <w:noWrap w:val="0"/>
            <w:vAlign w:val="center"/>
          </w:tcPr>
          <w:p>
            <w:pPr>
              <w:jc w:val="center"/>
              <w:rPr>
                <w:rFonts w:hint="default" w:ascii="Times New Roman" w:hAnsi="Times New Roman" w:eastAsia="宋体" w:cs="Times New Roman"/>
                <w:bCs/>
                <w:color w:val="auto"/>
                <w:spacing w:val="-10"/>
                <w:kern w:val="2"/>
                <w:sz w:val="21"/>
                <w:szCs w:val="21"/>
                <w:highlight w:val="none"/>
                <w:u w:val="none"/>
                <w:lang w:val="en-US" w:eastAsia="zh-CN" w:bidi="ar-SA"/>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0.0230t/a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0.0230t/a</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kern w:val="2"/>
                <w:sz w:val="21"/>
                <w:szCs w:val="21"/>
                <w:u w:val="none"/>
                <w:lang w:val="en-US" w:eastAsia="zh-CN" w:bidi="ar-SA"/>
              </w:rPr>
            </w:pPr>
            <w:r>
              <w:rPr>
                <w:rFonts w:hint="eastAsia"/>
                <w:bCs/>
                <w:color w:val="auto"/>
                <w:spacing w:val="-10"/>
                <w:szCs w:val="21"/>
                <w:highlight w:val="none"/>
                <w:u w:val="none"/>
                <w:lang w:val="en-US" w:eastAsia="zh-CN"/>
              </w:rPr>
              <w:t>+0.0230t/a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NH</w:t>
            </w:r>
            <w:r>
              <w:rPr>
                <w:rFonts w:hint="default" w:ascii="Times New Roman" w:hAnsi="Times New Roman" w:eastAsia="宋体" w:cs="Times New Roman"/>
                <w:color w:val="000000"/>
                <w:sz w:val="21"/>
                <w:szCs w:val="21"/>
                <w:u w:val="none"/>
                <w:vertAlign w:val="subscript"/>
              </w:rPr>
              <w:t>3</w:t>
            </w:r>
            <w:r>
              <w:rPr>
                <w:rFonts w:hint="default" w:ascii="Times New Roman" w:hAnsi="Times New Roman" w:eastAsia="宋体" w:cs="Times New Roman"/>
                <w:color w:val="000000"/>
                <w:sz w:val="21"/>
                <w:szCs w:val="21"/>
                <w:u w:val="none"/>
              </w:rPr>
              <w:t>-N</w:t>
            </w:r>
          </w:p>
        </w:tc>
        <w:tc>
          <w:tcPr>
            <w:tcW w:w="1701" w:type="dxa"/>
            <w:noWrap w:val="0"/>
            <w:vAlign w:val="center"/>
          </w:tcPr>
          <w:p>
            <w:pPr>
              <w:jc w:val="center"/>
              <w:rPr>
                <w:rFonts w:hint="default" w:ascii="Times New Roman" w:hAnsi="Times New Roman" w:eastAsia="宋体" w:cs="Times New Roman"/>
                <w:bCs/>
                <w:color w:val="auto"/>
                <w:spacing w:val="-10"/>
                <w:kern w:val="2"/>
                <w:sz w:val="21"/>
                <w:szCs w:val="21"/>
                <w:highlight w:val="none"/>
                <w:u w:val="none"/>
                <w:lang w:val="en-US" w:eastAsia="zh-CN" w:bidi="ar-SA"/>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0.0028t/a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0.0028t/a</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kern w:val="2"/>
                <w:sz w:val="21"/>
                <w:szCs w:val="21"/>
                <w:u w:val="none"/>
                <w:lang w:val="en-US" w:eastAsia="zh-CN" w:bidi="ar-SA"/>
              </w:rPr>
            </w:pPr>
            <w:r>
              <w:rPr>
                <w:rFonts w:hint="eastAsia"/>
                <w:bCs/>
                <w:color w:val="auto"/>
                <w:spacing w:val="-10"/>
                <w:szCs w:val="21"/>
                <w:highlight w:val="none"/>
                <w:u w:val="none"/>
                <w:lang w:val="en-US" w:eastAsia="zh-CN"/>
              </w:rPr>
              <w:t>+0.0028t/a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生活垃圾</w:t>
            </w: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生活垃圾</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1.5t/a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1.5t/a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一般固废</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废包装材料</w:t>
            </w:r>
          </w:p>
        </w:tc>
        <w:tc>
          <w:tcPr>
            <w:tcW w:w="1701" w:type="dxa"/>
            <w:noWrap w:val="0"/>
            <w:vAlign w:val="center"/>
          </w:tcPr>
          <w:p>
            <w:pPr>
              <w:jc w:val="center"/>
              <w:rPr>
                <w:rFonts w:hint="default"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0.5t/a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05t/a</w:t>
            </w:r>
          </w:p>
        </w:tc>
        <w:tc>
          <w:tcPr>
            <w:tcW w:w="1162"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vMerge w:val="continue"/>
            <w:noWrap w:val="0"/>
            <w:vAlign w:val="center"/>
          </w:tcPr>
          <w:p>
            <w:pPr>
              <w:jc w:val="center"/>
              <w:rPr>
                <w:rFonts w:hint="eastAsia" w:cs="Times New Roman"/>
                <w:color w:val="000000"/>
                <w:sz w:val="21"/>
                <w:szCs w:val="21"/>
                <w:u w:val="none"/>
                <w:lang w:val="en-US" w:eastAsia="zh-CN"/>
              </w:rPr>
            </w:pP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bCs/>
                <w:color w:val="auto"/>
                <w:spacing w:val="-10"/>
                <w:szCs w:val="21"/>
                <w:highlight w:val="none"/>
                <w:u w:val="none"/>
                <w:lang w:val="en-US" w:eastAsia="zh-CN"/>
              </w:rPr>
            </w:pPr>
            <w:r>
              <w:rPr>
                <w:rFonts w:hint="eastAsia"/>
                <w:bCs/>
                <w:color w:val="auto"/>
                <w:spacing w:val="-10"/>
                <w:szCs w:val="21"/>
                <w:highlight w:val="none"/>
                <w:u w:val="none"/>
                <w:lang w:val="en-US" w:eastAsia="zh-CN"/>
              </w:rPr>
              <w:t>除尘灰</w:t>
            </w:r>
          </w:p>
        </w:tc>
        <w:tc>
          <w:tcPr>
            <w:tcW w:w="1701" w:type="dxa"/>
            <w:noWrap w:val="0"/>
            <w:vAlign w:val="center"/>
          </w:tcPr>
          <w:p>
            <w:pPr>
              <w:jc w:val="center"/>
              <w:rPr>
                <w:rFonts w:hint="default"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0.969t/a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0.969t/a</w:t>
            </w:r>
          </w:p>
        </w:tc>
        <w:tc>
          <w:tcPr>
            <w:tcW w:w="1162"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+0.969t/a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vMerge w:val="continue"/>
            <w:noWrap w:val="0"/>
            <w:vAlign w:val="center"/>
          </w:tcPr>
          <w:p>
            <w:pPr>
              <w:jc w:val="center"/>
              <w:rPr>
                <w:rFonts w:hint="eastAsia" w:cs="Times New Roman"/>
                <w:color w:val="000000"/>
                <w:sz w:val="21"/>
                <w:szCs w:val="21"/>
                <w:u w:val="none"/>
                <w:lang w:val="en-US" w:eastAsia="zh-CN"/>
              </w:rPr>
            </w:pP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bCs/>
                <w:color w:val="auto"/>
                <w:spacing w:val="-10"/>
                <w:szCs w:val="21"/>
                <w:highlight w:val="none"/>
                <w:u w:val="none"/>
                <w:lang w:val="en-US" w:eastAsia="zh-CN"/>
              </w:rPr>
            </w:pPr>
            <w:r>
              <w:rPr>
                <w:rFonts w:hint="eastAsia"/>
                <w:bCs/>
                <w:color w:val="auto"/>
                <w:spacing w:val="-10"/>
                <w:szCs w:val="21"/>
                <w:highlight w:val="none"/>
                <w:u w:val="none"/>
                <w:lang w:val="en-US" w:eastAsia="zh-CN"/>
              </w:rPr>
              <w:t>不合格品</w:t>
            </w:r>
          </w:p>
        </w:tc>
        <w:tc>
          <w:tcPr>
            <w:tcW w:w="1701" w:type="dxa"/>
            <w:noWrap w:val="0"/>
            <w:vAlign w:val="center"/>
          </w:tcPr>
          <w:p>
            <w:pPr>
              <w:jc w:val="center"/>
              <w:rPr>
                <w:rFonts w:hint="default"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10t/a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10t/a</w:t>
            </w:r>
          </w:p>
        </w:tc>
        <w:tc>
          <w:tcPr>
            <w:tcW w:w="1162"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危险废物</w:t>
            </w: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both"/>
              <w:textAlignment w:val="auto"/>
              <w:outlineLvl w:val="9"/>
              <w:rPr>
                <w:rFonts w:hint="default" w:ascii="Times New Roman" w:hAnsi="Times New Roman" w:eastAsia="宋体" w:cs="Times New Roman"/>
                <w:color w:val="000000"/>
                <w:sz w:val="21"/>
                <w:szCs w:val="21"/>
                <w:u w:val="none"/>
                <w:lang w:val="en-US"/>
              </w:rPr>
            </w:pPr>
            <w:r>
              <w:rPr>
                <w:rFonts w:hint="eastAsia" w:cs="Times New Roman"/>
                <w:b w:val="0"/>
                <w:bCs w:val="0"/>
                <w:color w:val="000000" w:themeColor="text1"/>
                <w:kern w:val="2"/>
                <w:sz w:val="21"/>
                <w:szCs w:val="21"/>
                <w:u w:val="none"/>
                <w:vertAlign w:val="baseline"/>
                <w:lang w:val="en-US" w:eastAsia="zh-CN" w:bidi="ar-SA"/>
                <w14:textFill>
                  <w14:solidFill>
                    <w14:schemeClr w14:val="tx1"/>
                  </w14:solidFill>
                </w14:textFill>
              </w:rPr>
              <w:t>UV灯管</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10根/a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10根/a</w:t>
            </w:r>
          </w:p>
        </w:tc>
        <w:tc>
          <w:tcPr>
            <w:tcW w:w="1162"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+10根/a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both"/>
              <w:textAlignment w:val="auto"/>
              <w:outlineLvl w:val="9"/>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t>废活性炭</w:t>
            </w:r>
          </w:p>
        </w:tc>
        <w:tc>
          <w:tcPr>
            <w:tcW w:w="1701"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5.9741t/a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color w:val="000000"/>
                <w:sz w:val="21"/>
                <w:szCs w:val="21"/>
                <w:u w:val="none"/>
                <w:lang w:val="en-US" w:eastAsia="zh-CN"/>
              </w:rPr>
              <w:t>5.9741t/a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+5.9741t/a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both"/>
              <w:textAlignment w:val="auto"/>
              <w:outlineLvl w:val="9"/>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u w:val="none"/>
                <w:vertAlign w:val="baseline"/>
                <w:lang w:val="en-US" w:eastAsia="zh-CN" w:bidi="ar-SA"/>
                <w14:textFill>
                  <w14:solidFill>
                    <w14:schemeClr w14:val="tx1"/>
                  </w14:solidFill>
                </w14:textFill>
              </w:rPr>
              <w:t>废机油</w:t>
            </w:r>
          </w:p>
        </w:tc>
        <w:tc>
          <w:tcPr>
            <w:tcW w:w="1701"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0.05t/a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p>
        </w:tc>
        <w:tc>
          <w:tcPr>
            <w:tcW w:w="1958"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0.05t/a</w:t>
            </w:r>
          </w:p>
        </w:tc>
        <w:tc>
          <w:tcPr>
            <w:tcW w:w="1162"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+0.05t/a</w:t>
            </w:r>
          </w:p>
        </w:tc>
      </w:tr>
    </w:tbl>
    <w:p>
      <w:pPr>
        <w:pStyle w:val="13"/>
        <w:rPr>
          <w:color w:val="000000"/>
          <w:u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ascii="Times New Roman"/>
          <w:snapToGrid w:val="0"/>
          <w:color w:val="000000"/>
          <w:kern w:val="21"/>
          <w:szCs w:val="21"/>
          <w:u w:val="none"/>
        </w:rPr>
        <w:t>注：</w:t>
      </w:r>
      <w:r>
        <w:rPr>
          <w:rFonts w:hint="default" w:ascii="Times New Roman" w:hAnsi="Times New Roman" w:cs="Times New Roman"/>
          <w:snapToGrid w:val="0"/>
          <w:color w:val="000000"/>
          <w:spacing w:val="-16"/>
          <w:kern w:val="21"/>
          <w:sz w:val="24"/>
          <w:szCs w:val="24"/>
          <w:u w:val="none"/>
        </w:rPr>
        <w:fldChar w:fldCharType="begin"/>
      </w:r>
      <w:r>
        <w:rPr>
          <w:rFonts w:hint="default" w:ascii="Times New Roman" w:hAnsi="Times New Roman" w:cs="Times New Roman"/>
          <w:snapToGrid w:val="0"/>
          <w:color w:val="000000"/>
          <w:spacing w:val="-16"/>
          <w:kern w:val="21"/>
          <w:sz w:val="24"/>
          <w:szCs w:val="24"/>
          <w:u w:val="none"/>
        </w:rPr>
        <w:instrText xml:space="preserve"> = 6 \* GB3 \* MERGEFORMAT </w:instrText>
      </w:r>
      <w:r>
        <w:rPr>
          <w:rFonts w:hint="default" w:ascii="Times New Roman" w:hAnsi="Times New Roman" w:cs="Times New Roman"/>
          <w:snapToGrid w:val="0"/>
          <w:color w:val="000000"/>
          <w:spacing w:val="-16"/>
          <w:kern w:val="21"/>
          <w:sz w:val="24"/>
          <w:szCs w:val="24"/>
          <w:u w:val="none"/>
        </w:rPr>
        <w:fldChar w:fldCharType="separate"/>
      </w:r>
      <w:r>
        <w:rPr>
          <w:rFonts w:hint="default" w:ascii="Times New Roman" w:hAnsi="Times New Roman" w:cs="Times New Roman"/>
          <w:color w:val="000000"/>
          <w:sz w:val="24"/>
          <w:szCs w:val="24"/>
          <w:u w:val="none"/>
        </w:rPr>
        <w:t>⑥</w:t>
      </w:r>
      <w:r>
        <w:rPr>
          <w:rFonts w:hint="default" w:ascii="Times New Roman" w:hAnsi="Times New Roman" w:cs="Times New Roman"/>
          <w:snapToGrid w:val="0"/>
          <w:color w:val="000000"/>
          <w:spacing w:val="-16"/>
          <w:kern w:val="21"/>
          <w:sz w:val="24"/>
          <w:szCs w:val="24"/>
          <w:u w:val="none"/>
        </w:rPr>
        <w:fldChar w:fldCharType="end"/>
      </w:r>
      <w:r>
        <w:rPr>
          <w:rFonts w:hint="default" w:ascii="Times New Roman" w:hAnsi="Times New Roman" w:cs="Times New Roman"/>
          <w:snapToGrid w:val="0"/>
          <w:color w:val="000000"/>
          <w:spacing w:val="-1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1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①</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3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③</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4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④</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16"/>
          <w:kern w:val="21"/>
          <w:sz w:val="24"/>
          <w:szCs w:val="24"/>
          <w:u w:val="none"/>
        </w:rPr>
        <w:fldChar w:fldCharType="begin"/>
      </w:r>
      <w:r>
        <w:rPr>
          <w:rFonts w:hint="default" w:ascii="Times New Roman" w:hAnsi="Times New Roman" w:cs="Times New Roman"/>
          <w:snapToGrid w:val="0"/>
          <w:color w:val="000000"/>
          <w:spacing w:val="-16"/>
          <w:kern w:val="21"/>
          <w:sz w:val="24"/>
          <w:szCs w:val="24"/>
          <w:u w:val="none"/>
        </w:rPr>
        <w:instrText xml:space="preserve"> = 5 \* GB3 \* MERGEFORMAT </w:instrText>
      </w:r>
      <w:r>
        <w:rPr>
          <w:rFonts w:hint="default" w:ascii="Times New Roman" w:hAnsi="Times New Roman" w:cs="Times New Roman"/>
          <w:snapToGrid w:val="0"/>
          <w:color w:val="000000"/>
          <w:spacing w:val="-16"/>
          <w:kern w:val="21"/>
          <w:sz w:val="24"/>
          <w:szCs w:val="24"/>
          <w:u w:val="none"/>
        </w:rPr>
        <w:fldChar w:fldCharType="separate"/>
      </w:r>
      <w:r>
        <w:rPr>
          <w:rFonts w:hint="default" w:ascii="Times New Roman" w:hAnsi="Times New Roman" w:cs="Times New Roman"/>
          <w:color w:val="000000"/>
          <w:sz w:val="24"/>
          <w:szCs w:val="24"/>
          <w:u w:val="none"/>
        </w:rPr>
        <w:t>⑤</w:t>
      </w:r>
      <w:r>
        <w:rPr>
          <w:rFonts w:hint="default" w:ascii="Times New Roman" w:hAnsi="Times New Roman" w:cs="Times New Roman"/>
          <w:snapToGrid w:val="0"/>
          <w:color w:val="000000"/>
          <w:spacing w:val="-16"/>
          <w:kern w:val="21"/>
          <w:sz w:val="24"/>
          <w:szCs w:val="24"/>
          <w:u w:val="none"/>
        </w:rPr>
        <w:fldChar w:fldCharType="end"/>
      </w:r>
      <w:r>
        <w:rPr>
          <w:rFonts w:hint="default" w:ascii="Times New Roman" w:hAnsi="Times New Roman" w:cs="Times New Roman"/>
          <w:snapToGrid w:val="0"/>
          <w:color w:val="000000"/>
          <w:spacing w:val="-16"/>
          <w:kern w:val="21"/>
          <w:sz w:val="24"/>
          <w:szCs w:val="24"/>
          <w:u w:val="none"/>
        </w:rPr>
        <w:t>；</w:t>
      </w:r>
      <w:r>
        <w:rPr>
          <w:rFonts w:hint="default" w:ascii="Times New Roman" w:hAnsi="Times New Roman" w:cs="Times New Roman"/>
          <w:sz w:val="24"/>
          <w:szCs w:val="24"/>
          <w:u w:val="none"/>
        </w:rPr>
        <w:t>⑦</w:t>
      </w:r>
      <w:r>
        <w:rPr>
          <w:rFonts w:hint="default" w:ascii="Times New Roman" w:hAnsi="Times New Roman" w:eastAsia="Times New Roman" w:cs="Times New Roman"/>
          <w:sz w:val="24"/>
          <w:szCs w:val="24"/>
          <w:u w:val="none"/>
        </w:rPr>
        <w:t>=</w:t>
      </w:r>
      <w:r>
        <w:rPr>
          <w:rFonts w:hint="default" w:ascii="Times New Roman" w:hAnsi="Times New Roman" w:cs="Times New Roman"/>
          <w:sz w:val="24"/>
          <w:szCs w:val="24"/>
          <w:u w:val="none"/>
        </w:rPr>
        <w:t>⑥</w:t>
      </w:r>
      <w:r>
        <w:rPr>
          <w:rFonts w:hint="default" w:ascii="Times New Roman" w:hAnsi="Times New Roman" w:eastAsia="Times New Roman" w:cs="Times New Roman"/>
          <w:sz w:val="24"/>
          <w:szCs w:val="24"/>
          <w:u w:val="none"/>
        </w:rPr>
        <w:t>-</w:t>
      </w:r>
      <w:r>
        <w:rPr>
          <w:rFonts w:hint="default" w:ascii="Times New Roman" w:hAnsi="Times New Roman" w:cs="Times New Roman"/>
          <w:sz w:val="24"/>
          <w:szCs w:val="24"/>
          <w:u w:val="none"/>
        </w:rPr>
        <w:t>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b/>
          <w:bCs/>
          <w:sz w:val="28"/>
          <w:szCs w:val="28"/>
          <w:u w:val="none"/>
        </w:rPr>
      </w:pPr>
      <w:r>
        <w:rPr>
          <w:rFonts w:hint="eastAsia" w:ascii="宋体" w:hAnsi="宋体" w:eastAsia="宋体" w:cs="宋体"/>
          <w:b/>
          <w:bCs/>
          <w:sz w:val="28"/>
          <w:szCs w:val="28"/>
          <w:u w:val="none"/>
        </w:rPr>
        <w:t>附图：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default" w:ascii="Times New Roman" w:hAnsi="Times New Roman" w:eastAsia="宋体" w:cs="Times New Roman"/>
          <w:sz w:val="28"/>
          <w:szCs w:val="28"/>
          <w:u w:val="none"/>
          <w:lang w:val="en-US" w:eastAsia="zh-CN"/>
        </w:rPr>
        <w:t>1</w:t>
      </w:r>
      <w:r>
        <w:rPr>
          <w:rFonts w:hint="default" w:ascii="Times New Roman" w:hAnsi="Times New Roman" w:eastAsia="宋体" w:cs="Times New Roman"/>
          <w:sz w:val="28"/>
          <w:szCs w:val="28"/>
          <w:u w:val="none"/>
        </w:rPr>
        <w:t>：项目地理位置图</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u w:val="none"/>
        </w:rPr>
        <w:t>附图2：</w:t>
      </w:r>
      <w:r>
        <w:rPr>
          <w:rFonts w:hint="default" w:ascii="Times New Roman" w:hAnsi="Times New Roman" w:eastAsia="宋体" w:cs="Times New Roman"/>
          <w:sz w:val="28"/>
          <w:szCs w:val="28"/>
          <w:u w:val="none"/>
          <w:lang w:val="en-US" w:eastAsia="zh-CN"/>
        </w:rPr>
        <w:t>项目周边环境及监测点位图</w:t>
      </w:r>
    </w:p>
    <w:p>
      <w:pPr>
        <w:spacing w:line="360" w:lineRule="auto"/>
        <w:rPr>
          <w:rFonts w:hint="default" w:ascii="Times New Roman" w:hAnsi="Times New Roman" w:eastAsia="宋体" w:cs="Times New Roman"/>
          <w:sz w:val="28"/>
          <w:szCs w:val="28"/>
          <w:u w:val="none"/>
          <w:lang w:val="en-US"/>
        </w:rPr>
      </w:pPr>
      <w:r>
        <w:rPr>
          <w:rFonts w:hint="default" w:ascii="Times New Roman" w:hAnsi="Times New Roman" w:eastAsia="宋体" w:cs="Times New Roman"/>
          <w:sz w:val="28"/>
          <w:szCs w:val="28"/>
          <w:u w:val="none"/>
        </w:rPr>
        <w:t>附图</w:t>
      </w:r>
      <w:r>
        <w:rPr>
          <w:rFonts w:hint="default" w:ascii="Times New Roman" w:hAnsi="Times New Roman" w:eastAsia="宋体" w:cs="Times New Roman"/>
          <w:sz w:val="28"/>
          <w:szCs w:val="28"/>
          <w:u w:val="none"/>
          <w:lang w:val="en-US" w:eastAsia="zh-CN"/>
        </w:rPr>
        <w:t>3</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厂区</w:t>
      </w:r>
      <w:r>
        <w:rPr>
          <w:rFonts w:hint="eastAsia" w:cs="Times New Roman"/>
          <w:sz w:val="28"/>
          <w:szCs w:val="28"/>
          <w:u w:val="none"/>
          <w:lang w:val="en-US" w:eastAsia="zh-CN"/>
        </w:rPr>
        <w:t>周围位置关系图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4</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厂区平面布置图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5</w:t>
      </w:r>
      <w:r>
        <w:rPr>
          <w:rFonts w:hint="default" w:ascii="Times New Roman" w:hAnsi="Times New Roman" w:eastAsia="宋体" w:cs="Times New Roman"/>
          <w:sz w:val="28"/>
          <w:szCs w:val="28"/>
          <w:u w:val="none"/>
        </w:rPr>
        <w:t>：</w:t>
      </w:r>
      <w:r>
        <w:rPr>
          <w:rFonts w:hint="default" w:ascii="Times New Roman" w:hAnsi="Times New Roman" w:eastAsia="宋体" w:cs="Times New Roman"/>
          <w:sz w:val="28"/>
          <w:szCs w:val="28"/>
          <w:u w:val="none"/>
          <w:lang w:val="en-US" w:eastAsia="zh-CN"/>
        </w:rPr>
        <w:t>项目与饮用水源地位置关系图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6：文物</w:t>
      </w:r>
      <w:r>
        <w:rPr>
          <w:rFonts w:hint="default" w:ascii="Times New Roman" w:hAnsi="Times New Roman" w:eastAsia="宋体" w:cs="Times New Roman"/>
          <w:sz w:val="28"/>
          <w:szCs w:val="28"/>
          <w:u w:val="none"/>
          <w:lang w:val="en-US" w:eastAsia="zh-CN"/>
        </w:rPr>
        <w:t>保护区划位置图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7</w:t>
      </w:r>
      <w:r>
        <w:rPr>
          <w:rFonts w:hint="default" w:ascii="Times New Roman" w:hAnsi="Times New Roman" w:eastAsia="宋体" w:cs="Times New Roman"/>
          <w:sz w:val="28"/>
          <w:szCs w:val="28"/>
          <w:u w:val="none"/>
        </w:rPr>
        <w:t>：</w:t>
      </w:r>
      <w:r>
        <w:rPr>
          <w:rFonts w:hint="default" w:ascii="Times New Roman" w:hAnsi="Times New Roman" w:eastAsia="宋体" w:cs="Times New Roman"/>
          <w:sz w:val="28"/>
          <w:szCs w:val="28"/>
          <w:u w:val="none"/>
          <w:lang w:val="en-US" w:eastAsia="zh-CN"/>
        </w:rPr>
        <w:t>项目与</w:t>
      </w:r>
      <w:r>
        <w:rPr>
          <w:rFonts w:hint="default" w:ascii="Times New Roman" w:hAnsi="Times New Roman" w:eastAsia="宋体" w:cs="Times New Roman"/>
          <w:sz w:val="28"/>
          <w:szCs w:val="28"/>
          <w:u w:val="none"/>
        </w:rPr>
        <w:t>洛阳市生态环境管控单元</w:t>
      </w:r>
      <w:r>
        <w:rPr>
          <w:rFonts w:hint="default" w:ascii="Times New Roman" w:hAnsi="Times New Roman" w:eastAsia="宋体" w:cs="Times New Roman"/>
          <w:sz w:val="28"/>
          <w:szCs w:val="28"/>
          <w:u w:val="none"/>
          <w:lang w:val="en-US" w:eastAsia="zh-CN"/>
        </w:rPr>
        <w:t>位置图</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8</w:t>
      </w:r>
      <w:r>
        <w:rPr>
          <w:rFonts w:hint="default" w:ascii="Times New Roman" w:hAnsi="Times New Roman" w:eastAsia="宋体" w:cs="Times New Roman"/>
          <w:sz w:val="28"/>
          <w:szCs w:val="28"/>
          <w:u w:val="none"/>
          <w:lang w:val="en-US" w:eastAsia="zh-CN"/>
        </w:rPr>
        <w:t>：河南省“三线一单”成果查询结果图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9</w:t>
      </w:r>
      <w:r>
        <w:rPr>
          <w:rFonts w:hint="default" w:ascii="Times New Roman" w:hAnsi="Times New Roman" w:eastAsia="宋体" w:cs="Times New Roman"/>
          <w:sz w:val="28"/>
          <w:szCs w:val="28"/>
          <w:u w:val="none"/>
          <w:lang w:val="en-US" w:eastAsia="zh-CN"/>
        </w:rPr>
        <w:t>：</w:t>
      </w:r>
      <w:r>
        <w:rPr>
          <w:rFonts w:hint="default" w:ascii="Times New Roman" w:hAnsi="Times New Roman" w:eastAsia="宋体" w:cs="Times New Roman"/>
          <w:sz w:val="28"/>
          <w:szCs w:val="28"/>
          <w:u w:val="none"/>
        </w:rPr>
        <w:t>现场照片</w:t>
      </w:r>
    </w:p>
    <w:p>
      <w:pPr>
        <w:pStyle w:val="4"/>
        <w:rPr>
          <w:rFonts w:ascii="仿宋"/>
          <w:sz w:val="28"/>
          <w:u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default" w:ascii="Times New Roman" w:hAnsi="Times New Roman" w:eastAsia="宋体" w:cs="Times New Roman"/>
          <w:b/>
          <w:bCs/>
          <w:color w:val="000000" w:themeColor="text1"/>
          <w:sz w:val="28"/>
          <w:u w:val="none"/>
          <w14:textFill>
            <w14:solidFill>
              <w14:schemeClr w14:val="tx1"/>
            </w14:solidFill>
          </w14:textFill>
        </w:rPr>
      </w:pPr>
      <w:r>
        <w:rPr>
          <w:rFonts w:hint="default" w:ascii="Times New Roman" w:hAnsi="Times New Roman" w:eastAsia="宋体" w:cs="Times New Roman"/>
          <w:b/>
          <w:bCs/>
          <w:color w:val="000000" w:themeColor="text1"/>
          <w:sz w:val="28"/>
          <w:u w:val="none"/>
          <w14:textFill>
            <w14:solidFill>
              <w14:schemeClr w14:val="tx1"/>
            </w14:solidFill>
          </w14:textFill>
        </w:rPr>
        <w:t>附件：</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highlight w:val="none"/>
          <w:u w:val="none"/>
        </w:rPr>
        <w:t>附件1：</w:t>
      </w:r>
      <w:r>
        <w:rPr>
          <w:rFonts w:hint="default" w:ascii="Times New Roman" w:hAnsi="Times New Roman" w:eastAsia="宋体" w:cs="Times New Roman"/>
          <w:sz w:val="28"/>
          <w:szCs w:val="28"/>
          <w:u w:val="none"/>
        </w:rPr>
        <w:t>委托书</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highlight w:val="none"/>
          <w:u w:val="none"/>
        </w:rPr>
        <w:t>附件2：</w:t>
      </w:r>
      <w:r>
        <w:rPr>
          <w:rFonts w:hint="default" w:ascii="Times New Roman" w:hAnsi="Times New Roman" w:eastAsia="宋体" w:cs="Times New Roman"/>
          <w:sz w:val="28"/>
          <w:szCs w:val="28"/>
          <w:u w:val="none"/>
        </w:rPr>
        <w:t>项目备案</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highlight w:val="none"/>
          <w:u w:val="none"/>
        </w:rPr>
        <w:t>附件3：</w:t>
      </w:r>
      <w:r>
        <w:rPr>
          <w:rFonts w:hint="eastAsia" w:cs="Times New Roman"/>
          <w:sz w:val="28"/>
          <w:szCs w:val="28"/>
          <w:u w:val="none"/>
          <w:lang w:val="en-US" w:eastAsia="zh-CN"/>
        </w:rPr>
        <w:t>租赁协议</w:t>
      </w:r>
    </w:p>
    <w:p>
      <w:pPr>
        <w:spacing w:line="360" w:lineRule="auto"/>
        <w:rPr>
          <w:rFonts w:hint="default" w:ascii="Times New Roman" w:hAnsi="Times New Roman" w:eastAsia="宋体" w:cs="Times New Roman"/>
          <w:sz w:val="28"/>
          <w:szCs w:val="28"/>
          <w:u w:val="none"/>
          <w:lang w:val="en-US" w:eastAsia="zh-CN"/>
        </w:rPr>
      </w:pPr>
      <w:r>
        <w:rPr>
          <w:rFonts w:hint="eastAsia" w:cs="Times New Roman"/>
          <w:sz w:val="28"/>
          <w:szCs w:val="28"/>
          <w:highlight w:val="none"/>
          <w:u w:val="none"/>
          <w:lang w:val="en-US" w:eastAsia="zh-CN"/>
        </w:rPr>
        <w:t>附件4：</w:t>
      </w:r>
      <w:r>
        <w:rPr>
          <w:rFonts w:hint="eastAsia" w:cs="Times New Roman"/>
          <w:sz w:val="28"/>
          <w:szCs w:val="28"/>
          <w:u w:val="none"/>
          <w:lang w:val="en-US" w:eastAsia="zh-CN"/>
        </w:rPr>
        <w:t>土地证</w:t>
      </w:r>
    </w:p>
    <w:p>
      <w:pPr>
        <w:spacing w:line="360" w:lineRule="auto"/>
        <w:rPr>
          <w:rFonts w:hint="default" w:cs="Times New Roman"/>
          <w:sz w:val="28"/>
          <w:szCs w:val="28"/>
          <w:highlight w:val="none"/>
          <w:u w:val="none"/>
          <w:lang w:val="en-US" w:eastAsia="zh-CN"/>
        </w:rPr>
      </w:pPr>
      <w:r>
        <w:rPr>
          <w:rFonts w:hint="eastAsia" w:cs="Times New Roman"/>
          <w:sz w:val="28"/>
          <w:szCs w:val="28"/>
          <w:highlight w:val="none"/>
          <w:u w:val="none"/>
          <w:lang w:val="en-US" w:eastAsia="zh-CN"/>
        </w:rPr>
        <w:t>附件5：证明</w:t>
      </w:r>
    </w:p>
    <w:p>
      <w:pPr>
        <w:spacing w:line="360" w:lineRule="auto"/>
        <w:rPr>
          <w:rFonts w:hint="eastAsia" w:cs="Times New Roman"/>
          <w:sz w:val="28"/>
          <w:szCs w:val="28"/>
          <w:highlight w:val="none"/>
          <w:u w:val="none"/>
          <w:lang w:val="en-US" w:eastAsia="zh-CN"/>
        </w:rPr>
      </w:pPr>
      <w:r>
        <w:rPr>
          <w:rFonts w:hint="eastAsia" w:cs="Times New Roman"/>
          <w:sz w:val="28"/>
          <w:szCs w:val="28"/>
          <w:highlight w:val="none"/>
          <w:u w:val="none"/>
          <w:lang w:val="en-US" w:eastAsia="zh-CN"/>
        </w:rPr>
        <w:t>附件6：营业执照</w:t>
      </w:r>
    </w:p>
    <w:p>
      <w:pPr>
        <w:pStyle w:val="2"/>
        <w:ind w:left="0" w:leftChars="0" w:firstLine="0" w:firstLineChars="0"/>
        <w:rPr>
          <w:rFonts w:hint="default"/>
          <w:lang w:val="en-US" w:eastAsia="zh-CN"/>
        </w:rPr>
      </w:pPr>
      <w:r>
        <w:rPr>
          <w:rFonts w:hint="eastAsia" w:cs="Times New Roman"/>
          <w:sz w:val="28"/>
          <w:szCs w:val="28"/>
          <w:highlight w:val="none"/>
          <w:u w:val="none"/>
          <w:lang w:val="en-US" w:eastAsia="zh-CN"/>
        </w:rPr>
        <w:t>附件7：覆膜胶检验报告</w:t>
      </w:r>
    </w:p>
    <w:p>
      <w:pPr>
        <w:spacing w:line="360" w:lineRule="auto"/>
        <w:rPr>
          <w:rFonts w:hint="eastAsia" w:cs="Times New Roman"/>
          <w:sz w:val="28"/>
          <w:szCs w:val="28"/>
          <w:highlight w:val="none"/>
          <w:u w:val="none"/>
          <w:lang w:val="en-US" w:eastAsia="zh-CN"/>
        </w:rPr>
      </w:pPr>
    </w:p>
    <w:p>
      <w:pPr>
        <w:pStyle w:val="13"/>
        <w:rPr>
          <w:rFonts w:hint="default"/>
          <w:lang w:val="en-US" w:eastAsia="zh-CN"/>
        </w:rPr>
      </w:pPr>
    </w:p>
    <w:p>
      <w:pPr>
        <w:spacing w:line="360" w:lineRule="auto"/>
        <w:rPr>
          <w:rFonts w:hint="eastAsia" w:ascii="Times New Roman" w:hAnsi="Times New Roman" w:eastAsia="宋体" w:cs="Times New Roman"/>
          <w:sz w:val="28"/>
          <w:szCs w:val="28"/>
          <w:u w:val="none"/>
          <w:lang w:val="en-US" w:eastAsia="zh-CN"/>
        </w:rPr>
      </w:pPr>
    </w:p>
    <w:p>
      <w:pPr>
        <w:pStyle w:val="13"/>
        <w:rPr>
          <w:rFonts w:hint="eastAsia"/>
          <w:lang w:val="en-US" w:eastAsia="zh-CN"/>
        </w:rPr>
      </w:pPr>
    </w:p>
    <w:p>
      <w:pPr>
        <w:spacing w:line="360" w:lineRule="auto"/>
        <w:rPr>
          <w:rFonts w:hint="default" w:ascii="Times New Roman" w:hAnsi="Times New Roman" w:eastAsia="宋体" w:cs="Times New Roman"/>
          <w:sz w:val="28"/>
          <w:szCs w:val="28"/>
          <w:u w:val="none"/>
        </w:rPr>
      </w:pPr>
    </w:p>
    <w:p>
      <w:pPr>
        <w:pStyle w:val="31"/>
        <w:rPr>
          <w:rFonts w:hint="eastAsia"/>
          <w:u w:val="none"/>
          <w:lang w:eastAsia="zh-CN"/>
        </w:rPr>
      </w:pPr>
    </w:p>
    <w:sectPr>
      <w:footerReference r:id="rId4"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MYeUy4QEAAMMDAAAOAAAA&#10;AAAAAAEAIAAAAB4BAABkcnMvZTJvRG9jLnhtbFBLBQYAAAAABgAGAFkBAABx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UAZqHgAQAAwQMAAA4AAAAA&#10;AAAAAQAgAAAAHgEAAGRycy9lMm9Eb2MueG1sUEsFBgAAAAAGAAYAWQEAAHA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F6E40"/>
    <w:multiLevelType w:val="singleLevel"/>
    <w:tmpl w:val="EDBF6E40"/>
    <w:lvl w:ilvl="0" w:tentative="0">
      <w:start w:val="2"/>
      <w:numFmt w:val="chineseCounting"/>
      <w:suff w:val="nothing"/>
      <w:lvlText w:val="%1、"/>
      <w:lvlJc w:val="left"/>
      <w:rPr>
        <w:rFonts w:hint="eastAsia"/>
      </w:rPr>
    </w:lvl>
  </w:abstractNum>
  <w:abstractNum w:abstractNumId="1">
    <w:nsid w:val="F7A054D2"/>
    <w:multiLevelType w:val="singleLevel"/>
    <w:tmpl w:val="F7A054D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B"/>
    <w:multiLevelType w:val="multilevel"/>
    <w:tmpl w:val="0000000B"/>
    <w:lvl w:ilvl="0" w:tentative="0">
      <w:start w:val="1"/>
      <w:numFmt w:val="chineseCountingThousand"/>
      <w:lvlText w:val="第%1章"/>
      <w:lvlJc w:val="left"/>
      <w:pPr>
        <w:tabs>
          <w:tab w:val="left" w:pos="425"/>
        </w:tabs>
        <w:ind w:left="425" w:hanging="425"/>
      </w:pPr>
      <w:rPr>
        <w:rFonts w:hint="eastAsia"/>
      </w:rPr>
    </w:lvl>
    <w:lvl w:ilvl="1" w:tentative="0">
      <w:start w:val="1"/>
      <w:numFmt w:val="none"/>
      <w:isLgl/>
      <w:lvlText w:val="%1"/>
      <w:lvlJc w:val="left"/>
      <w:pPr>
        <w:tabs>
          <w:tab w:val="left" w:pos="425"/>
        </w:tabs>
        <w:ind w:left="425" w:hanging="425"/>
      </w:pPr>
      <w:rPr>
        <w:rFonts w:hint="eastAsia"/>
      </w:rPr>
    </w:lvl>
    <w:lvl w:ilvl="2" w:tentative="0">
      <w:start w:val="1"/>
      <w:numFmt w:val="decimal"/>
      <w:isLgl/>
      <w:lvlText w:val="%1.%3"/>
      <w:lvlJc w:val="left"/>
      <w:pPr>
        <w:tabs>
          <w:tab w:val="left" w:pos="567"/>
        </w:tabs>
        <w:ind w:left="567" w:hanging="567"/>
      </w:pPr>
      <w:rPr>
        <w:rFonts w:hint="eastAsia"/>
      </w:rPr>
    </w:lvl>
    <w:lvl w:ilvl="3" w:tentative="0">
      <w:start w:val="1"/>
      <w:numFmt w:val="decimal"/>
      <w:pStyle w:val="8"/>
      <w:isLgl/>
      <w:lvlText w:val="%1.%3.%4"/>
      <w:lvlJc w:val="left"/>
      <w:pPr>
        <w:tabs>
          <w:tab w:val="left" w:pos="425"/>
        </w:tabs>
        <w:ind w:left="425" w:hanging="425"/>
      </w:pPr>
      <w:rPr>
        <w:rFonts w:hint="eastAsia"/>
      </w:rPr>
    </w:lvl>
    <w:lvl w:ilvl="4" w:tentative="0">
      <w:start w:val="1"/>
      <w:numFmt w:val="decimal"/>
      <w:isLgl/>
      <w:lvlText w:val="%1.%3.%4.%5"/>
      <w:lvlJc w:val="left"/>
      <w:pPr>
        <w:tabs>
          <w:tab w:val="left" w:pos="425"/>
        </w:tabs>
        <w:ind w:left="425" w:hanging="425"/>
      </w:pPr>
      <w:rPr>
        <w:rFonts w:hint="eastAsia"/>
        <w:b w:val="0"/>
      </w:rPr>
    </w:lvl>
    <w:lvl w:ilvl="5" w:tentative="0">
      <w:start w:val="1"/>
      <w:numFmt w:val="decimal"/>
      <w:lvlText w:val="（%6）"/>
      <w:lvlJc w:val="left"/>
      <w:pPr>
        <w:tabs>
          <w:tab w:val="left" w:pos="1098"/>
        </w:tabs>
        <w:ind w:left="1524" w:hanging="624"/>
      </w:pPr>
    </w:lvl>
    <w:lvl w:ilvl="6" w:tentative="0">
      <w:start w:val="1"/>
      <w:numFmt w:val="decimal"/>
      <w:lvlText w:val="%7"/>
      <w:lvlJc w:val="left"/>
      <w:pPr>
        <w:tabs>
          <w:tab w:val="left" w:pos="794"/>
        </w:tabs>
        <w:ind w:left="794" w:hanging="425"/>
      </w:pPr>
      <w:rPr>
        <w:rFonts w:hint="eastAsia"/>
      </w:rPr>
    </w:lvl>
    <w:lvl w:ilvl="7" w:tentative="0">
      <w:start w:val="1"/>
      <w:numFmt w:val="upperLetter"/>
      <w:lvlText w:val="%8、"/>
      <w:lvlJc w:val="left"/>
      <w:pPr>
        <w:tabs>
          <w:tab w:val="left" w:pos="964"/>
        </w:tabs>
        <w:ind w:left="964" w:hanging="425"/>
      </w:pPr>
      <w:rPr>
        <w:rFonts w:hint="eastAsia"/>
      </w:rPr>
    </w:lvl>
    <w:lvl w:ilvl="8" w:tentative="0">
      <w:start w:val="1"/>
      <w:numFmt w:val="lowerLetter"/>
      <w:lvlText w:val="%9、"/>
      <w:lvlJc w:val="left"/>
      <w:pPr>
        <w:tabs>
          <w:tab w:val="left" w:pos="1134"/>
        </w:tabs>
        <w:ind w:left="1134" w:hanging="425"/>
      </w:pPr>
      <w:rPr>
        <w:rFonts w:hint="eastAsia"/>
      </w:rPr>
    </w:lvl>
  </w:abstractNum>
  <w:abstractNum w:abstractNumId="4">
    <w:nsid w:val="292E5496"/>
    <w:multiLevelType w:val="singleLevel"/>
    <w:tmpl w:val="292E5496"/>
    <w:lvl w:ilvl="0" w:tentative="0">
      <w:start w:val="2"/>
      <w:numFmt w:val="decimal"/>
      <w:suff w:val="nothing"/>
      <w:lvlText w:val="（%1）"/>
      <w:lvlJc w:val="left"/>
    </w:lvl>
  </w:abstractNum>
  <w:abstractNum w:abstractNumId="5">
    <w:nsid w:val="2B8F1D8E"/>
    <w:multiLevelType w:val="singleLevel"/>
    <w:tmpl w:val="2B8F1D8E"/>
    <w:lvl w:ilvl="0" w:tentative="0">
      <w:start w:val="1"/>
      <w:numFmt w:val="decimal"/>
      <w:pStyle w:val="78"/>
      <w:lvlText w:val="表%1"/>
      <w:lvlJc w:val="center"/>
      <w:pPr>
        <w:tabs>
          <w:tab w:val="left" w:pos="397"/>
        </w:tabs>
        <w:ind w:left="454" w:hanging="454"/>
      </w:pPr>
      <w:rPr>
        <w:rFonts w:hint="default" w:ascii="宋体" w:hAnsi="宋体" w:eastAsia="宋体" w:cs="宋体"/>
        <w:sz w:val="21"/>
        <w:szCs w:val="21"/>
      </w:rPr>
    </w:lvl>
  </w:abstractNum>
  <w:abstractNum w:abstractNumId="6">
    <w:nsid w:val="3B1EBC26"/>
    <w:multiLevelType w:val="singleLevel"/>
    <w:tmpl w:val="3B1EBC26"/>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7">
    <w:nsid w:val="5763E6BC"/>
    <w:multiLevelType w:val="singleLevel"/>
    <w:tmpl w:val="5763E6BC"/>
    <w:lvl w:ilvl="0" w:tentative="0">
      <w:start w:val="1"/>
      <w:numFmt w:val="decimal"/>
      <w:suff w:val="nothing"/>
      <w:lvlText w:val="（%1）"/>
      <w:lvlJc w:val="left"/>
    </w:lvl>
  </w:abstractNum>
  <w:abstractNum w:abstractNumId="8">
    <w:nsid w:val="61694E05"/>
    <w:multiLevelType w:val="multilevel"/>
    <w:tmpl w:val="61694E05"/>
    <w:lvl w:ilvl="0" w:tentative="0">
      <w:start w:val="1"/>
      <w:numFmt w:val="decimal"/>
      <w:pStyle w:val="87"/>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vanish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vanish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DMwYTEwZWI0OTY3ZDk4N2E4MmQwNTVmODRjY2IifQ=="/>
  </w:docVars>
  <w:rsids>
    <w:rsidRoot w:val="00A14947"/>
    <w:rsid w:val="000060B3"/>
    <w:rsid w:val="0004364B"/>
    <w:rsid w:val="00061B1F"/>
    <w:rsid w:val="000712ED"/>
    <w:rsid w:val="000733C4"/>
    <w:rsid w:val="00074783"/>
    <w:rsid w:val="0008070B"/>
    <w:rsid w:val="000810AC"/>
    <w:rsid w:val="00081A02"/>
    <w:rsid w:val="00082231"/>
    <w:rsid w:val="00092D38"/>
    <w:rsid w:val="0009377B"/>
    <w:rsid w:val="000A20C9"/>
    <w:rsid w:val="000A416D"/>
    <w:rsid w:val="000B058F"/>
    <w:rsid w:val="000B4467"/>
    <w:rsid w:val="000B4DB9"/>
    <w:rsid w:val="000C09AC"/>
    <w:rsid w:val="000C767F"/>
    <w:rsid w:val="000D5A44"/>
    <w:rsid w:val="000E3ED2"/>
    <w:rsid w:val="00124748"/>
    <w:rsid w:val="00131F42"/>
    <w:rsid w:val="001357F1"/>
    <w:rsid w:val="00140FA8"/>
    <w:rsid w:val="00142FEB"/>
    <w:rsid w:val="00143A2D"/>
    <w:rsid w:val="00145A41"/>
    <w:rsid w:val="00151675"/>
    <w:rsid w:val="00157435"/>
    <w:rsid w:val="00160DFC"/>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AE1"/>
    <w:rsid w:val="00254345"/>
    <w:rsid w:val="00264557"/>
    <w:rsid w:val="002805AB"/>
    <w:rsid w:val="00284204"/>
    <w:rsid w:val="00291773"/>
    <w:rsid w:val="002A168C"/>
    <w:rsid w:val="002A3DC7"/>
    <w:rsid w:val="002B3521"/>
    <w:rsid w:val="002B49E2"/>
    <w:rsid w:val="002B7B00"/>
    <w:rsid w:val="002B7C44"/>
    <w:rsid w:val="002C2B17"/>
    <w:rsid w:val="002C675B"/>
    <w:rsid w:val="002D3DD0"/>
    <w:rsid w:val="002D6DFA"/>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2B04"/>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C2C9B"/>
    <w:rsid w:val="005C60C9"/>
    <w:rsid w:val="005D36AB"/>
    <w:rsid w:val="005F4899"/>
    <w:rsid w:val="00617CC3"/>
    <w:rsid w:val="006278B9"/>
    <w:rsid w:val="006377A6"/>
    <w:rsid w:val="00637A3D"/>
    <w:rsid w:val="006411EF"/>
    <w:rsid w:val="00656CFB"/>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6BA"/>
    <w:rsid w:val="00767980"/>
    <w:rsid w:val="00770B19"/>
    <w:rsid w:val="0077463F"/>
    <w:rsid w:val="007836EA"/>
    <w:rsid w:val="00784CDA"/>
    <w:rsid w:val="007906C4"/>
    <w:rsid w:val="007940EA"/>
    <w:rsid w:val="00795002"/>
    <w:rsid w:val="007967E8"/>
    <w:rsid w:val="007A2170"/>
    <w:rsid w:val="007A22BF"/>
    <w:rsid w:val="007A3323"/>
    <w:rsid w:val="007B72B8"/>
    <w:rsid w:val="007B7A58"/>
    <w:rsid w:val="007C21B5"/>
    <w:rsid w:val="007C6990"/>
    <w:rsid w:val="007E4BD2"/>
    <w:rsid w:val="00801393"/>
    <w:rsid w:val="00802F88"/>
    <w:rsid w:val="0081293E"/>
    <w:rsid w:val="00814A7C"/>
    <w:rsid w:val="00815465"/>
    <w:rsid w:val="00817E9A"/>
    <w:rsid w:val="008306BD"/>
    <w:rsid w:val="00831A80"/>
    <w:rsid w:val="00833743"/>
    <w:rsid w:val="008340A4"/>
    <w:rsid w:val="0085383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2058"/>
    <w:rsid w:val="00A04596"/>
    <w:rsid w:val="00A04F1B"/>
    <w:rsid w:val="00A0501B"/>
    <w:rsid w:val="00A14947"/>
    <w:rsid w:val="00A267AC"/>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45DD1"/>
    <w:rsid w:val="00B53B5D"/>
    <w:rsid w:val="00B6055E"/>
    <w:rsid w:val="00B6317D"/>
    <w:rsid w:val="00B63D4A"/>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372"/>
    <w:rsid w:val="00CF36BE"/>
    <w:rsid w:val="00CF6000"/>
    <w:rsid w:val="00D003F3"/>
    <w:rsid w:val="00D0364F"/>
    <w:rsid w:val="00D06834"/>
    <w:rsid w:val="00D06C5A"/>
    <w:rsid w:val="00D12B3E"/>
    <w:rsid w:val="00D308ED"/>
    <w:rsid w:val="00D36D86"/>
    <w:rsid w:val="00D428AA"/>
    <w:rsid w:val="00D50A34"/>
    <w:rsid w:val="00D53EFA"/>
    <w:rsid w:val="00D94A7C"/>
    <w:rsid w:val="00D95896"/>
    <w:rsid w:val="00DB2983"/>
    <w:rsid w:val="00DC1257"/>
    <w:rsid w:val="00DC3DC0"/>
    <w:rsid w:val="00DC5B2B"/>
    <w:rsid w:val="00DD318D"/>
    <w:rsid w:val="00DE0B79"/>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76B75"/>
    <w:rsid w:val="00E80011"/>
    <w:rsid w:val="00E9242D"/>
    <w:rsid w:val="00EB2245"/>
    <w:rsid w:val="00EB5255"/>
    <w:rsid w:val="00EB5C47"/>
    <w:rsid w:val="00ED0639"/>
    <w:rsid w:val="00EE46B2"/>
    <w:rsid w:val="00EF4755"/>
    <w:rsid w:val="00EF7135"/>
    <w:rsid w:val="00F027DB"/>
    <w:rsid w:val="00F14A7A"/>
    <w:rsid w:val="00F22985"/>
    <w:rsid w:val="00F3383E"/>
    <w:rsid w:val="00F465A7"/>
    <w:rsid w:val="00F50B7C"/>
    <w:rsid w:val="00F550E6"/>
    <w:rsid w:val="00F74345"/>
    <w:rsid w:val="00F80A0A"/>
    <w:rsid w:val="00F82B19"/>
    <w:rsid w:val="00F85110"/>
    <w:rsid w:val="00F9212D"/>
    <w:rsid w:val="00F965DA"/>
    <w:rsid w:val="00FA406A"/>
    <w:rsid w:val="00FB503A"/>
    <w:rsid w:val="00FB516C"/>
    <w:rsid w:val="00FD0236"/>
    <w:rsid w:val="00FD18F4"/>
    <w:rsid w:val="00FD54DB"/>
    <w:rsid w:val="00FD619F"/>
    <w:rsid w:val="0107109F"/>
    <w:rsid w:val="011110BB"/>
    <w:rsid w:val="011C5D5B"/>
    <w:rsid w:val="011E3DC0"/>
    <w:rsid w:val="011F5DAD"/>
    <w:rsid w:val="0126277A"/>
    <w:rsid w:val="01290F7E"/>
    <w:rsid w:val="013C58D2"/>
    <w:rsid w:val="013F38EA"/>
    <w:rsid w:val="01570B68"/>
    <w:rsid w:val="015D1E09"/>
    <w:rsid w:val="016054FA"/>
    <w:rsid w:val="01696F61"/>
    <w:rsid w:val="01746DE2"/>
    <w:rsid w:val="017C1D17"/>
    <w:rsid w:val="018638CE"/>
    <w:rsid w:val="01895A7A"/>
    <w:rsid w:val="018A38DB"/>
    <w:rsid w:val="01A315E7"/>
    <w:rsid w:val="01A93B5E"/>
    <w:rsid w:val="01AA78B0"/>
    <w:rsid w:val="01B145A4"/>
    <w:rsid w:val="01B6082A"/>
    <w:rsid w:val="01C82EDB"/>
    <w:rsid w:val="01D73F41"/>
    <w:rsid w:val="01D80519"/>
    <w:rsid w:val="01E01B01"/>
    <w:rsid w:val="01E9237D"/>
    <w:rsid w:val="0204386D"/>
    <w:rsid w:val="02043967"/>
    <w:rsid w:val="020A0935"/>
    <w:rsid w:val="02123AE2"/>
    <w:rsid w:val="0217027F"/>
    <w:rsid w:val="02323521"/>
    <w:rsid w:val="025050DA"/>
    <w:rsid w:val="025B703E"/>
    <w:rsid w:val="02697903"/>
    <w:rsid w:val="026E056C"/>
    <w:rsid w:val="02721FB3"/>
    <w:rsid w:val="027728CF"/>
    <w:rsid w:val="027B521C"/>
    <w:rsid w:val="027C6A08"/>
    <w:rsid w:val="027D7350"/>
    <w:rsid w:val="02887E95"/>
    <w:rsid w:val="028A4D1F"/>
    <w:rsid w:val="029656A8"/>
    <w:rsid w:val="029A66B1"/>
    <w:rsid w:val="02AE47D1"/>
    <w:rsid w:val="02B64CF5"/>
    <w:rsid w:val="02B81FC4"/>
    <w:rsid w:val="02BC13EB"/>
    <w:rsid w:val="02C57581"/>
    <w:rsid w:val="02CA3862"/>
    <w:rsid w:val="02DE4A51"/>
    <w:rsid w:val="02E11331"/>
    <w:rsid w:val="02F42B28"/>
    <w:rsid w:val="02F46A2F"/>
    <w:rsid w:val="02F96569"/>
    <w:rsid w:val="02FE5B44"/>
    <w:rsid w:val="030F3BBC"/>
    <w:rsid w:val="031B5D3F"/>
    <w:rsid w:val="031E15C2"/>
    <w:rsid w:val="032275AF"/>
    <w:rsid w:val="0323429E"/>
    <w:rsid w:val="033B2FEA"/>
    <w:rsid w:val="033B4D85"/>
    <w:rsid w:val="03442D65"/>
    <w:rsid w:val="03453FC2"/>
    <w:rsid w:val="034741BE"/>
    <w:rsid w:val="034B2A01"/>
    <w:rsid w:val="03581303"/>
    <w:rsid w:val="035A2359"/>
    <w:rsid w:val="035A6866"/>
    <w:rsid w:val="035C6677"/>
    <w:rsid w:val="035E38DE"/>
    <w:rsid w:val="0362661A"/>
    <w:rsid w:val="03703DA0"/>
    <w:rsid w:val="03745D46"/>
    <w:rsid w:val="037E6078"/>
    <w:rsid w:val="037F25D1"/>
    <w:rsid w:val="038151BE"/>
    <w:rsid w:val="0386609D"/>
    <w:rsid w:val="03894E05"/>
    <w:rsid w:val="038F3835"/>
    <w:rsid w:val="039A2539"/>
    <w:rsid w:val="03A311AF"/>
    <w:rsid w:val="03AB2359"/>
    <w:rsid w:val="03B27642"/>
    <w:rsid w:val="03BC73B2"/>
    <w:rsid w:val="03C257FA"/>
    <w:rsid w:val="03CA26C6"/>
    <w:rsid w:val="03E260A2"/>
    <w:rsid w:val="03EA7B21"/>
    <w:rsid w:val="03EE249B"/>
    <w:rsid w:val="03EE5995"/>
    <w:rsid w:val="03F1488C"/>
    <w:rsid w:val="04021D6A"/>
    <w:rsid w:val="040D7B7A"/>
    <w:rsid w:val="0415244A"/>
    <w:rsid w:val="041969A4"/>
    <w:rsid w:val="041B7EEC"/>
    <w:rsid w:val="042441B6"/>
    <w:rsid w:val="042765CC"/>
    <w:rsid w:val="042C253E"/>
    <w:rsid w:val="042E5707"/>
    <w:rsid w:val="043B2A7C"/>
    <w:rsid w:val="04433F4C"/>
    <w:rsid w:val="044A5449"/>
    <w:rsid w:val="044C5EF1"/>
    <w:rsid w:val="044D58BF"/>
    <w:rsid w:val="045A6D86"/>
    <w:rsid w:val="04732131"/>
    <w:rsid w:val="047631AD"/>
    <w:rsid w:val="04767FFA"/>
    <w:rsid w:val="04790732"/>
    <w:rsid w:val="047A76BA"/>
    <w:rsid w:val="049C3358"/>
    <w:rsid w:val="04A73CE8"/>
    <w:rsid w:val="04AE1116"/>
    <w:rsid w:val="04B05FD2"/>
    <w:rsid w:val="04B45BF8"/>
    <w:rsid w:val="04B5101E"/>
    <w:rsid w:val="04CD72C9"/>
    <w:rsid w:val="04DC120C"/>
    <w:rsid w:val="04DE3FA5"/>
    <w:rsid w:val="04E86054"/>
    <w:rsid w:val="04EF1713"/>
    <w:rsid w:val="04F9774A"/>
    <w:rsid w:val="050308CD"/>
    <w:rsid w:val="050D38F3"/>
    <w:rsid w:val="05257B22"/>
    <w:rsid w:val="052A3112"/>
    <w:rsid w:val="052C5BC3"/>
    <w:rsid w:val="0530041A"/>
    <w:rsid w:val="05364FC4"/>
    <w:rsid w:val="05370CE2"/>
    <w:rsid w:val="0538513C"/>
    <w:rsid w:val="054707D9"/>
    <w:rsid w:val="05477904"/>
    <w:rsid w:val="05514160"/>
    <w:rsid w:val="055B2EF3"/>
    <w:rsid w:val="05602AA4"/>
    <w:rsid w:val="057141F6"/>
    <w:rsid w:val="05724914"/>
    <w:rsid w:val="057D50AC"/>
    <w:rsid w:val="058552E5"/>
    <w:rsid w:val="05912B5C"/>
    <w:rsid w:val="05950EFC"/>
    <w:rsid w:val="05AB47FE"/>
    <w:rsid w:val="05AC7A1C"/>
    <w:rsid w:val="05B043A7"/>
    <w:rsid w:val="05B2757A"/>
    <w:rsid w:val="05BE3036"/>
    <w:rsid w:val="05D2502D"/>
    <w:rsid w:val="05D41106"/>
    <w:rsid w:val="05E4241A"/>
    <w:rsid w:val="05EC2E81"/>
    <w:rsid w:val="05EF4223"/>
    <w:rsid w:val="05F04DB4"/>
    <w:rsid w:val="05F83EAE"/>
    <w:rsid w:val="05FB5405"/>
    <w:rsid w:val="05FE7EE1"/>
    <w:rsid w:val="060C6FA8"/>
    <w:rsid w:val="060D436A"/>
    <w:rsid w:val="060D5BE5"/>
    <w:rsid w:val="060E22D1"/>
    <w:rsid w:val="060F4921"/>
    <w:rsid w:val="062652F8"/>
    <w:rsid w:val="063B7BFE"/>
    <w:rsid w:val="063C3AFA"/>
    <w:rsid w:val="063E6FCD"/>
    <w:rsid w:val="063E7417"/>
    <w:rsid w:val="063E7D85"/>
    <w:rsid w:val="06400EDA"/>
    <w:rsid w:val="06491016"/>
    <w:rsid w:val="064B3679"/>
    <w:rsid w:val="066305CE"/>
    <w:rsid w:val="066D16F3"/>
    <w:rsid w:val="06702542"/>
    <w:rsid w:val="068321FF"/>
    <w:rsid w:val="06875E85"/>
    <w:rsid w:val="068E7284"/>
    <w:rsid w:val="06956781"/>
    <w:rsid w:val="069B7700"/>
    <w:rsid w:val="069D6DB2"/>
    <w:rsid w:val="06D83199"/>
    <w:rsid w:val="06FA7429"/>
    <w:rsid w:val="0701620D"/>
    <w:rsid w:val="07033F8E"/>
    <w:rsid w:val="07086169"/>
    <w:rsid w:val="070F31D5"/>
    <w:rsid w:val="071068B7"/>
    <w:rsid w:val="07187E6F"/>
    <w:rsid w:val="071B5778"/>
    <w:rsid w:val="071C457C"/>
    <w:rsid w:val="072027AA"/>
    <w:rsid w:val="07293586"/>
    <w:rsid w:val="07295285"/>
    <w:rsid w:val="0730222F"/>
    <w:rsid w:val="07320188"/>
    <w:rsid w:val="073615EB"/>
    <w:rsid w:val="07402E71"/>
    <w:rsid w:val="074E004F"/>
    <w:rsid w:val="07524795"/>
    <w:rsid w:val="07536E49"/>
    <w:rsid w:val="07544CA7"/>
    <w:rsid w:val="07584C0A"/>
    <w:rsid w:val="075B25C9"/>
    <w:rsid w:val="075E15EF"/>
    <w:rsid w:val="0760318F"/>
    <w:rsid w:val="07636392"/>
    <w:rsid w:val="076669BB"/>
    <w:rsid w:val="07676309"/>
    <w:rsid w:val="076858BF"/>
    <w:rsid w:val="07701049"/>
    <w:rsid w:val="07704EF0"/>
    <w:rsid w:val="077147C4"/>
    <w:rsid w:val="07770C56"/>
    <w:rsid w:val="07786296"/>
    <w:rsid w:val="077A3D46"/>
    <w:rsid w:val="077D62AB"/>
    <w:rsid w:val="078A41C1"/>
    <w:rsid w:val="079A016F"/>
    <w:rsid w:val="079D563B"/>
    <w:rsid w:val="07A97B76"/>
    <w:rsid w:val="07AC1257"/>
    <w:rsid w:val="07B230E7"/>
    <w:rsid w:val="07B47DD1"/>
    <w:rsid w:val="07BB674F"/>
    <w:rsid w:val="07BE66A9"/>
    <w:rsid w:val="07CF22A2"/>
    <w:rsid w:val="07D01612"/>
    <w:rsid w:val="07EA0D58"/>
    <w:rsid w:val="07ED77DF"/>
    <w:rsid w:val="07F0115E"/>
    <w:rsid w:val="07F25F78"/>
    <w:rsid w:val="07F42FF2"/>
    <w:rsid w:val="07F61E10"/>
    <w:rsid w:val="07FA1D7B"/>
    <w:rsid w:val="0805106C"/>
    <w:rsid w:val="08120253"/>
    <w:rsid w:val="081F7EEA"/>
    <w:rsid w:val="08204893"/>
    <w:rsid w:val="082165F5"/>
    <w:rsid w:val="082B0012"/>
    <w:rsid w:val="083971F3"/>
    <w:rsid w:val="084B6FEE"/>
    <w:rsid w:val="0850137A"/>
    <w:rsid w:val="08633A11"/>
    <w:rsid w:val="08710DA8"/>
    <w:rsid w:val="088002A6"/>
    <w:rsid w:val="08927A99"/>
    <w:rsid w:val="08945138"/>
    <w:rsid w:val="089C71CF"/>
    <w:rsid w:val="08AD182D"/>
    <w:rsid w:val="08B751E0"/>
    <w:rsid w:val="08B9137D"/>
    <w:rsid w:val="08C11524"/>
    <w:rsid w:val="08DC6E34"/>
    <w:rsid w:val="08EB3A54"/>
    <w:rsid w:val="08EF7056"/>
    <w:rsid w:val="08F340C5"/>
    <w:rsid w:val="08F3427B"/>
    <w:rsid w:val="08F44334"/>
    <w:rsid w:val="0903769E"/>
    <w:rsid w:val="091C1E56"/>
    <w:rsid w:val="092217DD"/>
    <w:rsid w:val="0926429C"/>
    <w:rsid w:val="092643DF"/>
    <w:rsid w:val="09293028"/>
    <w:rsid w:val="092E4742"/>
    <w:rsid w:val="093A7294"/>
    <w:rsid w:val="0943027F"/>
    <w:rsid w:val="095E6E67"/>
    <w:rsid w:val="0964348D"/>
    <w:rsid w:val="096B3D6E"/>
    <w:rsid w:val="097950EC"/>
    <w:rsid w:val="09834D90"/>
    <w:rsid w:val="09863253"/>
    <w:rsid w:val="098A5B70"/>
    <w:rsid w:val="099300CD"/>
    <w:rsid w:val="099B6216"/>
    <w:rsid w:val="099C0411"/>
    <w:rsid w:val="099C1A3A"/>
    <w:rsid w:val="099C5C2A"/>
    <w:rsid w:val="09A85A6E"/>
    <w:rsid w:val="09B5634A"/>
    <w:rsid w:val="09CB61B4"/>
    <w:rsid w:val="09D4014F"/>
    <w:rsid w:val="09E43500"/>
    <w:rsid w:val="09E748CA"/>
    <w:rsid w:val="09F30A99"/>
    <w:rsid w:val="09FA33AB"/>
    <w:rsid w:val="0A0F4557"/>
    <w:rsid w:val="0A15107A"/>
    <w:rsid w:val="0A1B766F"/>
    <w:rsid w:val="0A263993"/>
    <w:rsid w:val="0A2A4511"/>
    <w:rsid w:val="0A2D3AC2"/>
    <w:rsid w:val="0A2F32A4"/>
    <w:rsid w:val="0A301DD2"/>
    <w:rsid w:val="0A3A3D78"/>
    <w:rsid w:val="0A4030D5"/>
    <w:rsid w:val="0A441E7F"/>
    <w:rsid w:val="0A4C6CE1"/>
    <w:rsid w:val="0A4F5551"/>
    <w:rsid w:val="0A50159A"/>
    <w:rsid w:val="0A563FE2"/>
    <w:rsid w:val="0A5E7B2C"/>
    <w:rsid w:val="0A6037DD"/>
    <w:rsid w:val="0A6554B7"/>
    <w:rsid w:val="0A6A6427"/>
    <w:rsid w:val="0A6E7651"/>
    <w:rsid w:val="0A6E77C1"/>
    <w:rsid w:val="0A7C48BC"/>
    <w:rsid w:val="0A8757A1"/>
    <w:rsid w:val="0A8D3570"/>
    <w:rsid w:val="0A8E3590"/>
    <w:rsid w:val="0A9E3DA4"/>
    <w:rsid w:val="0AA755DF"/>
    <w:rsid w:val="0AAD42BA"/>
    <w:rsid w:val="0AB8500A"/>
    <w:rsid w:val="0AB92C5F"/>
    <w:rsid w:val="0AC85972"/>
    <w:rsid w:val="0ACD324D"/>
    <w:rsid w:val="0AD065AA"/>
    <w:rsid w:val="0AD2305C"/>
    <w:rsid w:val="0ADA08F6"/>
    <w:rsid w:val="0ADC2B22"/>
    <w:rsid w:val="0AEC2E7F"/>
    <w:rsid w:val="0AF64AB4"/>
    <w:rsid w:val="0AFC02DB"/>
    <w:rsid w:val="0AFC69F5"/>
    <w:rsid w:val="0B120D44"/>
    <w:rsid w:val="0B1644E3"/>
    <w:rsid w:val="0B207E03"/>
    <w:rsid w:val="0B27163F"/>
    <w:rsid w:val="0B2D7651"/>
    <w:rsid w:val="0B3D4D5C"/>
    <w:rsid w:val="0B591EC0"/>
    <w:rsid w:val="0B594715"/>
    <w:rsid w:val="0B5A3F64"/>
    <w:rsid w:val="0B5D0ED0"/>
    <w:rsid w:val="0B6232ED"/>
    <w:rsid w:val="0B783622"/>
    <w:rsid w:val="0B800CCF"/>
    <w:rsid w:val="0B861195"/>
    <w:rsid w:val="0B872019"/>
    <w:rsid w:val="0B891F02"/>
    <w:rsid w:val="0B8E6881"/>
    <w:rsid w:val="0BAB4452"/>
    <w:rsid w:val="0BC040D0"/>
    <w:rsid w:val="0BC274FF"/>
    <w:rsid w:val="0BD1229F"/>
    <w:rsid w:val="0BD27BF6"/>
    <w:rsid w:val="0BD92F63"/>
    <w:rsid w:val="0BDF2252"/>
    <w:rsid w:val="0BE355A0"/>
    <w:rsid w:val="0BED6E3E"/>
    <w:rsid w:val="0BF13FC3"/>
    <w:rsid w:val="0BFE6D81"/>
    <w:rsid w:val="0C0A57D1"/>
    <w:rsid w:val="0C102037"/>
    <w:rsid w:val="0C11510F"/>
    <w:rsid w:val="0C1303DD"/>
    <w:rsid w:val="0C191A32"/>
    <w:rsid w:val="0C1923B7"/>
    <w:rsid w:val="0C217C3F"/>
    <w:rsid w:val="0C296245"/>
    <w:rsid w:val="0C2C53A7"/>
    <w:rsid w:val="0C3B3C7D"/>
    <w:rsid w:val="0C3C202A"/>
    <w:rsid w:val="0C3F18BB"/>
    <w:rsid w:val="0C4E3B88"/>
    <w:rsid w:val="0C5830DC"/>
    <w:rsid w:val="0C6279A7"/>
    <w:rsid w:val="0C6C7952"/>
    <w:rsid w:val="0C7A5031"/>
    <w:rsid w:val="0C84151A"/>
    <w:rsid w:val="0C894F86"/>
    <w:rsid w:val="0C934801"/>
    <w:rsid w:val="0C953958"/>
    <w:rsid w:val="0CAB2EAE"/>
    <w:rsid w:val="0CAF27FC"/>
    <w:rsid w:val="0CB10A73"/>
    <w:rsid w:val="0CB4548C"/>
    <w:rsid w:val="0CB46A0A"/>
    <w:rsid w:val="0CB63A25"/>
    <w:rsid w:val="0CD43D80"/>
    <w:rsid w:val="0CD471B0"/>
    <w:rsid w:val="0CEA0D61"/>
    <w:rsid w:val="0CEA57DF"/>
    <w:rsid w:val="0CFC2FED"/>
    <w:rsid w:val="0D005C41"/>
    <w:rsid w:val="0D0775EE"/>
    <w:rsid w:val="0D09095D"/>
    <w:rsid w:val="0D092DA9"/>
    <w:rsid w:val="0D1B2298"/>
    <w:rsid w:val="0D1D1702"/>
    <w:rsid w:val="0D235E12"/>
    <w:rsid w:val="0D252ABE"/>
    <w:rsid w:val="0D2F7969"/>
    <w:rsid w:val="0D361B6D"/>
    <w:rsid w:val="0D384F63"/>
    <w:rsid w:val="0D3A1051"/>
    <w:rsid w:val="0D3E11FC"/>
    <w:rsid w:val="0D4C3917"/>
    <w:rsid w:val="0D4F4F89"/>
    <w:rsid w:val="0D513AD3"/>
    <w:rsid w:val="0D5C0AEB"/>
    <w:rsid w:val="0D621C7D"/>
    <w:rsid w:val="0D661E47"/>
    <w:rsid w:val="0D6C5533"/>
    <w:rsid w:val="0D6C66AF"/>
    <w:rsid w:val="0D801420"/>
    <w:rsid w:val="0D807D87"/>
    <w:rsid w:val="0D8A46BD"/>
    <w:rsid w:val="0D901A23"/>
    <w:rsid w:val="0D933F13"/>
    <w:rsid w:val="0D95238D"/>
    <w:rsid w:val="0D9F2870"/>
    <w:rsid w:val="0DA0195F"/>
    <w:rsid w:val="0DA3219D"/>
    <w:rsid w:val="0DAC2897"/>
    <w:rsid w:val="0DAE1D20"/>
    <w:rsid w:val="0DB02E19"/>
    <w:rsid w:val="0DB11A43"/>
    <w:rsid w:val="0DC5484B"/>
    <w:rsid w:val="0DE05C76"/>
    <w:rsid w:val="0DE22B7E"/>
    <w:rsid w:val="0DE90955"/>
    <w:rsid w:val="0DFE0434"/>
    <w:rsid w:val="0E03472E"/>
    <w:rsid w:val="0E0438E8"/>
    <w:rsid w:val="0E073B27"/>
    <w:rsid w:val="0E0C58A9"/>
    <w:rsid w:val="0E164EEB"/>
    <w:rsid w:val="0E215146"/>
    <w:rsid w:val="0E2422DF"/>
    <w:rsid w:val="0E2672C8"/>
    <w:rsid w:val="0E2A148E"/>
    <w:rsid w:val="0E2C14D8"/>
    <w:rsid w:val="0E2C61A1"/>
    <w:rsid w:val="0E34434A"/>
    <w:rsid w:val="0E346E4D"/>
    <w:rsid w:val="0E406882"/>
    <w:rsid w:val="0E510FF7"/>
    <w:rsid w:val="0E5D5B5A"/>
    <w:rsid w:val="0E632885"/>
    <w:rsid w:val="0E6547A3"/>
    <w:rsid w:val="0E73034D"/>
    <w:rsid w:val="0E814AC4"/>
    <w:rsid w:val="0E8630E8"/>
    <w:rsid w:val="0E8941FB"/>
    <w:rsid w:val="0E941AAC"/>
    <w:rsid w:val="0EC95BA1"/>
    <w:rsid w:val="0ED16F9E"/>
    <w:rsid w:val="0ED61914"/>
    <w:rsid w:val="0EDE4CB8"/>
    <w:rsid w:val="0EDF499C"/>
    <w:rsid w:val="0EE26234"/>
    <w:rsid w:val="0EE94C1D"/>
    <w:rsid w:val="0EF25082"/>
    <w:rsid w:val="0F062C2B"/>
    <w:rsid w:val="0F13775A"/>
    <w:rsid w:val="0F1A37B9"/>
    <w:rsid w:val="0F300F46"/>
    <w:rsid w:val="0F34221E"/>
    <w:rsid w:val="0F363628"/>
    <w:rsid w:val="0F4C77F7"/>
    <w:rsid w:val="0F560E87"/>
    <w:rsid w:val="0F59448F"/>
    <w:rsid w:val="0F5C5601"/>
    <w:rsid w:val="0F5D69AB"/>
    <w:rsid w:val="0F5F45FE"/>
    <w:rsid w:val="0F6351D7"/>
    <w:rsid w:val="0F6B408C"/>
    <w:rsid w:val="0F7F6981"/>
    <w:rsid w:val="0F8F174E"/>
    <w:rsid w:val="0F926575"/>
    <w:rsid w:val="0F9A112B"/>
    <w:rsid w:val="0F9C403F"/>
    <w:rsid w:val="0FA02760"/>
    <w:rsid w:val="0FA0760C"/>
    <w:rsid w:val="0FAF5FEC"/>
    <w:rsid w:val="0FB7773B"/>
    <w:rsid w:val="0FCE56CD"/>
    <w:rsid w:val="0FD42CE0"/>
    <w:rsid w:val="0FE207F2"/>
    <w:rsid w:val="0FF81002"/>
    <w:rsid w:val="0FFB2ADC"/>
    <w:rsid w:val="0FFC47B1"/>
    <w:rsid w:val="0FFE5A1A"/>
    <w:rsid w:val="1002180E"/>
    <w:rsid w:val="100A6F71"/>
    <w:rsid w:val="10100E83"/>
    <w:rsid w:val="10233DA4"/>
    <w:rsid w:val="10412BB7"/>
    <w:rsid w:val="104E26F8"/>
    <w:rsid w:val="10511E1C"/>
    <w:rsid w:val="10542A34"/>
    <w:rsid w:val="10615B97"/>
    <w:rsid w:val="10660B08"/>
    <w:rsid w:val="106808D0"/>
    <w:rsid w:val="106A471E"/>
    <w:rsid w:val="106A5127"/>
    <w:rsid w:val="106D2F64"/>
    <w:rsid w:val="106E5051"/>
    <w:rsid w:val="106F1AEC"/>
    <w:rsid w:val="107D690D"/>
    <w:rsid w:val="107E472F"/>
    <w:rsid w:val="10865784"/>
    <w:rsid w:val="108D3888"/>
    <w:rsid w:val="108F13A6"/>
    <w:rsid w:val="109C5237"/>
    <w:rsid w:val="10AD7445"/>
    <w:rsid w:val="10B63710"/>
    <w:rsid w:val="10BB1157"/>
    <w:rsid w:val="10CD1895"/>
    <w:rsid w:val="10DF4F3A"/>
    <w:rsid w:val="10E60F6F"/>
    <w:rsid w:val="10F10820"/>
    <w:rsid w:val="10F11A32"/>
    <w:rsid w:val="10F45F82"/>
    <w:rsid w:val="10FB6ABA"/>
    <w:rsid w:val="10FE5FE8"/>
    <w:rsid w:val="11010A99"/>
    <w:rsid w:val="110D189F"/>
    <w:rsid w:val="111254F4"/>
    <w:rsid w:val="111C2F7A"/>
    <w:rsid w:val="11213BE0"/>
    <w:rsid w:val="11335C6B"/>
    <w:rsid w:val="113D3429"/>
    <w:rsid w:val="11413C32"/>
    <w:rsid w:val="114A4E49"/>
    <w:rsid w:val="114C7121"/>
    <w:rsid w:val="115720E4"/>
    <w:rsid w:val="11575967"/>
    <w:rsid w:val="115C707F"/>
    <w:rsid w:val="11665CA1"/>
    <w:rsid w:val="116B1A48"/>
    <w:rsid w:val="11734FFF"/>
    <w:rsid w:val="11787CE9"/>
    <w:rsid w:val="117F0917"/>
    <w:rsid w:val="117F2ACF"/>
    <w:rsid w:val="11816EE7"/>
    <w:rsid w:val="1188156A"/>
    <w:rsid w:val="11923283"/>
    <w:rsid w:val="11927E53"/>
    <w:rsid w:val="119828DF"/>
    <w:rsid w:val="11984A52"/>
    <w:rsid w:val="119B2030"/>
    <w:rsid w:val="11A32844"/>
    <w:rsid w:val="11A67B52"/>
    <w:rsid w:val="11B00508"/>
    <w:rsid w:val="11B128E2"/>
    <w:rsid w:val="11B17B6E"/>
    <w:rsid w:val="11B72A5F"/>
    <w:rsid w:val="11B91252"/>
    <w:rsid w:val="11BA5084"/>
    <w:rsid w:val="11BC6834"/>
    <w:rsid w:val="11C473F6"/>
    <w:rsid w:val="11D061C3"/>
    <w:rsid w:val="11D93765"/>
    <w:rsid w:val="11DC1659"/>
    <w:rsid w:val="11E04AAD"/>
    <w:rsid w:val="11E453A8"/>
    <w:rsid w:val="11E80C1B"/>
    <w:rsid w:val="11F35AC3"/>
    <w:rsid w:val="11F55F6A"/>
    <w:rsid w:val="1202604B"/>
    <w:rsid w:val="12184379"/>
    <w:rsid w:val="121A6390"/>
    <w:rsid w:val="12217492"/>
    <w:rsid w:val="12220F56"/>
    <w:rsid w:val="12223C56"/>
    <w:rsid w:val="122C163F"/>
    <w:rsid w:val="123E46CD"/>
    <w:rsid w:val="123E6431"/>
    <w:rsid w:val="124D4217"/>
    <w:rsid w:val="125105BD"/>
    <w:rsid w:val="12581506"/>
    <w:rsid w:val="125C63D0"/>
    <w:rsid w:val="12625586"/>
    <w:rsid w:val="12635BB1"/>
    <w:rsid w:val="126B1365"/>
    <w:rsid w:val="126B3DF7"/>
    <w:rsid w:val="126C7775"/>
    <w:rsid w:val="128B7A0A"/>
    <w:rsid w:val="12916E58"/>
    <w:rsid w:val="12917CDB"/>
    <w:rsid w:val="12A066FA"/>
    <w:rsid w:val="12A72CC4"/>
    <w:rsid w:val="12A879B1"/>
    <w:rsid w:val="12BC6D72"/>
    <w:rsid w:val="12C40E13"/>
    <w:rsid w:val="12C71CCE"/>
    <w:rsid w:val="12C9096E"/>
    <w:rsid w:val="12CB1B74"/>
    <w:rsid w:val="12D4517C"/>
    <w:rsid w:val="12EA701C"/>
    <w:rsid w:val="12F06D3D"/>
    <w:rsid w:val="12F17287"/>
    <w:rsid w:val="12F32F34"/>
    <w:rsid w:val="12F76146"/>
    <w:rsid w:val="13052676"/>
    <w:rsid w:val="130535B1"/>
    <w:rsid w:val="130A52FD"/>
    <w:rsid w:val="13156BE5"/>
    <w:rsid w:val="132039DE"/>
    <w:rsid w:val="132A0ECC"/>
    <w:rsid w:val="132A5D0C"/>
    <w:rsid w:val="132D5BA6"/>
    <w:rsid w:val="1332574F"/>
    <w:rsid w:val="133725E1"/>
    <w:rsid w:val="133B0662"/>
    <w:rsid w:val="13403DB4"/>
    <w:rsid w:val="13622A07"/>
    <w:rsid w:val="136C3305"/>
    <w:rsid w:val="137B5B76"/>
    <w:rsid w:val="137E6880"/>
    <w:rsid w:val="137F2BEE"/>
    <w:rsid w:val="13885EBD"/>
    <w:rsid w:val="13951726"/>
    <w:rsid w:val="13A1206E"/>
    <w:rsid w:val="13B72388"/>
    <w:rsid w:val="13BD4200"/>
    <w:rsid w:val="13C74485"/>
    <w:rsid w:val="13CE390D"/>
    <w:rsid w:val="13D23644"/>
    <w:rsid w:val="13E0443C"/>
    <w:rsid w:val="13E33D87"/>
    <w:rsid w:val="13E810DE"/>
    <w:rsid w:val="13EF5E49"/>
    <w:rsid w:val="13F41966"/>
    <w:rsid w:val="14077AAE"/>
    <w:rsid w:val="140B7D47"/>
    <w:rsid w:val="1410560D"/>
    <w:rsid w:val="141F68A4"/>
    <w:rsid w:val="1427732D"/>
    <w:rsid w:val="142F63C2"/>
    <w:rsid w:val="14347142"/>
    <w:rsid w:val="14396509"/>
    <w:rsid w:val="143E2903"/>
    <w:rsid w:val="14411E4F"/>
    <w:rsid w:val="14416C63"/>
    <w:rsid w:val="14482BEE"/>
    <w:rsid w:val="14486312"/>
    <w:rsid w:val="14491534"/>
    <w:rsid w:val="14496964"/>
    <w:rsid w:val="1456530B"/>
    <w:rsid w:val="145910D1"/>
    <w:rsid w:val="1465433E"/>
    <w:rsid w:val="14676D5B"/>
    <w:rsid w:val="14676FF3"/>
    <w:rsid w:val="14677F06"/>
    <w:rsid w:val="148245B1"/>
    <w:rsid w:val="14857543"/>
    <w:rsid w:val="148D4419"/>
    <w:rsid w:val="148E17F5"/>
    <w:rsid w:val="14993119"/>
    <w:rsid w:val="14A977B8"/>
    <w:rsid w:val="14C20949"/>
    <w:rsid w:val="14CE25D9"/>
    <w:rsid w:val="14CF0794"/>
    <w:rsid w:val="14DA77D4"/>
    <w:rsid w:val="14DD2C3C"/>
    <w:rsid w:val="14DD4EA4"/>
    <w:rsid w:val="14F00279"/>
    <w:rsid w:val="14F85D72"/>
    <w:rsid w:val="14FE63E2"/>
    <w:rsid w:val="15065D67"/>
    <w:rsid w:val="15095EC5"/>
    <w:rsid w:val="15143793"/>
    <w:rsid w:val="15147615"/>
    <w:rsid w:val="151E4898"/>
    <w:rsid w:val="152D5F52"/>
    <w:rsid w:val="15553DA8"/>
    <w:rsid w:val="155E7BB3"/>
    <w:rsid w:val="15606DAC"/>
    <w:rsid w:val="15611332"/>
    <w:rsid w:val="158201BD"/>
    <w:rsid w:val="15826627"/>
    <w:rsid w:val="158759CD"/>
    <w:rsid w:val="158C4667"/>
    <w:rsid w:val="15967534"/>
    <w:rsid w:val="159F3464"/>
    <w:rsid w:val="15B722E4"/>
    <w:rsid w:val="15BA6CCB"/>
    <w:rsid w:val="15BA7C04"/>
    <w:rsid w:val="15BF56ED"/>
    <w:rsid w:val="15CA7ACF"/>
    <w:rsid w:val="15D81D04"/>
    <w:rsid w:val="15DE101B"/>
    <w:rsid w:val="15E84AEB"/>
    <w:rsid w:val="15FF3D3A"/>
    <w:rsid w:val="16087E1D"/>
    <w:rsid w:val="160C227A"/>
    <w:rsid w:val="161C0F11"/>
    <w:rsid w:val="162A28D9"/>
    <w:rsid w:val="16355050"/>
    <w:rsid w:val="16392A10"/>
    <w:rsid w:val="163A0C16"/>
    <w:rsid w:val="163F23E1"/>
    <w:rsid w:val="16422D06"/>
    <w:rsid w:val="164A029C"/>
    <w:rsid w:val="165658A7"/>
    <w:rsid w:val="165C11F1"/>
    <w:rsid w:val="166240A9"/>
    <w:rsid w:val="16633FF8"/>
    <w:rsid w:val="167203F6"/>
    <w:rsid w:val="167967D6"/>
    <w:rsid w:val="168405EE"/>
    <w:rsid w:val="168565A2"/>
    <w:rsid w:val="1695486A"/>
    <w:rsid w:val="16991DAC"/>
    <w:rsid w:val="169A7F07"/>
    <w:rsid w:val="169C65E8"/>
    <w:rsid w:val="16A54098"/>
    <w:rsid w:val="16AD31DC"/>
    <w:rsid w:val="16C7494B"/>
    <w:rsid w:val="16C74A7C"/>
    <w:rsid w:val="16CB5187"/>
    <w:rsid w:val="16DE39A6"/>
    <w:rsid w:val="16E34A1F"/>
    <w:rsid w:val="16F01E78"/>
    <w:rsid w:val="1705687C"/>
    <w:rsid w:val="17125BD1"/>
    <w:rsid w:val="171A49DC"/>
    <w:rsid w:val="171A4F19"/>
    <w:rsid w:val="1728057A"/>
    <w:rsid w:val="17406B94"/>
    <w:rsid w:val="17480FAA"/>
    <w:rsid w:val="174D4F09"/>
    <w:rsid w:val="17561E57"/>
    <w:rsid w:val="17617CAA"/>
    <w:rsid w:val="176546FD"/>
    <w:rsid w:val="17701D14"/>
    <w:rsid w:val="17735226"/>
    <w:rsid w:val="17794372"/>
    <w:rsid w:val="177C0170"/>
    <w:rsid w:val="177C53BE"/>
    <w:rsid w:val="17806537"/>
    <w:rsid w:val="17850610"/>
    <w:rsid w:val="178F3913"/>
    <w:rsid w:val="17923F54"/>
    <w:rsid w:val="17950C32"/>
    <w:rsid w:val="17A4655F"/>
    <w:rsid w:val="17AC0DB7"/>
    <w:rsid w:val="17AE3594"/>
    <w:rsid w:val="17B639CA"/>
    <w:rsid w:val="17C97BAE"/>
    <w:rsid w:val="17CD559D"/>
    <w:rsid w:val="17CE2648"/>
    <w:rsid w:val="17D14076"/>
    <w:rsid w:val="17D97DA3"/>
    <w:rsid w:val="17E20F6D"/>
    <w:rsid w:val="17E77B8B"/>
    <w:rsid w:val="17EB1F7E"/>
    <w:rsid w:val="17FA55CB"/>
    <w:rsid w:val="17FC5DAD"/>
    <w:rsid w:val="17FF6F0B"/>
    <w:rsid w:val="180D27A3"/>
    <w:rsid w:val="181019E5"/>
    <w:rsid w:val="18123DA1"/>
    <w:rsid w:val="18194F64"/>
    <w:rsid w:val="18196EEB"/>
    <w:rsid w:val="18284776"/>
    <w:rsid w:val="1829601D"/>
    <w:rsid w:val="182C04A5"/>
    <w:rsid w:val="182C1A2C"/>
    <w:rsid w:val="183008D6"/>
    <w:rsid w:val="184360FB"/>
    <w:rsid w:val="185218B7"/>
    <w:rsid w:val="18665D38"/>
    <w:rsid w:val="1884312C"/>
    <w:rsid w:val="188B28AB"/>
    <w:rsid w:val="188F5BA9"/>
    <w:rsid w:val="189129D4"/>
    <w:rsid w:val="189B2004"/>
    <w:rsid w:val="189F624C"/>
    <w:rsid w:val="18A1652A"/>
    <w:rsid w:val="18A8680F"/>
    <w:rsid w:val="18AA4C84"/>
    <w:rsid w:val="18AE5541"/>
    <w:rsid w:val="18BA46D0"/>
    <w:rsid w:val="18C962A2"/>
    <w:rsid w:val="18CE68A8"/>
    <w:rsid w:val="18DC4C3D"/>
    <w:rsid w:val="18E41980"/>
    <w:rsid w:val="18FA06CB"/>
    <w:rsid w:val="18FB6D6E"/>
    <w:rsid w:val="18FC304C"/>
    <w:rsid w:val="18FD30CE"/>
    <w:rsid w:val="190044A4"/>
    <w:rsid w:val="19043177"/>
    <w:rsid w:val="19077C58"/>
    <w:rsid w:val="190A52CD"/>
    <w:rsid w:val="19186E7F"/>
    <w:rsid w:val="19202A15"/>
    <w:rsid w:val="1922591E"/>
    <w:rsid w:val="19347C27"/>
    <w:rsid w:val="19375EE1"/>
    <w:rsid w:val="194322BB"/>
    <w:rsid w:val="19433AD5"/>
    <w:rsid w:val="194514D0"/>
    <w:rsid w:val="1945772A"/>
    <w:rsid w:val="195C78A2"/>
    <w:rsid w:val="19624EA3"/>
    <w:rsid w:val="1969544D"/>
    <w:rsid w:val="196D42CD"/>
    <w:rsid w:val="196F33C5"/>
    <w:rsid w:val="19701D5C"/>
    <w:rsid w:val="197F4B1F"/>
    <w:rsid w:val="19895F56"/>
    <w:rsid w:val="198A43DE"/>
    <w:rsid w:val="198B018F"/>
    <w:rsid w:val="198E7025"/>
    <w:rsid w:val="199B4568"/>
    <w:rsid w:val="199D7538"/>
    <w:rsid w:val="19B546CA"/>
    <w:rsid w:val="19B6012B"/>
    <w:rsid w:val="19BF4B29"/>
    <w:rsid w:val="19D84324"/>
    <w:rsid w:val="19E27945"/>
    <w:rsid w:val="19EE746E"/>
    <w:rsid w:val="19F6792C"/>
    <w:rsid w:val="19FA4B00"/>
    <w:rsid w:val="1A0012BC"/>
    <w:rsid w:val="1A0204AF"/>
    <w:rsid w:val="1A074693"/>
    <w:rsid w:val="1A1106E7"/>
    <w:rsid w:val="1A15605B"/>
    <w:rsid w:val="1A1C66C0"/>
    <w:rsid w:val="1A223702"/>
    <w:rsid w:val="1A236A68"/>
    <w:rsid w:val="1A2B5F13"/>
    <w:rsid w:val="1A2C5A5A"/>
    <w:rsid w:val="1A336B08"/>
    <w:rsid w:val="1A3A5C4D"/>
    <w:rsid w:val="1A42393B"/>
    <w:rsid w:val="1A467224"/>
    <w:rsid w:val="1A542873"/>
    <w:rsid w:val="1A5D6442"/>
    <w:rsid w:val="1A663563"/>
    <w:rsid w:val="1A676FA4"/>
    <w:rsid w:val="1A6B16A2"/>
    <w:rsid w:val="1A6F155B"/>
    <w:rsid w:val="1A7A0E78"/>
    <w:rsid w:val="1A8A275D"/>
    <w:rsid w:val="1A971C50"/>
    <w:rsid w:val="1A975047"/>
    <w:rsid w:val="1AA13BE6"/>
    <w:rsid w:val="1AA174CF"/>
    <w:rsid w:val="1AAA2106"/>
    <w:rsid w:val="1AAB18BE"/>
    <w:rsid w:val="1AAB1BB6"/>
    <w:rsid w:val="1AAD3D22"/>
    <w:rsid w:val="1AAD45DE"/>
    <w:rsid w:val="1AAF76C8"/>
    <w:rsid w:val="1AB56C5D"/>
    <w:rsid w:val="1AB86A8F"/>
    <w:rsid w:val="1ACA48B3"/>
    <w:rsid w:val="1ACE022E"/>
    <w:rsid w:val="1AD42C23"/>
    <w:rsid w:val="1AEE3E6D"/>
    <w:rsid w:val="1AF008C5"/>
    <w:rsid w:val="1AF447D0"/>
    <w:rsid w:val="1B03644E"/>
    <w:rsid w:val="1B037E4B"/>
    <w:rsid w:val="1B046F80"/>
    <w:rsid w:val="1B167BB0"/>
    <w:rsid w:val="1B216FBA"/>
    <w:rsid w:val="1B221DF7"/>
    <w:rsid w:val="1B2364AA"/>
    <w:rsid w:val="1B3267B5"/>
    <w:rsid w:val="1B342001"/>
    <w:rsid w:val="1B40161D"/>
    <w:rsid w:val="1B441859"/>
    <w:rsid w:val="1B4515A4"/>
    <w:rsid w:val="1B476595"/>
    <w:rsid w:val="1B4C0A30"/>
    <w:rsid w:val="1B4D4579"/>
    <w:rsid w:val="1B4E40A8"/>
    <w:rsid w:val="1B552530"/>
    <w:rsid w:val="1B5611C6"/>
    <w:rsid w:val="1B596BC0"/>
    <w:rsid w:val="1B5C6F61"/>
    <w:rsid w:val="1B6606B1"/>
    <w:rsid w:val="1B8A0FE1"/>
    <w:rsid w:val="1B8A6659"/>
    <w:rsid w:val="1B9500BA"/>
    <w:rsid w:val="1B9B06A9"/>
    <w:rsid w:val="1BA03292"/>
    <w:rsid w:val="1BA25B6A"/>
    <w:rsid w:val="1BB147FE"/>
    <w:rsid w:val="1BB621DF"/>
    <w:rsid w:val="1BC85066"/>
    <w:rsid w:val="1BDA5DD7"/>
    <w:rsid w:val="1BDF477F"/>
    <w:rsid w:val="1BE5039C"/>
    <w:rsid w:val="1BE507E0"/>
    <w:rsid w:val="1BF317A9"/>
    <w:rsid w:val="1BFD3115"/>
    <w:rsid w:val="1C0739DD"/>
    <w:rsid w:val="1C0A7ACE"/>
    <w:rsid w:val="1C0B70A5"/>
    <w:rsid w:val="1C0B7715"/>
    <w:rsid w:val="1C1C2FA2"/>
    <w:rsid w:val="1C3265DD"/>
    <w:rsid w:val="1C34220C"/>
    <w:rsid w:val="1C38502B"/>
    <w:rsid w:val="1C5256ED"/>
    <w:rsid w:val="1C593175"/>
    <w:rsid w:val="1C5A59E0"/>
    <w:rsid w:val="1C5E7925"/>
    <w:rsid w:val="1C612A9F"/>
    <w:rsid w:val="1C6D7356"/>
    <w:rsid w:val="1C750EB5"/>
    <w:rsid w:val="1C776E2C"/>
    <w:rsid w:val="1C862E0C"/>
    <w:rsid w:val="1C87668D"/>
    <w:rsid w:val="1C8C545C"/>
    <w:rsid w:val="1C957471"/>
    <w:rsid w:val="1C99384C"/>
    <w:rsid w:val="1CA2080A"/>
    <w:rsid w:val="1CA30C87"/>
    <w:rsid w:val="1CA40AD9"/>
    <w:rsid w:val="1CA831B6"/>
    <w:rsid w:val="1CBE4787"/>
    <w:rsid w:val="1CDB5339"/>
    <w:rsid w:val="1CDF74D4"/>
    <w:rsid w:val="1CE25AD1"/>
    <w:rsid w:val="1CED336F"/>
    <w:rsid w:val="1CF6697A"/>
    <w:rsid w:val="1CFD070F"/>
    <w:rsid w:val="1CFE1028"/>
    <w:rsid w:val="1D06517E"/>
    <w:rsid w:val="1D122C0A"/>
    <w:rsid w:val="1D284D9D"/>
    <w:rsid w:val="1D2A21D6"/>
    <w:rsid w:val="1D4C7F82"/>
    <w:rsid w:val="1D511FF2"/>
    <w:rsid w:val="1D5F6196"/>
    <w:rsid w:val="1D6132A5"/>
    <w:rsid w:val="1D657205"/>
    <w:rsid w:val="1D710C22"/>
    <w:rsid w:val="1D89139C"/>
    <w:rsid w:val="1D8A4DDA"/>
    <w:rsid w:val="1D8E56D5"/>
    <w:rsid w:val="1D930DDB"/>
    <w:rsid w:val="1D9334DC"/>
    <w:rsid w:val="1D974EC3"/>
    <w:rsid w:val="1D9B5EFE"/>
    <w:rsid w:val="1D9E1AD0"/>
    <w:rsid w:val="1DA410FA"/>
    <w:rsid w:val="1DAB44A1"/>
    <w:rsid w:val="1DB637AA"/>
    <w:rsid w:val="1DBA59F5"/>
    <w:rsid w:val="1DD41765"/>
    <w:rsid w:val="1DD4713A"/>
    <w:rsid w:val="1DD642B2"/>
    <w:rsid w:val="1DEC464D"/>
    <w:rsid w:val="1E057F2E"/>
    <w:rsid w:val="1E0D07D7"/>
    <w:rsid w:val="1E17667F"/>
    <w:rsid w:val="1E195B2F"/>
    <w:rsid w:val="1E311E36"/>
    <w:rsid w:val="1E347313"/>
    <w:rsid w:val="1E383F0D"/>
    <w:rsid w:val="1E3B0112"/>
    <w:rsid w:val="1E471F02"/>
    <w:rsid w:val="1E4A0875"/>
    <w:rsid w:val="1E543567"/>
    <w:rsid w:val="1E682025"/>
    <w:rsid w:val="1E6E2581"/>
    <w:rsid w:val="1E7A43DA"/>
    <w:rsid w:val="1E8E45C6"/>
    <w:rsid w:val="1E9551A2"/>
    <w:rsid w:val="1E9D6FB9"/>
    <w:rsid w:val="1E9F162C"/>
    <w:rsid w:val="1E9F78A0"/>
    <w:rsid w:val="1EA70169"/>
    <w:rsid w:val="1EB20B53"/>
    <w:rsid w:val="1EBD3890"/>
    <w:rsid w:val="1ECE2F80"/>
    <w:rsid w:val="1ED014EB"/>
    <w:rsid w:val="1ED04DCC"/>
    <w:rsid w:val="1ED22854"/>
    <w:rsid w:val="1ED22901"/>
    <w:rsid w:val="1EE23A07"/>
    <w:rsid w:val="1EF1401F"/>
    <w:rsid w:val="1F0E651F"/>
    <w:rsid w:val="1F1020CA"/>
    <w:rsid w:val="1F3C543B"/>
    <w:rsid w:val="1F3F3F35"/>
    <w:rsid w:val="1F4E2DD0"/>
    <w:rsid w:val="1F4E69F3"/>
    <w:rsid w:val="1F54695C"/>
    <w:rsid w:val="1F634C70"/>
    <w:rsid w:val="1F665432"/>
    <w:rsid w:val="1F6A396E"/>
    <w:rsid w:val="1F6B7AD2"/>
    <w:rsid w:val="1F70160F"/>
    <w:rsid w:val="1F776DE6"/>
    <w:rsid w:val="1F7955C9"/>
    <w:rsid w:val="1F816EA3"/>
    <w:rsid w:val="1F852249"/>
    <w:rsid w:val="1F8962A8"/>
    <w:rsid w:val="1F8A5457"/>
    <w:rsid w:val="1F8F58E5"/>
    <w:rsid w:val="1F907B55"/>
    <w:rsid w:val="1F980BD4"/>
    <w:rsid w:val="1FA25C92"/>
    <w:rsid w:val="1FAD4AEB"/>
    <w:rsid w:val="1FB116DB"/>
    <w:rsid w:val="1FB521EE"/>
    <w:rsid w:val="1FB75123"/>
    <w:rsid w:val="1FCC52A0"/>
    <w:rsid w:val="1FD341DC"/>
    <w:rsid w:val="1FE7539E"/>
    <w:rsid w:val="1FF23125"/>
    <w:rsid w:val="1FF82B42"/>
    <w:rsid w:val="1FFA3262"/>
    <w:rsid w:val="1FFC2DB4"/>
    <w:rsid w:val="1FFD6176"/>
    <w:rsid w:val="20194793"/>
    <w:rsid w:val="201C3D40"/>
    <w:rsid w:val="202D03A8"/>
    <w:rsid w:val="202D0CDF"/>
    <w:rsid w:val="203A45F7"/>
    <w:rsid w:val="20505F71"/>
    <w:rsid w:val="205629B1"/>
    <w:rsid w:val="205A722E"/>
    <w:rsid w:val="20671BE0"/>
    <w:rsid w:val="206C2D77"/>
    <w:rsid w:val="2086621E"/>
    <w:rsid w:val="20902A48"/>
    <w:rsid w:val="20963CB8"/>
    <w:rsid w:val="20995060"/>
    <w:rsid w:val="20A13E35"/>
    <w:rsid w:val="20A81A1B"/>
    <w:rsid w:val="20B07FB6"/>
    <w:rsid w:val="20B455F0"/>
    <w:rsid w:val="20B63BBE"/>
    <w:rsid w:val="20B646FB"/>
    <w:rsid w:val="20CD13CB"/>
    <w:rsid w:val="20D001F3"/>
    <w:rsid w:val="20D93C39"/>
    <w:rsid w:val="20EA2A65"/>
    <w:rsid w:val="20F26106"/>
    <w:rsid w:val="20FD5A38"/>
    <w:rsid w:val="2103127E"/>
    <w:rsid w:val="2107019E"/>
    <w:rsid w:val="210E0D1B"/>
    <w:rsid w:val="21110E5F"/>
    <w:rsid w:val="21153295"/>
    <w:rsid w:val="211F3608"/>
    <w:rsid w:val="21254D77"/>
    <w:rsid w:val="2139452E"/>
    <w:rsid w:val="213B74B1"/>
    <w:rsid w:val="213C03C5"/>
    <w:rsid w:val="213C0481"/>
    <w:rsid w:val="213C0E0C"/>
    <w:rsid w:val="214351EE"/>
    <w:rsid w:val="21457F84"/>
    <w:rsid w:val="2154351A"/>
    <w:rsid w:val="215A2310"/>
    <w:rsid w:val="215F4008"/>
    <w:rsid w:val="217269BE"/>
    <w:rsid w:val="21774677"/>
    <w:rsid w:val="217D53B9"/>
    <w:rsid w:val="218677AC"/>
    <w:rsid w:val="21926556"/>
    <w:rsid w:val="21931C8D"/>
    <w:rsid w:val="2198600F"/>
    <w:rsid w:val="21A3560C"/>
    <w:rsid w:val="21AB3F36"/>
    <w:rsid w:val="21B008E1"/>
    <w:rsid w:val="21B61F45"/>
    <w:rsid w:val="21B627DC"/>
    <w:rsid w:val="21C74726"/>
    <w:rsid w:val="21D768A9"/>
    <w:rsid w:val="21DB24B8"/>
    <w:rsid w:val="21DE318A"/>
    <w:rsid w:val="21DF1963"/>
    <w:rsid w:val="21E108C4"/>
    <w:rsid w:val="21E34467"/>
    <w:rsid w:val="21EE3026"/>
    <w:rsid w:val="21EF5B80"/>
    <w:rsid w:val="21F408D2"/>
    <w:rsid w:val="220548C2"/>
    <w:rsid w:val="22097523"/>
    <w:rsid w:val="220E65B7"/>
    <w:rsid w:val="22104015"/>
    <w:rsid w:val="221302F2"/>
    <w:rsid w:val="22266278"/>
    <w:rsid w:val="222E7323"/>
    <w:rsid w:val="2237706A"/>
    <w:rsid w:val="223C0628"/>
    <w:rsid w:val="22415D1E"/>
    <w:rsid w:val="22436A85"/>
    <w:rsid w:val="224A2819"/>
    <w:rsid w:val="22521EE2"/>
    <w:rsid w:val="22571704"/>
    <w:rsid w:val="22576990"/>
    <w:rsid w:val="226749F9"/>
    <w:rsid w:val="22812C28"/>
    <w:rsid w:val="22877891"/>
    <w:rsid w:val="2289416D"/>
    <w:rsid w:val="228D70D7"/>
    <w:rsid w:val="22917883"/>
    <w:rsid w:val="22975E66"/>
    <w:rsid w:val="229D754D"/>
    <w:rsid w:val="22A40EC2"/>
    <w:rsid w:val="22AF73FC"/>
    <w:rsid w:val="22B60A93"/>
    <w:rsid w:val="22BA3850"/>
    <w:rsid w:val="22BC4C91"/>
    <w:rsid w:val="22CD3517"/>
    <w:rsid w:val="22D2714D"/>
    <w:rsid w:val="22D44354"/>
    <w:rsid w:val="22F14886"/>
    <w:rsid w:val="22F47480"/>
    <w:rsid w:val="22F7516E"/>
    <w:rsid w:val="22F774D5"/>
    <w:rsid w:val="22FB1C35"/>
    <w:rsid w:val="23132AA8"/>
    <w:rsid w:val="231842DA"/>
    <w:rsid w:val="232C40FC"/>
    <w:rsid w:val="233F6B58"/>
    <w:rsid w:val="23546D9A"/>
    <w:rsid w:val="235C546B"/>
    <w:rsid w:val="236D57BD"/>
    <w:rsid w:val="23716355"/>
    <w:rsid w:val="23782F60"/>
    <w:rsid w:val="23797FCB"/>
    <w:rsid w:val="23827BF9"/>
    <w:rsid w:val="238419F9"/>
    <w:rsid w:val="23963775"/>
    <w:rsid w:val="23B703AA"/>
    <w:rsid w:val="23B94F6A"/>
    <w:rsid w:val="23C815EA"/>
    <w:rsid w:val="23D20FD2"/>
    <w:rsid w:val="23DD4FF8"/>
    <w:rsid w:val="23DE1C48"/>
    <w:rsid w:val="23E76E75"/>
    <w:rsid w:val="23E90B13"/>
    <w:rsid w:val="23F24B27"/>
    <w:rsid w:val="23F311BB"/>
    <w:rsid w:val="23FB144E"/>
    <w:rsid w:val="240210CD"/>
    <w:rsid w:val="240462D2"/>
    <w:rsid w:val="24085EF6"/>
    <w:rsid w:val="24103408"/>
    <w:rsid w:val="24157CCB"/>
    <w:rsid w:val="241E1016"/>
    <w:rsid w:val="242A2138"/>
    <w:rsid w:val="242C63A1"/>
    <w:rsid w:val="243072A4"/>
    <w:rsid w:val="243630D9"/>
    <w:rsid w:val="24387C4C"/>
    <w:rsid w:val="243D4688"/>
    <w:rsid w:val="2444128B"/>
    <w:rsid w:val="24466C12"/>
    <w:rsid w:val="24566713"/>
    <w:rsid w:val="24607E91"/>
    <w:rsid w:val="246545CC"/>
    <w:rsid w:val="24711C68"/>
    <w:rsid w:val="247169F4"/>
    <w:rsid w:val="248125D5"/>
    <w:rsid w:val="24826A1D"/>
    <w:rsid w:val="24876F7D"/>
    <w:rsid w:val="24890DE4"/>
    <w:rsid w:val="24951F58"/>
    <w:rsid w:val="24986B41"/>
    <w:rsid w:val="249D1769"/>
    <w:rsid w:val="249E06B1"/>
    <w:rsid w:val="24AD3E43"/>
    <w:rsid w:val="24B24A1F"/>
    <w:rsid w:val="24B6273B"/>
    <w:rsid w:val="24BE57D6"/>
    <w:rsid w:val="24BF09F7"/>
    <w:rsid w:val="24C26FA6"/>
    <w:rsid w:val="24C95F79"/>
    <w:rsid w:val="24D221A7"/>
    <w:rsid w:val="24D7324C"/>
    <w:rsid w:val="24DE4572"/>
    <w:rsid w:val="25052081"/>
    <w:rsid w:val="25055DDE"/>
    <w:rsid w:val="251000E7"/>
    <w:rsid w:val="251C5917"/>
    <w:rsid w:val="251C62C6"/>
    <w:rsid w:val="2527723B"/>
    <w:rsid w:val="252D045C"/>
    <w:rsid w:val="252D53FE"/>
    <w:rsid w:val="252E3B27"/>
    <w:rsid w:val="2533706D"/>
    <w:rsid w:val="25354A11"/>
    <w:rsid w:val="254053D3"/>
    <w:rsid w:val="255B4BE7"/>
    <w:rsid w:val="25644E93"/>
    <w:rsid w:val="25661A34"/>
    <w:rsid w:val="256937A8"/>
    <w:rsid w:val="256C46FE"/>
    <w:rsid w:val="257807BD"/>
    <w:rsid w:val="257A327F"/>
    <w:rsid w:val="257F6C76"/>
    <w:rsid w:val="258D5B57"/>
    <w:rsid w:val="25922965"/>
    <w:rsid w:val="25960B90"/>
    <w:rsid w:val="25A06E6F"/>
    <w:rsid w:val="25A251FD"/>
    <w:rsid w:val="25AB4223"/>
    <w:rsid w:val="25B91A16"/>
    <w:rsid w:val="25BD2AEB"/>
    <w:rsid w:val="25C613C6"/>
    <w:rsid w:val="25DD19D7"/>
    <w:rsid w:val="25E61FB1"/>
    <w:rsid w:val="25EC2D81"/>
    <w:rsid w:val="25F23F3E"/>
    <w:rsid w:val="25F56116"/>
    <w:rsid w:val="25FC15DC"/>
    <w:rsid w:val="260A0A3D"/>
    <w:rsid w:val="261662CD"/>
    <w:rsid w:val="262A7FE3"/>
    <w:rsid w:val="26311FFF"/>
    <w:rsid w:val="26355BDA"/>
    <w:rsid w:val="263B3C7D"/>
    <w:rsid w:val="263B6E49"/>
    <w:rsid w:val="263E5F69"/>
    <w:rsid w:val="263F046C"/>
    <w:rsid w:val="2649766D"/>
    <w:rsid w:val="2651108B"/>
    <w:rsid w:val="265A6291"/>
    <w:rsid w:val="26625F71"/>
    <w:rsid w:val="2670404C"/>
    <w:rsid w:val="2675235B"/>
    <w:rsid w:val="26792DB0"/>
    <w:rsid w:val="268D697F"/>
    <w:rsid w:val="26993220"/>
    <w:rsid w:val="269A61AC"/>
    <w:rsid w:val="269B6FF8"/>
    <w:rsid w:val="269C5332"/>
    <w:rsid w:val="26A04656"/>
    <w:rsid w:val="26A81114"/>
    <w:rsid w:val="26A9564C"/>
    <w:rsid w:val="26AB5200"/>
    <w:rsid w:val="26AD48BA"/>
    <w:rsid w:val="26B37969"/>
    <w:rsid w:val="26B91C3A"/>
    <w:rsid w:val="26C607BA"/>
    <w:rsid w:val="26C94EAC"/>
    <w:rsid w:val="26D0719F"/>
    <w:rsid w:val="26D22F32"/>
    <w:rsid w:val="26DC6C60"/>
    <w:rsid w:val="26DF33DD"/>
    <w:rsid w:val="26DF6B54"/>
    <w:rsid w:val="26E903C3"/>
    <w:rsid w:val="26EC030B"/>
    <w:rsid w:val="26FA651C"/>
    <w:rsid w:val="27090EBD"/>
    <w:rsid w:val="270D6F91"/>
    <w:rsid w:val="271D16C5"/>
    <w:rsid w:val="273C41FB"/>
    <w:rsid w:val="274146C7"/>
    <w:rsid w:val="27490F37"/>
    <w:rsid w:val="27504975"/>
    <w:rsid w:val="27637374"/>
    <w:rsid w:val="2767083D"/>
    <w:rsid w:val="277057A2"/>
    <w:rsid w:val="277D60DA"/>
    <w:rsid w:val="278269AD"/>
    <w:rsid w:val="2787377C"/>
    <w:rsid w:val="27897C68"/>
    <w:rsid w:val="279B00AD"/>
    <w:rsid w:val="279E0CBE"/>
    <w:rsid w:val="27A20B64"/>
    <w:rsid w:val="27A8735F"/>
    <w:rsid w:val="27AA2A2E"/>
    <w:rsid w:val="27B26F9D"/>
    <w:rsid w:val="27B6561B"/>
    <w:rsid w:val="27B93ADA"/>
    <w:rsid w:val="27BB7C60"/>
    <w:rsid w:val="27C14808"/>
    <w:rsid w:val="27C55476"/>
    <w:rsid w:val="27DD2095"/>
    <w:rsid w:val="27DD7C2B"/>
    <w:rsid w:val="27E112D0"/>
    <w:rsid w:val="27E165E9"/>
    <w:rsid w:val="27EC6623"/>
    <w:rsid w:val="27FD631C"/>
    <w:rsid w:val="280653FC"/>
    <w:rsid w:val="28097B46"/>
    <w:rsid w:val="280A07A2"/>
    <w:rsid w:val="280C5C33"/>
    <w:rsid w:val="281C7DDA"/>
    <w:rsid w:val="28203415"/>
    <w:rsid w:val="28216827"/>
    <w:rsid w:val="282E0A13"/>
    <w:rsid w:val="283816A1"/>
    <w:rsid w:val="28402E65"/>
    <w:rsid w:val="284047FE"/>
    <w:rsid w:val="28450153"/>
    <w:rsid w:val="284626D8"/>
    <w:rsid w:val="284A0CD5"/>
    <w:rsid w:val="284B6B83"/>
    <w:rsid w:val="285D6369"/>
    <w:rsid w:val="286826A4"/>
    <w:rsid w:val="28791E49"/>
    <w:rsid w:val="288920ED"/>
    <w:rsid w:val="28926EC2"/>
    <w:rsid w:val="28963BC8"/>
    <w:rsid w:val="28A61C77"/>
    <w:rsid w:val="28BB05FD"/>
    <w:rsid w:val="28BC4C08"/>
    <w:rsid w:val="28C0069A"/>
    <w:rsid w:val="28C819CA"/>
    <w:rsid w:val="28D25E6C"/>
    <w:rsid w:val="28D77562"/>
    <w:rsid w:val="28D9740F"/>
    <w:rsid w:val="28DA5F45"/>
    <w:rsid w:val="28DC7F0B"/>
    <w:rsid w:val="28E14447"/>
    <w:rsid w:val="28E25008"/>
    <w:rsid w:val="28E82529"/>
    <w:rsid w:val="28EB1CC8"/>
    <w:rsid w:val="28F53373"/>
    <w:rsid w:val="28FA524A"/>
    <w:rsid w:val="2900764D"/>
    <w:rsid w:val="29206EB8"/>
    <w:rsid w:val="29252702"/>
    <w:rsid w:val="292C12C2"/>
    <w:rsid w:val="292E0715"/>
    <w:rsid w:val="293C3211"/>
    <w:rsid w:val="294527B9"/>
    <w:rsid w:val="294537AE"/>
    <w:rsid w:val="29474CC6"/>
    <w:rsid w:val="29476FB6"/>
    <w:rsid w:val="29486966"/>
    <w:rsid w:val="294956B7"/>
    <w:rsid w:val="294A79CA"/>
    <w:rsid w:val="294E0D59"/>
    <w:rsid w:val="295742BD"/>
    <w:rsid w:val="29595666"/>
    <w:rsid w:val="295C0D46"/>
    <w:rsid w:val="295C76A3"/>
    <w:rsid w:val="296C6BEC"/>
    <w:rsid w:val="297444C9"/>
    <w:rsid w:val="29874881"/>
    <w:rsid w:val="298A070B"/>
    <w:rsid w:val="298D3999"/>
    <w:rsid w:val="298D6D0B"/>
    <w:rsid w:val="299500CA"/>
    <w:rsid w:val="299D70E0"/>
    <w:rsid w:val="29A71206"/>
    <w:rsid w:val="29AB7A55"/>
    <w:rsid w:val="29C94F40"/>
    <w:rsid w:val="29CB06AB"/>
    <w:rsid w:val="29CC1FA9"/>
    <w:rsid w:val="29CE2164"/>
    <w:rsid w:val="29D77519"/>
    <w:rsid w:val="29E325E0"/>
    <w:rsid w:val="29EF6CD9"/>
    <w:rsid w:val="2A1613E7"/>
    <w:rsid w:val="2A1A4365"/>
    <w:rsid w:val="2A1F1F80"/>
    <w:rsid w:val="2A2246D0"/>
    <w:rsid w:val="2A240D67"/>
    <w:rsid w:val="2A2A72AA"/>
    <w:rsid w:val="2A3B5669"/>
    <w:rsid w:val="2A3D4795"/>
    <w:rsid w:val="2A452503"/>
    <w:rsid w:val="2A474557"/>
    <w:rsid w:val="2A4A1016"/>
    <w:rsid w:val="2A4D5D67"/>
    <w:rsid w:val="2A631589"/>
    <w:rsid w:val="2A6F6725"/>
    <w:rsid w:val="2A772480"/>
    <w:rsid w:val="2A8267FC"/>
    <w:rsid w:val="2A8503AA"/>
    <w:rsid w:val="2A8A7664"/>
    <w:rsid w:val="2A8D798B"/>
    <w:rsid w:val="2A926205"/>
    <w:rsid w:val="2A951602"/>
    <w:rsid w:val="2AA062B0"/>
    <w:rsid w:val="2AA76C5D"/>
    <w:rsid w:val="2AAE5264"/>
    <w:rsid w:val="2AB26BBB"/>
    <w:rsid w:val="2AB65607"/>
    <w:rsid w:val="2ACA3F05"/>
    <w:rsid w:val="2AD10274"/>
    <w:rsid w:val="2ADA73EF"/>
    <w:rsid w:val="2AE2624F"/>
    <w:rsid w:val="2AE83E23"/>
    <w:rsid w:val="2AE921A9"/>
    <w:rsid w:val="2AEC023E"/>
    <w:rsid w:val="2AF056B7"/>
    <w:rsid w:val="2B0766BA"/>
    <w:rsid w:val="2B1C3BCC"/>
    <w:rsid w:val="2B211DF1"/>
    <w:rsid w:val="2B2B4BD5"/>
    <w:rsid w:val="2B40558D"/>
    <w:rsid w:val="2B4730B3"/>
    <w:rsid w:val="2B5E56C1"/>
    <w:rsid w:val="2B610156"/>
    <w:rsid w:val="2B642ADD"/>
    <w:rsid w:val="2B650B08"/>
    <w:rsid w:val="2B661143"/>
    <w:rsid w:val="2B68423C"/>
    <w:rsid w:val="2B91748D"/>
    <w:rsid w:val="2B930266"/>
    <w:rsid w:val="2B9403A8"/>
    <w:rsid w:val="2BA936A8"/>
    <w:rsid w:val="2BAB65E3"/>
    <w:rsid w:val="2BAC1F26"/>
    <w:rsid w:val="2BB034FB"/>
    <w:rsid w:val="2BB6368D"/>
    <w:rsid w:val="2BB9456A"/>
    <w:rsid w:val="2BB97E6E"/>
    <w:rsid w:val="2BBA3E73"/>
    <w:rsid w:val="2BBE55FF"/>
    <w:rsid w:val="2BC80CF7"/>
    <w:rsid w:val="2BC83382"/>
    <w:rsid w:val="2BCC7FD9"/>
    <w:rsid w:val="2BD445C6"/>
    <w:rsid w:val="2BD448EF"/>
    <w:rsid w:val="2BDC7027"/>
    <w:rsid w:val="2BF0212B"/>
    <w:rsid w:val="2BF9766B"/>
    <w:rsid w:val="2C0C08D3"/>
    <w:rsid w:val="2C214CD6"/>
    <w:rsid w:val="2C2B7DA4"/>
    <w:rsid w:val="2C300FA8"/>
    <w:rsid w:val="2C315A5A"/>
    <w:rsid w:val="2C3774EA"/>
    <w:rsid w:val="2C3E6958"/>
    <w:rsid w:val="2C472DD2"/>
    <w:rsid w:val="2C4B1C25"/>
    <w:rsid w:val="2C621B0E"/>
    <w:rsid w:val="2C756BC6"/>
    <w:rsid w:val="2C7D011A"/>
    <w:rsid w:val="2C7E65F6"/>
    <w:rsid w:val="2C826E95"/>
    <w:rsid w:val="2C9925DE"/>
    <w:rsid w:val="2CA159FE"/>
    <w:rsid w:val="2CA526A9"/>
    <w:rsid w:val="2CA61C8C"/>
    <w:rsid w:val="2CB9788D"/>
    <w:rsid w:val="2CBF7AD9"/>
    <w:rsid w:val="2CC04FCF"/>
    <w:rsid w:val="2CD75EAD"/>
    <w:rsid w:val="2CE14580"/>
    <w:rsid w:val="2CE51EA6"/>
    <w:rsid w:val="2CEF2031"/>
    <w:rsid w:val="2CF74B3A"/>
    <w:rsid w:val="2D004B07"/>
    <w:rsid w:val="2D020FA9"/>
    <w:rsid w:val="2D0411DC"/>
    <w:rsid w:val="2D093A30"/>
    <w:rsid w:val="2D0A1114"/>
    <w:rsid w:val="2D0A3938"/>
    <w:rsid w:val="2D144FFD"/>
    <w:rsid w:val="2D1F01CB"/>
    <w:rsid w:val="2D2E0013"/>
    <w:rsid w:val="2D2F3108"/>
    <w:rsid w:val="2D32309C"/>
    <w:rsid w:val="2D3C5D11"/>
    <w:rsid w:val="2D4E1CEC"/>
    <w:rsid w:val="2D712D44"/>
    <w:rsid w:val="2D7A6979"/>
    <w:rsid w:val="2D7B0DA9"/>
    <w:rsid w:val="2D7C0E78"/>
    <w:rsid w:val="2D83225A"/>
    <w:rsid w:val="2D8630D3"/>
    <w:rsid w:val="2D8823B9"/>
    <w:rsid w:val="2D8B1582"/>
    <w:rsid w:val="2D91781E"/>
    <w:rsid w:val="2D944D96"/>
    <w:rsid w:val="2D9522E4"/>
    <w:rsid w:val="2D9E56F5"/>
    <w:rsid w:val="2D9F4FF2"/>
    <w:rsid w:val="2DBF05F8"/>
    <w:rsid w:val="2DC069DD"/>
    <w:rsid w:val="2DC13A55"/>
    <w:rsid w:val="2DCB5A1A"/>
    <w:rsid w:val="2DCD36AC"/>
    <w:rsid w:val="2DD31322"/>
    <w:rsid w:val="2DE156AA"/>
    <w:rsid w:val="2DFE42F9"/>
    <w:rsid w:val="2E0A3D85"/>
    <w:rsid w:val="2E0B7AA9"/>
    <w:rsid w:val="2E1716DA"/>
    <w:rsid w:val="2E18540D"/>
    <w:rsid w:val="2E1A72A5"/>
    <w:rsid w:val="2E231227"/>
    <w:rsid w:val="2E2340B9"/>
    <w:rsid w:val="2E296CF4"/>
    <w:rsid w:val="2E2F681E"/>
    <w:rsid w:val="2E330FA1"/>
    <w:rsid w:val="2E3314F6"/>
    <w:rsid w:val="2E3451D2"/>
    <w:rsid w:val="2E423078"/>
    <w:rsid w:val="2E453FD4"/>
    <w:rsid w:val="2E4A681C"/>
    <w:rsid w:val="2E4F63F8"/>
    <w:rsid w:val="2E51575C"/>
    <w:rsid w:val="2E564367"/>
    <w:rsid w:val="2E5B3869"/>
    <w:rsid w:val="2E5C624D"/>
    <w:rsid w:val="2E611E08"/>
    <w:rsid w:val="2E667F96"/>
    <w:rsid w:val="2E6C6742"/>
    <w:rsid w:val="2E7B633D"/>
    <w:rsid w:val="2E7C268C"/>
    <w:rsid w:val="2E7F5142"/>
    <w:rsid w:val="2E8226AB"/>
    <w:rsid w:val="2E8411D7"/>
    <w:rsid w:val="2E886AF2"/>
    <w:rsid w:val="2E9207B7"/>
    <w:rsid w:val="2E9268AC"/>
    <w:rsid w:val="2E9E0D59"/>
    <w:rsid w:val="2EA31CD0"/>
    <w:rsid w:val="2EBD1AB7"/>
    <w:rsid w:val="2EBE4C59"/>
    <w:rsid w:val="2EC349FB"/>
    <w:rsid w:val="2EC41C03"/>
    <w:rsid w:val="2EC803B7"/>
    <w:rsid w:val="2ECE77B2"/>
    <w:rsid w:val="2ED336CB"/>
    <w:rsid w:val="2ED46DAE"/>
    <w:rsid w:val="2ED864B3"/>
    <w:rsid w:val="2EDC56C9"/>
    <w:rsid w:val="2F083641"/>
    <w:rsid w:val="2F1B5A69"/>
    <w:rsid w:val="2F1E72E6"/>
    <w:rsid w:val="2F204A2D"/>
    <w:rsid w:val="2F2C0884"/>
    <w:rsid w:val="2F2E0BF3"/>
    <w:rsid w:val="2F352B06"/>
    <w:rsid w:val="2F3858E1"/>
    <w:rsid w:val="2F393EE3"/>
    <w:rsid w:val="2F425FE7"/>
    <w:rsid w:val="2F580304"/>
    <w:rsid w:val="2F5E3B51"/>
    <w:rsid w:val="2F5F468E"/>
    <w:rsid w:val="2F630ADE"/>
    <w:rsid w:val="2F727E1A"/>
    <w:rsid w:val="2F763D13"/>
    <w:rsid w:val="2F7D609A"/>
    <w:rsid w:val="2F820FBD"/>
    <w:rsid w:val="2F8A251A"/>
    <w:rsid w:val="2F9D4A2B"/>
    <w:rsid w:val="2F9F1CD4"/>
    <w:rsid w:val="2F9F63B2"/>
    <w:rsid w:val="2FAC13DE"/>
    <w:rsid w:val="2FAE1607"/>
    <w:rsid w:val="2FB97B8F"/>
    <w:rsid w:val="2FBE3E49"/>
    <w:rsid w:val="2FD065E6"/>
    <w:rsid w:val="2FD96870"/>
    <w:rsid w:val="2FDC74FC"/>
    <w:rsid w:val="2FE61207"/>
    <w:rsid w:val="2FF05D77"/>
    <w:rsid w:val="2FF845FE"/>
    <w:rsid w:val="2FFA52AF"/>
    <w:rsid w:val="30180EB9"/>
    <w:rsid w:val="30181653"/>
    <w:rsid w:val="30433971"/>
    <w:rsid w:val="3044659F"/>
    <w:rsid w:val="30544201"/>
    <w:rsid w:val="30580BC9"/>
    <w:rsid w:val="30631476"/>
    <w:rsid w:val="3064637F"/>
    <w:rsid w:val="307157C6"/>
    <w:rsid w:val="30751FA5"/>
    <w:rsid w:val="307E5044"/>
    <w:rsid w:val="308A6773"/>
    <w:rsid w:val="308B2942"/>
    <w:rsid w:val="308B454A"/>
    <w:rsid w:val="308E4E7A"/>
    <w:rsid w:val="30923A9E"/>
    <w:rsid w:val="309C5554"/>
    <w:rsid w:val="30A3045A"/>
    <w:rsid w:val="30BA6CD7"/>
    <w:rsid w:val="30C016A3"/>
    <w:rsid w:val="30C31A68"/>
    <w:rsid w:val="30C4153F"/>
    <w:rsid w:val="30CD118A"/>
    <w:rsid w:val="30D77179"/>
    <w:rsid w:val="30DA0042"/>
    <w:rsid w:val="30DF7407"/>
    <w:rsid w:val="30E43AFC"/>
    <w:rsid w:val="30E750E4"/>
    <w:rsid w:val="30EB01AD"/>
    <w:rsid w:val="30EB1363"/>
    <w:rsid w:val="30F21B52"/>
    <w:rsid w:val="30FE528C"/>
    <w:rsid w:val="310127A4"/>
    <w:rsid w:val="311E2ED7"/>
    <w:rsid w:val="3127766B"/>
    <w:rsid w:val="3130517A"/>
    <w:rsid w:val="313240EF"/>
    <w:rsid w:val="313547C1"/>
    <w:rsid w:val="314339C0"/>
    <w:rsid w:val="314A7E5F"/>
    <w:rsid w:val="315619EE"/>
    <w:rsid w:val="31571A85"/>
    <w:rsid w:val="315A7001"/>
    <w:rsid w:val="315C449C"/>
    <w:rsid w:val="315D593C"/>
    <w:rsid w:val="3161029E"/>
    <w:rsid w:val="31634542"/>
    <w:rsid w:val="31714CA7"/>
    <w:rsid w:val="31775AFE"/>
    <w:rsid w:val="31786146"/>
    <w:rsid w:val="317A70B0"/>
    <w:rsid w:val="31821A76"/>
    <w:rsid w:val="318E194B"/>
    <w:rsid w:val="31914BA5"/>
    <w:rsid w:val="31937011"/>
    <w:rsid w:val="31950691"/>
    <w:rsid w:val="319A2162"/>
    <w:rsid w:val="31A10555"/>
    <w:rsid w:val="31A411EB"/>
    <w:rsid w:val="31A923F3"/>
    <w:rsid w:val="31B63BEF"/>
    <w:rsid w:val="31B82709"/>
    <w:rsid w:val="31CB4B37"/>
    <w:rsid w:val="31D04659"/>
    <w:rsid w:val="31D05482"/>
    <w:rsid w:val="31DC5591"/>
    <w:rsid w:val="31E56049"/>
    <w:rsid w:val="31E56082"/>
    <w:rsid w:val="31E65AB7"/>
    <w:rsid w:val="31FF017D"/>
    <w:rsid w:val="32115C69"/>
    <w:rsid w:val="321300E9"/>
    <w:rsid w:val="3214534E"/>
    <w:rsid w:val="322146D0"/>
    <w:rsid w:val="32215FBE"/>
    <w:rsid w:val="32330898"/>
    <w:rsid w:val="323455CE"/>
    <w:rsid w:val="32374405"/>
    <w:rsid w:val="32400B34"/>
    <w:rsid w:val="32417039"/>
    <w:rsid w:val="32441F9D"/>
    <w:rsid w:val="324D0620"/>
    <w:rsid w:val="325D38B0"/>
    <w:rsid w:val="32662E28"/>
    <w:rsid w:val="326C508F"/>
    <w:rsid w:val="32736340"/>
    <w:rsid w:val="32803FB2"/>
    <w:rsid w:val="3286631F"/>
    <w:rsid w:val="32897FC8"/>
    <w:rsid w:val="328F6741"/>
    <w:rsid w:val="329274A4"/>
    <w:rsid w:val="329E6876"/>
    <w:rsid w:val="32A632AA"/>
    <w:rsid w:val="32AF0766"/>
    <w:rsid w:val="32CC0FD8"/>
    <w:rsid w:val="32D201C7"/>
    <w:rsid w:val="32D353F2"/>
    <w:rsid w:val="32DE6226"/>
    <w:rsid w:val="32E32FBB"/>
    <w:rsid w:val="32E653E8"/>
    <w:rsid w:val="32EB1A14"/>
    <w:rsid w:val="32EE5F6F"/>
    <w:rsid w:val="32F94EBA"/>
    <w:rsid w:val="32FD2E3A"/>
    <w:rsid w:val="32FD4096"/>
    <w:rsid w:val="330261DA"/>
    <w:rsid w:val="33053673"/>
    <w:rsid w:val="33171CB1"/>
    <w:rsid w:val="331F3E73"/>
    <w:rsid w:val="3323410B"/>
    <w:rsid w:val="332836AE"/>
    <w:rsid w:val="332A0300"/>
    <w:rsid w:val="332A5CC4"/>
    <w:rsid w:val="332C6B05"/>
    <w:rsid w:val="332F2498"/>
    <w:rsid w:val="333015F2"/>
    <w:rsid w:val="334B6320"/>
    <w:rsid w:val="33623FBB"/>
    <w:rsid w:val="33724D7D"/>
    <w:rsid w:val="33727DEA"/>
    <w:rsid w:val="337970DE"/>
    <w:rsid w:val="33807B65"/>
    <w:rsid w:val="3388459C"/>
    <w:rsid w:val="338A06D5"/>
    <w:rsid w:val="338F20E2"/>
    <w:rsid w:val="33946D80"/>
    <w:rsid w:val="33AA63A5"/>
    <w:rsid w:val="33AC660E"/>
    <w:rsid w:val="33B87995"/>
    <w:rsid w:val="33BB75E7"/>
    <w:rsid w:val="33BB7D20"/>
    <w:rsid w:val="33BF2AE6"/>
    <w:rsid w:val="33C068F8"/>
    <w:rsid w:val="33C36902"/>
    <w:rsid w:val="33C4388C"/>
    <w:rsid w:val="33CA6CA5"/>
    <w:rsid w:val="33CB184A"/>
    <w:rsid w:val="33CD78BD"/>
    <w:rsid w:val="33CF15C8"/>
    <w:rsid w:val="33D16A73"/>
    <w:rsid w:val="33D934D4"/>
    <w:rsid w:val="33EE0C64"/>
    <w:rsid w:val="33EE3AD3"/>
    <w:rsid w:val="33FC3C4A"/>
    <w:rsid w:val="33FE2F6A"/>
    <w:rsid w:val="33FE662D"/>
    <w:rsid w:val="340112DF"/>
    <w:rsid w:val="340502B8"/>
    <w:rsid w:val="340617B2"/>
    <w:rsid w:val="340E07E5"/>
    <w:rsid w:val="341306CB"/>
    <w:rsid w:val="34130920"/>
    <w:rsid w:val="341C469E"/>
    <w:rsid w:val="341D471D"/>
    <w:rsid w:val="341E506C"/>
    <w:rsid w:val="34210230"/>
    <w:rsid w:val="34235BF7"/>
    <w:rsid w:val="342B4A34"/>
    <w:rsid w:val="34327752"/>
    <w:rsid w:val="343A6226"/>
    <w:rsid w:val="34491190"/>
    <w:rsid w:val="34557926"/>
    <w:rsid w:val="345F5C63"/>
    <w:rsid w:val="34815E8E"/>
    <w:rsid w:val="34865801"/>
    <w:rsid w:val="348751F8"/>
    <w:rsid w:val="348F3201"/>
    <w:rsid w:val="349864DA"/>
    <w:rsid w:val="349967E3"/>
    <w:rsid w:val="34A84B89"/>
    <w:rsid w:val="34A93653"/>
    <w:rsid w:val="34AC1953"/>
    <w:rsid w:val="34B52381"/>
    <w:rsid w:val="34BA7BA6"/>
    <w:rsid w:val="34E1425E"/>
    <w:rsid w:val="34EC6F8B"/>
    <w:rsid w:val="34EE3600"/>
    <w:rsid w:val="34EE4C86"/>
    <w:rsid w:val="34EF2F54"/>
    <w:rsid w:val="34FC532D"/>
    <w:rsid w:val="3516258D"/>
    <w:rsid w:val="351A0CA8"/>
    <w:rsid w:val="351A0D3E"/>
    <w:rsid w:val="35224D87"/>
    <w:rsid w:val="353851D7"/>
    <w:rsid w:val="353B29C1"/>
    <w:rsid w:val="353B3EAF"/>
    <w:rsid w:val="354749EF"/>
    <w:rsid w:val="354B4487"/>
    <w:rsid w:val="3551628D"/>
    <w:rsid w:val="355341FF"/>
    <w:rsid w:val="356167DD"/>
    <w:rsid w:val="35725080"/>
    <w:rsid w:val="357433EB"/>
    <w:rsid w:val="358C5FA8"/>
    <w:rsid w:val="358F04A4"/>
    <w:rsid w:val="35A541B8"/>
    <w:rsid w:val="35A62DF9"/>
    <w:rsid w:val="35A96693"/>
    <w:rsid w:val="35B952A2"/>
    <w:rsid w:val="35C15DF1"/>
    <w:rsid w:val="35CB46BC"/>
    <w:rsid w:val="35DD5FA6"/>
    <w:rsid w:val="35EB7A9D"/>
    <w:rsid w:val="35F11ABC"/>
    <w:rsid w:val="35FE24C1"/>
    <w:rsid w:val="35FF03CC"/>
    <w:rsid w:val="36011B1A"/>
    <w:rsid w:val="36062F4E"/>
    <w:rsid w:val="36074A7F"/>
    <w:rsid w:val="361079AA"/>
    <w:rsid w:val="361721C9"/>
    <w:rsid w:val="36242119"/>
    <w:rsid w:val="362D0A83"/>
    <w:rsid w:val="364044EB"/>
    <w:rsid w:val="364A4CFE"/>
    <w:rsid w:val="36520C42"/>
    <w:rsid w:val="3653563F"/>
    <w:rsid w:val="36562EBC"/>
    <w:rsid w:val="365E53D7"/>
    <w:rsid w:val="36703C74"/>
    <w:rsid w:val="367915B9"/>
    <w:rsid w:val="36884C91"/>
    <w:rsid w:val="368F6306"/>
    <w:rsid w:val="369030E5"/>
    <w:rsid w:val="36923549"/>
    <w:rsid w:val="36972AB7"/>
    <w:rsid w:val="369764CF"/>
    <w:rsid w:val="369C0374"/>
    <w:rsid w:val="36A04BA9"/>
    <w:rsid w:val="36B75FBF"/>
    <w:rsid w:val="36BB1275"/>
    <w:rsid w:val="36BD0C45"/>
    <w:rsid w:val="36CE52B7"/>
    <w:rsid w:val="36D63095"/>
    <w:rsid w:val="36EA039F"/>
    <w:rsid w:val="36EC10CD"/>
    <w:rsid w:val="36ED58BB"/>
    <w:rsid w:val="36EE731D"/>
    <w:rsid w:val="36F473DA"/>
    <w:rsid w:val="36F66960"/>
    <w:rsid w:val="36FA0575"/>
    <w:rsid w:val="370114C5"/>
    <w:rsid w:val="370F138D"/>
    <w:rsid w:val="370F6976"/>
    <w:rsid w:val="37195EE2"/>
    <w:rsid w:val="371D3D78"/>
    <w:rsid w:val="371E0F9D"/>
    <w:rsid w:val="37233BEE"/>
    <w:rsid w:val="37302D88"/>
    <w:rsid w:val="37306E9E"/>
    <w:rsid w:val="37423C66"/>
    <w:rsid w:val="376873FC"/>
    <w:rsid w:val="376E05A4"/>
    <w:rsid w:val="37743584"/>
    <w:rsid w:val="377A2527"/>
    <w:rsid w:val="377C4C2A"/>
    <w:rsid w:val="378510FA"/>
    <w:rsid w:val="3792438E"/>
    <w:rsid w:val="37990862"/>
    <w:rsid w:val="379B0618"/>
    <w:rsid w:val="379C235E"/>
    <w:rsid w:val="379E3178"/>
    <w:rsid w:val="37A173F6"/>
    <w:rsid w:val="37A23254"/>
    <w:rsid w:val="37AD22FD"/>
    <w:rsid w:val="37AF2635"/>
    <w:rsid w:val="37B270F3"/>
    <w:rsid w:val="37BC4EDD"/>
    <w:rsid w:val="37BE3016"/>
    <w:rsid w:val="37C17148"/>
    <w:rsid w:val="37C81F89"/>
    <w:rsid w:val="37CA27B5"/>
    <w:rsid w:val="37D00C34"/>
    <w:rsid w:val="37DF09D4"/>
    <w:rsid w:val="37E00298"/>
    <w:rsid w:val="37E33CCB"/>
    <w:rsid w:val="37E67089"/>
    <w:rsid w:val="37F53B38"/>
    <w:rsid w:val="38013A65"/>
    <w:rsid w:val="38035DAB"/>
    <w:rsid w:val="38137405"/>
    <w:rsid w:val="38163439"/>
    <w:rsid w:val="381849C4"/>
    <w:rsid w:val="381D1FB8"/>
    <w:rsid w:val="381F5FD2"/>
    <w:rsid w:val="38260DC5"/>
    <w:rsid w:val="382F1BDC"/>
    <w:rsid w:val="38352640"/>
    <w:rsid w:val="383A165D"/>
    <w:rsid w:val="383F763D"/>
    <w:rsid w:val="38432C1D"/>
    <w:rsid w:val="384F47C0"/>
    <w:rsid w:val="385A1BA8"/>
    <w:rsid w:val="38611826"/>
    <w:rsid w:val="387F2B71"/>
    <w:rsid w:val="388B4B06"/>
    <w:rsid w:val="389D0891"/>
    <w:rsid w:val="38A32A07"/>
    <w:rsid w:val="38AC0909"/>
    <w:rsid w:val="38AF1A1E"/>
    <w:rsid w:val="38B302F9"/>
    <w:rsid w:val="38C66A46"/>
    <w:rsid w:val="38D63ECB"/>
    <w:rsid w:val="38D908E8"/>
    <w:rsid w:val="38E47CB0"/>
    <w:rsid w:val="38E869BC"/>
    <w:rsid w:val="38EE2082"/>
    <w:rsid w:val="38F12CD3"/>
    <w:rsid w:val="38F3462B"/>
    <w:rsid w:val="38F541AF"/>
    <w:rsid w:val="38F94775"/>
    <w:rsid w:val="39073C2E"/>
    <w:rsid w:val="39214458"/>
    <w:rsid w:val="392971ED"/>
    <w:rsid w:val="39325651"/>
    <w:rsid w:val="393C06A8"/>
    <w:rsid w:val="394006C9"/>
    <w:rsid w:val="394463F4"/>
    <w:rsid w:val="394644C7"/>
    <w:rsid w:val="394A496B"/>
    <w:rsid w:val="396A2DB9"/>
    <w:rsid w:val="39703C18"/>
    <w:rsid w:val="39785555"/>
    <w:rsid w:val="398A3E87"/>
    <w:rsid w:val="39915A1B"/>
    <w:rsid w:val="39951F9B"/>
    <w:rsid w:val="399C19B2"/>
    <w:rsid w:val="39B5402D"/>
    <w:rsid w:val="39BB056A"/>
    <w:rsid w:val="39BD3C05"/>
    <w:rsid w:val="39DC5009"/>
    <w:rsid w:val="39DF03DD"/>
    <w:rsid w:val="39E301E9"/>
    <w:rsid w:val="39E8102B"/>
    <w:rsid w:val="39E84E3D"/>
    <w:rsid w:val="39EC47C3"/>
    <w:rsid w:val="39ED1669"/>
    <w:rsid w:val="3A065951"/>
    <w:rsid w:val="3A0C4962"/>
    <w:rsid w:val="3A466A0B"/>
    <w:rsid w:val="3A492A16"/>
    <w:rsid w:val="3A49752A"/>
    <w:rsid w:val="3A4A008F"/>
    <w:rsid w:val="3A4F15F7"/>
    <w:rsid w:val="3A4F5076"/>
    <w:rsid w:val="3A535F4C"/>
    <w:rsid w:val="3A595914"/>
    <w:rsid w:val="3A5C736B"/>
    <w:rsid w:val="3A633A2E"/>
    <w:rsid w:val="3A6F7E85"/>
    <w:rsid w:val="3A706B76"/>
    <w:rsid w:val="3A7B3E9D"/>
    <w:rsid w:val="3A7D3C74"/>
    <w:rsid w:val="3A7E73C2"/>
    <w:rsid w:val="3A811041"/>
    <w:rsid w:val="3A872856"/>
    <w:rsid w:val="3A8A6C40"/>
    <w:rsid w:val="3AA40FBD"/>
    <w:rsid w:val="3AA604D3"/>
    <w:rsid w:val="3AA80BCB"/>
    <w:rsid w:val="3AA82117"/>
    <w:rsid w:val="3AAC2F01"/>
    <w:rsid w:val="3AB71141"/>
    <w:rsid w:val="3ACD1D00"/>
    <w:rsid w:val="3AE44753"/>
    <w:rsid w:val="3AE672E8"/>
    <w:rsid w:val="3AEB73C0"/>
    <w:rsid w:val="3AEC6632"/>
    <w:rsid w:val="3AF40B2D"/>
    <w:rsid w:val="3AFF19A9"/>
    <w:rsid w:val="3B04624A"/>
    <w:rsid w:val="3B0B3BF3"/>
    <w:rsid w:val="3B0D40DC"/>
    <w:rsid w:val="3B1E242E"/>
    <w:rsid w:val="3B30733F"/>
    <w:rsid w:val="3B3763D1"/>
    <w:rsid w:val="3B3F4BD9"/>
    <w:rsid w:val="3B483179"/>
    <w:rsid w:val="3B4A0823"/>
    <w:rsid w:val="3B5132F6"/>
    <w:rsid w:val="3B5446C9"/>
    <w:rsid w:val="3B5B6366"/>
    <w:rsid w:val="3B5F0A60"/>
    <w:rsid w:val="3B64410D"/>
    <w:rsid w:val="3B6508C0"/>
    <w:rsid w:val="3B8125F7"/>
    <w:rsid w:val="3B814AF3"/>
    <w:rsid w:val="3B91435A"/>
    <w:rsid w:val="3B9407EB"/>
    <w:rsid w:val="3B9D014D"/>
    <w:rsid w:val="3B9D41EA"/>
    <w:rsid w:val="3B9D6647"/>
    <w:rsid w:val="3BAE02E2"/>
    <w:rsid w:val="3BAF1E6F"/>
    <w:rsid w:val="3BB2479A"/>
    <w:rsid w:val="3BB66026"/>
    <w:rsid w:val="3BBD4F44"/>
    <w:rsid w:val="3BCB1DAC"/>
    <w:rsid w:val="3BD21873"/>
    <w:rsid w:val="3BF9378B"/>
    <w:rsid w:val="3BFC3180"/>
    <w:rsid w:val="3BFD461B"/>
    <w:rsid w:val="3C085A3A"/>
    <w:rsid w:val="3C0A545D"/>
    <w:rsid w:val="3C0B22BD"/>
    <w:rsid w:val="3C122926"/>
    <w:rsid w:val="3C152ACF"/>
    <w:rsid w:val="3C22273B"/>
    <w:rsid w:val="3C2743F5"/>
    <w:rsid w:val="3C2F6E1E"/>
    <w:rsid w:val="3C357F7F"/>
    <w:rsid w:val="3C3665E7"/>
    <w:rsid w:val="3C457204"/>
    <w:rsid w:val="3C4A268E"/>
    <w:rsid w:val="3C4F64BA"/>
    <w:rsid w:val="3C5339D7"/>
    <w:rsid w:val="3C603D6D"/>
    <w:rsid w:val="3C605C56"/>
    <w:rsid w:val="3C656B0A"/>
    <w:rsid w:val="3C67433B"/>
    <w:rsid w:val="3C7178F9"/>
    <w:rsid w:val="3C72633F"/>
    <w:rsid w:val="3C75512D"/>
    <w:rsid w:val="3C7E1F61"/>
    <w:rsid w:val="3C853632"/>
    <w:rsid w:val="3C9A4471"/>
    <w:rsid w:val="3C9F44B7"/>
    <w:rsid w:val="3CA174E3"/>
    <w:rsid w:val="3CA53B55"/>
    <w:rsid w:val="3CB40C08"/>
    <w:rsid w:val="3CC93D85"/>
    <w:rsid w:val="3CC97E3E"/>
    <w:rsid w:val="3CD025A8"/>
    <w:rsid w:val="3CD02EFE"/>
    <w:rsid w:val="3CD0336D"/>
    <w:rsid w:val="3CD94A84"/>
    <w:rsid w:val="3CDA245A"/>
    <w:rsid w:val="3CDA3D78"/>
    <w:rsid w:val="3CDC75CF"/>
    <w:rsid w:val="3CEE1CD5"/>
    <w:rsid w:val="3CFB35A9"/>
    <w:rsid w:val="3D073B07"/>
    <w:rsid w:val="3D09123A"/>
    <w:rsid w:val="3D1E06B7"/>
    <w:rsid w:val="3D2436B9"/>
    <w:rsid w:val="3D276240"/>
    <w:rsid w:val="3D325BC5"/>
    <w:rsid w:val="3D3A191D"/>
    <w:rsid w:val="3D3B6451"/>
    <w:rsid w:val="3D3C748B"/>
    <w:rsid w:val="3D3D4F4C"/>
    <w:rsid w:val="3D3E6C79"/>
    <w:rsid w:val="3D4567D4"/>
    <w:rsid w:val="3D533864"/>
    <w:rsid w:val="3D597924"/>
    <w:rsid w:val="3D5F0EBC"/>
    <w:rsid w:val="3D6E1622"/>
    <w:rsid w:val="3D6F2A07"/>
    <w:rsid w:val="3D7154AF"/>
    <w:rsid w:val="3D736780"/>
    <w:rsid w:val="3D85532A"/>
    <w:rsid w:val="3DBA5AE4"/>
    <w:rsid w:val="3DCC68AD"/>
    <w:rsid w:val="3DE265B9"/>
    <w:rsid w:val="3DEE4021"/>
    <w:rsid w:val="3DFF1063"/>
    <w:rsid w:val="3E130ACB"/>
    <w:rsid w:val="3E17335E"/>
    <w:rsid w:val="3E173E6F"/>
    <w:rsid w:val="3E213BFF"/>
    <w:rsid w:val="3E4B1D5F"/>
    <w:rsid w:val="3E5010AB"/>
    <w:rsid w:val="3E6646C5"/>
    <w:rsid w:val="3E6D534B"/>
    <w:rsid w:val="3E79748C"/>
    <w:rsid w:val="3E7F13E9"/>
    <w:rsid w:val="3E824F2D"/>
    <w:rsid w:val="3E8C33A0"/>
    <w:rsid w:val="3E8C451F"/>
    <w:rsid w:val="3E907073"/>
    <w:rsid w:val="3EA42F86"/>
    <w:rsid w:val="3ECF2BDC"/>
    <w:rsid w:val="3EDA0523"/>
    <w:rsid w:val="3EE53230"/>
    <w:rsid w:val="3EF02BE2"/>
    <w:rsid w:val="3EFB7B01"/>
    <w:rsid w:val="3EFC44E2"/>
    <w:rsid w:val="3F09318E"/>
    <w:rsid w:val="3F0A14AC"/>
    <w:rsid w:val="3F15199C"/>
    <w:rsid w:val="3F160675"/>
    <w:rsid w:val="3F1E7A7E"/>
    <w:rsid w:val="3F2E6E27"/>
    <w:rsid w:val="3F3652DB"/>
    <w:rsid w:val="3F3E77D5"/>
    <w:rsid w:val="3F4E66FD"/>
    <w:rsid w:val="3F541A44"/>
    <w:rsid w:val="3F553F8B"/>
    <w:rsid w:val="3F635A09"/>
    <w:rsid w:val="3F6B3A65"/>
    <w:rsid w:val="3F706211"/>
    <w:rsid w:val="3F712D4B"/>
    <w:rsid w:val="3F730E23"/>
    <w:rsid w:val="3F857DC8"/>
    <w:rsid w:val="3F885392"/>
    <w:rsid w:val="3F8A41B1"/>
    <w:rsid w:val="3F9345E9"/>
    <w:rsid w:val="3F945751"/>
    <w:rsid w:val="3F9D244C"/>
    <w:rsid w:val="3FAE3B3D"/>
    <w:rsid w:val="3FBB2C7E"/>
    <w:rsid w:val="3FC571D7"/>
    <w:rsid w:val="3FC5742D"/>
    <w:rsid w:val="3FCF00EA"/>
    <w:rsid w:val="3FEA705C"/>
    <w:rsid w:val="3FEB5A78"/>
    <w:rsid w:val="3FF805DA"/>
    <w:rsid w:val="3FFB1800"/>
    <w:rsid w:val="4009624E"/>
    <w:rsid w:val="400B4F82"/>
    <w:rsid w:val="40171C7F"/>
    <w:rsid w:val="402160B6"/>
    <w:rsid w:val="40283695"/>
    <w:rsid w:val="402E1480"/>
    <w:rsid w:val="402E1D61"/>
    <w:rsid w:val="402E7C83"/>
    <w:rsid w:val="403703B1"/>
    <w:rsid w:val="403C656C"/>
    <w:rsid w:val="404D0C23"/>
    <w:rsid w:val="40561DF6"/>
    <w:rsid w:val="405D2A2F"/>
    <w:rsid w:val="405D7FB8"/>
    <w:rsid w:val="40610B5F"/>
    <w:rsid w:val="40613EA4"/>
    <w:rsid w:val="40667044"/>
    <w:rsid w:val="406C7CDA"/>
    <w:rsid w:val="40737213"/>
    <w:rsid w:val="407A6407"/>
    <w:rsid w:val="40800D2E"/>
    <w:rsid w:val="40860958"/>
    <w:rsid w:val="408A4B80"/>
    <w:rsid w:val="408B0CBA"/>
    <w:rsid w:val="408C174B"/>
    <w:rsid w:val="408D4BFF"/>
    <w:rsid w:val="40915FA0"/>
    <w:rsid w:val="409C226A"/>
    <w:rsid w:val="40A12209"/>
    <w:rsid w:val="40A17081"/>
    <w:rsid w:val="40A2240B"/>
    <w:rsid w:val="40AE1825"/>
    <w:rsid w:val="40AF4F0C"/>
    <w:rsid w:val="40B406C3"/>
    <w:rsid w:val="40C503C7"/>
    <w:rsid w:val="40CF523D"/>
    <w:rsid w:val="40D10D0C"/>
    <w:rsid w:val="40D44B6F"/>
    <w:rsid w:val="40D86EC8"/>
    <w:rsid w:val="40D90159"/>
    <w:rsid w:val="40E81366"/>
    <w:rsid w:val="40F651DC"/>
    <w:rsid w:val="410A756E"/>
    <w:rsid w:val="410C5FF6"/>
    <w:rsid w:val="41145A82"/>
    <w:rsid w:val="41182D1A"/>
    <w:rsid w:val="41197214"/>
    <w:rsid w:val="412959B0"/>
    <w:rsid w:val="41371C93"/>
    <w:rsid w:val="414E6E05"/>
    <w:rsid w:val="415C3D69"/>
    <w:rsid w:val="416F56B6"/>
    <w:rsid w:val="417E19B2"/>
    <w:rsid w:val="417F5302"/>
    <w:rsid w:val="419131E8"/>
    <w:rsid w:val="41953A58"/>
    <w:rsid w:val="419C0899"/>
    <w:rsid w:val="41A76354"/>
    <w:rsid w:val="41B30B11"/>
    <w:rsid w:val="41B921C2"/>
    <w:rsid w:val="41BE0810"/>
    <w:rsid w:val="41CE6438"/>
    <w:rsid w:val="4200449D"/>
    <w:rsid w:val="42116F84"/>
    <w:rsid w:val="42186997"/>
    <w:rsid w:val="422C6385"/>
    <w:rsid w:val="422E21CA"/>
    <w:rsid w:val="42377F62"/>
    <w:rsid w:val="42397737"/>
    <w:rsid w:val="423A3BCC"/>
    <w:rsid w:val="423C510C"/>
    <w:rsid w:val="4243652A"/>
    <w:rsid w:val="424E31F3"/>
    <w:rsid w:val="424E57D2"/>
    <w:rsid w:val="4262715D"/>
    <w:rsid w:val="42630723"/>
    <w:rsid w:val="426334D4"/>
    <w:rsid w:val="4267699F"/>
    <w:rsid w:val="42690C02"/>
    <w:rsid w:val="426B7EB4"/>
    <w:rsid w:val="427233DC"/>
    <w:rsid w:val="427C3983"/>
    <w:rsid w:val="42841249"/>
    <w:rsid w:val="42992B7E"/>
    <w:rsid w:val="42A41941"/>
    <w:rsid w:val="42A83076"/>
    <w:rsid w:val="42B01C31"/>
    <w:rsid w:val="42B26C49"/>
    <w:rsid w:val="42B41EBB"/>
    <w:rsid w:val="42C108D9"/>
    <w:rsid w:val="42C95FFF"/>
    <w:rsid w:val="42CE6B4C"/>
    <w:rsid w:val="42CF1790"/>
    <w:rsid w:val="42DD1EE5"/>
    <w:rsid w:val="42E05B6A"/>
    <w:rsid w:val="42EB6A8A"/>
    <w:rsid w:val="42F150A3"/>
    <w:rsid w:val="42F36E1F"/>
    <w:rsid w:val="42FE5C01"/>
    <w:rsid w:val="43052DFA"/>
    <w:rsid w:val="43061102"/>
    <w:rsid w:val="4310486B"/>
    <w:rsid w:val="43192F96"/>
    <w:rsid w:val="431C52A3"/>
    <w:rsid w:val="43286F35"/>
    <w:rsid w:val="432E6CCE"/>
    <w:rsid w:val="433A6FE6"/>
    <w:rsid w:val="43480868"/>
    <w:rsid w:val="43481905"/>
    <w:rsid w:val="4350713C"/>
    <w:rsid w:val="43616194"/>
    <w:rsid w:val="4362380F"/>
    <w:rsid w:val="436653E0"/>
    <w:rsid w:val="436B1EF1"/>
    <w:rsid w:val="43727992"/>
    <w:rsid w:val="43834AE5"/>
    <w:rsid w:val="438801F7"/>
    <w:rsid w:val="438D4A4A"/>
    <w:rsid w:val="4392110F"/>
    <w:rsid w:val="43A57564"/>
    <w:rsid w:val="43C4431A"/>
    <w:rsid w:val="43D643CB"/>
    <w:rsid w:val="43DB596E"/>
    <w:rsid w:val="43DC7AA8"/>
    <w:rsid w:val="43EC12C0"/>
    <w:rsid w:val="43EC7DD0"/>
    <w:rsid w:val="43F776E3"/>
    <w:rsid w:val="43F85339"/>
    <w:rsid w:val="43FB33F8"/>
    <w:rsid w:val="43FD427C"/>
    <w:rsid w:val="440F7278"/>
    <w:rsid w:val="44240F6D"/>
    <w:rsid w:val="443300A0"/>
    <w:rsid w:val="4437654D"/>
    <w:rsid w:val="443A2FDD"/>
    <w:rsid w:val="443B40A7"/>
    <w:rsid w:val="44455CE6"/>
    <w:rsid w:val="444C03B1"/>
    <w:rsid w:val="444C6317"/>
    <w:rsid w:val="4454433A"/>
    <w:rsid w:val="445B261D"/>
    <w:rsid w:val="446115F3"/>
    <w:rsid w:val="446E737C"/>
    <w:rsid w:val="44714BF0"/>
    <w:rsid w:val="44715006"/>
    <w:rsid w:val="44842347"/>
    <w:rsid w:val="44936EE8"/>
    <w:rsid w:val="44982FE2"/>
    <w:rsid w:val="449A181F"/>
    <w:rsid w:val="449A3DFA"/>
    <w:rsid w:val="449A6A4B"/>
    <w:rsid w:val="44A20CAF"/>
    <w:rsid w:val="44A421A6"/>
    <w:rsid w:val="44A42E78"/>
    <w:rsid w:val="44A66F61"/>
    <w:rsid w:val="44AF5E49"/>
    <w:rsid w:val="44B143CC"/>
    <w:rsid w:val="44B245C6"/>
    <w:rsid w:val="44B35B75"/>
    <w:rsid w:val="44B951CC"/>
    <w:rsid w:val="44BD1AD3"/>
    <w:rsid w:val="44C37706"/>
    <w:rsid w:val="44C44B37"/>
    <w:rsid w:val="44CD14E0"/>
    <w:rsid w:val="44D07743"/>
    <w:rsid w:val="44D44124"/>
    <w:rsid w:val="44D97296"/>
    <w:rsid w:val="44E20A54"/>
    <w:rsid w:val="44E402FD"/>
    <w:rsid w:val="44E40704"/>
    <w:rsid w:val="44ED784C"/>
    <w:rsid w:val="44F20B0B"/>
    <w:rsid w:val="44F7588C"/>
    <w:rsid w:val="451074F0"/>
    <w:rsid w:val="451A1430"/>
    <w:rsid w:val="451E6D8F"/>
    <w:rsid w:val="452E5F4C"/>
    <w:rsid w:val="4532297B"/>
    <w:rsid w:val="45343118"/>
    <w:rsid w:val="45364D28"/>
    <w:rsid w:val="453861FF"/>
    <w:rsid w:val="453B6AFE"/>
    <w:rsid w:val="453D724D"/>
    <w:rsid w:val="454D7C90"/>
    <w:rsid w:val="45554F81"/>
    <w:rsid w:val="45562164"/>
    <w:rsid w:val="455B00E8"/>
    <w:rsid w:val="45612018"/>
    <w:rsid w:val="456F1612"/>
    <w:rsid w:val="45806043"/>
    <w:rsid w:val="458946E9"/>
    <w:rsid w:val="458C02DD"/>
    <w:rsid w:val="458C505D"/>
    <w:rsid w:val="458E41AD"/>
    <w:rsid w:val="458F50A7"/>
    <w:rsid w:val="459363A5"/>
    <w:rsid w:val="459736E0"/>
    <w:rsid w:val="45A10A0E"/>
    <w:rsid w:val="45A47C0E"/>
    <w:rsid w:val="45A6613B"/>
    <w:rsid w:val="45AD6EAD"/>
    <w:rsid w:val="45B3297B"/>
    <w:rsid w:val="45BC1CC0"/>
    <w:rsid w:val="45C67AAC"/>
    <w:rsid w:val="45C77E6E"/>
    <w:rsid w:val="45CF0571"/>
    <w:rsid w:val="45DE034F"/>
    <w:rsid w:val="45E251C5"/>
    <w:rsid w:val="45E63B98"/>
    <w:rsid w:val="45E93881"/>
    <w:rsid w:val="45EC77D8"/>
    <w:rsid w:val="45F8085B"/>
    <w:rsid w:val="45F8542B"/>
    <w:rsid w:val="461356B1"/>
    <w:rsid w:val="46285595"/>
    <w:rsid w:val="46315770"/>
    <w:rsid w:val="463B73E9"/>
    <w:rsid w:val="46444410"/>
    <w:rsid w:val="464D1D6E"/>
    <w:rsid w:val="46501605"/>
    <w:rsid w:val="46577FD6"/>
    <w:rsid w:val="465A58FB"/>
    <w:rsid w:val="46637BD7"/>
    <w:rsid w:val="466E5F1B"/>
    <w:rsid w:val="46784614"/>
    <w:rsid w:val="468345A5"/>
    <w:rsid w:val="469B0599"/>
    <w:rsid w:val="46A454C4"/>
    <w:rsid w:val="46AC291A"/>
    <w:rsid w:val="46AE4DA1"/>
    <w:rsid w:val="46B66E82"/>
    <w:rsid w:val="46BA7F02"/>
    <w:rsid w:val="46C971ED"/>
    <w:rsid w:val="46CC1C8E"/>
    <w:rsid w:val="46D06602"/>
    <w:rsid w:val="46D955A7"/>
    <w:rsid w:val="46D97950"/>
    <w:rsid w:val="46DD6140"/>
    <w:rsid w:val="46F70FBC"/>
    <w:rsid w:val="46FC5995"/>
    <w:rsid w:val="47133957"/>
    <w:rsid w:val="471D7AF7"/>
    <w:rsid w:val="47223DCF"/>
    <w:rsid w:val="47287000"/>
    <w:rsid w:val="472A1396"/>
    <w:rsid w:val="472E53F8"/>
    <w:rsid w:val="47322CEA"/>
    <w:rsid w:val="473C52F7"/>
    <w:rsid w:val="47416C3B"/>
    <w:rsid w:val="47447847"/>
    <w:rsid w:val="4758471A"/>
    <w:rsid w:val="47585B7D"/>
    <w:rsid w:val="47606659"/>
    <w:rsid w:val="47647471"/>
    <w:rsid w:val="47655320"/>
    <w:rsid w:val="47656E1B"/>
    <w:rsid w:val="476E7BD2"/>
    <w:rsid w:val="476F6B6F"/>
    <w:rsid w:val="47853236"/>
    <w:rsid w:val="478A07EB"/>
    <w:rsid w:val="479E46FB"/>
    <w:rsid w:val="47A07E0C"/>
    <w:rsid w:val="47B05C1E"/>
    <w:rsid w:val="47B86367"/>
    <w:rsid w:val="47BC32AC"/>
    <w:rsid w:val="47BF3533"/>
    <w:rsid w:val="47CC72C5"/>
    <w:rsid w:val="47DC3D99"/>
    <w:rsid w:val="47EC4B48"/>
    <w:rsid w:val="47F113AA"/>
    <w:rsid w:val="47F3041C"/>
    <w:rsid w:val="47FE20B1"/>
    <w:rsid w:val="48013E2E"/>
    <w:rsid w:val="48080A36"/>
    <w:rsid w:val="480E5208"/>
    <w:rsid w:val="48204BA8"/>
    <w:rsid w:val="48214624"/>
    <w:rsid w:val="48281FAC"/>
    <w:rsid w:val="482B3DDD"/>
    <w:rsid w:val="4834237C"/>
    <w:rsid w:val="48351E62"/>
    <w:rsid w:val="4848336F"/>
    <w:rsid w:val="485251E3"/>
    <w:rsid w:val="48573135"/>
    <w:rsid w:val="485E2F25"/>
    <w:rsid w:val="48651222"/>
    <w:rsid w:val="486920E6"/>
    <w:rsid w:val="486D47B9"/>
    <w:rsid w:val="4870272E"/>
    <w:rsid w:val="48853F48"/>
    <w:rsid w:val="48867265"/>
    <w:rsid w:val="48892233"/>
    <w:rsid w:val="488C4E4A"/>
    <w:rsid w:val="48900A1C"/>
    <w:rsid w:val="48957BA2"/>
    <w:rsid w:val="48B15965"/>
    <w:rsid w:val="48B545A9"/>
    <w:rsid w:val="48BF2CB1"/>
    <w:rsid w:val="48D1626A"/>
    <w:rsid w:val="48D3714C"/>
    <w:rsid w:val="48D61E2C"/>
    <w:rsid w:val="48D851CC"/>
    <w:rsid w:val="48E60510"/>
    <w:rsid w:val="48E606C6"/>
    <w:rsid w:val="48E83B57"/>
    <w:rsid w:val="48E917CB"/>
    <w:rsid w:val="48EB5856"/>
    <w:rsid w:val="48EF4CAF"/>
    <w:rsid w:val="48F1002A"/>
    <w:rsid w:val="49006BE7"/>
    <w:rsid w:val="49061551"/>
    <w:rsid w:val="490F7A49"/>
    <w:rsid w:val="49140388"/>
    <w:rsid w:val="491C045F"/>
    <w:rsid w:val="49284E29"/>
    <w:rsid w:val="492F6549"/>
    <w:rsid w:val="493C0AEC"/>
    <w:rsid w:val="49464E59"/>
    <w:rsid w:val="494E5219"/>
    <w:rsid w:val="495A05AB"/>
    <w:rsid w:val="49661C6C"/>
    <w:rsid w:val="49734C34"/>
    <w:rsid w:val="49860ADB"/>
    <w:rsid w:val="49902E84"/>
    <w:rsid w:val="499E6D71"/>
    <w:rsid w:val="49A10028"/>
    <w:rsid w:val="49CA13EA"/>
    <w:rsid w:val="49D95BB9"/>
    <w:rsid w:val="49DC7715"/>
    <w:rsid w:val="49E924D2"/>
    <w:rsid w:val="49EA0034"/>
    <w:rsid w:val="49F32D91"/>
    <w:rsid w:val="49FD0D92"/>
    <w:rsid w:val="4A0178DE"/>
    <w:rsid w:val="4A023139"/>
    <w:rsid w:val="4A0E697C"/>
    <w:rsid w:val="4A1A37BD"/>
    <w:rsid w:val="4A285130"/>
    <w:rsid w:val="4A291B3C"/>
    <w:rsid w:val="4A3E2E97"/>
    <w:rsid w:val="4A47268B"/>
    <w:rsid w:val="4A4E1C28"/>
    <w:rsid w:val="4A644E7C"/>
    <w:rsid w:val="4A6766CD"/>
    <w:rsid w:val="4A6A66FD"/>
    <w:rsid w:val="4A6E11F2"/>
    <w:rsid w:val="4A794087"/>
    <w:rsid w:val="4A7B576F"/>
    <w:rsid w:val="4A7E302F"/>
    <w:rsid w:val="4A8F238A"/>
    <w:rsid w:val="4AA1177B"/>
    <w:rsid w:val="4AB12F06"/>
    <w:rsid w:val="4AB74E96"/>
    <w:rsid w:val="4ABE51E2"/>
    <w:rsid w:val="4AC45DC6"/>
    <w:rsid w:val="4ACD6580"/>
    <w:rsid w:val="4AD16242"/>
    <w:rsid w:val="4AD32DC3"/>
    <w:rsid w:val="4AD76FC0"/>
    <w:rsid w:val="4AEF540F"/>
    <w:rsid w:val="4AF561A9"/>
    <w:rsid w:val="4AF940CB"/>
    <w:rsid w:val="4AFC4549"/>
    <w:rsid w:val="4B256C9F"/>
    <w:rsid w:val="4B3432FB"/>
    <w:rsid w:val="4B38709B"/>
    <w:rsid w:val="4B396D6D"/>
    <w:rsid w:val="4B3D05BD"/>
    <w:rsid w:val="4B403E2D"/>
    <w:rsid w:val="4B440363"/>
    <w:rsid w:val="4B4E35CB"/>
    <w:rsid w:val="4B4E6540"/>
    <w:rsid w:val="4B54035F"/>
    <w:rsid w:val="4B550EE9"/>
    <w:rsid w:val="4B58089C"/>
    <w:rsid w:val="4B5A136D"/>
    <w:rsid w:val="4B5A3D83"/>
    <w:rsid w:val="4B626996"/>
    <w:rsid w:val="4B63517E"/>
    <w:rsid w:val="4B71232C"/>
    <w:rsid w:val="4B7365B9"/>
    <w:rsid w:val="4B764120"/>
    <w:rsid w:val="4B80200F"/>
    <w:rsid w:val="4B812D47"/>
    <w:rsid w:val="4B855E76"/>
    <w:rsid w:val="4B8D47F7"/>
    <w:rsid w:val="4B9009AA"/>
    <w:rsid w:val="4B9B18A9"/>
    <w:rsid w:val="4BA0780A"/>
    <w:rsid w:val="4BA83955"/>
    <w:rsid w:val="4BAB218C"/>
    <w:rsid w:val="4BBE4308"/>
    <w:rsid w:val="4BCC4CC4"/>
    <w:rsid w:val="4BCE4E1C"/>
    <w:rsid w:val="4BF37C4F"/>
    <w:rsid w:val="4BF67390"/>
    <w:rsid w:val="4BF70A34"/>
    <w:rsid w:val="4BF874C6"/>
    <w:rsid w:val="4C035C20"/>
    <w:rsid w:val="4C05031F"/>
    <w:rsid w:val="4C0D5736"/>
    <w:rsid w:val="4C103061"/>
    <w:rsid w:val="4C116230"/>
    <w:rsid w:val="4C17345E"/>
    <w:rsid w:val="4C276687"/>
    <w:rsid w:val="4C280D81"/>
    <w:rsid w:val="4C301FEB"/>
    <w:rsid w:val="4C357D13"/>
    <w:rsid w:val="4C373EED"/>
    <w:rsid w:val="4C4216C0"/>
    <w:rsid w:val="4C494C39"/>
    <w:rsid w:val="4C4A0649"/>
    <w:rsid w:val="4C5204B0"/>
    <w:rsid w:val="4C723A57"/>
    <w:rsid w:val="4C7C1728"/>
    <w:rsid w:val="4C7E5ECA"/>
    <w:rsid w:val="4C8272A9"/>
    <w:rsid w:val="4C876AA5"/>
    <w:rsid w:val="4C951652"/>
    <w:rsid w:val="4CA71996"/>
    <w:rsid w:val="4CAB5154"/>
    <w:rsid w:val="4CBC4732"/>
    <w:rsid w:val="4CC337CF"/>
    <w:rsid w:val="4CC501D9"/>
    <w:rsid w:val="4CC65845"/>
    <w:rsid w:val="4CD415B7"/>
    <w:rsid w:val="4CDE2396"/>
    <w:rsid w:val="4CE53212"/>
    <w:rsid w:val="4CEB2EA2"/>
    <w:rsid w:val="4CED2793"/>
    <w:rsid w:val="4CEF15ED"/>
    <w:rsid w:val="4CF3453A"/>
    <w:rsid w:val="4CF61503"/>
    <w:rsid w:val="4CFA2B92"/>
    <w:rsid w:val="4D050151"/>
    <w:rsid w:val="4D0E00FB"/>
    <w:rsid w:val="4D0F0E59"/>
    <w:rsid w:val="4D151933"/>
    <w:rsid w:val="4D176606"/>
    <w:rsid w:val="4D195BAA"/>
    <w:rsid w:val="4D1A6C94"/>
    <w:rsid w:val="4D1B3FCA"/>
    <w:rsid w:val="4D225592"/>
    <w:rsid w:val="4D2A50D6"/>
    <w:rsid w:val="4D2C3F64"/>
    <w:rsid w:val="4D2F3789"/>
    <w:rsid w:val="4D2F7A6E"/>
    <w:rsid w:val="4D327839"/>
    <w:rsid w:val="4D3F009D"/>
    <w:rsid w:val="4D4977A2"/>
    <w:rsid w:val="4D4A1931"/>
    <w:rsid w:val="4D527CD4"/>
    <w:rsid w:val="4D586CAE"/>
    <w:rsid w:val="4D5A4B7A"/>
    <w:rsid w:val="4D6A03B2"/>
    <w:rsid w:val="4D766F8C"/>
    <w:rsid w:val="4D801533"/>
    <w:rsid w:val="4D884FF7"/>
    <w:rsid w:val="4D905165"/>
    <w:rsid w:val="4D917BFC"/>
    <w:rsid w:val="4DA55F6B"/>
    <w:rsid w:val="4DA772A7"/>
    <w:rsid w:val="4DAD2A05"/>
    <w:rsid w:val="4DBC6E93"/>
    <w:rsid w:val="4DD34864"/>
    <w:rsid w:val="4DDA33ED"/>
    <w:rsid w:val="4DDB3F96"/>
    <w:rsid w:val="4DDC49F8"/>
    <w:rsid w:val="4DE06201"/>
    <w:rsid w:val="4DE17AD0"/>
    <w:rsid w:val="4DE930F2"/>
    <w:rsid w:val="4DEC4FB0"/>
    <w:rsid w:val="4DF21278"/>
    <w:rsid w:val="4E021D9B"/>
    <w:rsid w:val="4E03632E"/>
    <w:rsid w:val="4E075D8A"/>
    <w:rsid w:val="4E2A76B7"/>
    <w:rsid w:val="4E2F1401"/>
    <w:rsid w:val="4E32573D"/>
    <w:rsid w:val="4E341C10"/>
    <w:rsid w:val="4E395E26"/>
    <w:rsid w:val="4E417738"/>
    <w:rsid w:val="4E493713"/>
    <w:rsid w:val="4E4A3ED1"/>
    <w:rsid w:val="4E4B021F"/>
    <w:rsid w:val="4E4F4008"/>
    <w:rsid w:val="4E5C13D5"/>
    <w:rsid w:val="4E5F0602"/>
    <w:rsid w:val="4E615ABA"/>
    <w:rsid w:val="4E6C54AA"/>
    <w:rsid w:val="4E6D2D6E"/>
    <w:rsid w:val="4E8323A6"/>
    <w:rsid w:val="4E8D1C95"/>
    <w:rsid w:val="4E975B87"/>
    <w:rsid w:val="4EAD5AE9"/>
    <w:rsid w:val="4EC00FAD"/>
    <w:rsid w:val="4EC57B32"/>
    <w:rsid w:val="4ED40B08"/>
    <w:rsid w:val="4ED9468C"/>
    <w:rsid w:val="4EE5238D"/>
    <w:rsid w:val="4EE97D69"/>
    <w:rsid w:val="4EF62CAD"/>
    <w:rsid w:val="4EFF2F92"/>
    <w:rsid w:val="4F0C0AA5"/>
    <w:rsid w:val="4F0F6DD4"/>
    <w:rsid w:val="4F13355E"/>
    <w:rsid w:val="4F153211"/>
    <w:rsid w:val="4F1E2121"/>
    <w:rsid w:val="4F1E40C0"/>
    <w:rsid w:val="4F24290E"/>
    <w:rsid w:val="4F336E44"/>
    <w:rsid w:val="4F385277"/>
    <w:rsid w:val="4F4E7B16"/>
    <w:rsid w:val="4F507AA3"/>
    <w:rsid w:val="4F6C2137"/>
    <w:rsid w:val="4F707E1F"/>
    <w:rsid w:val="4F7837CC"/>
    <w:rsid w:val="4F8067FC"/>
    <w:rsid w:val="4F81431F"/>
    <w:rsid w:val="4F8A060B"/>
    <w:rsid w:val="4F8C5B50"/>
    <w:rsid w:val="4F954232"/>
    <w:rsid w:val="4F977E2E"/>
    <w:rsid w:val="4F9843DC"/>
    <w:rsid w:val="4F9A5A25"/>
    <w:rsid w:val="4FA84C09"/>
    <w:rsid w:val="4FBD44FE"/>
    <w:rsid w:val="4FC16D8C"/>
    <w:rsid w:val="4FC33887"/>
    <w:rsid w:val="4FC62A8C"/>
    <w:rsid w:val="4FDC269B"/>
    <w:rsid w:val="4FE0229C"/>
    <w:rsid w:val="4FE20F0D"/>
    <w:rsid w:val="4FE51552"/>
    <w:rsid w:val="4FED5695"/>
    <w:rsid w:val="4FF41C93"/>
    <w:rsid w:val="4FF427A6"/>
    <w:rsid w:val="50036060"/>
    <w:rsid w:val="5012607B"/>
    <w:rsid w:val="50135E2A"/>
    <w:rsid w:val="50164CF3"/>
    <w:rsid w:val="501E3107"/>
    <w:rsid w:val="5037775B"/>
    <w:rsid w:val="503A638D"/>
    <w:rsid w:val="50422F25"/>
    <w:rsid w:val="5044678A"/>
    <w:rsid w:val="5047576C"/>
    <w:rsid w:val="50504C4B"/>
    <w:rsid w:val="50534AE1"/>
    <w:rsid w:val="506C7695"/>
    <w:rsid w:val="506E51AF"/>
    <w:rsid w:val="506E7F98"/>
    <w:rsid w:val="507843A7"/>
    <w:rsid w:val="507A1C4A"/>
    <w:rsid w:val="507F14DE"/>
    <w:rsid w:val="50824564"/>
    <w:rsid w:val="508F2CB6"/>
    <w:rsid w:val="50943380"/>
    <w:rsid w:val="50961125"/>
    <w:rsid w:val="509B5D17"/>
    <w:rsid w:val="509C6E7C"/>
    <w:rsid w:val="50A219C8"/>
    <w:rsid w:val="50AB2D48"/>
    <w:rsid w:val="50AC3700"/>
    <w:rsid w:val="50B82046"/>
    <w:rsid w:val="50B87395"/>
    <w:rsid w:val="50BE2A22"/>
    <w:rsid w:val="50C16653"/>
    <w:rsid w:val="50CE211D"/>
    <w:rsid w:val="50E12478"/>
    <w:rsid w:val="50E50801"/>
    <w:rsid w:val="50EB600E"/>
    <w:rsid w:val="50F0158A"/>
    <w:rsid w:val="50F17A61"/>
    <w:rsid w:val="5107225A"/>
    <w:rsid w:val="51302DDC"/>
    <w:rsid w:val="51366BA8"/>
    <w:rsid w:val="51397851"/>
    <w:rsid w:val="51484044"/>
    <w:rsid w:val="514A6956"/>
    <w:rsid w:val="514C4909"/>
    <w:rsid w:val="51517CC3"/>
    <w:rsid w:val="5152039D"/>
    <w:rsid w:val="51581009"/>
    <w:rsid w:val="515962BC"/>
    <w:rsid w:val="5162104E"/>
    <w:rsid w:val="516321B7"/>
    <w:rsid w:val="516528E4"/>
    <w:rsid w:val="516768B3"/>
    <w:rsid w:val="516C55A3"/>
    <w:rsid w:val="51762030"/>
    <w:rsid w:val="517A5F96"/>
    <w:rsid w:val="518349C2"/>
    <w:rsid w:val="51840623"/>
    <w:rsid w:val="51854666"/>
    <w:rsid w:val="518714DB"/>
    <w:rsid w:val="519561D8"/>
    <w:rsid w:val="5197536E"/>
    <w:rsid w:val="51A43566"/>
    <w:rsid w:val="51B41B3A"/>
    <w:rsid w:val="51B5265C"/>
    <w:rsid w:val="51C170EE"/>
    <w:rsid w:val="51C25640"/>
    <w:rsid w:val="51C702F7"/>
    <w:rsid w:val="51CF5C83"/>
    <w:rsid w:val="51D03656"/>
    <w:rsid w:val="51D47F43"/>
    <w:rsid w:val="51E00051"/>
    <w:rsid w:val="51EF5E7B"/>
    <w:rsid w:val="51FF5FB1"/>
    <w:rsid w:val="52036D91"/>
    <w:rsid w:val="52092A80"/>
    <w:rsid w:val="52126714"/>
    <w:rsid w:val="521E4901"/>
    <w:rsid w:val="52265E19"/>
    <w:rsid w:val="522F0F3F"/>
    <w:rsid w:val="522F48C5"/>
    <w:rsid w:val="523A5B3F"/>
    <w:rsid w:val="524244A8"/>
    <w:rsid w:val="52483B23"/>
    <w:rsid w:val="524B2337"/>
    <w:rsid w:val="52513A57"/>
    <w:rsid w:val="525B19E5"/>
    <w:rsid w:val="52695C42"/>
    <w:rsid w:val="527A08CE"/>
    <w:rsid w:val="52826F40"/>
    <w:rsid w:val="529B0A70"/>
    <w:rsid w:val="529B7828"/>
    <w:rsid w:val="52AA369B"/>
    <w:rsid w:val="52AA6E64"/>
    <w:rsid w:val="52AB012B"/>
    <w:rsid w:val="52AB7EB8"/>
    <w:rsid w:val="52B6177E"/>
    <w:rsid w:val="52C44A97"/>
    <w:rsid w:val="52C56389"/>
    <w:rsid w:val="52CD053C"/>
    <w:rsid w:val="52CD1E36"/>
    <w:rsid w:val="52DE1DF3"/>
    <w:rsid w:val="52DE7556"/>
    <w:rsid w:val="52E251FB"/>
    <w:rsid w:val="52E7788D"/>
    <w:rsid w:val="52E86D34"/>
    <w:rsid w:val="52FE64D2"/>
    <w:rsid w:val="53182099"/>
    <w:rsid w:val="53194332"/>
    <w:rsid w:val="5319464F"/>
    <w:rsid w:val="533264F0"/>
    <w:rsid w:val="533F56EC"/>
    <w:rsid w:val="53521D87"/>
    <w:rsid w:val="5356753A"/>
    <w:rsid w:val="53603BEE"/>
    <w:rsid w:val="53726730"/>
    <w:rsid w:val="5377437A"/>
    <w:rsid w:val="53802475"/>
    <w:rsid w:val="5398201D"/>
    <w:rsid w:val="53A039CC"/>
    <w:rsid w:val="53A1505A"/>
    <w:rsid w:val="53A861CF"/>
    <w:rsid w:val="53AC2D67"/>
    <w:rsid w:val="53AC4085"/>
    <w:rsid w:val="53AD2884"/>
    <w:rsid w:val="53B147C4"/>
    <w:rsid w:val="53C02DFD"/>
    <w:rsid w:val="53C47D96"/>
    <w:rsid w:val="53C82AF9"/>
    <w:rsid w:val="53D139AD"/>
    <w:rsid w:val="53D2014A"/>
    <w:rsid w:val="53DD46BF"/>
    <w:rsid w:val="53DE017F"/>
    <w:rsid w:val="53DE2D39"/>
    <w:rsid w:val="53E3334F"/>
    <w:rsid w:val="53E370D8"/>
    <w:rsid w:val="53EB1EA6"/>
    <w:rsid w:val="53EB5322"/>
    <w:rsid w:val="53EB60DD"/>
    <w:rsid w:val="53EF5DC8"/>
    <w:rsid w:val="53F13A24"/>
    <w:rsid w:val="53FE0F40"/>
    <w:rsid w:val="540236F2"/>
    <w:rsid w:val="54054B06"/>
    <w:rsid w:val="54063E08"/>
    <w:rsid w:val="541E007F"/>
    <w:rsid w:val="54201798"/>
    <w:rsid w:val="542D6315"/>
    <w:rsid w:val="542F0C13"/>
    <w:rsid w:val="54320279"/>
    <w:rsid w:val="543437E8"/>
    <w:rsid w:val="546674BE"/>
    <w:rsid w:val="54726FC1"/>
    <w:rsid w:val="54773EA7"/>
    <w:rsid w:val="547C4EDE"/>
    <w:rsid w:val="547E62E1"/>
    <w:rsid w:val="547F5D3F"/>
    <w:rsid w:val="548112AF"/>
    <w:rsid w:val="54865EF7"/>
    <w:rsid w:val="548D25DC"/>
    <w:rsid w:val="54966F46"/>
    <w:rsid w:val="549C373D"/>
    <w:rsid w:val="54A21A3A"/>
    <w:rsid w:val="54A86D6F"/>
    <w:rsid w:val="54A94A07"/>
    <w:rsid w:val="54AA38E7"/>
    <w:rsid w:val="54AE3547"/>
    <w:rsid w:val="54BA250A"/>
    <w:rsid w:val="54C86BD2"/>
    <w:rsid w:val="54CA4DD1"/>
    <w:rsid w:val="54CC70AF"/>
    <w:rsid w:val="54CE2C7E"/>
    <w:rsid w:val="54D313FE"/>
    <w:rsid w:val="54DD0C1C"/>
    <w:rsid w:val="54E0377B"/>
    <w:rsid w:val="54E32711"/>
    <w:rsid w:val="54EC5C44"/>
    <w:rsid w:val="54F73313"/>
    <w:rsid w:val="54F80955"/>
    <w:rsid w:val="551259DD"/>
    <w:rsid w:val="55271870"/>
    <w:rsid w:val="552A3C17"/>
    <w:rsid w:val="552D7F48"/>
    <w:rsid w:val="552E31B7"/>
    <w:rsid w:val="55302642"/>
    <w:rsid w:val="55357075"/>
    <w:rsid w:val="55415AB4"/>
    <w:rsid w:val="55510F82"/>
    <w:rsid w:val="555170A7"/>
    <w:rsid w:val="555B2308"/>
    <w:rsid w:val="55645845"/>
    <w:rsid w:val="556C1A27"/>
    <w:rsid w:val="55796EC2"/>
    <w:rsid w:val="55813BD6"/>
    <w:rsid w:val="5587536D"/>
    <w:rsid w:val="558E19F1"/>
    <w:rsid w:val="558E6D69"/>
    <w:rsid w:val="55984AC4"/>
    <w:rsid w:val="559B174B"/>
    <w:rsid w:val="55A02C39"/>
    <w:rsid w:val="55A9092E"/>
    <w:rsid w:val="55AF38B4"/>
    <w:rsid w:val="55B32BE1"/>
    <w:rsid w:val="55BB0B12"/>
    <w:rsid w:val="55BF0B21"/>
    <w:rsid w:val="55CE0CF4"/>
    <w:rsid w:val="55D45824"/>
    <w:rsid w:val="55D6214F"/>
    <w:rsid w:val="55E77BA1"/>
    <w:rsid w:val="55E86342"/>
    <w:rsid w:val="55F76A4A"/>
    <w:rsid w:val="55FB0A46"/>
    <w:rsid w:val="5602060F"/>
    <w:rsid w:val="560471B8"/>
    <w:rsid w:val="5607414D"/>
    <w:rsid w:val="560E2920"/>
    <w:rsid w:val="56116A99"/>
    <w:rsid w:val="563272C5"/>
    <w:rsid w:val="56332A93"/>
    <w:rsid w:val="563530A3"/>
    <w:rsid w:val="56434417"/>
    <w:rsid w:val="56464A5F"/>
    <w:rsid w:val="564A2D15"/>
    <w:rsid w:val="564F468F"/>
    <w:rsid w:val="56503EF4"/>
    <w:rsid w:val="56555B2F"/>
    <w:rsid w:val="56561C17"/>
    <w:rsid w:val="565622EB"/>
    <w:rsid w:val="56570FA5"/>
    <w:rsid w:val="565E5E67"/>
    <w:rsid w:val="567A7352"/>
    <w:rsid w:val="568604D9"/>
    <w:rsid w:val="5687433E"/>
    <w:rsid w:val="568F78B0"/>
    <w:rsid w:val="56A712AB"/>
    <w:rsid w:val="56A84B0C"/>
    <w:rsid w:val="56B22A9C"/>
    <w:rsid w:val="56B33C07"/>
    <w:rsid w:val="56CD4C2A"/>
    <w:rsid w:val="56CF60FB"/>
    <w:rsid w:val="56D06EA6"/>
    <w:rsid w:val="56DA0A69"/>
    <w:rsid w:val="56DC543D"/>
    <w:rsid w:val="56DE29AA"/>
    <w:rsid w:val="56DF1E20"/>
    <w:rsid w:val="56E44F4D"/>
    <w:rsid w:val="56EB6ED5"/>
    <w:rsid w:val="56F13851"/>
    <w:rsid w:val="56F23017"/>
    <w:rsid w:val="56F45BF6"/>
    <w:rsid w:val="57004687"/>
    <w:rsid w:val="5706419D"/>
    <w:rsid w:val="570F1D90"/>
    <w:rsid w:val="571D5239"/>
    <w:rsid w:val="572606F4"/>
    <w:rsid w:val="572B5F41"/>
    <w:rsid w:val="572F2CAD"/>
    <w:rsid w:val="57320D8C"/>
    <w:rsid w:val="57434DDA"/>
    <w:rsid w:val="57445936"/>
    <w:rsid w:val="575B5BF5"/>
    <w:rsid w:val="575F440B"/>
    <w:rsid w:val="57665715"/>
    <w:rsid w:val="5776211C"/>
    <w:rsid w:val="577F20D0"/>
    <w:rsid w:val="577F458C"/>
    <w:rsid w:val="578F2977"/>
    <w:rsid w:val="579510BB"/>
    <w:rsid w:val="57975E3A"/>
    <w:rsid w:val="579B5946"/>
    <w:rsid w:val="57AA03E7"/>
    <w:rsid w:val="57B72A76"/>
    <w:rsid w:val="57BB591B"/>
    <w:rsid w:val="57C3426C"/>
    <w:rsid w:val="57C45915"/>
    <w:rsid w:val="57CE1F93"/>
    <w:rsid w:val="57D22741"/>
    <w:rsid w:val="57D26AA2"/>
    <w:rsid w:val="57DA2EFD"/>
    <w:rsid w:val="57E01D5A"/>
    <w:rsid w:val="57E654D5"/>
    <w:rsid w:val="57EE5F09"/>
    <w:rsid w:val="57F25EB4"/>
    <w:rsid w:val="57F53132"/>
    <w:rsid w:val="57F839DA"/>
    <w:rsid w:val="58066325"/>
    <w:rsid w:val="580D2CD2"/>
    <w:rsid w:val="581D0684"/>
    <w:rsid w:val="582F5D6E"/>
    <w:rsid w:val="58315E6C"/>
    <w:rsid w:val="5834520E"/>
    <w:rsid w:val="58362E48"/>
    <w:rsid w:val="58366B4F"/>
    <w:rsid w:val="583B3773"/>
    <w:rsid w:val="58457B06"/>
    <w:rsid w:val="58517577"/>
    <w:rsid w:val="585640A3"/>
    <w:rsid w:val="585C7FE3"/>
    <w:rsid w:val="58661502"/>
    <w:rsid w:val="586745DD"/>
    <w:rsid w:val="586816F0"/>
    <w:rsid w:val="586A4EF6"/>
    <w:rsid w:val="58740087"/>
    <w:rsid w:val="58746391"/>
    <w:rsid w:val="587A1FF8"/>
    <w:rsid w:val="588743D1"/>
    <w:rsid w:val="5887701A"/>
    <w:rsid w:val="58951D7E"/>
    <w:rsid w:val="589E7D3F"/>
    <w:rsid w:val="58A143A0"/>
    <w:rsid w:val="58A40E5A"/>
    <w:rsid w:val="58AE080B"/>
    <w:rsid w:val="58B5744D"/>
    <w:rsid w:val="58B63622"/>
    <w:rsid w:val="58C476BB"/>
    <w:rsid w:val="58D710F6"/>
    <w:rsid w:val="58DC3A6D"/>
    <w:rsid w:val="58DD4994"/>
    <w:rsid w:val="58E00C47"/>
    <w:rsid w:val="58E40112"/>
    <w:rsid w:val="58EE17DE"/>
    <w:rsid w:val="58F36B21"/>
    <w:rsid w:val="590541D6"/>
    <w:rsid w:val="59055E0B"/>
    <w:rsid w:val="590C07D0"/>
    <w:rsid w:val="592058A7"/>
    <w:rsid w:val="5923162A"/>
    <w:rsid w:val="592813FB"/>
    <w:rsid w:val="592918F7"/>
    <w:rsid w:val="59366407"/>
    <w:rsid w:val="593D42B8"/>
    <w:rsid w:val="593F4828"/>
    <w:rsid w:val="594726F6"/>
    <w:rsid w:val="595558B8"/>
    <w:rsid w:val="595B5016"/>
    <w:rsid w:val="596D18CE"/>
    <w:rsid w:val="596D6516"/>
    <w:rsid w:val="596F0E12"/>
    <w:rsid w:val="597133B2"/>
    <w:rsid w:val="597B0271"/>
    <w:rsid w:val="598879F0"/>
    <w:rsid w:val="598918A8"/>
    <w:rsid w:val="598A55AD"/>
    <w:rsid w:val="598E14A2"/>
    <w:rsid w:val="59943BF6"/>
    <w:rsid w:val="599F0AB9"/>
    <w:rsid w:val="59A14847"/>
    <w:rsid w:val="59B65BA1"/>
    <w:rsid w:val="59B7372B"/>
    <w:rsid w:val="59B75ECF"/>
    <w:rsid w:val="59C0439F"/>
    <w:rsid w:val="59DA7411"/>
    <w:rsid w:val="59E71658"/>
    <w:rsid w:val="59E73F23"/>
    <w:rsid w:val="59EB742F"/>
    <w:rsid w:val="59FA46A3"/>
    <w:rsid w:val="5A0017B7"/>
    <w:rsid w:val="5A041AE9"/>
    <w:rsid w:val="5A0C7C83"/>
    <w:rsid w:val="5A122878"/>
    <w:rsid w:val="5A151089"/>
    <w:rsid w:val="5A1C56B5"/>
    <w:rsid w:val="5A326B17"/>
    <w:rsid w:val="5A3E3C4D"/>
    <w:rsid w:val="5A7057E2"/>
    <w:rsid w:val="5A775F50"/>
    <w:rsid w:val="5A7D3669"/>
    <w:rsid w:val="5A86469C"/>
    <w:rsid w:val="5A8B7E4B"/>
    <w:rsid w:val="5A8D325A"/>
    <w:rsid w:val="5A9D7365"/>
    <w:rsid w:val="5A9E51DB"/>
    <w:rsid w:val="5AA35656"/>
    <w:rsid w:val="5AA855CB"/>
    <w:rsid w:val="5AB3745A"/>
    <w:rsid w:val="5AB9184A"/>
    <w:rsid w:val="5ABC1ADA"/>
    <w:rsid w:val="5ABE2233"/>
    <w:rsid w:val="5ACE32A8"/>
    <w:rsid w:val="5AE76463"/>
    <w:rsid w:val="5AE87D5B"/>
    <w:rsid w:val="5AEC2FFD"/>
    <w:rsid w:val="5AF61B07"/>
    <w:rsid w:val="5B036C02"/>
    <w:rsid w:val="5B0530C1"/>
    <w:rsid w:val="5B0B2F0B"/>
    <w:rsid w:val="5B0B55BF"/>
    <w:rsid w:val="5B154762"/>
    <w:rsid w:val="5B1701F1"/>
    <w:rsid w:val="5B1B3F30"/>
    <w:rsid w:val="5B1E7278"/>
    <w:rsid w:val="5B23290D"/>
    <w:rsid w:val="5B242BF3"/>
    <w:rsid w:val="5B367C6A"/>
    <w:rsid w:val="5B506F97"/>
    <w:rsid w:val="5B6074FD"/>
    <w:rsid w:val="5B7A2B8A"/>
    <w:rsid w:val="5B87671C"/>
    <w:rsid w:val="5B92097F"/>
    <w:rsid w:val="5B99018A"/>
    <w:rsid w:val="5B9B6B9D"/>
    <w:rsid w:val="5BA4375C"/>
    <w:rsid w:val="5BBA6CA8"/>
    <w:rsid w:val="5BBB7C4D"/>
    <w:rsid w:val="5BC9773D"/>
    <w:rsid w:val="5BD059E8"/>
    <w:rsid w:val="5BD3321C"/>
    <w:rsid w:val="5BD80E89"/>
    <w:rsid w:val="5BD96263"/>
    <w:rsid w:val="5BDE1F6F"/>
    <w:rsid w:val="5BDF5D95"/>
    <w:rsid w:val="5BE4158D"/>
    <w:rsid w:val="5BE616D1"/>
    <w:rsid w:val="5BF00152"/>
    <w:rsid w:val="5BFD0717"/>
    <w:rsid w:val="5BFE7528"/>
    <w:rsid w:val="5C006ED7"/>
    <w:rsid w:val="5C02567F"/>
    <w:rsid w:val="5C061E7C"/>
    <w:rsid w:val="5C073FE1"/>
    <w:rsid w:val="5C182C53"/>
    <w:rsid w:val="5C192A8F"/>
    <w:rsid w:val="5C26496C"/>
    <w:rsid w:val="5C2C752F"/>
    <w:rsid w:val="5C3E0FA5"/>
    <w:rsid w:val="5C3F79E4"/>
    <w:rsid w:val="5C623C0B"/>
    <w:rsid w:val="5C70491A"/>
    <w:rsid w:val="5C7C063F"/>
    <w:rsid w:val="5C7C1CC3"/>
    <w:rsid w:val="5C7D6A21"/>
    <w:rsid w:val="5C852846"/>
    <w:rsid w:val="5C85477D"/>
    <w:rsid w:val="5C86303B"/>
    <w:rsid w:val="5C866BB5"/>
    <w:rsid w:val="5C87086E"/>
    <w:rsid w:val="5C8962D8"/>
    <w:rsid w:val="5C8A0FFF"/>
    <w:rsid w:val="5C8C0A12"/>
    <w:rsid w:val="5C9B1792"/>
    <w:rsid w:val="5CA84880"/>
    <w:rsid w:val="5CC41C9A"/>
    <w:rsid w:val="5CD11D88"/>
    <w:rsid w:val="5CD6790F"/>
    <w:rsid w:val="5CE778E7"/>
    <w:rsid w:val="5CEC4875"/>
    <w:rsid w:val="5CED5FC8"/>
    <w:rsid w:val="5CEE6E61"/>
    <w:rsid w:val="5CF67713"/>
    <w:rsid w:val="5D132CE3"/>
    <w:rsid w:val="5D1F0BBA"/>
    <w:rsid w:val="5D244EE1"/>
    <w:rsid w:val="5D2833E9"/>
    <w:rsid w:val="5D2B5226"/>
    <w:rsid w:val="5D34791C"/>
    <w:rsid w:val="5D3A04AD"/>
    <w:rsid w:val="5D3E277D"/>
    <w:rsid w:val="5D43348B"/>
    <w:rsid w:val="5D49145B"/>
    <w:rsid w:val="5D4A59A1"/>
    <w:rsid w:val="5D4A6ECF"/>
    <w:rsid w:val="5D4B264F"/>
    <w:rsid w:val="5D624A8A"/>
    <w:rsid w:val="5D6C2672"/>
    <w:rsid w:val="5D755197"/>
    <w:rsid w:val="5D8C0AD1"/>
    <w:rsid w:val="5D8C3897"/>
    <w:rsid w:val="5D9E3AEF"/>
    <w:rsid w:val="5DA30066"/>
    <w:rsid w:val="5DA71D00"/>
    <w:rsid w:val="5DB367F6"/>
    <w:rsid w:val="5DC0015F"/>
    <w:rsid w:val="5DC60A90"/>
    <w:rsid w:val="5DCC61D4"/>
    <w:rsid w:val="5DEF7203"/>
    <w:rsid w:val="5DF031D7"/>
    <w:rsid w:val="5DF23803"/>
    <w:rsid w:val="5DF4027E"/>
    <w:rsid w:val="5DF70213"/>
    <w:rsid w:val="5DF761C7"/>
    <w:rsid w:val="5DFD13D6"/>
    <w:rsid w:val="5E007FA6"/>
    <w:rsid w:val="5E092A2B"/>
    <w:rsid w:val="5E1540A5"/>
    <w:rsid w:val="5E166484"/>
    <w:rsid w:val="5E211FC5"/>
    <w:rsid w:val="5E2467F1"/>
    <w:rsid w:val="5E302C3D"/>
    <w:rsid w:val="5E4378DB"/>
    <w:rsid w:val="5E537325"/>
    <w:rsid w:val="5E6204C3"/>
    <w:rsid w:val="5E6A76E8"/>
    <w:rsid w:val="5E6E069C"/>
    <w:rsid w:val="5E7C4F3B"/>
    <w:rsid w:val="5E8407FA"/>
    <w:rsid w:val="5E855601"/>
    <w:rsid w:val="5E880176"/>
    <w:rsid w:val="5E8C5C14"/>
    <w:rsid w:val="5E8D7DFF"/>
    <w:rsid w:val="5E8E5D37"/>
    <w:rsid w:val="5E9424AF"/>
    <w:rsid w:val="5E9E172D"/>
    <w:rsid w:val="5EA30097"/>
    <w:rsid w:val="5EA637DF"/>
    <w:rsid w:val="5EAA4F57"/>
    <w:rsid w:val="5EB64911"/>
    <w:rsid w:val="5EBE2FEB"/>
    <w:rsid w:val="5ED63480"/>
    <w:rsid w:val="5EDC4752"/>
    <w:rsid w:val="5EE5025D"/>
    <w:rsid w:val="5EEB1727"/>
    <w:rsid w:val="5F0E61D3"/>
    <w:rsid w:val="5F1373CC"/>
    <w:rsid w:val="5F1A2B43"/>
    <w:rsid w:val="5F1F7FEB"/>
    <w:rsid w:val="5F226258"/>
    <w:rsid w:val="5F3722ED"/>
    <w:rsid w:val="5F422629"/>
    <w:rsid w:val="5F503E2F"/>
    <w:rsid w:val="5F560286"/>
    <w:rsid w:val="5F585A96"/>
    <w:rsid w:val="5F6433AF"/>
    <w:rsid w:val="5F6A392D"/>
    <w:rsid w:val="5F6E77F9"/>
    <w:rsid w:val="5F773E84"/>
    <w:rsid w:val="5F773F86"/>
    <w:rsid w:val="5F804752"/>
    <w:rsid w:val="5F887230"/>
    <w:rsid w:val="5F8B54DA"/>
    <w:rsid w:val="5F8E0DCC"/>
    <w:rsid w:val="5F8E1DAB"/>
    <w:rsid w:val="5F916EE4"/>
    <w:rsid w:val="5F964D62"/>
    <w:rsid w:val="5FA2085C"/>
    <w:rsid w:val="5FB31CBE"/>
    <w:rsid w:val="5FB43A97"/>
    <w:rsid w:val="5FB837BB"/>
    <w:rsid w:val="5FC324AB"/>
    <w:rsid w:val="5FCC7820"/>
    <w:rsid w:val="5FD21ACE"/>
    <w:rsid w:val="5FD245CD"/>
    <w:rsid w:val="5FDD6C43"/>
    <w:rsid w:val="5FE66E9A"/>
    <w:rsid w:val="5FED396D"/>
    <w:rsid w:val="5FEF54C4"/>
    <w:rsid w:val="5FF439E4"/>
    <w:rsid w:val="600219AC"/>
    <w:rsid w:val="600D2182"/>
    <w:rsid w:val="6010299F"/>
    <w:rsid w:val="60125F0E"/>
    <w:rsid w:val="60126118"/>
    <w:rsid w:val="601501C8"/>
    <w:rsid w:val="601549DA"/>
    <w:rsid w:val="60214974"/>
    <w:rsid w:val="6031230F"/>
    <w:rsid w:val="60404055"/>
    <w:rsid w:val="60460324"/>
    <w:rsid w:val="6046472B"/>
    <w:rsid w:val="60480ADC"/>
    <w:rsid w:val="60514ECF"/>
    <w:rsid w:val="60580D5E"/>
    <w:rsid w:val="60614490"/>
    <w:rsid w:val="60625F22"/>
    <w:rsid w:val="606557B6"/>
    <w:rsid w:val="606F73F5"/>
    <w:rsid w:val="60876901"/>
    <w:rsid w:val="609458B6"/>
    <w:rsid w:val="60A13134"/>
    <w:rsid w:val="60AC6983"/>
    <w:rsid w:val="60B56102"/>
    <w:rsid w:val="60B70748"/>
    <w:rsid w:val="60BE4B30"/>
    <w:rsid w:val="60C0100E"/>
    <w:rsid w:val="60C43183"/>
    <w:rsid w:val="60C44755"/>
    <w:rsid w:val="60C70EF9"/>
    <w:rsid w:val="60C815A5"/>
    <w:rsid w:val="60CA2E55"/>
    <w:rsid w:val="60CC405A"/>
    <w:rsid w:val="60E45EA4"/>
    <w:rsid w:val="60E92B9E"/>
    <w:rsid w:val="60FC6CDC"/>
    <w:rsid w:val="61017194"/>
    <w:rsid w:val="61017E45"/>
    <w:rsid w:val="611428CA"/>
    <w:rsid w:val="611F6605"/>
    <w:rsid w:val="61222EF1"/>
    <w:rsid w:val="613363B8"/>
    <w:rsid w:val="613438AB"/>
    <w:rsid w:val="6141360B"/>
    <w:rsid w:val="61460440"/>
    <w:rsid w:val="61475B3B"/>
    <w:rsid w:val="614804C6"/>
    <w:rsid w:val="6153182A"/>
    <w:rsid w:val="615A6F27"/>
    <w:rsid w:val="618316B6"/>
    <w:rsid w:val="619D2000"/>
    <w:rsid w:val="61A1436C"/>
    <w:rsid w:val="61A447C8"/>
    <w:rsid w:val="61AB6D0D"/>
    <w:rsid w:val="61B877BB"/>
    <w:rsid w:val="61BF0A53"/>
    <w:rsid w:val="61CC1C84"/>
    <w:rsid w:val="61CC6C92"/>
    <w:rsid w:val="61D41E7B"/>
    <w:rsid w:val="61D5212E"/>
    <w:rsid w:val="61DC42D0"/>
    <w:rsid w:val="61DF5AE7"/>
    <w:rsid w:val="61E020AC"/>
    <w:rsid w:val="61E0275D"/>
    <w:rsid w:val="61E215D8"/>
    <w:rsid w:val="61E52DDA"/>
    <w:rsid w:val="61F20D76"/>
    <w:rsid w:val="61F33766"/>
    <w:rsid w:val="61F53982"/>
    <w:rsid w:val="61FE1A1A"/>
    <w:rsid w:val="62015713"/>
    <w:rsid w:val="62091CBD"/>
    <w:rsid w:val="621B116B"/>
    <w:rsid w:val="621B3775"/>
    <w:rsid w:val="621C0A22"/>
    <w:rsid w:val="62364782"/>
    <w:rsid w:val="6237268C"/>
    <w:rsid w:val="623B55C0"/>
    <w:rsid w:val="62404BDF"/>
    <w:rsid w:val="62445E4D"/>
    <w:rsid w:val="624901FA"/>
    <w:rsid w:val="624945DF"/>
    <w:rsid w:val="624F3DCC"/>
    <w:rsid w:val="6254736C"/>
    <w:rsid w:val="625C10C4"/>
    <w:rsid w:val="625D56D7"/>
    <w:rsid w:val="62697472"/>
    <w:rsid w:val="62727173"/>
    <w:rsid w:val="6276435B"/>
    <w:rsid w:val="627C1A9C"/>
    <w:rsid w:val="62816714"/>
    <w:rsid w:val="6294115D"/>
    <w:rsid w:val="62A14F70"/>
    <w:rsid w:val="62A33A5E"/>
    <w:rsid w:val="62A45398"/>
    <w:rsid w:val="62A66E1D"/>
    <w:rsid w:val="62C2439C"/>
    <w:rsid w:val="62C8051B"/>
    <w:rsid w:val="62F32A98"/>
    <w:rsid w:val="62FB4020"/>
    <w:rsid w:val="63055A71"/>
    <w:rsid w:val="630628CB"/>
    <w:rsid w:val="630F436F"/>
    <w:rsid w:val="63157C19"/>
    <w:rsid w:val="631946D8"/>
    <w:rsid w:val="632A1B49"/>
    <w:rsid w:val="63337EAB"/>
    <w:rsid w:val="633C664E"/>
    <w:rsid w:val="633E2F0E"/>
    <w:rsid w:val="634A22F8"/>
    <w:rsid w:val="634B11BA"/>
    <w:rsid w:val="635055D9"/>
    <w:rsid w:val="63545534"/>
    <w:rsid w:val="635D511D"/>
    <w:rsid w:val="636F3607"/>
    <w:rsid w:val="63835680"/>
    <w:rsid w:val="63871C14"/>
    <w:rsid w:val="638C2622"/>
    <w:rsid w:val="6394356A"/>
    <w:rsid w:val="63B7391E"/>
    <w:rsid w:val="63C61B2C"/>
    <w:rsid w:val="63CB5EF2"/>
    <w:rsid w:val="63D40BE9"/>
    <w:rsid w:val="63E73729"/>
    <w:rsid w:val="63EF084E"/>
    <w:rsid w:val="63F623CB"/>
    <w:rsid w:val="64047068"/>
    <w:rsid w:val="64102431"/>
    <w:rsid w:val="64272E3C"/>
    <w:rsid w:val="64293BA0"/>
    <w:rsid w:val="642B32C1"/>
    <w:rsid w:val="64303F9C"/>
    <w:rsid w:val="64314D0B"/>
    <w:rsid w:val="64347EEE"/>
    <w:rsid w:val="6441765F"/>
    <w:rsid w:val="644329B3"/>
    <w:rsid w:val="644A1727"/>
    <w:rsid w:val="64592CA2"/>
    <w:rsid w:val="645D097C"/>
    <w:rsid w:val="645F1495"/>
    <w:rsid w:val="64651856"/>
    <w:rsid w:val="64793281"/>
    <w:rsid w:val="64876B3A"/>
    <w:rsid w:val="64893FF0"/>
    <w:rsid w:val="648B4759"/>
    <w:rsid w:val="649355D7"/>
    <w:rsid w:val="649A0810"/>
    <w:rsid w:val="649B7BE6"/>
    <w:rsid w:val="649C26B0"/>
    <w:rsid w:val="64A17473"/>
    <w:rsid w:val="64A5243A"/>
    <w:rsid w:val="64A6513E"/>
    <w:rsid w:val="64B17635"/>
    <w:rsid w:val="64B433F0"/>
    <w:rsid w:val="64B719BB"/>
    <w:rsid w:val="64BA02DB"/>
    <w:rsid w:val="64CD5039"/>
    <w:rsid w:val="64E96CEE"/>
    <w:rsid w:val="64F531DE"/>
    <w:rsid w:val="64FD3FF8"/>
    <w:rsid w:val="64FE413B"/>
    <w:rsid w:val="650E16B9"/>
    <w:rsid w:val="6514782A"/>
    <w:rsid w:val="651C6C64"/>
    <w:rsid w:val="65263591"/>
    <w:rsid w:val="652E402B"/>
    <w:rsid w:val="65373578"/>
    <w:rsid w:val="653B0D1C"/>
    <w:rsid w:val="653E3C4E"/>
    <w:rsid w:val="6542669B"/>
    <w:rsid w:val="65427632"/>
    <w:rsid w:val="654544C2"/>
    <w:rsid w:val="65476B44"/>
    <w:rsid w:val="655166FF"/>
    <w:rsid w:val="656C4F57"/>
    <w:rsid w:val="656D5457"/>
    <w:rsid w:val="656E0E93"/>
    <w:rsid w:val="6572766C"/>
    <w:rsid w:val="65736187"/>
    <w:rsid w:val="657B4591"/>
    <w:rsid w:val="658A450F"/>
    <w:rsid w:val="659047D4"/>
    <w:rsid w:val="65A275C0"/>
    <w:rsid w:val="65A85BD3"/>
    <w:rsid w:val="65AB4424"/>
    <w:rsid w:val="65B52F04"/>
    <w:rsid w:val="65B719BA"/>
    <w:rsid w:val="65BD02EC"/>
    <w:rsid w:val="65CD6A66"/>
    <w:rsid w:val="65CF13F0"/>
    <w:rsid w:val="65D430C9"/>
    <w:rsid w:val="65D740DD"/>
    <w:rsid w:val="65E73470"/>
    <w:rsid w:val="65EB63C6"/>
    <w:rsid w:val="65FC2666"/>
    <w:rsid w:val="6600474C"/>
    <w:rsid w:val="660772E2"/>
    <w:rsid w:val="66140CF4"/>
    <w:rsid w:val="66174962"/>
    <w:rsid w:val="66190433"/>
    <w:rsid w:val="66206BC5"/>
    <w:rsid w:val="662140F6"/>
    <w:rsid w:val="66262D90"/>
    <w:rsid w:val="663E3F2B"/>
    <w:rsid w:val="664218E8"/>
    <w:rsid w:val="664D3DED"/>
    <w:rsid w:val="66505A95"/>
    <w:rsid w:val="66522EC1"/>
    <w:rsid w:val="665B4725"/>
    <w:rsid w:val="66693703"/>
    <w:rsid w:val="666E5D72"/>
    <w:rsid w:val="667443E9"/>
    <w:rsid w:val="66783B51"/>
    <w:rsid w:val="66803002"/>
    <w:rsid w:val="66826E66"/>
    <w:rsid w:val="66971FE2"/>
    <w:rsid w:val="66973FBC"/>
    <w:rsid w:val="66AB388F"/>
    <w:rsid w:val="66B57017"/>
    <w:rsid w:val="66B661CD"/>
    <w:rsid w:val="66BA7CCE"/>
    <w:rsid w:val="66BE227D"/>
    <w:rsid w:val="66BE26E5"/>
    <w:rsid w:val="66DD4EBE"/>
    <w:rsid w:val="66E52896"/>
    <w:rsid w:val="66FE7F5E"/>
    <w:rsid w:val="67031198"/>
    <w:rsid w:val="670405B6"/>
    <w:rsid w:val="671B6A8F"/>
    <w:rsid w:val="671C2FB9"/>
    <w:rsid w:val="671F124A"/>
    <w:rsid w:val="6724762B"/>
    <w:rsid w:val="67263645"/>
    <w:rsid w:val="67315196"/>
    <w:rsid w:val="67340819"/>
    <w:rsid w:val="673F641C"/>
    <w:rsid w:val="674B2E8A"/>
    <w:rsid w:val="67564C33"/>
    <w:rsid w:val="677A33C6"/>
    <w:rsid w:val="67887B8E"/>
    <w:rsid w:val="678D0559"/>
    <w:rsid w:val="678D1213"/>
    <w:rsid w:val="67933E0A"/>
    <w:rsid w:val="6795720B"/>
    <w:rsid w:val="679936CA"/>
    <w:rsid w:val="67AC22D4"/>
    <w:rsid w:val="67B40D90"/>
    <w:rsid w:val="67C5321D"/>
    <w:rsid w:val="67C902A7"/>
    <w:rsid w:val="67DB288C"/>
    <w:rsid w:val="67DE378B"/>
    <w:rsid w:val="67DE462A"/>
    <w:rsid w:val="67E522C8"/>
    <w:rsid w:val="67E579A9"/>
    <w:rsid w:val="67E71A7F"/>
    <w:rsid w:val="67EA588B"/>
    <w:rsid w:val="67EE5D74"/>
    <w:rsid w:val="67F45D61"/>
    <w:rsid w:val="67F673A3"/>
    <w:rsid w:val="67F87933"/>
    <w:rsid w:val="681F6961"/>
    <w:rsid w:val="682126AF"/>
    <w:rsid w:val="682200AB"/>
    <w:rsid w:val="68285F28"/>
    <w:rsid w:val="683E489B"/>
    <w:rsid w:val="684D104F"/>
    <w:rsid w:val="6857050C"/>
    <w:rsid w:val="68610A2F"/>
    <w:rsid w:val="68645CE6"/>
    <w:rsid w:val="686515B1"/>
    <w:rsid w:val="686A7ED5"/>
    <w:rsid w:val="68704B48"/>
    <w:rsid w:val="68726238"/>
    <w:rsid w:val="687359F3"/>
    <w:rsid w:val="687E0BA9"/>
    <w:rsid w:val="687F2560"/>
    <w:rsid w:val="68805514"/>
    <w:rsid w:val="68817B74"/>
    <w:rsid w:val="68917864"/>
    <w:rsid w:val="689636DF"/>
    <w:rsid w:val="689E08C0"/>
    <w:rsid w:val="68A154B4"/>
    <w:rsid w:val="68A4194E"/>
    <w:rsid w:val="68A471BD"/>
    <w:rsid w:val="68AB78EC"/>
    <w:rsid w:val="68BB2D87"/>
    <w:rsid w:val="68BB562D"/>
    <w:rsid w:val="68D10FC5"/>
    <w:rsid w:val="68D82E2F"/>
    <w:rsid w:val="68DF0415"/>
    <w:rsid w:val="68E26821"/>
    <w:rsid w:val="68E83198"/>
    <w:rsid w:val="68E96DFA"/>
    <w:rsid w:val="68F64A05"/>
    <w:rsid w:val="68FC2325"/>
    <w:rsid w:val="6906507E"/>
    <w:rsid w:val="690E2B22"/>
    <w:rsid w:val="691A5339"/>
    <w:rsid w:val="691B4A08"/>
    <w:rsid w:val="691C7628"/>
    <w:rsid w:val="691D69D2"/>
    <w:rsid w:val="69215263"/>
    <w:rsid w:val="6922589F"/>
    <w:rsid w:val="69277E57"/>
    <w:rsid w:val="692D15DC"/>
    <w:rsid w:val="692D5503"/>
    <w:rsid w:val="692F0506"/>
    <w:rsid w:val="69316E2F"/>
    <w:rsid w:val="69366EEC"/>
    <w:rsid w:val="694434EA"/>
    <w:rsid w:val="694E2071"/>
    <w:rsid w:val="695C72F6"/>
    <w:rsid w:val="69615782"/>
    <w:rsid w:val="696854AB"/>
    <w:rsid w:val="69766163"/>
    <w:rsid w:val="697A3B33"/>
    <w:rsid w:val="69871402"/>
    <w:rsid w:val="6988727C"/>
    <w:rsid w:val="698931F7"/>
    <w:rsid w:val="698F1B99"/>
    <w:rsid w:val="699A20C9"/>
    <w:rsid w:val="69A7582E"/>
    <w:rsid w:val="69AA677E"/>
    <w:rsid w:val="69AC6B53"/>
    <w:rsid w:val="69AD52C3"/>
    <w:rsid w:val="69B01F3C"/>
    <w:rsid w:val="69B35126"/>
    <w:rsid w:val="69B67729"/>
    <w:rsid w:val="69C90ABA"/>
    <w:rsid w:val="69D2511A"/>
    <w:rsid w:val="69D44760"/>
    <w:rsid w:val="69E47734"/>
    <w:rsid w:val="6A004C72"/>
    <w:rsid w:val="6A0B57C9"/>
    <w:rsid w:val="6A0E1E7A"/>
    <w:rsid w:val="6A100B81"/>
    <w:rsid w:val="6A1111DC"/>
    <w:rsid w:val="6A2603F6"/>
    <w:rsid w:val="6A2C0CF4"/>
    <w:rsid w:val="6A3F3901"/>
    <w:rsid w:val="6A403EB1"/>
    <w:rsid w:val="6A446FC5"/>
    <w:rsid w:val="6A520EC7"/>
    <w:rsid w:val="6A6142A6"/>
    <w:rsid w:val="6A661187"/>
    <w:rsid w:val="6A676DF6"/>
    <w:rsid w:val="6A6E7E75"/>
    <w:rsid w:val="6A732285"/>
    <w:rsid w:val="6A7438B2"/>
    <w:rsid w:val="6A75037A"/>
    <w:rsid w:val="6A7940F5"/>
    <w:rsid w:val="6A794EC4"/>
    <w:rsid w:val="6A7B5A43"/>
    <w:rsid w:val="6A7D4270"/>
    <w:rsid w:val="6A8151D4"/>
    <w:rsid w:val="6A967F05"/>
    <w:rsid w:val="6A9D2B79"/>
    <w:rsid w:val="6AA37D60"/>
    <w:rsid w:val="6AA37D64"/>
    <w:rsid w:val="6AA972D7"/>
    <w:rsid w:val="6AB16BAE"/>
    <w:rsid w:val="6AB67E97"/>
    <w:rsid w:val="6ABA043D"/>
    <w:rsid w:val="6ABC0704"/>
    <w:rsid w:val="6ABC1401"/>
    <w:rsid w:val="6ABE7494"/>
    <w:rsid w:val="6ABF45CC"/>
    <w:rsid w:val="6AC719FD"/>
    <w:rsid w:val="6AC85395"/>
    <w:rsid w:val="6AC94BF1"/>
    <w:rsid w:val="6AD005E8"/>
    <w:rsid w:val="6AD35053"/>
    <w:rsid w:val="6AD464CE"/>
    <w:rsid w:val="6AE459A4"/>
    <w:rsid w:val="6AF0269F"/>
    <w:rsid w:val="6AF87E20"/>
    <w:rsid w:val="6B025D53"/>
    <w:rsid w:val="6B053E81"/>
    <w:rsid w:val="6B063E4D"/>
    <w:rsid w:val="6B0B4AD4"/>
    <w:rsid w:val="6B1A1330"/>
    <w:rsid w:val="6B293E87"/>
    <w:rsid w:val="6B322639"/>
    <w:rsid w:val="6B5F5D7C"/>
    <w:rsid w:val="6B6E5ED2"/>
    <w:rsid w:val="6B70404A"/>
    <w:rsid w:val="6B707ACB"/>
    <w:rsid w:val="6BA5452B"/>
    <w:rsid w:val="6BB16CB8"/>
    <w:rsid w:val="6BB4238F"/>
    <w:rsid w:val="6BBD1AF1"/>
    <w:rsid w:val="6BC42E54"/>
    <w:rsid w:val="6BC43611"/>
    <w:rsid w:val="6BCE60D9"/>
    <w:rsid w:val="6BD27D73"/>
    <w:rsid w:val="6BD4495A"/>
    <w:rsid w:val="6BD96230"/>
    <w:rsid w:val="6BDA32A1"/>
    <w:rsid w:val="6BF06F22"/>
    <w:rsid w:val="6C045EEA"/>
    <w:rsid w:val="6C056EB7"/>
    <w:rsid w:val="6C1B630E"/>
    <w:rsid w:val="6C2774BC"/>
    <w:rsid w:val="6C287D97"/>
    <w:rsid w:val="6C2E0DBD"/>
    <w:rsid w:val="6C3417DE"/>
    <w:rsid w:val="6C397935"/>
    <w:rsid w:val="6C3F002E"/>
    <w:rsid w:val="6C4C0A35"/>
    <w:rsid w:val="6C636C38"/>
    <w:rsid w:val="6C721C35"/>
    <w:rsid w:val="6C737341"/>
    <w:rsid w:val="6C836DFB"/>
    <w:rsid w:val="6C884962"/>
    <w:rsid w:val="6C8E3121"/>
    <w:rsid w:val="6C9233E2"/>
    <w:rsid w:val="6C976BFE"/>
    <w:rsid w:val="6C9E2A5F"/>
    <w:rsid w:val="6CA50032"/>
    <w:rsid w:val="6CA71F43"/>
    <w:rsid w:val="6CCD03D7"/>
    <w:rsid w:val="6CD12E53"/>
    <w:rsid w:val="6CD132F6"/>
    <w:rsid w:val="6CD20D77"/>
    <w:rsid w:val="6CD3336B"/>
    <w:rsid w:val="6CDA788A"/>
    <w:rsid w:val="6CDC3510"/>
    <w:rsid w:val="6CDD1708"/>
    <w:rsid w:val="6CE200D4"/>
    <w:rsid w:val="6CE841AA"/>
    <w:rsid w:val="6CF02119"/>
    <w:rsid w:val="6CF51E32"/>
    <w:rsid w:val="6CF67E32"/>
    <w:rsid w:val="6D1B0580"/>
    <w:rsid w:val="6D1D71B1"/>
    <w:rsid w:val="6D26770B"/>
    <w:rsid w:val="6D2D6182"/>
    <w:rsid w:val="6D336683"/>
    <w:rsid w:val="6D371D7A"/>
    <w:rsid w:val="6D3F5924"/>
    <w:rsid w:val="6D470511"/>
    <w:rsid w:val="6D497014"/>
    <w:rsid w:val="6D5052DA"/>
    <w:rsid w:val="6D546419"/>
    <w:rsid w:val="6D5611D1"/>
    <w:rsid w:val="6D5A6AFF"/>
    <w:rsid w:val="6D620827"/>
    <w:rsid w:val="6D6601CC"/>
    <w:rsid w:val="6D6A16D7"/>
    <w:rsid w:val="6D6F5DFD"/>
    <w:rsid w:val="6D7B1628"/>
    <w:rsid w:val="6D7F2673"/>
    <w:rsid w:val="6D845F0D"/>
    <w:rsid w:val="6D86256A"/>
    <w:rsid w:val="6D8B50DD"/>
    <w:rsid w:val="6D8F3434"/>
    <w:rsid w:val="6D917AF2"/>
    <w:rsid w:val="6D9239A9"/>
    <w:rsid w:val="6D987A99"/>
    <w:rsid w:val="6D990989"/>
    <w:rsid w:val="6D99282A"/>
    <w:rsid w:val="6DA24D26"/>
    <w:rsid w:val="6DA42593"/>
    <w:rsid w:val="6DAA4E7D"/>
    <w:rsid w:val="6DB34098"/>
    <w:rsid w:val="6DB545B6"/>
    <w:rsid w:val="6DB644A4"/>
    <w:rsid w:val="6DBC2746"/>
    <w:rsid w:val="6DC50B0F"/>
    <w:rsid w:val="6DCE1299"/>
    <w:rsid w:val="6DD77EAD"/>
    <w:rsid w:val="6DD96BB1"/>
    <w:rsid w:val="6DE02FB4"/>
    <w:rsid w:val="6DE21AC8"/>
    <w:rsid w:val="6DE27D5B"/>
    <w:rsid w:val="6DE9798F"/>
    <w:rsid w:val="6DEB3EAD"/>
    <w:rsid w:val="6DF13EDD"/>
    <w:rsid w:val="6DFA3BD4"/>
    <w:rsid w:val="6E136B15"/>
    <w:rsid w:val="6E1D5712"/>
    <w:rsid w:val="6E1E01AF"/>
    <w:rsid w:val="6E220900"/>
    <w:rsid w:val="6E3C2BD4"/>
    <w:rsid w:val="6E3C6A08"/>
    <w:rsid w:val="6E3E4752"/>
    <w:rsid w:val="6E465E06"/>
    <w:rsid w:val="6E4A2873"/>
    <w:rsid w:val="6E514CED"/>
    <w:rsid w:val="6E52102F"/>
    <w:rsid w:val="6E527A66"/>
    <w:rsid w:val="6E5E0ABF"/>
    <w:rsid w:val="6E6515A6"/>
    <w:rsid w:val="6E655185"/>
    <w:rsid w:val="6E663ACB"/>
    <w:rsid w:val="6E865DD3"/>
    <w:rsid w:val="6E9466C3"/>
    <w:rsid w:val="6E99279F"/>
    <w:rsid w:val="6EAD4C9C"/>
    <w:rsid w:val="6EAE0C1D"/>
    <w:rsid w:val="6EB222B3"/>
    <w:rsid w:val="6EB563D5"/>
    <w:rsid w:val="6EB675DD"/>
    <w:rsid w:val="6EC812F1"/>
    <w:rsid w:val="6ED92677"/>
    <w:rsid w:val="6EF6092F"/>
    <w:rsid w:val="6EFC04F2"/>
    <w:rsid w:val="6EFD6F5D"/>
    <w:rsid w:val="6F0662FE"/>
    <w:rsid w:val="6F0C7C15"/>
    <w:rsid w:val="6F0F357B"/>
    <w:rsid w:val="6F0F672F"/>
    <w:rsid w:val="6F1E5697"/>
    <w:rsid w:val="6F1E6F7C"/>
    <w:rsid w:val="6F225983"/>
    <w:rsid w:val="6F2A4545"/>
    <w:rsid w:val="6F301792"/>
    <w:rsid w:val="6F351F07"/>
    <w:rsid w:val="6F470DA2"/>
    <w:rsid w:val="6F48461F"/>
    <w:rsid w:val="6F5D3AF8"/>
    <w:rsid w:val="6F623681"/>
    <w:rsid w:val="6F6C037B"/>
    <w:rsid w:val="6F726E66"/>
    <w:rsid w:val="6F843EB4"/>
    <w:rsid w:val="6F8F7489"/>
    <w:rsid w:val="6F926108"/>
    <w:rsid w:val="6FAB532F"/>
    <w:rsid w:val="6FB72452"/>
    <w:rsid w:val="6FBE4A30"/>
    <w:rsid w:val="6FC7214E"/>
    <w:rsid w:val="6FCE311C"/>
    <w:rsid w:val="6FD5385E"/>
    <w:rsid w:val="6FD5572E"/>
    <w:rsid w:val="6FDF0DF9"/>
    <w:rsid w:val="6FE87CB4"/>
    <w:rsid w:val="6FFC5590"/>
    <w:rsid w:val="70071AB5"/>
    <w:rsid w:val="7014191D"/>
    <w:rsid w:val="7019297A"/>
    <w:rsid w:val="701A2015"/>
    <w:rsid w:val="70252B1C"/>
    <w:rsid w:val="702E237B"/>
    <w:rsid w:val="70345E4D"/>
    <w:rsid w:val="703E5326"/>
    <w:rsid w:val="704460F1"/>
    <w:rsid w:val="704818BD"/>
    <w:rsid w:val="70484EFC"/>
    <w:rsid w:val="704934EA"/>
    <w:rsid w:val="704C0721"/>
    <w:rsid w:val="70516819"/>
    <w:rsid w:val="705A1973"/>
    <w:rsid w:val="706D1DD0"/>
    <w:rsid w:val="70734371"/>
    <w:rsid w:val="707600F9"/>
    <w:rsid w:val="7076225F"/>
    <w:rsid w:val="70780E07"/>
    <w:rsid w:val="707D562E"/>
    <w:rsid w:val="707F2C02"/>
    <w:rsid w:val="707F5EF9"/>
    <w:rsid w:val="70856B87"/>
    <w:rsid w:val="708B569E"/>
    <w:rsid w:val="708C1795"/>
    <w:rsid w:val="708D1665"/>
    <w:rsid w:val="70927053"/>
    <w:rsid w:val="709A5C28"/>
    <w:rsid w:val="70A846F8"/>
    <w:rsid w:val="70AA07A0"/>
    <w:rsid w:val="70AA5116"/>
    <w:rsid w:val="70B20988"/>
    <w:rsid w:val="70B5025B"/>
    <w:rsid w:val="70B52781"/>
    <w:rsid w:val="70C43D3A"/>
    <w:rsid w:val="70C530B9"/>
    <w:rsid w:val="70CE71F5"/>
    <w:rsid w:val="70D527EE"/>
    <w:rsid w:val="70DC1869"/>
    <w:rsid w:val="70DF3947"/>
    <w:rsid w:val="70E05403"/>
    <w:rsid w:val="70FB7F41"/>
    <w:rsid w:val="71262ABB"/>
    <w:rsid w:val="712F3FD6"/>
    <w:rsid w:val="713C1954"/>
    <w:rsid w:val="71405EDD"/>
    <w:rsid w:val="71552A90"/>
    <w:rsid w:val="71553123"/>
    <w:rsid w:val="715978C0"/>
    <w:rsid w:val="715B5300"/>
    <w:rsid w:val="715C089E"/>
    <w:rsid w:val="71670869"/>
    <w:rsid w:val="71717D21"/>
    <w:rsid w:val="71774994"/>
    <w:rsid w:val="71855059"/>
    <w:rsid w:val="71955B17"/>
    <w:rsid w:val="719B78D5"/>
    <w:rsid w:val="719D6EF4"/>
    <w:rsid w:val="71A54D07"/>
    <w:rsid w:val="71B74D8F"/>
    <w:rsid w:val="71BA24F2"/>
    <w:rsid w:val="71BA4884"/>
    <w:rsid w:val="71D27F8A"/>
    <w:rsid w:val="71E437BA"/>
    <w:rsid w:val="71E710DB"/>
    <w:rsid w:val="71E83A04"/>
    <w:rsid w:val="71F31953"/>
    <w:rsid w:val="71FB452B"/>
    <w:rsid w:val="71FE156C"/>
    <w:rsid w:val="71FE43D6"/>
    <w:rsid w:val="72021FCA"/>
    <w:rsid w:val="72024932"/>
    <w:rsid w:val="7203038D"/>
    <w:rsid w:val="72095A32"/>
    <w:rsid w:val="722D4E65"/>
    <w:rsid w:val="722E6367"/>
    <w:rsid w:val="723143F0"/>
    <w:rsid w:val="72424FF9"/>
    <w:rsid w:val="72530A86"/>
    <w:rsid w:val="72553024"/>
    <w:rsid w:val="72623743"/>
    <w:rsid w:val="72627EF1"/>
    <w:rsid w:val="726478D0"/>
    <w:rsid w:val="72791A15"/>
    <w:rsid w:val="7279537E"/>
    <w:rsid w:val="72953D41"/>
    <w:rsid w:val="72985703"/>
    <w:rsid w:val="729A2740"/>
    <w:rsid w:val="729F2EB1"/>
    <w:rsid w:val="72A7283D"/>
    <w:rsid w:val="72AB067B"/>
    <w:rsid w:val="72AB7A9D"/>
    <w:rsid w:val="72C35EF8"/>
    <w:rsid w:val="72CB1069"/>
    <w:rsid w:val="72CB124D"/>
    <w:rsid w:val="72CB7310"/>
    <w:rsid w:val="72CD5128"/>
    <w:rsid w:val="72CE14D3"/>
    <w:rsid w:val="72CE6D54"/>
    <w:rsid w:val="72D7718B"/>
    <w:rsid w:val="72D97F33"/>
    <w:rsid w:val="72E478B6"/>
    <w:rsid w:val="72E77679"/>
    <w:rsid w:val="72E95E25"/>
    <w:rsid w:val="72EC4F1D"/>
    <w:rsid w:val="72F27695"/>
    <w:rsid w:val="73086A9A"/>
    <w:rsid w:val="73103FF9"/>
    <w:rsid w:val="73122968"/>
    <w:rsid w:val="731432AC"/>
    <w:rsid w:val="73163E6A"/>
    <w:rsid w:val="731D248C"/>
    <w:rsid w:val="731F5D5E"/>
    <w:rsid w:val="73202DAC"/>
    <w:rsid w:val="7329503C"/>
    <w:rsid w:val="73512D30"/>
    <w:rsid w:val="73570621"/>
    <w:rsid w:val="73572EE3"/>
    <w:rsid w:val="735B5A01"/>
    <w:rsid w:val="73625C60"/>
    <w:rsid w:val="737472F8"/>
    <w:rsid w:val="73764465"/>
    <w:rsid w:val="737E7FDF"/>
    <w:rsid w:val="738C744F"/>
    <w:rsid w:val="739213BB"/>
    <w:rsid w:val="73967919"/>
    <w:rsid w:val="73B479FE"/>
    <w:rsid w:val="73C45C4C"/>
    <w:rsid w:val="73C51AD5"/>
    <w:rsid w:val="73C66DBA"/>
    <w:rsid w:val="73D57B44"/>
    <w:rsid w:val="73D81DA4"/>
    <w:rsid w:val="73D930A5"/>
    <w:rsid w:val="73D93EB3"/>
    <w:rsid w:val="73DD16C9"/>
    <w:rsid w:val="73E914BA"/>
    <w:rsid w:val="73F43927"/>
    <w:rsid w:val="740E3296"/>
    <w:rsid w:val="74155FAB"/>
    <w:rsid w:val="74187885"/>
    <w:rsid w:val="741E793C"/>
    <w:rsid w:val="74302493"/>
    <w:rsid w:val="743A0ED6"/>
    <w:rsid w:val="743E2723"/>
    <w:rsid w:val="74401BC1"/>
    <w:rsid w:val="744F0977"/>
    <w:rsid w:val="74552149"/>
    <w:rsid w:val="745E3944"/>
    <w:rsid w:val="745E7BE2"/>
    <w:rsid w:val="746577E6"/>
    <w:rsid w:val="746A717A"/>
    <w:rsid w:val="74726C8F"/>
    <w:rsid w:val="747908AE"/>
    <w:rsid w:val="74837069"/>
    <w:rsid w:val="74850DF4"/>
    <w:rsid w:val="7486771D"/>
    <w:rsid w:val="748B0F31"/>
    <w:rsid w:val="749766A9"/>
    <w:rsid w:val="74A7087C"/>
    <w:rsid w:val="74BF2C8A"/>
    <w:rsid w:val="74C531B0"/>
    <w:rsid w:val="74CD1DDE"/>
    <w:rsid w:val="74D537E2"/>
    <w:rsid w:val="74DA508E"/>
    <w:rsid w:val="74F42FA3"/>
    <w:rsid w:val="74FE4FAE"/>
    <w:rsid w:val="75005C94"/>
    <w:rsid w:val="75025211"/>
    <w:rsid w:val="751F192A"/>
    <w:rsid w:val="75235FB9"/>
    <w:rsid w:val="75244608"/>
    <w:rsid w:val="75281576"/>
    <w:rsid w:val="75283BEF"/>
    <w:rsid w:val="752E3A21"/>
    <w:rsid w:val="75363C60"/>
    <w:rsid w:val="75381BF0"/>
    <w:rsid w:val="75383EA3"/>
    <w:rsid w:val="7539507B"/>
    <w:rsid w:val="753C0B28"/>
    <w:rsid w:val="755373BE"/>
    <w:rsid w:val="75565536"/>
    <w:rsid w:val="755F71FB"/>
    <w:rsid w:val="75674E40"/>
    <w:rsid w:val="757138D1"/>
    <w:rsid w:val="757E6AB5"/>
    <w:rsid w:val="75B16DA0"/>
    <w:rsid w:val="75B859B0"/>
    <w:rsid w:val="75BE723D"/>
    <w:rsid w:val="75C86DA0"/>
    <w:rsid w:val="75D5551C"/>
    <w:rsid w:val="75DC2972"/>
    <w:rsid w:val="75E761CF"/>
    <w:rsid w:val="75F770DC"/>
    <w:rsid w:val="76062A90"/>
    <w:rsid w:val="76076648"/>
    <w:rsid w:val="76182F6F"/>
    <w:rsid w:val="761E1159"/>
    <w:rsid w:val="762534CD"/>
    <w:rsid w:val="762E44D7"/>
    <w:rsid w:val="7635099D"/>
    <w:rsid w:val="7638004A"/>
    <w:rsid w:val="76441570"/>
    <w:rsid w:val="764B6050"/>
    <w:rsid w:val="764D0B81"/>
    <w:rsid w:val="76504788"/>
    <w:rsid w:val="7659447A"/>
    <w:rsid w:val="76706444"/>
    <w:rsid w:val="767231C2"/>
    <w:rsid w:val="767302EA"/>
    <w:rsid w:val="76770C66"/>
    <w:rsid w:val="767F2291"/>
    <w:rsid w:val="768760DB"/>
    <w:rsid w:val="76916BB9"/>
    <w:rsid w:val="76996B6B"/>
    <w:rsid w:val="769D1D58"/>
    <w:rsid w:val="769F6CAA"/>
    <w:rsid w:val="76A859D9"/>
    <w:rsid w:val="76A87B1C"/>
    <w:rsid w:val="76AB3C34"/>
    <w:rsid w:val="76B648FE"/>
    <w:rsid w:val="76B765DF"/>
    <w:rsid w:val="76BA0C91"/>
    <w:rsid w:val="76C00217"/>
    <w:rsid w:val="76C23BD4"/>
    <w:rsid w:val="76C426E9"/>
    <w:rsid w:val="76C5771A"/>
    <w:rsid w:val="76E652C7"/>
    <w:rsid w:val="76F903A8"/>
    <w:rsid w:val="76FD3301"/>
    <w:rsid w:val="76FE4BA2"/>
    <w:rsid w:val="77025607"/>
    <w:rsid w:val="77040C1B"/>
    <w:rsid w:val="77085F1C"/>
    <w:rsid w:val="77112362"/>
    <w:rsid w:val="77145DBE"/>
    <w:rsid w:val="771E2093"/>
    <w:rsid w:val="77233974"/>
    <w:rsid w:val="77237B6F"/>
    <w:rsid w:val="77280F45"/>
    <w:rsid w:val="773D0251"/>
    <w:rsid w:val="77416786"/>
    <w:rsid w:val="77463960"/>
    <w:rsid w:val="774851FC"/>
    <w:rsid w:val="774A4642"/>
    <w:rsid w:val="77505CA0"/>
    <w:rsid w:val="7751093F"/>
    <w:rsid w:val="775356F5"/>
    <w:rsid w:val="77557B92"/>
    <w:rsid w:val="775E4E87"/>
    <w:rsid w:val="776E07FE"/>
    <w:rsid w:val="776F5EC2"/>
    <w:rsid w:val="777374E9"/>
    <w:rsid w:val="77762421"/>
    <w:rsid w:val="777C05E8"/>
    <w:rsid w:val="778220F6"/>
    <w:rsid w:val="77831CE1"/>
    <w:rsid w:val="778A6938"/>
    <w:rsid w:val="779479C1"/>
    <w:rsid w:val="779A01FA"/>
    <w:rsid w:val="779C7742"/>
    <w:rsid w:val="77A011C0"/>
    <w:rsid w:val="77AA0D05"/>
    <w:rsid w:val="77AD5528"/>
    <w:rsid w:val="77B02B54"/>
    <w:rsid w:val="77B22681"/>
    <w:rsid w:val="77B50905"/>
    <w:rsid w:val="77B5625B"/>
    <w:rsid w:val="77B56B1F"/>
    <w:rsid w:val="77C64475"/>
    <w:rsid w:val="77D71596"/>
    <w:rsid w:val="77DE1EC4"/>
    <w:rsid w:val="77E416F9"/>
    <w:rsid w:val="77E710C2"/>
    <w:rsid w:val="77E71F6D"/>
    <w:rsid w:val="77E81F54"/>
    <w:rsid w:val="77F12D28"/>
    <w:rsid w:val="77F30E81"/>
    <w:rsid w:val="77F5400D"/>
    <w:rsid w:val="77F701A8"/>
    <w:rsid w:val="78055B49"/>
    <w:rsid w:val="780F09F4"/>
    <w:rsid w:val="781100E5"/>
    <w:rsid w:val="781149A0"/>
    <w:rsid w:val="781B6E8B"/>
    <w:rsid w:val="782073FB"/>
    <w:rsid w:val="782158FE"/>
    <w:rsid w:val="78277684"/>
    <w:rsid w:val="782E11C7"/>
    <w:rsid w:val="78327D12"/>
    <w:rsid w:val="78412B77"/>
    <w:rsid w:val="784149F8"/>
    <w:rsid w:val="78442CCA"/>
    <w:rsid w:val="785E07E2"/>
    <w:rsid w:val="786320AB"/>
    <w:rsid w:val="78724CFD"/>
    <w:rsid w:val="787929DC"/>
    <w:rsid w:val="787B28D2"/>
    <w:rsid w:val="78830343"/>
    <w:rsid w:val="788E6136"/>
    <w:rsid w:val="789F45B5"/>
    <w:rsid w:val="78A61FA4"/>
    <w:rsid w:val="78A74E18"/>
    <w:rsid w:val="78A90480"/>
    <w:rsid w:val="78AD44AC"/>
    <w:rsid w:val="78B16A77"/>
    <w:rsid w:val="78B51324"/>
    <w:rsid w:val="78B76D7E"/>
    <w:rsid w:val="78B943BD"/>
    <w:rsid w:val="78BC1BC5"/>
    <w:rsid w:val="78C7283E"/>
    <w:rsid w:val="78D01CB3"/>
    <w:rsid w:val="78D52094"/>
    <w:rsid w:val="78E04E7D"/>
    <w:rsid w:val="78F13B30"/>
    <w:rsid w:val="78F149C4"/>
    <w:rsid w:val="79005A6A"/>
    <w:rsid w:val="7901265A"/>
    <w:rsid w:val="790E4617"/>
    <w:rsid w:val="79127977"/>
    <w:rsid w:val="7917265B"/>
    <w:rsid w:val="79185371"/>
    <w:rsid w:val="79222A17"/>
    <w:rsid w:val="792579E8"/>
    <w:rsid w:val="79287F31"/>
    <w:rsid w:val="79295401"/>
    <w:rsid w:val="792963B4"/>
    <w:rsid w:val="792B7FE7"/>
    <w:rsid w:val="793645F1"/>
    <w:rsid w:val="793B7608"/>
    <w:rsid w:val="79444617"/>
    <w:rsid w:val="79460E8E"/>
    <w:rsid w:val="794A0B08"/>
    <w:rsid w:val="794F6FB4"/>
    <w:rsid w:val="795F3037"/>
    <w:rsid w:val="796042DE"/>
    <w:rsid w:val="79615C53"/>
    <w:rsid w:val="79647826"/>
    <w:rsid w:val="79663964"/>
    <w:rsid w:val="79755890"/>
    <w:rsid w:val="797D49AD"/>
    <w:rsid w:val="79842A9E"/>
    <w:rsid w:val="798742FB"/>
    <w:rsid w:val="799B288E"/>
    <w:rsid w:val="79A2250B"/>
    <w:rsid w:val="79AA000D"/>
    <w:rsid w:val="79AD13CF"/>
    <w:rsid w:val="79BB3AD6"/>
    <w:rsid w:val="79C8676A"/>
    <w:rsid w:val="79DB2A5C"/>
    <w:rsid w:val="79DF5BBF"/>
    <w:rsid w:val="79F23716"/>
    <w:rsid w:val="79FB6CD4"/>
    <w:rsid w:val="79FD1BFD"/>
    <w:rsid w:val="79FE4FAF"/>
    <w:rsid w:val="7A0528E8"/>
    <w:rsid w:val="7A0D5A88"/>
    <w:rsid w:val="7A1B0B6F"/>
    <w:rsid w:val="7A1D3A11"/>
    <w:rsid w:val="7A1E7202"/>
    <w:rsid w:val="7A1F41C2"/>
    <w:rsid w:val="7A276D93"/>
    <w:rsid w:val="7A361FD5"/>
    <w:rsid w:val="7A364017"/>
    <w:rsid w:val="7A3C2858"/>
    <w:rsid w:val="7A3E3F86"/>
    <w:rsid w:val="7A490D0C"/>
    <w:rsid w:val="7A544D6C"/>
    <w:rsid w:val="7A555DD4"/>
    <w:rsid w:val="7A646B57"/>
    <w:rsid w:val="7A6747D4"/>
    <w:rsid w:val="7A7F6ED4"/>
    <w:rsid w:val="7A8265E1"/>
    <w:rsid w:val="7A8B739A"/>
    <w:rsid w:val="7A8C5679"/>
    <w:rsid w:val="7A8E0156"/>
    <w:rsid w:val="7A901333"/>
    <w:rsid w:val="7A92263D"/>
    <w:rsid w:val="7A94376E"/>
    <w:rsid w:val="7A972493"/>
    <w:rsid w:val="7AA01EEB"/>
    <w:rsid w:val="7AA27745"/>
    <w:rsid w:val="7AA94B2E"/>
    <w:rsid w:val="7AB0605A"/>
    <w:rsid w:val="7AB37868"/>
    <w:rsid w:val="7AB94E32"/>
    <w:rsid w:val="7ABA2D04"/>
    <w:rsid w:val="7ABA394B"/>
    <w:rsid w:val="7ABE62F1"/>
    <w:rsid w:val="7AC060A0"/>
    <w:rsid w:val="7AD976A8"/>
    <w:rsid w:val="7AF40724"/>
    <w:rsid w:val="7B020284"/>
    <w:rsid w:val="7B0E4F6C"/>
    <w:rsid w:val="7B0F298C"/>
    <w:rsid w:val="7B1835AE"/>
    <w:rsid w:val="7B1F0538"/>
    <w:rsid w:val="7B205020"/>
    <w:rsid w:val="7B2E6D81"/>
    <w:rsid w:val="7B43756C"/>
    <w:rsid w:val="7B450795"/>
    <w:rsid w:val="7B4C3CA3"/>
    <w:rsid w:val="7B4F5FB5"/>
    <w:rsid w:val="7B5F5FE5"/>
    <w:rsid w:val="7B686D42"/>
    <w:rsid w:val="7B723EC9"/>
    <w:rsid w:val="7B812DB1"/>
    <w:rsid w:val="7B841746"/>
    <w:rsid w:val="7B9B6774"/>
    <w:rsid w:val="7BA16400"/>
    <w:rsid w:val="7BB04BCC"/>
    <w:rsid w:val="7BCC201A"/>
    <w:rsid w:val="7BCF21FD"/>
    <w:rsid w:val="7BD21024"/>
    <w:rsid w:val="7BD970D1"/>
    <w:rsid w:val="7BE4126C"/>
    <w:rsid w:val="7BE765D9"/>
    <w:rsid w:val="7BEC071F"/>
    <w:rsid w:val="7BEF50B9"/>
    <w:rsid w:val="7C01539A"/>
    <w:rsid w:val="7C016B30"/>
    <w:rsid w:val="7C0B7327"/>
    <w:rsid w:val="7C1E0F88"/>
    <w:rsid w:val="7C1F2597"/>
    <w:rsid w:val="7C213C9F"/>
    <w:rsid w:val="7C276534"/>
    <w:rsid w:val="7C2B0B85"/>
    <w:rsid w:val="7C2E306F"/>
    <w:rsid w:val="7C31319F"/>
    <w:rsid w:val="7C341E55"/>
    <w:rsid w:val="7C4237C1"/>
    <w:rsid w:val="7C536FA7"/>
    <w:rsid w:val="7C586900"/>
    <w:rsid w:val="7C5E715E"/>
    <w:rsid w:val="7C612BE5"/>
    <w:rsid w:val="7C69492D"/>
    <w:rsid w:val="7C6C5AC7"/>
    <w:rsid w:val="7C9179AB"/>
    <w:rsid w:val="7CA17204"/>
    <w:rsid w:val="7CA668C5"/>
    <w:rsid w:val="7CAC04A4"/>
    <w:rsid w:val="7CB4515B"/>
    <w:rsid w:val="7CB5165C"/>
    <w:rsid w:val="7CC324E9"/>
    <w:rsid w:val="7CC6544B"/>
    <w:rsid w:val="7CFF3E2B"/>
    <w:rsid w:val="7D0239FF"/>
    <w:rsid w:val="7D0E6920"/>
    <w:rsid w:val="7D27206F"/>
    <w:rsid w:val="7D314777"/>
    <w:rsid w:val="7D47450E"/>
    <w:rsid w:val="7D4D7ED6"/>
    <w:rsid w:val="7D5256B0"/>
    <w:rsid w:val="7D551311"/>
    <w:rsid w:val="7D5C0901"/>
    <w:rsid w:val="7D5E40CD"/>
    <w:rsid w:val="7D5F696F"/>
    <w:rsid w:val="7D610F45"/>
    <w:rsid w:val="7D616E56"/>
    <w:rsid w:val="7D6B0E87"/>
    <w:rsid w:val="7D763E49"/>
    <w:rsid w:val="7D7912F8"/>
    <w:rsid w:val="7D826ABD"/>
    <w:rsid w:val="7D882EC6"/>
    <w:rsid w:val="7D8E5798"/>
    <w:rsid w:val="7D950F4D"/>
    <w:rsid w:val="7D9917F3"/>
    <w:rsid w:val="7DB81AE2"/>
    <w:rsid w:val="7DBD1CA3"/>
    <w:rsid w:val="7DC646EF"/>
    <w:rsid w:val="7DC747ED"/>
    <w:rsid w:val="7DCB513F"/>
    <w:rsid w:val="7DCB54F3"/>
    <w:rsid w:val="7DCD56F2"/>
    <w:rsid w:val="7DCF70D0"/>
    <w:rsid w:val="7DD94C28"/>
    <w:rsid w:val="7DE166F4"/>
    <w:rsid w:val="7DE42F38"/>
    <w:rsid w:val="7DEF56C4"/>
    <w:rsid w:val="7DF16BF7"/>
    <w:rsid w:val="7DF2325A"/>
    <w:rsid w:val="7DF24E80"/>
    <w:rsid w:val="7E097625"/>
    <w:rsid w:val="7E0B5379"/>
    <w:rsid w:val="7E10045C"/>
    <w:rsid w:val="7E161CD3"/>
    <w:rsid w:val="7E1F46DF"/>
    <w:rsid w:val="7E346827"/>
    <w:rsid w:val="7E4911B5"/>
    <w:rsid w:val="7E504B78"/>
    <w:rsid w:val="7E523B68"/>
    <w:rsid w:val="7E62097E"/>
    <w:rsid w:val="7E65576B"/>
    <w:rsid w:val="7E6D2819"/>
    <w:rsid w:val="7E715255"/>
    <w:rsid w:val="7E7155BC"/>
    <w:rsid w:val="7E7763F1"/>
    <w:rsid w:val="7E776CA1"/>
    <w:rsid w:val="7E787145"/>
    <w:rsid w:val="7E841EBE"/>
    <w:rsid w:val="7E860F38"/>
    <w:rsid w:val="7E8A27F5"/>
    <w:rsid w:val="7E8E224F"/>
    <w:rsid w:val="7EA01A10"/>
    <w:rsid w:val="7EA339C6"/>
    <w:rsid w:val="7EAE365D"/>
    <w:rsid w:val="7EBA0DAF"/>
    <w:rsid w:val="7EBA388A"/>
    <w:rsid w:val="7EC012B7"/>
    <w:rsid w:val="7ECB1996"/>
    <w:rsid w:val="7ED70F7A"/>
    <w:rsid w:val="7ED91746"/>
    <w:rsid w:val="7EDF565F"/>
    <w:rsid w:val="7EDF66E7"/>
    <w:rsid w:val="7EE10F4C"/>
    <w:rsid w:val="7EE32C56"/>
    <w:rsid w:val="7F001CE7"/>
    <w:rsid w:val="7F0648C0"/>
    <w:rsid w:val="7F0E0134"/>
    <w:rsid w:val="7F16780D"/>
    <w:rsid w:val="7F22484F"/>
    <w:rsid w:val="7F2E02C9"/>
    <w:rsid w:val="7F3C1CC1"/>
    <w:rsid w:val="7F3C62D7"/>
    <w:rsid w:val="7F4000FF"/>
    <w:rsid w:val="7F4A38EC"/>
    <w:rsid w:val="7F4C1CD1"/>
    <w:rsid w:val="7F5B485B"/>
    <w:rsid w:val="7F5F3B01"/>
    <w:rsid w:val="7F614594"/>
    <w:rsid w:val="7F64547E"/>
    <w:rsid w:val="7F733EE6"/>
    <w:rsid w:val="7F7476D5"/>
    <w:rsid w:val="7F76063A"/>
    <w:rsid w:val="7F7A0820"/>
    <w:rsid w:val="7F852835"/>
    <w:rsid w:val="7F8C14CF"/>
    <w:rsid w:val="7F8C37EB"/>
    <w:rsid w:val="7F965445"/>
    <w:rsid w:val="7F971197"/>
    <w:rsid w:val="7F9B54C4"/>
    <w:rsid w:val="7F9B59D6"/>
    <w:rsid w:val="7F9C002C"/>
    <w:rsid w:val="7F9F427B"/>
    <w:rsid w:val="7FA71D67"/>
    <w:rsid w:val="7FB715FC"/>
    <w:rsid w:val="7FB866EE"/>
    <w:rsid w:val="7FBC38D9"/>
    <w:rsid w:val="7FCD23FC"/>
    <w:rsid w:val="7FD14928"/>
    <w:rsid w:val="7FD21446"/>
    <w:rsid w:val="7FD87580"/>
    <w:rsid w:val="7FE01371"/>
    <w:rsid w:val="7FE25A9E"/>
    <w:rsid w:val="7FE32510"/>
    <w:rsid w:val="7FE47E50"/>
    <w:rsid w:val="7FE862F1"/>
    <w:rsid w:val="7FFB18AE"/>
    <w:rsid w:val="7FFB7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uiPriority w:val="1"/>
    <w:pPr>
      <w:ind w:left="1290"/>
      <w:outlineLvl w:val="2"/>
    </w:pPr>
    <w:rPr>
      <w:rFonts w:ascii="宋体" w:hAnsi="宋体" w:eastAsia="宋体" w:cs="宋体"/>
      <w:b/>
      <w:bCs/>
      <w:sz w:val="21"/>
      <w:szCs w:val="21"/>
      <w:lang w:val="zh-CN" w:eastAsia="zh-CN" w:bidi="zh-CN"/>
    </w:rPr>
  </w:style>
  <w:style w:type="paragraph" w:styleId="7">
    <w:name w:val="heading 3"/>
    <w:basedOn w:val="1"/>
    <w:next w:val="1"/>
    <w:qFormat/>
    <w:uiPriority w:val="0"/>
    <w:pPr>
      <w:keepNext/>
      <w:keepLines/>
      <w:spacing w:before="260" w:after="260" w:line="413" w:lineRule="auto"/>
      <w:outlineLvl w:val="2"/>
    </w:pPr>
    <w:rPr>
      <w:b/>
      <w:sz w:val="32"/>
      <w:szCs w:val="20"/>
    </w:rPr>
  </w:style>
  <w:style w:type="paragraph" w:styleId="8">
    <w:name w:val="heading 4"/>
    <w:basedOn w:val="1"/>
    <w:next w:val="9"/>
    <w:qFormat/>
    <w:uiPriority w:val="0"/>
    <w:pPr>
      <w:keepNext/>
      <w:keepLines/>
      <w:numPr>
        <w:ilvl w:val="3"/>
        <w:numId w:val="1"/>
      </w:numPr>
      <w:spacing w:before="280" w:beforeLines="0" w:after="290" w:afterLines="0" w:line="376" w:lineRule="auto"/>
      <w:outlineLvl w:val="3"/>
    </w:pPr>
    <w:rPr>
      <w:rFonts w:ascii="Cambria" w:hAnsi="Cambria"/>
      <w:b/>
      <w:bCs/>
      <w:sz w:val="28"/>
      <w:szCs w:val="28"/>
    </w:rPr>
  </w:style>
  <w:style w:type="paragraph" w:styleId="10">
    <w:name w:val="heading 6"/>
    <w:basedOn w:val="1"/>
    <w:next w:val="1"/>
    <w:qFormat/>
    <w:uiPriority w:val="0"/>
    <w:pPr>
      <w:numPr>
        <w:ilvl w:val="5"/>
        <w:numId w:val="0"/>
      </w:numPr>
      <w:spacing w:line="240" w:lineRule="auto"/>
      <w:ind w:left="0" w:firstLine="0" w:firstLineChars="0"/>
      <w:jc w:val="center"/>
      <w:outlineLvl w:val="5"/>
    </w:pPr>
    <w:rPr>
      <w:rFonts w:cs="宋体"/>
      <w:bCs/>
      <w:sz w:val="21"/>
      <w:szCs w:val="22"/>
      <w:lang w:val="zh-CN" w:bidi="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Chars="0" w:firstLine="210"/>
    </w:pPr>
    <w:rPr>
      <w:sz w:val="28"/>
      <w:szCs w:val="20"/>
    </w:rPr>
  </w:style>
  <w:style w:type="paragraph" w:styleId="3">
    <w:name w:val="Body Text Indent"/>
    <w:basedOn w:val="1"/>
    <w:next w:val="4"/>
    <w:link w:val="34"/>
    <w:qFormat/>
    <w:uiPriority w:val="0"/>
    <w:pPr>
      <w:spacing w:after="120"/>
      <w:ind w:left="420" w:leftChars="200"/>
    </w:pPr>
    <w:rPr>
      <w:kern w:val="0"/>
      <w:sz w:val="24"/>
      <w:szCs w:val="20"/>
    </w:rPr>
  </w:style>
  <w:style w:type="paragraph" w:styleId="4">
    <w:name w:val="Body Text"/>
    <w:basedOn w:val="1"/>
    <w:next w:val="1"/>
    <w:link w:val="33"/>
    <w:qFormat/>
    <w:uiPriority w:val="0"/>
    <w:pPr>
      <w:widowControl/>
      <w:snapToGrid w:val="0"/>
      <w:spacing w:before="60" w:after="160" w:line="259" w:lineRule="auto"/>
      <w:ind w:right="113"/>
    </w:pPr>
    <w:rPr>
      <w:kern w:val="0"/>
      <w:sz w:val="18"/>
      <w:szCs w:val="20"/>
    </w:rPr>
  </w:style>
  <w:style w:type="paragraph" w:styleId="9">
    <w:name w:val="Normal Indent"/>
    <w:basedOn w:val="1"/>
    <w:next w:val="1"/>
    <w:qFormat/>
    <w:uiPriority w:val="0"/>
    <w:pPr>
      <w:widowControl/>
      <w:ind w:firstLine="420"/>
      <w:jc w:val="left"/>
    </w:pPr>
    <w:rPr>
      <w:rFonts w:eastAsia="宋体"/>
      <w:sz w:val="28"/>
      <w:lang w:val="en-US" w:eastAsia="zh-CN" w:bidi="ar-SA"/>
    </w:rPr>
  </w:style>
  <w:style w:type="paragraph" w:styleId="11">
    <w:name w:val="caption"/>
    <w:basedOn w:val="1"/>
    <w:next w:val="1"/>
    <w:qFormat/>
    <w:uiPriority w:val="99"/>
    <w:pPr>
      <w:adjustRightInd w:val="0"/>
      <w:snapToGrid w:val="0"/>
      <w:spacing w:beforeLines="50" w:line="240" w:lineRule="auto"/>
      <w:jc w:val="center"/>
    </w:pPr>
    <w:rPr>
      <w:rFonts w:eastAsia="黑体"/>
      <w:sz w:val="22"/>
      <w:szCs w:val="20"/>
    </w:rPr>
  </w:style>
  <w:style w:type="paragraph" w:styleId="12">
    <w:name w:val="annotation text"/>
    <w:basedOn w:val="1"/>
    <w:link w:val="32"/>
    <w:semiHidden/>
    <w:qFormat/>
    <w:uiPriority w:val="0"/>
    <w:pPr>
      <w:jc w:val="left"/>
    </w:pPr>
    <w:rPr>
      <w:kern w:val="0"/>
      <w:sz w:val="24"/>
      <w:szCs w:val="20"/>
    </w:rPr>
  </w:style>
  <w:style w:type="paragraph" w:styleId="13">
    <w:name w:val="Block Text"/>
    <w:basedOn w:val="1"/>
    <w:next w:val="1"/>
    <w:qFormat/>
    <w:uiPriority w:val="99"/>
    <w:pPr>
      <w:snapToGrid w:val="0"/>
      <w:spacing w:line="408" w:lineRule="auto"/>
      <w:ind w:left="-113" w:right="-510" w:firstLine="510"/>
    </w:pPr>
    <w:rPr>
      <w:sz w:val="24"/>
      <w:szCs w:val="20"/>
    </w:rPr>
  </w:style>
  <w:style w:type="paragraph" w:styleId="14">
    <w:name w:val="Plain Text"/>
    <w:basedOn w:val="1"/>
    <w:qFormat/>
    <w:uiPriority w:val="0"/>
    <w:pPr>
      <w:numPr>
        <w:ilvl w:val="5"/>
        <w:numId w:val="2"/>
      </w:numPr>
      <w:spacing w:line="300" w:lineRule="exact"/>
    </w:pPr>
    <w:rPr>
      <w:kern w:val="0"/>
      <w:szCs w:val="21"/>
    </w:rPr>
  </w:style>
  <w:style w:type="paragraph" w:styleId="15">
    <w:name w:val="List Bullet 5"/>
    <w:basedOn w:val="1"/>
    <w:qFormat/>
    <w:uiPriority w:val="0"/>
    <w:pPr>
      <w:numPr>
        <w:ilvl w:val="0"/>
        <w:numId w:val="3"/>
      </w:numPr>
    </w:pPr>
  </w:style>
  <w:style w:type="paragraph" w:styleId="16">
    <w:name w:val="Date"/>
    <w:basedOn w:val="1"/>
    <w:next w:val="1"/>
    <w:link w:val="35"/>
    <w:qFormat/>
    <w:uiPriority w:val="0"/>
    <w:pPr>
      <w:ind w:left="100" w:leftChars="2500"/>
    </w:pPr>
    <w:rPr>
      <w:kern w:val="0"/>
      <w:sz w:val="24"/>
      <w:szCs w:val="20"/>
    </w:rPr>
  </w:style>
  <w:style w:type="paragraph" w:styleId="17">
    <w:name w:val="Balloon Text"/>
    <w:basedOn w:val="1"/>
    <w:link w:val="36"/>
    <w:semiHidden/>
    <w:qFormat/>
    <w:uiPriority w:val="0"/>
    <w:rPr>
      <w:kern w:val="0"/>
      <w:sz w:val="18"/>
      <w:szCs w:val="20"/>
    </w:rPr>
  </w:style>
  <w:style w:type="paragraph" w:styleId="18">
    <w:name w:val="footer"/>
    <w:basedOn w:val="1"/>
    <w:link w:val="37"/>
    <w:qFormat/>
    <w:uiPriority w:val="99"/>
    <w:pPr>
      <w:tabs>
        <w:tab w:val="center" w:pos="4153"/>
        <w:tab w:val="right" w:pos="8306"/>
      </w:tabs>
      <w:snapToGrid w:val="0"/>
      <w:jc w:val="left"/>
    </w:pPr>
    <w:rPr>
      <w:kern w:val="0"/>
      <w:sz w:val="18"/>
      <w:szCs w:val="20"/>
    </w:rPr>
  </w:style>
  <w:style w:type="paragraph" w:styleId="19">
    <w:name w:val="header"/>
    <w:basedOn w:val="1"/>
    <w:next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List"/>
    <w:basedOn w:val="1"/>
    <w:next w:val="1"/>
    <w:qFormat/>
    <w:uiPriority w:val="0"/>
    <w:pPr>
      <w:adjustRightInd w:val="0"/>
      <w:snapToGrid w:val="0"/>
      <w:jc w:val="center"/>
    </w:pPr>
    <w:rPr>
      <w:sz w:val="24"/>
      <w:szCs w:val="20"/>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2"/>
    <w:next w:val="12"/>
    <w:link w:val="40"/>
    <w:semiHidden/>
    <w:qFormat/>
    <w:uiPriority w:val="0"/>
    <w:rPr>
      <w:b/>
      <w:sz w:val="24"/>
      <w:szCs w:val="20"/>
    </w:rPr>
  </w:style>
  <w:style w:type="paragraph" w:styleId="24">
    <w:name w:val="Body Text First Indent"/>
    <w:basedOn w:val="4"/>
    <w:qFormat/>
    <w:uiPriority w:val="0"/>
    <w:pPr>
      <w:widowControl w:val="0"/>
      <w:snapToGrid/>
      <w:spacing w:before="0" w:after="120" w:line="240" w:lineRule="auto"/>
      <w:ind w:right="0" w:firstLine="420" w:firstLineChars="100"/>
    </w:pPr>
    <w:rPr>
      <w:rFonts w:ascii="Calibri" w:hAnsi="Calibri" w:eastAsia="宋体" w:cs="Times New Roman"/>
      <w:kern w:val="2"/>
      <w:sz w:val="21"/>
      <w:szCs w:val="22"/>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basedOn w:val="27"/>
    <w:semiHidden/>
    <w:qFormat/>
    <w:uiPriority w:val="0"/>
    <w:rPr>
      <w:sz w:val="21"/>
    </w:rPr>
  </w:style>
  <w:style w:type="paragraph" w:customStyle="1" w:styleId="3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批注文字 Char"/>
    <w:link w:val="12"/>
    <w:qFormat/>
    <w:uiPriority w:val="0"/>
    <w:rPr>
      <w:rFonts w:ascii="Times New Roman" w:hAnsi="Times New Roman" w:eastAsia="宋体"/>
      <w:sz w:val="24"/>
    </w:rPr>
  </w:style>
  <w:style w:type="character" w:customStyle="1" w:styleId="33">
    <w:name w:val="正文文本 Char"/>
    <w:link w:val="4"/>
    <w:qFormat/>
    <w:uiPriority w:val="0"/>
    <w:rPr>
      <w:sz w:val="18"/>
    </w:rPr>
  </w:style>
  <w:style w:type="character" w:customStyle="1" w:styleId="34">
    <w:name w:val="正文文本缩进 Char"/>
    <w:link w:val="3"/>
    <w:semiHidden/>
    <w:qFormat/>
    <w:uiPriority w:val="0"/>
    <w:rPr>
      <w:rFonts w:ascii="Times New Roman" w:hAnsi="Times New Roman" w:eastAsia="宋体"/>
      <w:sz w:val="24"/>
    </w:rPr>
  </w:style>
  <w:style w:type="character" w:customStyle="1" w:styleId="35">
    <w:name w:val="日期 Char"/>
    <w:link w:val="16"/>
    <w:qFormat/>
    <w:uiPriority w:val="0"/>
    <w:rPr>
      <w:rFonts w:ascii="Times New Roman" w:hAnsi="Times New Roman" w:eastAsia="宋体"/>
      <w:sz w:val="24"/>
    </w:rPr>
  </w:style>
  <w:style w:type="character" w:customStyle="1" w:styleId="36">
    <w:name w:val="批注框文本 Char"/>
    <w:link w:val="17"/>
    <w:semiHidden/>
    <w:qFormat/>
    <w:uiPriority w:val="0"/>
    <w:rPr>
      <w:rFonts w:ascii="Times New Roman" w:hAnsi="Times New Roman" w:eastAsia="宋体"/>
      <w:sz w:val="18"/>
    </w:rPr>
  </w:style>
  <w:style w:type="character" w:customStyle="1" w:styleId="37">
    <w:name w:val="页脚 Char"/>
    <w:link w:val="18"/>
    <w:qFormat/>
    <w:uiPriority w:val="99"/>
    <w:rPr>
      <w:sz w:val="18"/>
    </w:rPr>
  </w:style>
  <w:style w:type="character" w:customStyle="1" w:styleId="38">
    <w:name w:val="页眉 Char"/>
    <w:link w:val="19"/>
    <w:qFormat/>
    <w:uiPriority w:val="0"/>
    <w:rPr>
      <w:sz w:val="18"/>
    </w:rPr>
  </w:style>
  <w:style w:type="character" w:customStyle="1" w:styleId="39">
    <w:name w:val="普通(网站) Char"/>
    <w:link w:val="22"/>
    <w:qFormat/>
    <w:uiPriority w:val="0"/>
    <w:rPr>
      <w:rFonts w:ascii="宋体" w:hAnsi="宋体" w:eastAsia="宋体"/>
      <w:sz w:val="24"/>
    </w:rPr>
  </w:style>
  <w:style w:type="character" w:customStyle="1" w:styleId="40">
    <w:name w:val="批注主题 Char"/>
    <w:link w:val="23"/>
    <w:semiHidden/>
    <w:qFormat/>
    <w:uiPriority w:val="0"/>
    <w:rPr>
      <w:rFonts w:ascii="Times New Roman" w:hAnsi="Times New Roman" w:eastAsia="宋体"/>
      <w:b/>
      <w:kern w:val="2"/>
      <w:sz w:val="24"/>
    </w:rPr>
  </w:style>
  <w:style w:type="character" w:customStyle="1" w:styleId="41">
    <w:name w:val="表格 Char"/>
    <w:link w:val="42"/>
    <w:qFormat/>
    <w:uiPriority w:val="0"/>
    <w:rPr>
      <w:rFonts w:ascii="宋体"/>
      <w:sz w:val="21"/>
    </w:rPr>
  </w:style>
  <w:style w:type="paragraph" w:customStyle="1" w:styleId="42">
    <w:name w:val="表格"/>
    <w:basedOn w:val="20"/>
    <w:next w:val="1"/>
    <w:link w:val="41"/>
    <w:qFormat/>
    <w:uiPriority w:val="0"/>
    <w:pPr>
      <w:adjustRightInd w:val="0"/>
      <w:snapToGrid w:val="0"/>
      <w:spacing w:beforeLines="10" w:afterLines="10" w:line="259" w:lineRule="auto"/>
      <w:jc w:val="center"/>
    </w:pPr>
    <w:rPr>
      <w:rFonts w:ascii="宋体"/>
      <w:kern w:val="0"/>
      <w:szCs w:val="20"/>
    </w:rPr>
  </w:style>
  <w:style w:type="character" w:customStyle="1" w:styleId="43">
    <w:name w:val="页脚 字符"/>
    <w:basedOn w:val="27"/>
    <w:qFormat/>
    <w:uiPriority w:val="99"/>
  </w:style>
  <w:style w:type="character" w:customStyle="1" w:styleId="44">
    <w:name w:val="批注文字 字符1"/>
    <w:semiHidden/>
    <w:qFormat/>
    <w:uiPriority w:val="0"/>
    <w:rPr>
      <w:rFonts w:ascii="Times New Roman" w:hAnsi="Times New Roman" w:eastAsia="宋体"/>
      <w:sz w:val="24"/>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日期 字符"/>
    <w:semiHidden/>
    <w:qFormat/>
    <w:uiPriority w:val="0"/>
    <w:rPr>
      <w:rFonts w:ascii="Times New Roman" w:hAnsi="Times New Roman" w:eastAsia="宋体"/>
      <w:sz w:val="24"/>
    </w:rPr>
  </w:style>
  <w:style w:type="character" w:customStyle="1" w:styleId="47">
    <w:name w:val="铭洁 右对齐表头"/>
    <w:qFormat/>
    <w:uiPriority w:val="0"/>
    <w:rPr>
      <w:rFonts w:ascii="Times New Roman" w:hAnsi="Times New Roman" w:eastAsia="黑体"/>
      <w:color w:val="FF00FF"/>
      <w:sz w:val="24"/>
      <w:szCs w:val="24"/>
    </w:rPr>
  </w:style>
  <w:style w:type="character" w:customStyle="1" w:styleId="48">
    <w:name w:val="常用正文样式 Char"/>
    <w:link w:val="49"/>
    <w:qFormat/>
    <w:uiPriority w:val="0"/>
    <w:rPr>
      <w:rFonts w:ascii="宋体" w:hAnsi="宋体" w:cs="宋体"/>
      <w:bCs/>
      <w:kern w:val="28"/>
      <w:sz w:val="24"/>
      <w:szCs w:val="20"/>
    </w:rPr>
  </w:style>
  <w:style w:type="paragraph" w:customStyle="1" w:styleId="49">
    <w:name w:val="常用正文样式"/>
    <w:basedOn w:val="1"/>
    <w:link w:val="48"/>
    <w:qFormat/>
    <w:uiPriority w:val="0"/>
    <w:pPr>
      <w:spacing w:line="360" w:lineRule="auto"/>
      <w:ind w:firstLine="480" w:firstLineChars="200"/>
    </w:pPr>
    <w:rPr>
      <w:rFonts w:ascii="宋体" w:hAnsi="宋体" w:cs="宋体"/>
      <w:bCs/>
      <w:kern w:val="28"/>
      <w:sz w:val="24"/>
      <w:szCs w:val="20"/>
    </w:rPr>
  </w:style>
  <w:style w:type="paragraph" w:customStyle="1" w:styleId="50">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51">
    <w:name w:val="报告书正文"/>
    <w:basedOn w:val="1"/>
    <w:qFormat/>
    <w:uiPriority w:val="0"/>
    <w:pPr>
      <w:widowControl w:val="0"/>
      <w:autoSpaceDE w:val="0"/>
      <w:autoSpaceDN w:val="0"/>
      <w:spacing w:line="520" w:lineRule="exact"/>
      <w:ind w:firstLine="200" w:firstLineChars="200"/>
      <w:jc w:val="both"/>
    </w:pPr>
    <w:rPr>
      <w:kern w:val="2"/>
      <w:sz w:val="28"/>
      <w:szCs w:val="28"/>
    </w:rPr>
  </w:style>
  <w:style w:type="paragraph" w:customStyle="1" w:styleId="52">
    <w:name w:val="表格2"/>
    <w:basedOn w:val="1"/>
    <w:semiHidden/>
    <w:qFormat/>
    <w:uiPriority w:val="0"/>
    <w:pPr>
      <w:adjustRightInd w:val="0"/>
      <w:snapToGrid w:val="0"/>
      <w:jc w:val="center"/>
    </w:pPr>
    <w:rPr>
      <w:rFonts w:eastAsia="Times New Roman"/>
      <w:bCs/>
      <w:sz w:val="21"/>
      <w:szCs w:val="21"/>
    </w:rPr>
  </w:style>
  <w:style w:type="paragraph" w:customStyle="1" w:styleId="53">
    <w:name w:val="05正文"/>
    <w:basedOn w:val="1"/>
    <w:qFormat/>
    <w:uiPriority w:val="0"/>
    <w:pPr>
      <w:spacing w:line="500" w:lineRule="exact"/>
      <w:ind w:firstLine="200" w:firstLineChars="200"/>
    </w:pPr>
    <w:rPr>
      <w:sz w:val="24"/>
      <w:szCs w:val="24"/>
    </w:rPr>
  </w:style>
  <w:style w:type="paragraph" w:customStyle="1" w:styleId="54">
    <w:name w:val="表体（富士康）"/>
    <w:qFormat/>
    <w:uiPriority w:val="0"/>
    <w:pPr>
      <w:adjustRightInd w:val="0"/>
      <w:snapToGrid w:val="0"/>
      <w:jc w:val="center"/>
    </w:pPr>
    <w:rPr>
      <w:rFonts w:ascii="Times New Roman" w:hAnsi="Times New Roman" w:eastAsia="宋体" w:cs="宋体"/>
      <w:bCs/>
      <w:kern w:val="2"/>
      <w:lang w:val="en-US" w:eastAsia="zh-CN" w:bidi="ar-SA"/>
    </w:rPr>
  </w:style>
  <w:style w:type="paragraph" w:customStyle="1" w:styleId="55">
    <w:name w:val="表、图标题"/>
    <w:basedOn w:val="1"/>
    <w:qFormat/>
    <w:uiPriority w:val="0"/>
    <w:pPr>
      <w:adjustRightInd w:val="0"/>
      <w:snapToGrid w:val="0"/>
      <w:spacing w:line="560" w:lineRule="exact"/>
      <w:ind w:firstLine="200" w:firstLineChars="200"/>
    </w:pPr>
    <w:rPr>
      <w:b/>
      <w:sz w:val="24"/>
      <w:szCs w:val="24"/>
    </w:rPr>
  </w:style>
  <w:style w:type="paragraph" w:customStyle="1" w:styleId="56">
    <w:name w:val="表内字"/>
    <w:basedOn w:val="1"/>
    <w:qFormat/>
    <w:uiPriority w:val="0"/>
    <w:pPr>
      <w:spacing w:line="300" w:lineRule="exact"/>
      <w:jc w:val="center"/>
    </w:pPr>
    <w:rPr>
      <w:szCs w:val="21"/>
    </w:rPr>
  </w:style>
  <w:style w:type="paragraph" w:customStyle="1" w:styleId="57">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58">
    <w:name w:val="Table Paragraph"/>
    <w:basedOn w:val="1"/>
    <w:qFormat/>
    <w:uiPriority w:val="1"/>
    <w:rPr>
      <w:rFonts w:ascii="仿宋" w:hAnsi="仿宋" w:eastAsia="仿宋" w:cs="仿宋"/>
      <w:lang w:val="zh-CN" w:eastAsia="zh-CN" w:bidi="zh-CN"/>
    </w:rPr>
  </w:style>
  <w:style w:type="paragraph" w:customStyle="1" w:styleId="59">
    <w:name w:val="1正文"/>
    <w:basedOn w:val="1"/>
    <w:qFormat/>
    <w:uiPriority w:val="0"/>
    <w:pPr>
      <w:ind w:firstLine="480" w:firstLineChars="200"/>
    </w:pPr>
    <w:rPr>
      <w:rFonts w:cs="宋体"/>
    </w:rPr>
  </w:style>
  <w:style w:type="paragraph" w:customStyle="1" w:styleId="60">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1">
    <w:name w:val="表格文字"/>
    <w:basedOn w:val="42"/>
    <w:qFormat/>
    <w:uiPriority w:val="0"/>
    <w:pPr>
      <w:spacing w:line="240" w:lineRule="auto"/>
      <w:ind w:firstLine="0" w:firstLineChars="0"/>
    </w:pPr>
    <w:rPr>
      <w:szCs w:val="21"/>
    </w:rPr>
  </w:style>
  <w:style w:type="paragraph" w:customStyle="1" w:styleId="62">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63">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5">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6">
    <w:name w:val="正文文本缩进1"/>
    <w:basedOn w:val="1"/>
    <w:qFormat/>
    <w:uiPriority w:val="0"/>
    <w:pPr>
      <w:ind w:firstLine="560" w:firstLineChars="200"/>
    </w:pPr>
    <w:rPr>
      <w:sz w:val="28"/>
    </w:rPr>
  </w:style>
  <w:style w:type="paragraph" w:customStyle="1" w:styleId="67">
    <w:name w:val="表内 定"/>
    <w:basedOn w:val="1"/>
    <w:qFormat/>
    <w:uiPriority w:val="0"/>
    <w:pPr>
      <w:jc w:val="left"/>
    </w:pPr>
    <w:rPr>
      <w:rFonts w:eastAsia="仿宋"/>
      <w:snapToGrid w:val="0"/>
      <w:color w:val="000000"/>
      <w:kern w:val="0"/>
      <w:sz w:val="20"/>
      <w:szCs w:val="22"/>
    </w:rPr>
  </w:style>
  <w:style w:type="paragraph" w:customStyle="1" w:styleId="68">
    <w:name w:val="表头"/>
    <w:basedOn w:val="1"/>
    <w:qFormat/>
    <w:uiPriority w:val="0"/>
    <w:pPr>
      <w:widowControl w:val="0"/>
      <w:spacing w:line="520" w:lineRule="exact"/>
      <w:ind w:firstLine="200" w:firstLineChars="200"/>
      <w:jc w:val="both"/>
    </w:pPr>
    <w:rPr>
      <w:rFonts w:eastAsia="宋体"/>
      <w:b/>
      <w:bCs/>
      <w:kern w:val="2"/>
      <w:sz w:val="24"/>
      <w:szCs w:val="24"/>
    </w:rPr>
  </w:style>
  <w:style w:type="paragraph" w:customStyle="1" w:styleId="6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0">
    <w:name w:val="报告表表格文字"/>
    <w:basedOn w:val="1"/>
    <w:qFormat/>
    <w:uiPriority w:val="0"/>
    <w:pPr>
      <w:autoSpaceDE w:val="0"/>
      <w:autoSpaceDN w:val="0"/>
      <w:adjustRightInd w:val="0"/>
      <w:snapToGrid w:val="0"/>
      <w:spacing w:line="360" w:lineRule="exact"/>
      <w:jc w:val="center"/>
    </w:pPr>
    <w:rPr>
      <w:color w:val="000000"/>
      <w:kern w:val="0"/>
      <w:sz w:val="21"/>
      <w:szCs w:val="21"/>
    </w:rPr>
  </w:style>
  <w:style w:type="paragraph" w:customStyle="1" w:styleId="71">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72">
    <w:name w:val="表格、图标文字"/>
    <w:basedOn w:val="1"/>
    <w:qFormat/>
    <w:uiPriority w:val="0"/>
    <w:pPr>
      <w:adjustRightInd w:val="0"/>
      <w:snapToGrid w:val="0"/>
      <w:spacing w:line="360" w:lineRule="exact"/>
      <w:jc w:val="center"/>
    </w:pPr>
    <w:rPr>
      <w:rFonts w:ascii="Calibri" w:hAnsi="Calibri"/>
    </w:rPr>
  </w:style>
  <w:style w:type="paragraph" w:customStyle="1" w:styleId="73">
    <w:name w:val="02二级标题"/>
    <w:basedOn w:val="1"/>
    <w:qFormat/>
    <w:uiPriority w:val="0"/>
    <w:pPr>
      <w:adjustRightInd w:val="0"/>
      <w:snapToGrid w:val="0"/>
      <w:spacing w:line="520" w:lineRule="exact"/>
      <w:outlineLvl w:val="1"/>
    </w:pPr>
    <w:rPr>
      <w:b/>
      <w:color w:val="000000"/>
      <w:sz w:val="24"/>
      <w:szCs w:val="24"/>
    </w:rPr>
  </w:style>
  <w:style w:type="paragraph" w:customStyle="1" w:styleId="74">
    <w:name w:val="中文报告书样式"/>
    <w:basedOn w:val="1"/>
    <w:qFormat/>
    <w:uiPriority w:val="0"/>
    <w:pPr>
      <w:adjustRightInd w:val="0"/>
      <w:snapToGrid w:val="0"/>
      <w:spacing w:line="360" w:lineRule="auto"/>
      <w:ind w:firstLine="480" w:firstLineChars="200"/>
      <w:textAlignment w:val="baseline"/>
    </w:pPr>
    <w:rPr>
      <w:kern w:val="24"/>
      <w:sz w:val="24"/>
    </w:rPr>
  </w:style>
  <w:style w:type="paragraph" w:styleId="75">
    <w:name w:val="List Paragraph"/>
    <w:basedOn w:val="1"/>
    <w:qFormat/>
    <w:uiPriority w:val="1"/>
    <w:pPr>
      <w:ind w:left="1290" w:hanging="314"/>
    </w:pPr>
    <w:rPr>
      <w:rFonts w:ascii="宋体" w:hAnsi="宋体" w:eastAsia="宋体" w:cs="宋体"/>
      <w:lang w:val="zh-CN" w:eastAsia="zh-CN" w:bidi="zh-CN"/>
    </w:rPr>
  </w:style>
  <w:style w:type="paragraph" w:customStyle="1" w:styleId="7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7">
    <w:name w:val="Normal Indent"/>
    <w:basedOn w:val="1"/>
    <w:next w:val="1"/>
    <w:qFormat/>
    <w:uiPriority w:val="0"/>
    <w:pPr>
      <w:ind w:firstLine="420" w:firstLineChars="200"/>
    </w:pPr>
    <w:rPr>
      <w:rFonts w:eastAsia="宋体" w:cs="Times New Roman"/>
      <w:sz w:val="28"/>
      <w:szCs w:val="20"/>
    </w:rPr>
  </w:style>
  <w:style w:type="paragraph" w:customStyle="1" w:styleId="78">
    <w:name w:val="表格标题1"/>
    <w:basedOn w:val="1"/>
    <w:qFormat/>
    <w:uiPriority w:val="0"/>
    <w:pPr>
      <w:numPr>
        <w:ilvl w:val="0"/>
        <w:numId w:val="4"/>
      </w:numPr>
      <w:adjustRightInd w:val="0"/>
      <w:snapToGrid w:val="0"/>
      <w:jc w:val="center"/>
    </w:pPr>
    <w:rPr>
      <w:b/>
      <w:kern w:val="0"/>
      <w:szCs w:val="21"/>
    </w:rPr>
  </w:style>
  <w:style w:type="paragraph" w:customStyle="1" w:styleId="79">
    <w:name w:val="6表头"/>
    <w:next w:val="60"/>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80">
    <w:name w:val="正文_16"/>
    <w:qFormat/>
    <w:uiPriority w:val="0"/>
    <w:pPr>
      <w:widowControl w:val="0"/>
      <w:jc w:val="both"/>
    </w:pPr>
    <w:rPr>
      <w:rFonts w:ascii="Calibri" w:hAnsi="Calibri" w:eastAsia="宋体" w:cs="Times New Roman"/>
      <w:kern w:val="2"/>
      <w:sz w:val="21"/>
      <w:lang w:val="en-US" w:eastAsia="zh-CN" w:bidi="ar-SA"/>
    </w:rPr>
  </w:style>
  <w:style w:type="table" w:customStyle="1" w:styleId="81">
    <w:name w:val="Table Normal"/>
    <w:unhideWhenUsed/>
    <w:qFormat/>
    <w:uiPriority w:val="0"/>
    <w:tblPr>
      <w:tblCellMar>
        <w:top w:w="0" w:type="dxa"/>
        <w:left w:w="0" w:type="dxa"/>
        <w:bottom w:w="0" w:type="dxa"/>
        <w:right w:w="0" w:type="dxa"/>
      </w:tblCellMar>
    </w:tblPr>
  </w:style>
  <w:style w:type="paragraph" w:customStyle="1" w:styleId="82">
    <w:name w:val="样式2"/>
    <w:basedOn w:val="1"/>
    <w:qFormat/>
    <w:uiPriority w:val="0"/>
    <w:pPr>
      <w:ind w:firstLine="0"/>
      <w:jc w:val="center"/>
    </w:pPr>
    <w:rPr>
      <w:szCs w:val="24"/>
    </w:rPr>
  </w:style>
  <w:style w:type="paragraph" w:customStyle="1" w:styleId="83">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szCs w:val="20"/>
    </w:rPr>
  </w:style>
  <w:style w:type="paragraph" w:customStyle="1" w:styleId="84">
    <w:name w:val="表格1"/>
    <w:basedOn w:val="13"/>
    <w:qFormat/>
    <w:uiPriority w:val="0"/>
    <w:pPr>
      <w:adjustRightInd w:val="0"/>
      <w:snapToGrid w:val="0"/>
      <w:spacing w:line="240" w:lineRule="exact"/>
      <w:jc w:val="center"/>
    </w:pPr>
    <w:rPr>
      <w:kern w:val="0"/>
    </w:rPr>
  </w:style>
  <w:style w:type="paragraph" w:customStyle="1" w:styleId="85">
    <w:name w:val="刘正文"/>
    <w:basedOn w:val="1"/>
    <w:qFormat/>
    <w:uiPriority w:val="0"/>
    <w:pPr>
      <w:spacing w:line="460" w:lineRule="exact"/>
      <w:ind w:firstLine="480" w:firstLineChars="200"/>
      <w:jc w:val="left"/>
    </w:pPr>
    <w:rPr>
      <w:rFonts w:ascii="Times New Roman" w:hAnsi="Times New Roman" w:eastAsia="宋体"/>
      <w:color w:val="000000"/>
      <w:sz w:val="24"/>
    </w:rPr>
  </w:style>
  <w:style w:type="paragraph" w:customStyle="1" w:styleId="86">
    <w:name w:val="刘表格居中"/>
    <w:basedOn w:val="1"/>
    <w:qFormat/>
    <w:uiPriority w:val="0"/>
    <w:pPr>
      <w:spacing w:line="240" w:lineRule="auto"/>
      <w:ind w:firstLine="0" w:firstLineChars="0"/>
      <w:jc w:val="center"/>
    </w:pPr>
    <w:rPr>
      <w:rFonts w:ascii="Times New Roman" w:hAnsi="Times New Roman" w:eastAsia="宋体"/>
      <w:color w:val="000000"/>
      <w:sz w:val="21"/>
      <w:szCs w:val="21"/>
    </w:rPr>
  </w:style>
  <w:style w:type="paragraph" w:customStyle="1" w:styleId="87">
    <w:name w:val="塑料表头"/>
    <w:basedOn w:val="88"/>
    <w:qFormat/>
    <w:uiPriority w:val="0"/>
    <w:pPr>
      <w:numPr>
        <w:ilvl w:val="0"/>
        <w:numId w:val="5"/>
      </w:numPr>
      <w:ind w:firstLine="0" w:firstLineChars="0"/>
      <w:jc w:val="center"/>
    </w:pPr>
    <w:rPr>
      <w:rFonts w:eastAsia="宋体"/>
      <w:b/>
      <w:szCs w:val="24"/>
    </w:rPr>
  </w:style>
  <w:style w:type="paragraph" w:customStyle="1" w:styleId="88">
    <w:name w:val="表头字"/>
    <w:basedOn w:val="1"/>
    <w:qFormat/>
    <w:uiPriority w:val="0"/>
    <w:pPr>
      <w:spacing w:line="520" w:lineRule="exact"/>
      <w:ind w:firstLine="400" w:firstLineChars="400"/>
      <w:jc w:val="left"/>
    </w:pPr>
    <w:rPr>
      <w:rFonts w:eastAsia="黑体"/>
      <w:sz w:val="24"/>
      <w:szCs w:val="20"/>
    </w:rPr>
  </w:style>
  <w:style w:type="paragraph" w:customStyle="1" w:styleId="89">
    <w:name w:val="正文小四 1.75"/>
    <w:basedOn w:val="1"/>
    <w:qFormat/>
    <w:uiPriority w:val="0"/>
    <w:pPr>
      <w:spacing w:line="420" w:lineRule="auto"/>
      <w:ind w:firstLine="480" w:firstLineChars="200"/>
    </w:pPr>
    <w:rPr>
      <w:sz w:val="24"/>
    </w:rPr>
  </w:style>
  <w:style w:type="paragraph" w:customStyle="1" w:styleId="90">
    <w:name w:val="曹1.1"/>
    <w:basedOn w:val="1"/>
    <w:qFormat/>
    <w:uiPriority w:val="0"/>
    <w:pPr>
      <w:spacing w:line="360" w:lineRule="auto"/>
    </w:pPr>
    <w:rPr>
      <w:b/>
      <w:sz w:val="24"/>
    </w:rPr>
  </w:style>
  <w:style w:type="paragraph" w:customStyle="1" w:styleId="91">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character" w:customStyle="1" w:styleId="92">
    <w:name w:val="15"/>
    <w:qFormat/>
    <w:uiPriority w:val="0"/>
    <w:rPr>
      <w:rFonts w:hint="default" w:ascii="Times New Roman" w:hAnsi="Times New Roman" w:cs="Times New Roman"/>
    </w:rPr>
  </w:style>
  <w:style w:type="paragraph" w:customStyle="1" w:styleId="93">
    <w:name w:val="4表格内3级标题"/>
    <w:basedOn w:val="60"/>
    <w:next w:val="60"/>
    <w:qFormat/>
    <w:uiPriority w:val="0"/>
    <w:pPr>
      <w:ind w:firstLine="0" w:firstLineChars="0"/>
      <w:jc w:val="left"/>
    </w:pPr>
  </w:style>
  <w:style w:type="paragraph" w:customStyle="1" w:styleId="94">
    <w:name w:val="05表头"/>
    <w:basedOn w:val="13"/>
    <w:next w:val="1"/>
    <w:qFormat/>
    <w:uiPriority w:val="0"/>
    <w:pPr>
      <w:pageBreakBefore/>
      <w:spacing w:line="520" w:lineRule="exact"/>
      <w:ind w:left="0" w:right="0" w:firstLine="200" w:firstLineChars="200"/>
      <w:jc w:val="left"/>
    </w:pPr>
    <w:rPr>
      <w:rFonts w:hint="default" w:ascii="Times New Roman" w:eastAsia="黑体"/>
      <w:szCs w:val="24"/>
    </w:rPr>
  </w:style>
  <w:style w:type="paragraph" w:customStyle="1" w:styleId="95">
    <w:name w:val="07表格内容"/>
    <w:qFormat/>
    <w:uiPriority w:val="0"/>
    <w:pPr>
      <w:widowControl w:val="0"/>
      <w:spacing w:line="360" w:lineRule="exact"/>
      <w:jc w:val="center"/>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zMTc5MDUxNTYyIiwKCSJHcm91cElkIiA6ICIxNDk5NDU0MzEiLAoJIkltYWdlIiA6ICJpVkJPUncwS0dnb0FBQUFOU1VoRVVnQUFBbkFBQUFHK0NBWUFBQUFUR1RuNkFBQUFDWEJJV1hNQUFBc1RBQUFMRXdFQW1wd1lBQUFnQUVsRVFWUjRuT3pkZVZ4VTlmNC84TmM1d3d3T3lJZ3NLbXVDYUNheHpPQVN2OVEwNFpaS2V2MmFsVmUwTkx0eXMrMXJxZVZYeXlVenRhczM5RnVoWEcrUjV0YzFMZFRLck13MVRjWU5FZ1VrQlVOQVFKQmxCbWJPN3c5Z1lsZ1VGQmdHWHMvSHd3ZHp6dm1jejd5SDRwelhmTTRHRU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44</Pages>
  <Words>25278</Words>
  <Characters>29108</Characters>
  <Lines>13</Lines>
  <Paragraphs>3</Paragraphs>
  <TotalTime>17</TotalTime>
  <ScaleCrop>false</ScaleCrop>
  <LinksUpToDate>false</LinksUpToDate>
  <CharactersWithSpaces>29764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一心一意</cp:lastModifiedBy>
  <cp:lastPrinted>2021-12-06T01:32:00Z</cp:lastPrinted>
  <dcterms:modified xsi:type="dcterms:W3CDTF">2023-08-15T09:36:28Z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8FFF9EBD9AEB40149660E8E338339298_13</vt:lpwstr>
  </property>
</Properties>
</file>