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000000" w:fill="auto"/>
        <w:adjustRightInd w:val="0"/>
        <w:spacing w:beforeLines="0" w:line="592" w:lineRule="exact"/>
        <w:ind w:left="0" w:leftChars="0" w:right="0" w:firstLine="0" w:firstLineChars="0"/>
        <w:jc w:val="center"/>
        <w:rPr>
          <w:rFonts w:hint="eastAsia" w:ascii="仿宋_GB2312" w:hAnsi="仿宋_GB2312" w:eastAsia="方正小标宋简体" w:cs="方正小标宋简体"/>
          <w:b w:val="0"/>
          <w:bCs/>
          <w:snapToGrid w:val="0"/>
          <w:color w:val="000000"/>
          <w:spacing w:val="0"/>
          <w:w w:val="100"/>
          <w:kern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仿宋_GB2312" w:hAnsi="仿宋_GB2312" w:eastAsia="方正小标宋简体" w:cs="方正小标宋简体"/>
          <w:b w:val="0"/>
          <w:bCs/>
          <w:snapToGrid w:val="0"/>
          <w:color w:val="000000"/>
          <w:spacing w:val="0"/>
          <w:w w:val="100"/>
          <w:kern w:val="0"/>
          <w:sz w:val="44"/>
          <w:szCs w:val="44"/>
          <w:shd w:val="clear" w:color="auto" w:fill="auto"/>
        </w:rPr>
        <w:t>偃师区自备井整治</w:t>
      </w:r>
      <w:r>
        <w:rPr>
          <w:rFonts w:hint="eastAsia" w:ascii="仿宋_GB2312" w:hAnsi="仿宋_GB2312" w:eastAsia="方正小标宋简体" w:cs="方正小标宋简体"/>
          <w:b w:val="0"/>
          <w:bCs/>
          <w:snapToGrid w:val="0"/>
          <w:color w:val="000000"/>
          <w:spacing w:val="0"/>
          <w:w w:val="100"/>
          <w:kern w:val="0"/>
          <w:sz w:val="44"/>
          <w:szCs w:val="44"/>
          <w:shd w:val="clear" w:color="auto" w:fill="auto"/>
          <w:lang w:val="en-US" w:eastAsia="zh-CN"/>
        </w:rPr>
        <w:t>工作</w:t>
      </w:r>
      <w:r>
        <w:rPr>
          <w:rFonts w:hint="eastAsia" w:ascii="仿宋_GB2312" w:hAnsi="仿宋_GB2312" w:eastAsia="方正小标宋简体" w:cs="方正小标宋简体"/>
          <w:b w:val="0"/>
          <w:bCs/>
          <w:snapToGrid w:val="0"/>
          <w:color w:val="000000"/>
          <w:spacing w:val="0"/>
          <w:w w:val="100"/>
          <w:kern w:val="0"/>
          <w:sz w:val="44"/>
          <w:szCs w:val="44"/>
          <w:shd w:val="clear" w:color="auto" w:fill="auto"/>
        </w:rPr>
        <w:t>实施方案</w:t>
      </w:r>
    </w:p>
    <w:p>
      <w:pPr>
        <w:shd w:val="clear" w:color="000000" w:fill="auto"/>
        <w:adjustRightInd w:val="0"/>
        <w:spacing w:beforeLines="0" w:line="592" w:lineRule="exact"/>
        <w:ind w:left="0" w:leftChars="0" w:right="0" w:firstLine="0" w:firstLineChars="0"/>
        <w:jc w:val="center"/>
        <w:rPr>
          <w:rFonts w:hint="eastAsia" w:ascii="仿宋_GB2312" w:hAnsi="仿宋_GB2312" w:eastAsia="方正小标宋简体" w:cs="方正小标宋简体"/>
          <w:b w:val="0"/>
          <w:bCs/>
          <w:snapToGrid w:val="0"/>
          <w:color w:val="000000"/>
          <w:spacing w:val="0"/>
          <w:w w:val="100"/>
          <w:kern w:val="0"/>
          <w:sz w:val="44"/>
          <w:szCs w:val="32"/>
          <w:shd w:val="clear" w:color="auto" w:fill="auto"/>
          <w:lang w:val="en-US" w:eastAsia="zh-CN"/>
        </w:rPr>
      </w:pPr>
    </w:p>
    <w:p>
      <w:pPr>
        <w:pStyle w:val="7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为进一步落实最严格的水资源管理制度，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加强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地下水资源统一管理和保护，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保障地下水质量和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可持续利用，根据《中华人民共和国水法》《地下水管理条例》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河南省地下水管理办法》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等有关法律、法规，经区政府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研究，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决定在全区范围内开展自备井清理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整治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工作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，制定本实施方案。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b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黑体" w:cs="黑体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一、指导思想</w:t>
      </w:r>
    </w:p>
    <w:p>
      <w:pPr>
        <w:pStyle w:val="7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以习近平新时代中国特色社会主义思想为指导，坚持“节水优先，空间均衡，系统治理，两手发力”的治水思路，以合理利用和科学保护地下水资源为目的，以水法律法规为依据，以执法整治为手段，建立完善的用水管理机制，规范取用水秩序，优化配置水资源，促进我区经济社会可持续发展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黑体" w:cs="黑体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二、目标任务</w:t>
      </w:r>
    </w:p>
    <w:p>
      <w:pPr>
        <w:spacing w:before="0" w:after="0" w:line="590" w:lineRule="exact"/>
        <w:ind w:firstLine="640" w:firstLineChars="200"/>
        <w:outlineLvl w:val="9"/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（一）排查核实自备井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基本情况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1．摸清自备井数量。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重点排查辖区内工业、服务业、地温空调及基坑降水、采矿疏干排水等方面现有自备井，不包括农业灌溉和农村安全饮水工程等自备井。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2．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取水情况。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包括取水量、取水用途、取水地点（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经纬坐标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）、取水方式、城市公共供水管网覆盖情况等；包括有无取水许可证、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许可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单位、时效、取水许可证换发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情况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以及建设项目水资源论证和用水企业水平衡测试开展情况等。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3．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管理情况。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包括有无安装取水计量设施、有无在线监控设备、节水措施等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4．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水资源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税费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缴纳情况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5．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单位负责人及联系电话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。</w:t>
      </w:r>
    </w:p>
    <w:p>
      <w:pPr>
        <w:numPr>
          <w:numId w:val="0"/>
        </w:numPr>
        <w:spacing w:before="0" w:after="0" w:line="590" w:lineRule="exact"/>
        <w:ind w:firstLine="640" w:firstLineChars="200"/>
        <w:outlineLvl w:val="9"/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（二）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依法取缔无证自备井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 w:bidi="ar-SA"/>
        </w:rPr>
        <w:t>1．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对公共供水管网覆盖范围内无取水许可证的自备井，一律无条件关停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并依法予以处罚（地温空调取水接受处罚后，可办理取水许可手续）。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 w:bidi="ar-SA"/>
        </w:rPr>
        <w:t>2．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对公共供水管网覆盖范围外无取水许可证的自备井，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一律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予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以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关停，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依法予以处罚，确需取水的获得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取水许可手续后方准启用。</w:t>
      </w:r>
    </w:p>
    <w:p>
      <w:pPr>
        <w:numPr>
          <w:numId w:val="0"/>
        </w:numPr>
        <w:spacing w:before="0" w:after="0" w:line="590" w:lineRule="exact"/>
        <w:ind w:firstLine="640" w:firstLineChars="200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（三）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依法整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治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有证自备井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的范围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1．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有取水许可证但报废、停用的自备井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；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有取水许可证但未按取水许可规定取水、擅自改变取水用途或转供其他单位的自备井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包括单村安全饮水转供企业）；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3．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有取水许可证但未足额缴纳水资源税的自备井，限期足额缴纳，逾期尚未缴纳的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；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4．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有取水许可证（取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用地下水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5万方以上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包括地热能利用项目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）但未按规定安装自动监控计量设备的自备井，限期安装，逾期仍未安装的（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取用地下水5万方以下单位提倡安装自动监控计量设备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）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numPr>
          <w:numId w:val="0"/>
        </w:num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5．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公共供水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管网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覆盖范围内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办理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过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取水许可证的单位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，作为生活饮用水源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、工业生产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洗浴、洗车的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自备井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；</w:t>
      </w:r>
    </w:p>
    <w:p>
      <w:pPr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Autospacing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对以上纳入整治范围的有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取水许可证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自备井，依据有关法律法规的规定，予以处罚并实施关停。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黑体" w:cs="黑体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三、实施步骤</w:t>
      </w:r>
    </w:p>
    <w:p>
      <w:pPr>
        <w:pStyle w:val="7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此次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整治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工作采取边排查边整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治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的方法进行，自2023年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月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/>
        </w:rPr>
        <w:t>21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日起，至2023年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月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31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日结束，具体分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个阶段。</w:t>
      </w:r>
    </w:p>
    <w:p>
      <w:pPr>
        <w:numPr>
          <w:numId w:val="0"/>
        </w:numPr>
        <w:spacing w:before="0" w:after="0" w:line="590" w:lineRule="exact"/>
        <w:ind w:firstLine="640" w:firstLineChars="200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楷体_GB2312" w:cs="楷体_GB2312"/>
          <w:snapToGrid w:val="0"/>
          <w:color w:val="000000"/>
          <w:spacing w:val="0"/>
          <w:w w:val="100"/>
          <w:kern w:val="0"/>
          <w:sz w:val="32"/>
          <w:szCs w:val="32"/>
          <w:shd w:val="clear" w:color="080000" w:fill="auto"/>
          <w:lang w:val="en-US" w:eastAsia="zh-CN" w:bidi="ar-SA"/>
        </w:rPr>
        <w:t>（一）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宣传动员阶段（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月</w:t>
      </w:r>
      <w:r>
        <w:rPr>
          <w:rFonts w:hint="default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日—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日）。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充分利用广播、电视、网络等新闻媒体，大力宣传整治自备井的目的和意义，取得社会各界理解和支持，为工作开展奠定坚实基础。</w:t>
      </w:r>
    </w:p>
    <w:p>
      <w:pPr>
        <w:pStyle w:val="7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责任单位：区水利局、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融媒体中心、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税务局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偃师分局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各镇（街道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）</w:t>
      </w:r>
    </w:p>
    <w:p>
      <w:pPr>
        <w:spacing w:before="0" w:after="0" w:line="590" w:lineRule="exact"/>
        <w:ind w:firstLine="640" w:firstLineChars="200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（二）排查核实阶段（2月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日—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日）。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采取用水单位自主申报和排查相结合的方式，以镇（街道）为单位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在全区范围内进行拉网式排查，将排查情况逐一登记造册，建立底账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于3月5日前报区水利局统一汇总，区水利局定期通报工作进度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1．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对公共供水管网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覆盖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范围内的自备井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排查由四个街道牵头，区城管局和洛阳亳源水务有限责任公司配合一律予以关停封填（不包括地温空调取水），对接自来水管网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；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2．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对公共供水管网覆盖范围外的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无证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自备井，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先行关停，确需使用的，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限期到水利部门办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理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取水许可手续。逾期不办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理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取水许可手续的，除按照水泵出水量满负荷追缴水资源税并予以处罚外，由用水单位自行封填其自备井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；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3．对于隐瞒不报的取用水单位或镇（街道）未排查出的自备井，一经发现，一律关停，依法处罚；</w:t>
      </w:r>
    </w:p>
    <w:p>
      <w:pPr>
        <w:pStyle w:val="7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责任单位：区水利局、住建局、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工信局、城管局、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税务局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偃师分局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各镇（街道）</w:t>
      </w:r>
    </w:p>
    <w:p>
      <w:pPr>
        <w:numPr>
          <w:numId w:val="0"/>
        </w:numPr>
        <w:spacing w:before="0" w:after="0" w:line="590" w:lineRule="exact"/>
        <w:ind w:firstLine="640" w:firstLineChars="200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（三）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集中整治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阶段（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3月12日—4月30日</w:t>
      </w: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）。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对逾期未按规定自行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封填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自备井的，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由各镇（街道）负责，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依法进行封闭（填埋），并对违反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行为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依法进行处理。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封填标准为：将水泵及井管提出井口，断电并用土石方或混凝土将井口封填。</w:t>
      </w:r>
    </w:p>
    <w:p>
      <w:pPr>
        <w:pStyle w:val="7"/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责任单位：区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水利局、住建局、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城管局、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工信局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教体局、卫健委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税务局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偃师分局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各镇（街道）</w:t>
      </w:r>
    </w:p>
    <w:p>
      <w:pPr>
        <w:spacing w:before="0" w:after="0" w:line="590" w:lineRule="exact"/>
        <w:ind w:firstLine="640" w:firstLineChars="200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楷体_GB2312" w:cs="楷体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（四）检查验收阶段（5月1日—5月31日）。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各镇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（街道）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要严格按时间节点完成自备井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封填关停</w:t>
      </w:r>
      <w:r>
        <w:rPr>
          <w:rFonts w:hint="default" w:ascii="仿宋_GB2312" w:hAnsi="仿宋_GB2312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工作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并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将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封填关停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情况上报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区自备井整治工作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领导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小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组办公室，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由区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水利局负责对各镇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（街道）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完成情况进行实地验收，总结汇总，对封填关停自备井工作成效好的镇（街道），由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领导小组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办公室给予表彰；对封填关停自备井成效不佳的镇（街道），由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领导小组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办公室给予通报批评。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黑体" w:cs="黑体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四、组织领导</w:t>
      </w:r>
    </w:p>
    <w:p>
      <w:pPr>
        <w:pStyle w:val="7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自备井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整治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工作，涉及面广、政策性强，为加强对全区自备井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整治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工作的组织领导，成立由区委常委、区政府副区长朱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蕾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为组长，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区委常委、统战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部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部长申俊涛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为副组长，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区纪委监委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区水利局、住建局、城管局、工信局、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教体局、卫健委、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公安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局偃师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分局、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税务局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u w:val="none"/>
          <w:lang w:eastAsia="zh-CN"/>
        </w:rPr>
        <w:t>偃师分局、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各镇（街道）等相关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单位主要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负责人为成员的区自备井整治工作领导小组。</w:t>
      </w:r>
    </w:p>
    <w:p>
      <w:pPr>
        <w:pStyle w:val="7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beforeAutospacing="0" w:after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领导小组下设办公室，办公室设在区水利局，具体负责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自备井整治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日常工作。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黑体" w:cs="黑体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五、</w:t>
      </w:r>
      <w:r>
        <w:rPr>
          <w:rFonts w:hint="eastAsia" w:ascii="仿宋_GB2312" w:hAnsi="仿宋_GB2312" w:eastAsia="黑体" w:cs="黑体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工作要求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楷体_GB2312" w:cs="楷体_GB2312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楷体_GB2312" w:cs="楷体_GB2312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一）加强组织领导，增强责任意识。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各单位要充分认识此次整治工作的重要性和紧迫性，把排查核实自备井情况、取缔无证自备井、规范管理有证自备井等工作摆上重要议事日程，切实做到领导到位、人员到位、措施到位、责任到位，确保整治工作落到实处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楷体_GB2312" w:cs="楷体_GB2312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（二）密切部门配合，突出整治效果。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各镇（街道）要成立自备井整治工作专班，制定整治实施方案，统筹推进本辖区内自备井整治工作的责任落实、舆论引导等重点工作，要把自备井整治任务项目化、清单化、责任化；领导小组成员单位要按照职责分工相互协调配合、形成工作合力，完成本部门工作任务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楷体_GB2312" w:cs="楷体_GB2312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（三）强化舆论宣传，营造良好氛围。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充分利用报刊、电视、网络等媒体媒介，大力宣传地下水资源管理和保护、防治地下水超采和污染的重要性，及时跟踪报道整治工作中好的做法和成效，增强群众依法用水观念，营造浓厚的整治氛围，促进我区自备井整治工作顺利开展。</w:t>
      </w:r>
    </w:p>
    <w:p>
      <w:pPr>
        <w:spacing w:before="0" w:after="0" w:line="590" w:lineRule="exact"/>
        <w:ind w:firstLine="640" w:firstLineChars="200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楷体_GB2312" w:cs="楷体_GB2312"/>
          <w:b w:val="0"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（四）严格日常管理，形成长效机制。</w:t>
      </w: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</w:rPr>
        <w:t>在此次整治工作结束后，要建立健全自备井管理的长效机制，变专项整治为常规化管理，巩固专项整治成果，防止出现反弹。城市公共供水单位要强化服务意识，积极主动做好封闭自备井单位的供水服务工作，保障各用水单位正常生产和生活用水。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Autospacing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Autospacing="0" w:afterAutospacing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Times New Roman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附件：2023年度自备井取用水情况排查表</w:t>
      </w:r>
    </w:p>
    <w:p>
      <w:pPr>
        <w:widowControl w:val="0"/>
        <w:wordWrap/>
        <w:adjustRightInd/>
        <w:snapToGrid/>
        <w:spacing w:line="600" w:lineRule="exact"/>
        <w:ind w:left="0" w:leftChars="0" w:firstLine="5257" w:firstLineChars="164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420" w:firstLineChars="200"/>
        <w:jc w:val="both"/>
        <w:textAlignment w:val="auto"/>
        <w:rPr>
          <w:rFonts w:eastAsia="仿宋_GB2312"/>
          <w:color w:val="000000"/>
        </w:rPr>
      </w:pPr>
    </w:p>
    <w:p>
      <w:pPr>
        <w:pStyle w:val="2"/>
        <w:widowControl w:val="0"/>
        <w:wordWrap/>
        <w:spacing w:line="59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/>
          <w:color w:val="000000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pgSz w:w="11906" w:h="16838"/>
          <w:pgMar w:top="1871" w:right="1474" w:bottom="1701" w:left="1587" w:header="851" w:footer="1395" w:gutter="0"/>
          <w:lnNumType w:countBy="0" w:restart="continuous"/>
          <w:pgNumType w:fmt="decimal"/>
          <w:cols w:space="720" w:num="1"/>
          <w:rtlGutter w:val="0"/>
          <w:docGrid w:type="lines" w:linePitch="603"/>
        </w:sectPr>
      </w:pPr>
    </w:p>
    <w:tbl>
      <w:tblPr>
        <w:tblW w:w="13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42"/>
        <w:gridCol w:w="699"/>
        <w:gridCol w:w="937"/>
        <w:gridCol w:w="685"/>
        <w:gridCol w:w="709"/>
        <w:gridCol w:w="876"/>
        <w:gridCol w:w="913"/>
        <w:gridCol w:w="988"/>
        <w:gridCol w:w="922"/>
        <w:gridCol w:w="723"/>
        <w:gridCol w:w="1011"/>
        <w:gridCol w:w="685"/>
        <w:gridCol w:w="685"/>
        <w:gridCol w:w="685"/>
        <w:gridCol w:w="686"/>
        <w:gridCol w:w="223"/>
        <w:gridCol w:w="196"/>
      </w:tblGrid>
      <w:tr>
        <w:trPr>
          <w:gridAfter w:val="1"/>
          <w:wAfter w:w="196" w:type="dxa"/>
          <w:trHeight w:val="1381" w:hRule="atLeast"/>
          <w:jc w:val="center"/>
        </w:trPr>
        <w:tc>
          <w:tcPr>
            <w:tcW w:w="133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Calibri" w:hAnsi="Calibri" w:eastAsia="宋体" w:cs="黑体"/>
                <w:color w:val="000000"/>
                <w:kern w:val="2"/>
                <w:sz w:val="32"/>
                <w:szCs w:val="24"/>
                <w:lang w:val="en-US" w:eastAsia="zh-CN" w:bidi="ar-SA"/>
              </w:rPr>
              <w:pict>
                <v:rect id="文本框 4" o:spid="_x0000_s1026" style="position:absolute;left:0;margin-left:-36.7pt;margin-top:3.6pt;height:427.45pt;width:35.25pt;rotation:0f;z-index:25166233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snapToGrid w:val="0"/>
                          <w:spacing w:line="240" w:lineRule="auto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/>
                            <w:sz w:val="28"/>
                            <w:lang w:val="en-US"/>
                          </w:rPr>
                          <w:t>8</w:t>
                        </w:r>
                        <w:r>
                          <w:rPr>
                            <w:rFonts w:hint="eastAsia" w:ascii="Times New Roman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lang w:eastAsia="zh-CN"/>
                          </w:rPr>
                          <w:t>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/>
              </w:rPr>
              <w:t>附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/>
              </w:rPr>
              <w:t>件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620" w:lineRule="exact"/>
              <w:ind w:left="0" w:leftChars="0" w:right="0"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shd w:val="clear" w:color="auto" w:fill="auto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shd w:val="clear" w:color="auto" w:fill="auto"/>
                <w:lang w:val="en-US" w:eastAsia="zh-CN"/>
              </w:rPr>
              <w:t>年度自备井取用水情况排查表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所属镇（街道）：                                                                                        日期：     年    月    日</w:t>
            </w:r>
          </w:p>
        </w:tc>
      </w:tr>
      <w:tr>
        <w:trPr>
          <w:trHeight w:val="41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单位名称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法定  代表人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联系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电话</w:t>
            </w:r>
          </w:p>
        </w:tc>
        <w:tc>
          <w:tcPr>
            <w:tcW w:w="5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取 水 情 况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是否办理取水许可证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《取水许可证》时效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是否  安装计量设施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是否  缴纳水资源税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是否  水资源论证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是否  水平衡测试</w:t>
            </w:r>
          </w:p>
        </w:tc>
        <w:tc>
          <w:tcPr>
            <w:tcW w:w="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备注</w:t>
            </w:r>
          </w:p>
        </w:tc>
      </w:tr>
      <w:tr>
        <w:trPr>
          <w:trHeight w:val="118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是否   自备井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是否 村集体供水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取水量（吨）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取水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用途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取水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地点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="-81" w:leftChars="-85" w:right="-147" w:rightChars="-70" w:hanging="97" w:hangingChars="46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pacing w:val="-4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（经纬度）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是否公共供水覆盖范围内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/>
              </w:rPr>
              <w:t>...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>
        <w:trPr>
          <w:trHeight w:val="45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wordWrap/>
              <w:snapToGrid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</w:tbl>
    <w:p>
      <w:pPr>
        <w:rPr>
          <w:rFonts w:hint="default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6838" w:h="11906" w:orient="landscape"/>
          <w:pgMar w:top="1587" w:right="1701" w:bottom="1474" w:left="1871" w:header="851" w:footer="1395" w:gutter="0"/>
          <w:lnNumType w:countBy="0" w:restart="continuous"/>
          <w:pgNumType w:fmt="decimal"/>
          <w:cols w:space="720" w:num="1"/>
          <w:rtlGutter w:val="0"/>
          <w:docGrid w:type="lines" w:linePitch="603"/>
        </w:sectPr>
      </w:pPr>
    </w:p>
    <w:p>
      <w:pPr>
        <w:rPr>
          <w:rFonts w:hint="default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spacing w:line="350" w:lineRule="exact"/>
        <w:rPr>
          <w:rFonts w:hint="default" w:eastAsia="仿宋_GB2312"/>
          <w:color w:val="000000"/>
        </w:rPr>
      </w:pPr>
    </w:p>
    <w:p>
      <w:pPr>
        <w:spacing w:line="540" w:lineRule="exact"/>
        <w:jc w:val="both"/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 w:ascii="Times New Roman" w:hAnsi="Times New Roman" w:eastAsia="仿宋_GB2312"/>
          <w:color w:val="000000"/>
        </w:rPr>
      </w:pPr>
    </w:p>
    <w:p>
      <w:pPr>
        <w:pStyle w:val="2"/>
        <w:rPr>
          <w:rFonts w:hint="default" w:ascii="Times New Roman" w:hAnsi="Times New Roman" w:eastAsia="仿宋_GB2312"/>
          <w:color w:val="000000"/>
        </w:rPr>
      </w:pPr>
    </w:p>
    <w:p>
      <w:pPr>
        <w:rPr>
          <w:rFonts w:hint="default"/>
          <w:color w:val="000000"/>
        </w:rPr>
      </w:pP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pacing w:before="0" w:after="0" w:line="500" w:lineRule="exact"/>
        <w:ind w:right="0"/>
        <w:jc w:val="both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color w:val="000000"/>
          <w:shd w:val="clear" w:color="auto" w:fill="auto"/>
          <w:lang w:val="en-US" w:eastAsia="zh-CN"/>
        </w:rPr>
      </w:pPr>
    </w:p>
    <w:p>
      <w:pPr>
        <w:pStyle w:val="2"/>
        <w:spacing w:line="340" w:lineRule="auto"/>
        <w:rPr>
          <w:rFonts w:hint="eastAsia"/>
          <w:color w:val="000000"/>
          <w:lang w:val="en-US" w:eastAsia="zh-CN"/>
        </w:rPr>
      </w:pPr>
    </w:p>
    <w:p>
      <w:pPr>
        <w:jc w:val="both"/>
        <w:rPr>
          <w:rFonts w:hint="eastAsia" w:eastAsia="仿宋_GB2312"/>
          <w:color w:val="000000"/>
          <w:lang w:val="en-US" w:eastAsia="zh-CN"/>
        </w:rPr>
      </w:pP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pacing w:before="0" w:after="0" w:line="600" w:lineRule="exact"/>
        <w:ind w:right="0"/>
        <w:jc w:val="both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/>
          <w:w w:val="100"/>
          <w:kern w:val="0"/>
          <w:sz w:val="32"/>
          <w:szCs w:val="32"/>
          <w:shd w:val="clear" w:color="auto" w:fill="auto"/>
          <w:lang w:val="en-US" w:eastAsia="zh-CN"/>
        </w:rPr>
      </w:pPr>
    </w:p>
    <w:sectPr>
      <w:headerReference r:id="rId12" w:type="even"/>
      <w:footerReference r:id="rId13" w:type="even"/>
      <w:pgSz w:w="11906" w:h="16838"/>
      <w:pgMar w:top="1871" w:right="1474" w:bottom="1701" w:left="1587" w:header="851" w:footer="1395" w:gutter="0"/>
      <w:lnNumType w:countBy="0" w:restart="continuous"/>
      <w:pgNumType w:fmt="decimal"/>
      <w:cols w:space="720" w:num="1"/>
      <w:rtlGutter w:val="0"/>
      <w:docGrid w:type="lines" w:linePitch="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wordWrap w:val="0"/>
      <w:adjustRightInd/>
      <w:snapToGrid w:val="0"/>
      <w:spacing w:afterLines="28" w:line="240" w:lineRule="auto"/>
      <w:ind w:left="0" w:leftChars="0" w:right="0"/>
      <w:jc w:val="right"/>
      <w:textAlignment w:val="auto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Times New Roman"/>
        <w:sz w:val="28"/>
        <w:lang w:eastAsia="zh-CN"/>
      </w:rPr>
      <w:t xml:space="preserve"> </w:t>
    </w: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 PAGE  \* MERGEFORMAT </w:instrText>
    </w:r>
    <w:r>
      <w:rPr>
        <w:rFonts w:ascii="Times New Roman"/>
        <w:sz w:val="28"/>
      </w:rPr>
      <w:fldChar w:fldCharType="separate"/>
    </w:r>
    <w:r>
      <w:rPr>
        <w:rFonts w:ascii="Times New Roman"/>
        <w:sz w:val="28"/>
      </w:rPr>
      <w:t>1</w:t>
    </w:r>
    <w:r>
      <w:rPr>
        <w:rFonts w:ascii="Times New Roman"/>
        <w:sz w:val="28"/>
      </w:rPr>
      <w:fldChar w:fldCharType="end"/>
    </w:r>
    <w:r>
      <w:rPr>
        <w:rFonts w:hint="eastAsia" w:ascii="Times New Roman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default" w:ascii="宋体" w:hAnsi="宋体" w:cs="宋体"/>
        <w:sz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wordWrap/>
      <w:adjustRightInd/>
      <w:snapToGrid w:val="0"/>
      <w:spacing w:line="240" w:lineRule="auto"/>
      <w:ind w:left="0" w:leftChars="0" w:right="0" w:firstLine="319" w:firstLineChars="114"/>
      <w:jc w:val="both"/>
      <w:textAlignment w:val="auto"/>
      <w:outlineLvl w:val="9"/>
    </w:pPr>
    <w:r>
      <w:rPr>
        <w:rFonts w:hint="default" w:ascii="宋体" w:hAnsi="宋体" w:cs="宋体"/>
        <w:sz w:val="28"/>
        <w:szCs w:val="24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Times New Roman"/>
        <w:sz w:val="28"/>
        <w:lang w:eastAsia="zh-CN"/>
      </w:rPr>
      <w:t xml:space="preserve"> </w:t>
    </w: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 PAGE  \* MERGEFORMAT </w:instrText>
    </w:r>
    <w:r>
      <w:rPr>
        <w:rFonts w:ascii="Times New Roman"/>
        <w:sz w:val="28"/>
      </w:rPr>
      <w:fldChar w:fldCharType="separate"/>
    </w:r>
    <w:r>
      <w:rPr>
        <w:rFonts w:ascii="Times New Roman"/>
        <w:sz w:val="28"/>
      </w:rPr>
      <w:t>2</w:t>
    </w:r>
    <w:r>
      <w:rPr>
        <w:rFonts w:ascii="Times New Roman"/>
        <w:sz w:val="28"/>
      </w:rPr>
      <w:fldChar w:fldCharType="end"/>
    </w:r>
    <w:r>
      <w:rPr>
        <w:rFonts w:hint="eastAsia" w:ascii="Times New Roman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wordWrap w:val="0"/>
      <w:adjustRightInd/>
      <w:snapToGrid w:val="0"/>
      <w:spacing w:line="240" w:lineRule="auto"/>
      <w:ind w:left="0" w:leftChars="0" w:right="0"/>
      <w:jc w:val="right"/>
      <w:textAlignment w:val="auto"/>
      <w:rPr>
        <w:rFonts w:hint="default"/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wordWrap/>
      <w:adjustRightInd/>
      <w:snapToGrid w:val="0"/>
      <w:spacing w:line="240" w:lineRule="auto"/>
      <w:ind w:left="0" w:leftChars="0" w:right="0" w:firstLine="114" w:firstLineChars="41"/>
      <w:jc w:val="both"/>
      <w:textAlignment w:val="auto"/>
      <w:outlineLvl w:val="9"/>
    </w:pPr>
    <w:r>
      <w:rPr>
        <w:rFonts w:hint="default" w:ascii="宋体" w:hAnsi="宋体" w:cs="宋体"/>
        <w:sz w:val="28"/>
        <w:lang w:val="en-US" w:eastAsia="zh-CN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wordWrap/>
      <w:adjustRightInd/>
      <w:snapToGrid w:val="0"/>
      <w:spacing w:line="240" w:lineRule="auto"/>
      <w:ind w:left="0" w:leftChars="0" w:right="0" w:firstLine="86" w:firstLineChars="41"/>
      <w:jc w:val="both"/>
      <w:textAlignment w:val="auto"/>
      <w:outlineLvl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paragraph" w:styleId="2">
    <w:name w:val="Body Text"/>
    <w:basedOn w:val="1"/>
    <w:next w:val="1"/>
    <w:qFormat/>
    <w:uiPriority w:val="0"/>
    <w:pPr>
      <w:ind w:left="325"/>
      <w:jc w:val="left"/>
    </w:pPr>
    <w:rPr>
      <w:rFonts w:ascii="宋体" w:hAnsi="宋体"/>
      <w:kern w:val="0"/>
      <w:sz w:val="31"/>
      <w:szCs w:val="31"/>
      <w:lang w:eastAsia="en-US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widowControl/>
      <w:wordWrap w:val="0"/>
      <w:spacing w:before="0" w:after="60" w:line="240" w:lineRule="auto"/>
      <w:ind w:left="0" w:firstLine="0"/>
      <w:jc w:val="center"/>
    </w:pPr>
    <w:rPr>
      <w:rFonts w:ascii="Times New Roman" w:hAnsi="Times New Roman" w:eastAsia="宋体" w:cs="Times New Roman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widowControl/>
      <w:adjustRightInd/>
      <w:snapToGrid/>
      <w:spacing w:before="240" w:after="60" w:line="240" w:lineRule="auto"/>
      <w:jc w:val="center"/>
      <w:outlineLvl w:val="0"/>
    </w:pPr>
    <w:rPr>
      <w:rFonts w:ascii="Cambria" w:hAnsi="Cambria" w:eastAsia="宋体" w:cs="Times New Roman"/>
      <w:b/>
      <w:bCs/>
      <w:kern w:val="28"/>
      <w:szCs w:val="32"/>
      <w:lang w:eastAsia="en-US"/>
    </w:rPr>
  </w:style>
  <w:style w:type="paragraph" w:customStyle="1" w:styleId="10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BodyText1I2"/>
    <w:basedOn w:val="12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2">
    <w:name w:val="BodyTextIndent"/>
    <w:basedOn w:val="1"/>
    <w:next w:val="13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3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lang w:val="en-US" w:eastAsia="zh-CN"/>
    </w:rPr>
  </w:style>
  <w:style w:type="paragraph" w:customStyle="1" w:styleId="14">
    <w:name w:val="Heading 1"/>
    <w:basedOn w:val="1"/>
    <w:qFormat/>
    <w:uiPriority w:val="1"/>
    <w:pPr>
      <w:spacing w:before="38"/>
      <w:ind w:right="762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customStyle="1" w:styleId="15">
    <w:name w:val="List Paragraph"/>
    <w:basedOn w:val="1"/>
    <w:qFormat/>
    <w:uiPriority w:val="1"/>
    <w:pPr>
      <w:spacing w:before="184"/>
      <w:ind w:left="131" w:firstLine="639"/>
    </w:pPr>
    <w:rPr>
      <w:rFonts w:ascii="宋体" w:hAnsi="宋体" w:eastAsia="宋体" w:cs="宋体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10"/>
      <w:jc w:val="center"/>
    </w:pPr>
    <w:rPr>
      <w:rFonts w:ascii="宋体" w:hAnsi="宋体" w:eastAsia="宋体" w:cs="宋体"/>
      <w:lang w:val="en-US" w:eastAsia="zh-CN" w:bidi="ar-SA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4.xml"/><Relationship Id="rId13" Type="http://schemas.openxmlformats.org/officeDocument/2006/relationships/footer" Target="footer6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1876</Words>
  <Characters>1975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2021-08-26T19:08:00Z</dcterms:created>
  <dc:creator>阳啊阳</dc:creator>
  <cp:lastModifiedBy>Administrator</cp:lastModifiedBy>
  <cp:lastPrinted>2023-02-22T08:20:00Z</cp:lastPrinted>
  <dcterms:modified xsi:type="dcterms:W3CDTF">2024-01-03T08:34:15Z</dcterms:modified>
  <dc:title>洛阳市偃师区人民政府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3FABEB317C904B1A86D1788A7B45DC83</vt:lpwstr>
  </property>
</Properties>
</file>