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2DD9CB">
      <w:pPr>
        <w:numPr>
          <w:ilvl w:val="0"/>
          <w:numId w:val="2"/>
        </w:numPr>
        <w:spacing w:line="640" w:lineRule="exact"/>
        <w:jc w:val="center"/>
        <w:outlineLvl w:val="0"/>
        <w:rPr>
          <w:rFonts w:hint="eastAsia" w:ascii="方正小标宋简体" w:hAnsi="方正小标宋简体" w:eastAsia="方正小标宋简体" w:cs="方正小标宋简体"/>
          <w:color w:val="auto"/>
          <w:sz w:val="44"/>
          <w:szCs w:val="44"/>
        </w:rPr>
      </w:pPr>
      <w:bookmarkStart w:id="0" w:name="DYNAMIC—DWXX—tAj_dwmc"/>
      <w:r>
        <w:rPr>
          <w:rFonts w:hint="default" w:ascii="方正小标宋简体" w:hAnsi="方正小标宋简体" w:eastAsia="方正小标宋简体" w:cs="方正小标宋简体"/>
          <w:color w:val="000000"/>
          <w:sz w:val="44"/>
          <w:u w:val="none"/>
        </w:rPr>
        <w:t>洛阳市偃师区市场监督管理局</w:t>
      </w:r>
      <w:bookmarkEnd w:id="0"/>
    </w:p>
    <w:p w14:paraId="47F6577B">
      <w:pPr>
        <w:pStyle w:val="2"/>
        <w:keepNext w:val="0"/>
        <w:numPr>
          <w:ilvl w:val="0"/>
          <w:numId w:val="2"/>
        </w:numPr>
        <w:spacing w:before="0" w:after="0" w:line="640" w:lineRule="exact"/>
        <w:jc w:val="center"/>
        <w:rPr>
          <w:rFonts w:hint="eastAsia" w:eastAsia="方正小标宋简体" w:cs="方正小标宋简体"/>
          <w:color w:val="auto"/>
          <w:sz w:val="44"/>
          <w:szCs w:val="44"/>
        </w:rPr>
      </w:pPr>
      <w:bookmarkStart w:id="1" w:name="_Toc76683344"/>
      <w:r>
        <w:rPr>
          <w:rFonts w:hint="eastAsia" w:hAnsi="方正小标宋简体" w:eastAsia="方正小标宋简体" w:cs="方正小标宋简体"/>
          <w:color w:val="000000"/>
          <w:sz w:val="44"/>
          <w:szCs w:val="44"/>
          <w:u w:val="none"/>
          <w:lang w:val="en-US"/>
        </w:rPr>
        <w:t>行政处罚</w:t>
      </w:r>
      <w:r>
        <w:rPr>
          <w:rFonts w:hint="eastAsia" w:hAnsi="方正小标宋简体" w:eastAsia="方正小标宋简体" w:cs="方正小标宋简体"/>
          <w:color w:val="000000"/>
          <w:sz w:val="44"/>
          <w:szCs w:val="44"/>
          <w:u w:val="none"/>
          <w:lang w:val="en-US" w:eastAsia="zh-Hans"/>
        </w:rPr>
        <w:t>决定</w:t>
      </w:r>
      <w:r>
        <w:rPr>
          <w:rFonts w:hint="eastAsia" w:hAnsi="方正小标宋简体" w:eastAsia="方正小标宋简体" w:cs="方正小标宋简体"/>
          <w:color w:val="000000"/>
          <w:sz w:val="44"/>
          <w:szCs w:val="44"/>
          <w:u w:val="none"/>
          <w:lang w:val="en-US"/>
        </w:rPr>
        <w:t>书</w:t>
      </w:r>
      <w:bookmarkEnd w:id="1"/>
    </w:p>
    <w:p w14:paraId="42F996BD">
      <w:pPr>
        <w:widowControl/>
        <w:snapToGrid w:val="0"/>
        <w:spacing w:line="560" w:lineRule="exact"/>
        <w:ind w:right="55"/>
        <w:jc w:val="center"/>
        <w:outlineLvl w:val="1"/>
        <w:rPr>
          <w:rFonts w:hint="eastAsia" w:ascii="Times New Roman" w:hAnsi="仿宋_GB2312" w:eastAsia="仿宋_GB2312" w:cs="仿宋_GB2312"/>
          <w:bCs/>
          <w:color w:val="auto"/>
          <w:sz w:val="32"/>
          <w:szCs w:val="32"/>
        </w:rPr>
      </w:pPr>
      <w:bookmarkStart w:id="2" w:name="tAj_wh"/>
      <w:r>
        <w:rPr>
          <w:rFonts w:hint="eastAsia" w:ascii="Times New Roman" w:hAnsi="Times New Roman" w:eastAsia="仿宋_GB2312" w:cs="Mongolian Baiti"/>
          <w:color w:val="000000"/>
          <w:sz w:val="32"/>
          <w:u w:val="none"/>
        </w:rPr>
        <w:t>偃市监处罚〔2025〕27号</w:t>
      </w:r>
      <w:bookmarkEnd w:id="2"/>
    </w:p>
    <w:p w14:paraId="1FD25722">
      <w:pPr>
        <w:keepNext w:val="0"/>
        <w:keepLines w:val="0"/>
        <w:pageBreakBefore w:val="0"/>
        <w:kinsoku/>
        <w:wordWrap/>
        <w:overflowPunct/>
        <w:topLinePunct w:val="0"/>
        <w:bidi w:val="0"/>
        <w:adjustRightInd/>
        <w:snapToGrid/>
        <w:spacing w:line="600" w:lineRule="exact"/>
        <w:textAlignment w:val="auto"/>
        <w:rPr>
          <w:rFonts w:hint="eastAsia" w:ascii="仿宋" w:hAnsi="仿宋" w:eastAsia="仿宋" w:cs="仿宋"/>
          <w:color w:val="221E1F"/>
          <w:sz w:val="32"/>
          <w:szCs w:val="32"/>
        </w:rPr>
      </w:pPr>
      <w:r>
        <w:rPr>
          <w:rFonts w:hint="eastAsia" w:ascii="仿宋" w:hAnsi="仿宋" w:eastAsia="仿宋"/>
          <w:sz w:val="32"/>
          <w:szCs w:val="32"/>
        </w:rPr>
        <w:t>当事人：</w:t>
      </w:r>
      <w:bookmarkStart w:id="3" w:name="OLE_LINK1"/>
      <w:r>
        <w:rPr>
          <w:rFonts w:hint="eastAsia" w:ascii="仿宋" w:hAnsi="仿宋" w:eastAsia="仿宋" w:cs="仿宋"/>
          <w:color w:val="221E1F"/>
          <w:sz w:val="32"/>
          <w:szCs w:val="32"/>
          <w:u w:val="none" w:color="auto"/>
          <w:lang w:val="en-US" w:eastAsia="zh-CN"/>
        </w:rPr>
        <w:t>偃师市龙福祥制鞋厂</w:t>
      </w:r>
      <w:bookmarkEnd w:id="3"/>
    </w:p>
    <w:p w14:paraId="5FA442F1">
      <w:pPr>
        <w:keepNext w:val="0"/>
        <w:keepLines w:val="0"/>
        <w:pageBreakBefore w:val="0"/>
        <w:kinsoku/>
        <w:wordWrap/>
        <w:overflowPunct/>
        <w:topLinePunct w:val="0"/>
        <w:bidi w:val="0"/>
        <w:adjustRightInd/>
        <w:snapToGrid/>
        <w:spacing w:line="600" w:lineRule="exact"/>
        <w:textAlignment w:val="auto"/>
        <w:rPr>
          <w:rFonts w:hint="eastAsia" w:ascii="仿宋" w:hAnsi="仿宋" w:eastAsia="仿宋"/>
          <w:sz w:val="32"/>
          <w:szCs w:val="32"/>
        </w:rPr>
      </w:pPr>
      <w:r>
        <w:rPr>
          <w:rFonts w:hint="eastAsia" w:ascii="仿宋" w:hAnsi="仿宋" w:eastAsia="仿宋"/>
          <w:sz w:val="32"/>
          <w:szCs w:val="32"/>
        </w:rPr>
        <w:t>主体资格证照名称：营业执照</w:t>
      </w:r>
    </w:p>
    <w:p w14:paraId="1C0B3A41">
      <w:pPr>
        <w:keepNext w:val="0"/>
        <w:keepLines w:val="0"/>
        <w:pageBreakBefore w:val="0"/>
        <w:kinsoku/>
        <w:wordWrap/>
        <w:overflowPunct/>
        <w:topLinePunct w:val="0"/>
        <w:bidi w:val="0"/>
        <w:adjustRightInd/>
        <w:snapToGrid/>
        <w:spacing w:line="600" w:lineRule="exact"/>
        <w:textAlignment w:val="auto"/>
        <w:rPr>
          <w:rFonts w:hint="eastAsia" w:ascii="仿宋" w:hAnsi="仿宋" w:eastAsia="仿宋" w:cs="仿宋"/>
          <w:color w:val="221E1F"/>
          <w:sz w:val="32"/>
          <w:szCs w:val="32"/>
          <w:u w:val="none" w:color="auto"/>
          <w:lang w:val="en-US" w:eastAsia="zh-CN"/>
        </w:rPr>
      </w:pPr>
      <w:r>
        <w:rPr>
          <w:rFonts w:hint="eastAsia" w:ascii="仿宋" w:hAnsi="仿宋" w:eastAsia="仿宋"/>
          <w:sz w:val="32"/>
          <w:szCs w:val="32"/>
        </w:rPr>
        <w:t>统一社会信用代码：</w:t>
      </w:r>
      <w:r>
        <w:rPr>
          <w:rFonts w:hint="eastAsia" w:ascii="仿宋" w:hAnsi="仿宋" w:eastAsia="仿宋" w:cs="仿宋"/>
          <w:color w:val="221E1F"/>
          <w:sz w:val="32"/>
          <w:szCs w:val="32"/>
          <w:u w:val="none" w:color="auto"/>
          <w:lang w:val="en-US" w:eastAsia="zh-CN"/>
        </w:rPr>
        <w:t>92410381MA404B022Y</w:t>
      </w:r>
    </w:p>
    <w:p w14:paraId="54D10F2D">
      <w:pPr>
        <w:pStyle w:val="3"/>
        <w:keepNext w:val="0"/>
        <w:keepLines w:val="0"/>
        <w:pageBreakBefore w:val="0"/>
        <w:tabs>
          <w:tab w:val="left" w:pos="8964"/>
        </w:tabs>
        <w:kinsoku/>
        <w:wordWrap/>
        <w:overflowPunct/>
        <w:topLinePunct w:val="0"/>
        <w:bidi w:val="0"/>
        <w:adjustRightInd/>
        <w:snapToGrid/>
        <w:spacing w:line="600" w:lineRule="exact"/>
        <w:ind w:left="0" w:leftChars="0" w:right="105" w:rightChars="50" w:firstLine="0" w:firstLineChars="0"/>
        <w:textAlignment w:val="auto"/>
        <w:rPr>
          <w:rFonts w:hint="eastAsia" w:ascii="仿宋" w:hAnsi="仿宋" w:eastAsia="仿宋" w:cs="仿宋"/>
          <w:color w:val="221E1F"/>
          <w:sz w:val="32"/>
          <w:szCs w:val="32"/>
          <w:u w:val="none" w:color="auto"/>
          <w:lang w:val="en-US" w:eastAsia="zh-CN"/>
        </w:rPr>
      </w:pPr>
      <w:r>
        <w:rPr>
          <w:rFonts w:hint="eastAsia" w:ascii="仿宋" w:hAnsi="仿宋" w:eastAsia="仿宋" w:cs="仿宋"/>
          <w:color w:val="221E1F"/>
          <w:sz w:val="32"/>
          <w:szCs w:val="32"/>
          <w:u w:val="none" w:color="auto"/>
          <w:lang w:val="en-US" w:eastAsia="zh-CN"/>
        </w:rPr>
        <w:t>企业类型：个人独资企业</w:t>
      </w:r>
    </w:p>
    <w:p w14:paraId="73086223">
      <w:pPr>
        <w:pStyle w:val="3"/>
        <w:keepNext w:val="0"/>
        <w:keepLines w:val="0"/>
        <w:pageBreakBefore w:val="0"/>
        <w:tabs>
          <w:tab w:val="left" w:pos="8964"/>
        </w:tabs>
        <w:kinsoku/>
        <w:wordWrap/>
        <w:overflowPunct/>
        <w:topLinePunct w:val="0"/>
        <w:bidi w:val="0"/>
        <w:adjustRightInd/>
        <w:snapToGrid/>
        <w:spacing w:line="600" w:lineRule="exact"/>
        <w:ind w:left="0" w:leftChars="0" w:right="105" w:rightChars="50" w:firstLine="0" w:firstLineChars="0"/>
        <w:textAlignment w:val="auto"/>
        <w:rPr>
          <w:rFonts w:hint="eastAsia" w:ascii="仿宋" w:hAnsi="仿宋" w:eastAsia="仿宋" w:cs="仿宋"/>
          <w:sz w:val="32"/>
          <w:szCs w:val="32"/>
          <w:u w:val="none" w:color="auto"/>
          <w:lang w:val="en-US" w:eastAsia="zh-CN"/>
        </w:rPr>
      </w:pPr>
      <w:r>
        <w:rPr>
          <w:rFonts w:hint="eastAsia" w:ascii="仿宋" w:hAnsi="仿宋" w:eastAsia="仿宋" w:cs="仿宋"/>
          <w:sz w:val="32"/>
          <w:szCs w:val="32"/>
          <w:u w:val="none" w:color="auto"/>
          <w:lang w:val="en-US" w:eastAsia="zh-CN"/>
        </w:rPr>
        <w:t>投资人</w:t>
      </w:r>
      <w:r>
        <w:rPr>
          <w:rFonts w:hint="eastAsia" w:ascii="仿宋" w:hAnsi="仿宋" w:eastAsia="仿宋" w:cs="仿宋"/>
          <w:sz w:val="32"/>
          <w:szCs w:val="32"/>
          <w:u w:val="none" w:color="auto"/>
        </w:rPr>
        <w:t>：</w:t>
      </w:r>
      <w:r>
        <w:rPr>
          <w:rFonts w:hint="eastAsia" w:ascii="仿宋" w:hAnsi="仿宋" w:eastAsia="仿宋" w:cs="仿宋"/>
          <w:sz w:val="32"/>
          <w:szCs w:val="32"/>
          <w:u w:val="none" w:color="auto"/>
          <w:lang w:val="en-US" w:eastAsia="zh-CN"/>
        </w:rPr>
        <w:t>李应杰</w:t>
      </w:r>
    </w:p>
    <w:p w14:paraId="61C590E9">
      <w:pPr>
        <w:pStyle w:val="3"/>
        <w:keepNext w:val="0"/>
        <w:keepLines w:val="0"/>
        <w:pageBreakBefore w:val="0"/>
        <w:tabs>
          <w:tab w:val="left" w:pos="8964"/>
        </w:tabs>
        <w:kinsoku/>
        <w:wordWrap/>
        <w:overflowPunct/>
        <w:topLinePunct w:val="0"/>
        <w:bidi w:val="0"/>
        <w:adjustRightInd/>
        <w:snapToGrid/>
        <w:spacing w:line="600" w:lineRule="exact"/>
        <w:ind w:left="0" w:leftChars="0" w:right="105" w:rightChars="50" w:firstLine="0" w:firstLineChars="0"/>
        <w:textAlignment w:val="auto"/>
        <w:rPr>
          <w:rFonts w:hint="eastAsia" w:ascii="仿宋" w:hAnsi="仿宋" w:eastAsia="仿宋" w:cs="仿宋"/>
          <w:color w:val="221E1F"/>
          <w:sz w:val="32"/>
          <w:szCs w:val="32"/>
          <w:u w:val="none" w:color="auto"/>
          <w:lang w:val="en-US" w:eastAsia="zh-CN"/>
        </w:rPr>
      </w:pPr>
      <w:r>
        <w:rPr>
          <w:rFonts w:hint="eastAsia" w:ascii="仿宋" w:hAnsi="仿宋" w:eastAsia="仿宋" w:cs="仿宋"/>
          <w:color w:val="221E1F"/>
          <w:sz w:val="32"/>
          <w:szCs w:val="32"/>
          <w:u w:val="none" w:color="auto"/>
          <w:lang w:val="en-US" w:eastAsia="zh-CN"/>
        </w:rPr>
        <w:t>住所：偃师市城关镇窑头村</w:t>
      </w:r>
    </w:p>
    <w:p w14:paraId="039A305B">
      <w:pPr>
        <w:keepNext w:val="0"/>
        <w:keepLines w:val="0"/>
        <w:pageBreakBefore w:val="0"/>
        <w:widowControl/>
        <w:kinsoku/>
        <w:wordWrap/>
        <w:overflowPunct/>
        <w:topLinePunct w:val="0"/>
        <w:bidi w:val="0"/>
        <w:adjustRightInd/>
        <w:snapToGrid/>
        <w:spacing w:line="600" w:lineRule="exact"/>
        <w:ind w:left="105" w:leftChars="50" w:right="105" w:rightChars="50" w:firstLine="640" w:firstLineChars="200"/>
        <w:textAlignment w:val="auto"/>
        <w:rPr>
          <w:rFonts w:hint="eastAsia" w:ascii="仿宋" w:hAnsi="仿宋" w:eastAsia="仿宋" w:cs="仿宋"/>
          <w:color w:val="000000" w:themeColor="text1"/>
          <w:spacing w:val="-7"/>
          <w:sz w:val="32"/>
          <w:szCs w:val="32"/>
          <w:u w:val="none" w:color="auto"/>
          <w:lang w:eastAsia="zh-CN"/>
          <w14:textFill>
            <w14:solidFill>
              <w14:schemeClr w14:val="tx1"/>
            </w14:solidFill>
          </w14:textFill>
        </w:rPr>
      </w:pPr>
      <w:bookmarkStart w:id="4" w:name="_GoBack"/>
      <w:bookmarkEnd w:id="4"/>
      <w:r>
        <w:rPr>
          <w:rFonts w:hint="eastAsia" w:ascii="仿宋" w:hAnsi="仿宋" w:eastAsia="仿宋" w:cs="仿宋"/>
          <w:sz w:val="32"/>
          <w:szCs w:val="32"/>
          <w:u w:val="none" w:color="auto"/>
          <w:lang w:val="en-US" w:eastAsia="zh-CN"/>
        </w:rPr>
        <w:t>2025年1月10日</w:t>
      </w:r>
      <w:r>
        <w:rPr>
          <w:rFonts w:hint="eastAsia" w:ascii="仿宋" w:hAnsi="仿宋" w:eastAsia="仿宋" w:cs="仿宋"/>
          <w:color w:val="000000" w:themeColor="text1"/>
          <w:spacing w:val="-7"/>
          <w:sz w:val="32"/>
          <w:szCs w:val="32"/>
          <w:u w:val="none" w:color="auto"/>
          <w:lang w:eastAsia="zh-CN"/>
          <w14:textFill>
            <w14:solidFill>
              <w14:schemeClr w14:val="tx1"/>
            </w14:solidFill>
          </w14:textFill>
        </w:rPr>
        <w:t>，</w:t>
      </w:r>
      <w:r>
        <w:rPr>
          <w:rFonts w:hint="eastAsia" w:ascii="仿宋" w:hAnsi="仿宋" w:eastAsia="仿宋" w:cs="仿宋"/>
          <w:color w:val="000000" w:themeColor="text1"/>
          <w:sz w:val="32"/>
          <w:szCs w:val="32"/>
          <w:u w:val="none" w:color="auto"/>
          <w14:textFill>
            <w14:solidFill>
              <w14:schemeClr w14:val="tx1"/>
            </w14:solidFill>
          </w14:textFill>
        </w:rPr>
        <w:t>我局执法人员对</w:t>
      </w:r>
      <w:r>
        <w:rPr>
          <w:rFonts w:hint="eastAsia" w:ascii="仿宋" w:hAnsi="仿宋" w:eastAsia="仿宋" w:cs="仿宋"/>
          <w:color w:val="000000" w:themeColor="text1"/>
          <w:sz w:val="32"/>
          <w:szCs w:val="32"/>
          <w:u w:val="none" w:color="auto"/>
          <w:lang w:eastAsia="zh-CN"/>
          <w14:textFill>
            <w14:solidFill>
              <w14:schemeClr w14:val="tx1"/>
            </w14:solidFill>
          </w14:textFill>
        </w:rPr>
        <w:t>当事人</w:t>
      </w:r>
      <w:r>
        <w:rPr>
          <w:rFonts w:hint="eastAsia" w:ascii="仿宋" w:hAnsi="仿宋" w:eastAsia="仿宋" w:cs="仿宋"/>
          <w:color w:val="000000" w:themeColor="text1"/>
          <w:sz w:val="32"/>
          <w:szCs w:val="32"/>
          <w:u w:val="none" w:color="auto"/>
          <w:lang w:val="en-US" w:eastAsia="zh-CN"/>
          <w14:textFill>
            <w14:solidFill>
              <w14:schemeClr w14:val="tx1"/>
            </w14:solidFill>
          </w14:textFill>
        </w:rPr>
        <w:t>现场</w:t>
      </w:r>
      <w:r>
        <w:rPr>
          <w:rFonts w:hint="eastAsia" w:ascii="仿宋" w:hAnsi="仿宋" w:eastAsia="仿宋" w:cs="仿宋"/>
          <w:color w:val="000000" w:themeColor="text1"/>
          <w:sz w:val="32"/>
          <w:szCs w:val="32"/>
          <w:u w:val="none" w:color="auto"/>
          <w14:textFill>
            <w14:solidFill>
              <w14:schemeClr w14:val="tx1"/>
            </w14:solidFill>
          </w14:textFill>
        </w:rPr>
        <w:t>检查时，</w:t>
      </w:r>
      <w:r>
        <w:rPr>
          <w:rFonts w:hint="eastAsia" w:ascii="仿宋" w:hAnsi="仿宋" w:eastAsia="仿宋" w:cs="仿宋"/>
          <w:color w:val="000000" w:themeColor="text1"/>
          <w:sz w:val="32"/>
          <w:szCs w:val="32"/>
          <w:u w:val="none" w:color="auto"/>
          <w:lang w:val="en-US" w:eastAsia="zh-CN"/>
          <w14:textFill>
            <w14:solidFill>
              <w14:schemeClr w14:val="tx1"/>
            </w14:solidFill>
          </w14:textFill>
        </w:rPr>
        <w:t>依法对查获的有</w:t>
      </w:r>
      <w:r>
        <w:rPr>
          <w:rFonts w:hint="eastAsia" w:ascii="仿宋" w:hAnsi="仿宋" w:eastAsia="仿宋" w:cs="仿宋"/>
          <w:b w:val="0"/>
          <w:bCs w:val="0"/>
          <w:color w:val="auto"/>
          <w:sz w:val="32"/>
          <w:szCs w:val="32"/>
          <w:u w:val="none" w:color="auto"/>
        </w:rPr>
        <w:t>“</w:t>
      </w:r>
      <w:r>
        <w:rPr>
          <w:rFonts w:hint="eastAsia" w:ascii="仿宋" w:hAnsi="仿宋" w:eastAsia="仿宋" w:cs="仿宋"/>
          <w:b w:val="0"/>
          <w:bCs w:val="0"/>
          <w:color w:val="auto"/>
          <w:sz w:val="32"/>
          <w:szCs w:val="32"/>
          <w:u w:val="none" w:color="auto"/>
          <w:lang w:val="en-US" w:eastAsia="zh-CN"/>
        </w:rPr>
        <w:t>耐克</w:t>
      </w:r>
      <w:r>
        <w:rPr>
          <w:rFonts w:hint="eastAsia" w:ascii="仿宋" w:hAnsi="仿宋" w:eastAsia="仿宋" w:cs="仿宋"/>
          <w:b w:val="0"/>
          <w:bCs w:val="0"/>
          <w:color w:val="auto"/>
          <w:sz w:val="32"/>
          <w:szCs w:val="32"/>
          <w:u w:val="none" w:color="auto"/>
        </w:rPr>
        <w:t>”</w:t>
      </w:r>
      <w:r>
        <w:rPr>
          <w:rFonts w:hint="eastAsia" w:ascii="仿宋" w:hAnsi="仿宋" w:eastAsia="仿宋" w:cs="仿宋"/>
          <w:b w:val="0"/>
          <w:bCs w:val="0"/>
          <w:color w:val="auto"/>
          <w:sz w:val="32"/>
          <w:szCs w:val="32"/>
          <w:u w:val="none" w:color="auto"/>
          <w:lang w:val="en-US" w:eastAsia="zh-CN"/>
        </w:rPr>
        <w:t>商标标识的成品鞋2箱（8双/箱，计16双），</w:t>
      </w:r>
      <w:r>
        <w:rPr>
          <w:rFonts w:hint="eastAsia" w:ascii="仿宋" w:hAnsi="仿宋" w:eastAsia="仿宋" w:cs="仿宋"/>
          <w:sz w:val="32"/>
          <w:szCs w:val="32"/>
          <w:u w:val="none" w:color="auto"/>
          <w:lang w:val="en-US" w:eastAsia="zh-CN"/>
        </w:rPr>
        <w:t>鞋帮13双，</w:t>
      </w:r>
      <w:r>
        <w:rPr>
          <w:rFonts w:hint="eastAsia" w:ascii="仿宋" w:hAnsi="仿宋" w:eastAsia="仿宋" w:cs="仿宋"/>
          <w:color w:val="000000" w:themeColor="text1"/>
          <w:sz w:val="32"/>
          <w:szCs w:val="32"/>
          <w:u w:val="none" w:color="auto"/>
          <w:lang w:val="en-US" w:eastAsia="zh-CN"/>
          <w14:textFill>
            <w14:solidFill>
              <w14:schemeClr w14:val="tx1"/>
            </w14:solidFill>
          </w14:textFill>
        </w:rPr>
        <w:t>予以</w:t>
      </w:r>
      <w:r>
        <w:rPr>
          <w:rFonts w:hint="eastAsia" w:ascii="仿宋" w:hAnsi="仿宋" w:eastAsia="仿宋" w:cs="仿宋"/>
          <w:color w:val="000000" w:themeColor="text1"/>
          <w:sz w:val="32"/>
          <w:szCs w:val="32"/>
          <w:u w:val="none" w:color="auto"/>
          <w14:textFill>
            <w14:solidFill>
              <w14:schemeClr w14:val="tx1"/>
            </w14:solidFill>
          </w14:textFill>
        </w:rPr>
        <w:t>扣押</w:t>
      </w:r>
      <w:r>
        <w:rPr>
          <w:rFonts w:hint="eastAsia" w:ascii="仿宋" w:hAnsi="仿宋" w:eastAsia="仿宋" w:cs="仿宋"/>
          <w:color w:val="000000" w:themeColor="text1"/>
          <w:spacing w:val="-7"/>
          <w:sz w:val="32"/>
          <w:szCs w:val="32"/>
          <w:u w:val="none" w:color="auto"/>
          <w:lang w:eastAsia="zh-CN"/>
          <w14:textFill>
            <w14:solidFill>
              <w14:schemeClr w14:val="tx1"/>
            </w14:solidFill>
          </w14:textFill>
        </w:rPr>
        <w:t>。</w:t>
      </w:r>
      <w:r>
        <w:rPr>
          <w:rFonts w:hint="eastAsia" w:ascii="仿宋" w:hAnsi="仿宋" w:eastAsia="仿宋" w:cs="仿宋"/>
          <w:color w:val="000000" w:themeColor="text1"/>
          <w:sz w:val="32"/>
          <w:szCs w:val="32"/>
          <w:u w:val="none" w:color="auto"/>
          <w:lang w:eastAsia="zh-CN"/>
          <w14:textFill>
            <w14:solidFill>
              <w14:schemeClr w14:val="tx1"/>
            </w14:solidFill>
          </w14:textFill>
        </w:rPr>
        <w:t>为进一步查清事实，</w:t>
      </w:r>
      <w:r>
        <w:rPr>
          <w:rFonts w:hint="eastAsia" w:ascii="仿宋" w:hAnsi="仿宋" w:eastAsia="仿宋" w:cs="仿宋"/>
          <w:color w:val="000000" w:themeColor="text1"/>
          <w:sz w:val="32"/>
          <w:szCs w:val="32"/>
          <w:u w:val="none" w:color="auto"/>
          <w14:textFill>
            <w14:solidFill>
              <w14:schemeClr w14:val="tx1"/>
            </w14:solidFill>
          </w14:textFill>
        </w:rPr>
        <w:t>202</w:t>
      </w:r>
      <w:r>
        <w:rPr>
          <w:rFonts w:hint="eastAsia" w:ascii="仿宋" w:hAnsi="仿宋" w:eastAsia="仿宋" w:cs="仿宋"/>
          <w:color w:val="000000" w:themeColor="text1"/>
          <w:sz w:val="32"/>
          <w:szCs w:val="32"/>
          <w:u w:val="none" w:color="auto"/>
          <w:lang w:val="en-US" w:eastAsia="zh-CN"/>
          <w14:textFill>
            <w14:solidFill>
              <w14:schemeClr w14:val="tx1"/>
            </w14:solidFill>
          </w14:textFill>
        </w:rPr>
        <w:t>5</w:t>
      </w:r>
      <w:r>
        <w:rPr>
          <w:rFonts w:hint="eastAsia" w:ascii="仿宋" w:hAnsi="仿宋" w:eastAsia="仿宋" w:cs="仿宋"/>
          <w:color w:val="000000" w:themeColor="text1"/>
          <w:sz w:val="32"/>
          <w:szCs w:val="32"/>
          <w:u w:val="none" w:color="auto"/>
          <w14:textFill>
            <w14:solidFill>
              <w14:schemeClr w14:val="tx1"/>
            </w14:solidFill>
          </w14:textFill>
        </w:rPr>
        <w:t>年</w:t>
      </w:r>
      <w:r>
        <w:rPr>
          <w:rFonts w:hint="eastAsia" w:ascii="仿宋" w:hAnsi="仿宋" w:eastAsia="仿宋" w:cs="仿宋"/>
          <w:color w:val="000000" w:themeColor="text1"/>
          <w:sz w:val="32"/>
          <w:szCs w:val="32"/>
          <w:u w:val="none" w:color="auto"/>
          <w:lang w:eastAsia="zh-CN"/>
          <w14:textFill>
            <w14:solidFill>
              <w14:schemeClr w14:val="tx1"/>
            </w14:solidFill>
          </w14:textFill>
        </w:rPr>
        <w:t>1</w:t>
      </w:r>
      <w:r>
        <w:rPr>
          <w:rFonts w:hint="eastAsia" w:ascii="仿宋" w:hAnsi="仿宋" w:eastAsia="仿宋" w:cs="仿宋"/>
          <w:color w:val="000000" w:themeColor="text1"/>
          <w:sz w:val="32"/>
          <w:szCs w:val="32"/>
          <w:u w:val="none" w:color="auto"/>
          <w14:textFill>
            <w14:solidFill>
              <w14:schemeClr w14:val="tx1"/>
            </w14:solidFill>
          </w14:textFill>
        </w:rPr>
        <w:t>月</w:t>
      </w:r>
      <w:r>
        <w:rPr>
          <w:rFonts w:hint="eastAsia" w:ascii="仿宋" w:hAnsi="仿宋" w:eastAsia="仿宋" w:cs="仿宋"/>
          <w:color w:val="000000" w:themeColor="text1"/>
          <w:sz w:val="32"/>
          <w:szCs w:val="32"/>
          <w:u w:val="none" w:color="auto"/>
          <w:lang w:val="en-US" w:eastAsia="zh-CN"/>
          <w14:textFill>
            <w14:solidFill>
              <w14:schemeClr w14:val="tx1"/>
            </w14:solidFill>
          </w14:textFill>
        </w:rPr>
        <w:t>15</w:t>
      </w:r>
      <w:r>
        <w:rPr>
          <w:rFonts w:hint="eastAsia" w:ascii="仿宋" w:hAnsi="仿宋" w:eastAsia="仿宋" w:cs="仿宋"/>
          <w:color w:val="000000" w:themeColor="text1"/>
          <w:sz w:val="32"/>
          <w:szCs w:val="32"/>
          <w:u w:val="none" w:color="auto"/>
          <w14:textFill>
            <w14:solidFill>
              <w14:schemeClr w14:val="tx1"/>
            </w14:solidFill>
          </w14:textFill>
        </w:rPr>
        <w:t>日，我局对</w:t>
      </w:r>
      <w:r>
        <w:rPr>
          <w:rFonts w:hint="eastAsia" w:ascii="仿宋" w:hAnsi="仿宋" w:eastAsia="仿宋" w:cs="仿宋"/>
          <w:color w:val="000000" w:themeColor="text1"/>
          <w:sz w:val="32"/>
          <w:szCs w:val="32"/>
          <w:u w:val="none" w:color="auto"/>
          <w:lang w:val="en-US" w:eastAsia="zh-CN"/>
          <w14:textFill>
            <w14:solidFill>
              <w14:schemeClr w14:val="tx1"/>
            </w14:solidFill>
          </w14:textFill>
        </w:rPr>
        <w:t>当事人</w:t>
      </w:r>
      <w:r>
        <w:rPr>
          <w:rFonts w:hint="eastAsia" w:ascii="仿宋" w:hAnsi="仿宋" w:eastAsia="仿宋" w:cs="仿宋"/>
          <w:color w:val="000000" w:themeColor="text1"/>
          <w:sz w:val="32"/>
          <w:szCs w:val="32"/>
          <w:u w:val="none" w:color="auto"/>
          <w:lang w:eastAsia="zh-CN"/>
          <w14:textFill>
            <w14:solidFill>
              <w14:schemeClr w14:val="tx1"/>
            </w14:solidFill>
          </w14:textFill>
        </w:rPr>
        <w:t>立案，</w:t>
      </w:r>
      <w:r>
        <w:rPr>
          <w:rFonts w:hint="eastAsia" w:ascii="仿宋" w:hAnsi="仿宋" w:eastAsia="仿宋" w:cs="仿宋"/>
          <w:color w:val="000000" w:themeColor="text1"/>
          <w:sz w:val="32"/>
          <w:szCs w:val="32"/>
          <w:u w:val="none" w:color="auto"/>
          <w:lang w:val="en-US" w:eastAsia="zh-CN"/>
          <w14:textFill>
            <w14:solidFill>
              <w14:schemeClr w14:val="tx1"/>
            </w14:solidFill>
          </w14:textFill>
        </w:rPr>
        <w:t>立案后，</w:t>
      </w:r>
      <w:r>
        <w:rPr>
          <w:rFonts w:hint="eastAsia" w:ascii="仿宋" w:hAnsi="仿宋" w:eastAsia="仿宋" w:cs="仿宋"/>
          <w:color w:val="000000" w:themeColor="text1"/>
          <w:sz w:val="32"/>
          <w:szCs w:val="32"/>
          <w:u w:val="none" w:color="auto"/>
          <w:lang w:eastAsia="zh-CN"/>
          <w14:textFill>
            <w14:solidFill>
              <w14:schemeClr w14:val="tx1"/>
            </w14:solidFill>
          </w14:textFill>
        </w:rPr>
        <w:t>执法人员采取询问当事人，调取相关证据等方式对本案进行了调查。</w:t>
      </w:r>
    </w:p>
    <w:p w14:paraId="39099826">
      <w:pPr>
        <w:keepNext w:val="0"/>
        <w:keepLines w:val="0"/>
        <w:pageBreakBefore w:val="0"/>
        <w:widowControl/>
        <w:kinsoku/>
        <w:wordWrap/>
        <w:overflowPunct/>
        <w:topLinePunct w:val="0"/>
        <w:bidi w:val="0"/>
        <w:adjustRightInd/>
        <w:snapToGrid/>
        <w:spacing w:line="600" w:lineRule="exact"/>
        <w:ind w:left="105" w:leftChars="50" w:right="105" w:rightChars="50" w:firstLine="640" w:firstLineChars="200"/>
        <w:textAlignment w:val="auto"/>
        <w:rPr>
          <w:rFonts w:hint="eastAsia" w:ascii="仿宋_GB2312" w:hAnsi="仿宋_GB2312" w:eastAsia="仿宋_GB2312" w:cs="仿宋_GB2312"/>
          <w:sz w:val="32"/>
          <w:szCs w:val="32"/>
          <w:u w:val="none" w:color="auto"/>
          <w:lang w:eastAsia="zh-CN"/>
        </w:rPr>
      </w:pPr>
      <w:r>
        <w:rPr>
          <w:rFonts w:hint="eastAsia" w:ascii="仿宋_GB2312" w:hAnsi="仿宋_GB2312" w:eastAsia="仿宋_GB2312" w:cs="仿宋_GB2312"/>
          <w:sz w:val="32"/>
          <w:szCs w:val="32"/>
          <w:u w:val="none"/>
          <w:lang w:val="en-US" w:eastAsia="zh-CN"/>
        </w:rPr>
        <w:t>经查：</w:t>
      </w:r>
      <w:r>
        <w:rPr>
          <w:rFonts w:hint="eastAsia" w:ascii="仿宋_GB2312" w:hAnsi="仿宋_GB2312" w:eastAsia="仿宋_GB2312" w:cs="仿宋_GB2312"/>
          <w:sz w:val="32"/>
          <w:szCs w:val="32"/>
          <w:u w:val="none" w:color="auto"/>
          <w:lang w:val="en-US" w:eastAsia="zh-CN"/>
        </w:rPr>
        <w:t>2024年12月底，有一客户找当事人订货。客户提供830双耐克标识及鞋样，让其加工800双鞋。2025年1月3日该客户将耐克标识及鞋样提供过来后，付了3000元定金，当事人开始加工鞋帮，共计加工了830双鞋帮（其中残次品1双，成品829双），鞋帮价值9.5元/双，鞋帮加工好后，当事人2025年1月5日当天生产，对方当天提货800双。当时怕有残次品，多生产了2箱，一箱8双，共计16双，剩余了13双鞋帮未进行加工。该鞋当事人售价16.5</w:t>
      </w:r>
      <w:r>
        <w:rPr>
          <w:rFonts w:hint="eastAsia" w:ascii="仿宋_GB2312" w:hAnsi="仿宋_GB2312" w:eastAsia="仿宋_GB2312" w:cs="仿宋_GB2312"/>
          <w:color w:val="auto"/>
          <w:sz w:val="32"/>
          <w:szCs w:val="32"/>
          <w:u w:val="none" w:color="auto"/>
          <w:lang w:val="en-US" w:eastAsia="zh-CN"/>
        </w:rPr>
        <w:t>元/双，客户共计付款13200元</w:t>
      </w:r>
      <w:r>
        <w:rPr>
          <w:rFonts w:hint="eastAsia" w:ascii="仿宋_GB2312" w:hAnsi="仿宋_GB2312" w:eastAsia="仿宋_GB2312" w:cs="仿宋_GB2312"/>
          <w:sz w:val="32"/>
          <w:szCs w:val="32"/>
          <w:u w:val="none" w:color="auto"/>
          <w:lang w:eastAsia="zh-CN"/>
        </w:rPr>
        <w:t>。</w:t>
      </w:r>
    </w:p>
    <w:p w14:paraId="117313D0">
      <w:pPr>
        <w:keepNext w:val="0"/>
        <w:keepLines w:val="0"/>
        <w:pageBreakBefore w:val="0"/>
        <w:widowControl/>
        <w:kinsoku/>
        <w:wordWrap/>
        <w:overflowPunct/>
        <w:topLinePunct w:val="0"/>
        <w:bidi w:val="0"/>
        <w:adjustRightInd/>
        <w:snapToGrid/>
        <w:spacing w:line="600" w:lineRule="exact"/>
        <w:ind w:left="105" w:leftChars="50" w:right="105" w:rightChars="50" w:firstLine="640" w:firstLineChars="200"/>
        <w:textAlignment w:val="auto"/>
        <w:rPr>
          <w:rFonts w:hint="eastAsia" w:ascii="仿宋_GB2312" w:hAnsi="仿宋_GB2312" w:eastAsia="仿宋_GB2312" w:cs="仿宋_GB2312"/>
          <w:sz w:val="32"/>
          <w:szCs w:val="32"/>
          <w:u w:val="none" w:color="auto"/>
          <w:lang w:val="en-US" w:eastAsia="zh-CN"/>
        </w:rPr>
      </w:pPr>
      <w:r>
        <w:rPr>
          <w:rFonts w:hint="eastAsia" w:ascii="仿宋_GB2312" w:hAnsi="仿宋_GB2312" w:eastAsia="仿宋_GB2312" w:cs="仿宋_GB2312"/>
          <w:sz w:val="32"/>
          <w:szCs w:val="32"/>
          <w:u w:val="none" w:color="auto"/>
          <w:lang w:val="en-US" w:eastAsia="zh-CN"/>
        </w:rPr>
        <w:t>查获的涉案鞋与鞋帮，其上面的耐克商标标识与耐克商标权利人耐克创新有限合伙公司经中华人民共和国国家工商行政管理总局商标局注册的第4581865号和第855786号注册商标相同，且与上述注册商标核定使用商品（第25类）：</w:t>
      </w:r>
      <w:r>
        <w:rPr>
          <w:rFonts w:hint="eastAsia" w:ascii="仿宋_GB2312" w:hAnsi="仿宋_GB2312" w:eastAsia="仿宋_GB2312" w:cs="仿宋_GB2312"/>
          <w:color w:val="221E1F"/>
          <w:spacing w:val="-7"/>
          <w:sz w:val="32"/>
          <w:szCs w:val="32"/>
          <w:u w:val="none" w:color="auto"/>
          <w:lang w:eastAsia="zh-CN"/>
        </w:rPr>
        <w:t>鞋</w:t>
      </w:r>
      <w:r>
        <w:rPr>
          <w:rFonts w:hint="eastAsia" w:ascii="仿宋_GB2312" w:hAnsi="仿宋_GB2312" w:eastAsia="仿宋_GB2312" w:cs="仿宋_GB2312"/>
          <w:color w:val="221E1F"/>
          <w:spacing w:val="-7"/>
          <w:sz w:val="32"/>
          <w:szCs w:val="32"/>
          <w:u w:val="none" w:color="auto"/>
          <w:lang w:val="en-US" w:eastAsia="zh-CN"/>
        </w:rPr>
        <w:t xml:space="preserve"> </w:t>
      </w:r>
      <w:r>
        <w:rPr>
          <w:rFonts w:hint="eastAsia" w:ascii="仿宋_GB2312" w:hAnsi="仿宋_GB2312" w:eastAsia="仿宋_GB2312" w:cs="仿宋_GB2312"/>
          <w:color w:val="221E1F"/>
          <w:spacing w:val="-7"/>
          <w:sz w:val="32"/>
          <w:szCs w:val="32"/>
          <w:u w:val="none" w:color="auto"/>
          <w:lang w:eastAsia="zh-CN"/>
        </w:rPr>
        <w:t>同类。</w:t>
      </w:r>
      <w:r>
        <w:rPr>
          <w:rFonts w:hint="eastAsia" w:ascii="仿宋_GB2312" w:hAnsi="仿宋_GB2312" w:eastAsia="仿宋_GB2312" w:cs="仿宋_GB2312"/>
          <w:sz w:val="32"/>
          <w:szCs w:val="32"/>
          <w:u w:val="none" w:color="auto"/>
        </w:rPr>
        <w:t xml:space="preserve">                                    </w:t>
      </w:r>
      <w:r>
        <w:rPr>
          <w:rFonts w:hint="eastAsia" w:ascii="仿宋_GB2312" w:hAnsi="仿宋_GB2312" w:eastAsia="仿宋_GB2312" w:cs="仿宋_GB2312"/>
          <w:sz w:val="32"/>
          <w:szCs w:val="32"/>
          <w:u w:val="none" w:color="auto"/>
          <w:lang w:eastAsia="zh-CN"/>
        </w:rPr>
        <w:t xml:space="preserve">                     </w:t>
      </w:r>
      <w:r>
        <w:rPr>
          <w:rFonts w:hint="eastAsia" w:ascii="仿宋_GB2312" w:hAnsi="仿宋_GB2312" w:eastAsia="仿宋_GB2312" w:cs="仿宋_GB2312"/>
          <w:sz w:val="32"/>
          <w:szCs w:val="32"/>
          <w:u w:val="none" w:color="auto"/>
          <w:lang w:val="en-US" w:eastAsia="zh-CN"/>
        </w:rPr>
        <w:t xml:space="preserve">   </w:t>
      </w:r>
    </w:p>
    <w:p w14:paraId="0E63202D">
      <w:pPr>
        <w:keepNext w:val="0"/>
        <w:keepLines w:val="0"/>
        <w:pageBreakBefore w:val="0"/>
        <w:widowControl/>
        <w:kinsoku/>
        <w:wordWrap/>
        <w:overflowPunct/>
        <w:topLinePunct w:val="0"/>
        <w:bidi w:val="0"/>
        <w:adjustRightInd/>
        <w:snapToGrid/>
        <w:spacing w:line="600" w:lineRule="exact"/>
        <w:ind w:left="105" w:leftChars="50" w:right="105" w:rightChars="50" w:firstLine="640" w:firstLineChars="200"/>
        <w:textAlignment w:val="auto"/>
        <w:rPr>
          <w:rFonts w:hint="eastAsia" w:ascii="仿宋_GB2312" w:hAnsi="仿宋_GB2312" w:eastAsia="仿宋_GB2312" w:cs="仿宋_GB2312"/>
          <w:sz w:val="32"/>
          <w:szCs w:val="32"/>
          <w:u w:val="none" w:color="auto"/>
          <w:lang w:val="en-US" w:eastAsia="zh-CN"/>
        </w:rPr>
      </w:pPr>
      <w:r>
        <w:rPr>
          <w:rFonts w:hint="eastAsia" w:ascii="仿宋_GB2312" w:hAnsi="仿宋_GB2312" w:eastAsia="仿宋_GB2312" w:cs="仿宋_GB2312"/>
          <w:sz w:val="32"/>
          <w:szCs w:val="32"/>
          <w:u w:val="none" w:color="auto"/>
          <w:lang w:val="en-US" w:eastAsia="zh-CN"/>
        </w:rPr>
        <w:t>耐克创新有限合伙公司的授权方：</w:t>
      </w:r>
      <w:r>
        <w:rPr>
          <w:rFonts w:hint="eastAsia" w:ascii="仿宋_GB2312" w:hAnsi="仿宋_GB2312" w:eastAsia="仿宋_GB2312" w:cs="仿宋_GB2312"/>
          <w:sz w:val="32"/>
          <w:szCs w:val="32"/>
          <w:u w:val="none" w:color="auto"/>
          <w:lang w:eastAsia="zh-CN"/>
        </w:rPr>
        <w:t>耐克体育（中国）有限公</w:t>
      </w:r>
      <w:r>
        <w:rPr>
          <w:rFonts w:hint="eastAsia" w:ascii="仿宋_GB2312" w:hAnsi="仿宋_GB2312" w:eastAsia="仿宋_GB2312" w:cs="仿宋_GB2312"/>
          <w:sz w:val="32"/>
          <w:szCs w:val="32"/>
          <w:u w:val="none" w:color="auto"/>
          <w:lang w:val="en-US" w:eastAsia="zh-CN"/>
        </w:rPr>
        <w:t>司出具鉴定</w:t>
      </w:r>
      <w:r>
        <w:rPr>
          <w:rFonts w:hint="eastAsia" w:ascii="仿宋_GB2312" w:hAnsi="仿宋_GB2312" w:eastAsia="仿宋_GB2312" w:cs="仿宋_GB2312"/>
          <w:sz w:val="32"/>
          <w:szCs w:val="32"/>
          <w:u w:val="none" w:color="auto"/>
          <w:lang w:eastAsia="zh-CN"/>
        </w:rPr>
        <w:t>证明</w:t>
      </w:r>
      <w:r>
        <w:rPr>
          <w:rFonts w:hint="eastAsia" w:ascii="仿宋_GB2312" w:hAnsi="仿宋_GB2312" w:eastAsia="仿宋_GB2312" w:cs="仿宋_GB2312"/>
          <w:sz w:val="32"/>
          <w:szCs w:val="32"/>
          <w:u w:val="none" w:color="auto"/>
          <w:lang w:val="en-US" w:eastAsia="zh-CN"/>
        </w:rPr>
        <w:t>和证明各一份，鉴定证明主要内容：贵局于2025年01月10日在河南省洛阳市偃师市城关镇窑头村的偃师市龙福祥制鞋厂（投资人：李应杰）处查获的标有耐克创新有限合伙公司注册商标的16双运动鞋。鉴定结果：经我公司抽样鉴定，系假冒耐克创新有限合伙公司注册商标的产品。鉴定时间：2025年02月13日。</w:t>
      </w:r>
      <w:r>
        <w:rPr>
          <w:rFonts w:hint="eastAsia" w:ascii="仿宋_GB2312" w:hAnsi="仿宋_GB2312" w:eastAsia="仿宋_GB2312" w:cs="仿宋_GB2312"/>
          <w:sz w:val="32"/>
          <w:szCs w:val="32"/>
          <w:u w:val="none" w:color="auto"/>
          <w:lang w:eastAsia="zh-CN"/>
        </w:rPr>
        <w:t>证明主要内容为：“兹证明我公司并未授权</w:t>
      </w:r>
      <w:r>
        <w:rPr>
          <w:rFonts w:hint="eastAsia" w:ascii="仿宋_GB2312" w:hAnsi="仿宋_GB2312" w:eastAsia="仿宋_GB2312" w:cs="仿宋_GB2312"/>
          <w:sz w:val="32"/>
          <w:szCs w:val="32"/>
          <w:u w:val="none" w:color="auto"/>
          <w:lang w:val="en-US" w:eastAsia="zh-CN"/>
        </w:rPr>
        <w:t>河南省洛阳市偃师市城关镇窑头村的偃师市龙福祥制鞋厂（投资人：李应杰）</w:t>
      </w:r>
      <w:r>
        <w:rPr>
          <w:rFonts w:hint="eastAsia" w:ascii="仿宋_GB2312" w:hAnsi="仿宋_GB2312" w:eastAsia="仿宋_GB2312" w:cs="仿宋_GB2312"/>
          <w:sz w:val="32"/>
          <w:szCs w:val="32"/>
          <w:u w:val="none" w:color="auto"/>
          <w:lang w:eastAsia="zh-CN"/>
        </w:rPr>
        <w:t>处生产、储存、销售涉案的标有耐克创新有限合伙公司注册商标的产品。”。</w:t>
      </w:r>
    </w:p>
    <w:p w14:paraId="47AAFC9B">
      <w:pPr>
        <w:keepNext w:val="0"/>
        <w:keepLines w:val="0"/>
        <w:pageBreakBefore w:val="0"/>
        <w:widowControl/>
        <w:kinsoku/>
        <w:wordWrap/>
        <w:overflowPunct/>
        <w:topLinePunct w:val="0"/>
        <w:bidi w:val="0"/>
        <w:adjustRightInd/>
        <w:snapToGrid/>
        <w:spacing w:line="600" w:lineRule="exact"/>
        <w:ind w:left="105" w:leftChars="50" w:right="105" w:rightChars="50" w:firstLine="640" w:firstLineChars="200"/>
        <w:textAlignment w:val="auto"/>
        <w:rPr>
          <w:rFonts w:hint="eastAsia" w:ascii="仿宋_GB2312" w:hAnsi="仿宋_GB2312" w:eastAsia="仿宋_GB2312" w:cs="仿宋_GB2312"/>
          <w:sz w:val="32"/>
          <w:szCs w:val="32"/>
          <w:u w:val="none"/>
          <w:lang w:eastAsia="zh-CN"/>
        </w:rPr>
      </w:pPr>
      <w:r>
        <w:rPr>
          <w:rFonts w:hint="eastAsia" w:ascii="仿宋_GB2312" w:hAnsi="仿宋_GB2312" w:eastAsia="仿宋_GB2312" w:cs="仿宋_GB2312"/>
          <w:color w:val="221E1F"/>
          <w:sz w:val="32"/>
          <w:szCs w:val="32"/>
          <w:u w:val="none" w:color="auto"/>
          <w:lang w:val="en-US" w:eastAsia="zh-CN"/>
        </w:rPr>
        <w:t>当事人生产标有耐克商标的鞋帮830双，加工成品鞋816双，鞋帮剩余14双（次品1双），</w:t>
      </w:r>
      <w:r>
        <w:rPr>
          <w:rFonts w:hint="eastAsia" w:ascii="仿宋_GB2312" w:hAnsi="仿宋_GB2312" w:eastAsia="仿宋_GB2312" w:cs="仿宋_GB2312"/>
          <w:sz w:val="32"/>
          <w:szCs w:val="32"/>
          <w:u w:val="none" w:color="auto"/>
        </w:rPr>
        <w:t>违法经营额</w:t>
      </w:r>
      <w:r>
        <w:rPr>
          <w:rFonts w:hint="eastAsia" w:ascii="仿宋_GB2312" w:hAnsi="仿宋_GB2312" w:eastAsia="仿宋_GB2312" w:cs="仿宋_GB2312"/>
          <w:color w:val="333333"/>
          <w:sz w:val="32"/>
          <w:szCs w:val="32"/>
          <w:u w:val="none" w:color="auto"/>
          <w:lang w:eastAsia="zh-CN"/>
        </w:rPr>
        <w:t>13587.5</w:t>
      </w:r>
      <w:r>
        <w:rPr>
          <w:rFonts w:hint="eastAsia" w:ascii="仿宋_GB2312" w:hAnsi="仿宋_GB2312" w:eastAsia="仿宋_GB2312" w:cs="仿宋_GB2312"/>
          <w:color w:val="333333"/>
          <w:sz w:val="32"/>
          <w:szCs w:val="32"/>
          <w:u w:val="none" w:color="auto"/>
          <w:lang w:val="en-US" w:eastAsia="zh-CN"/>
        </w:rPr>
        <w:t>元。</w:t>
      </w:r>
      <w:r>
        <w:rPr>
          <w:rFonts w:hint="eastAsia" w:ascii="仿宋_GB2312" w:hAnsi="仿宋_GB2312" w:eastAsia="仿宋_GB2312" w:cs="仿宋_GB2312"/>
          <w:color w:val="333333"/>
          <w:sz w:val="32"/>
          <w:szCs w:val="32"/>
          <w:u w:val="none" w:color="auto"/>
          <w:lang w:eastAsia="zh-CN"/>
        </w:rPr>
        <w:t xml:space="preserve">  </w:t>
      </w:r>
      <w:r>
        <w:rPr>
          <w:rFonts w:hint="eastAsia" w:ascii="仿宋_GB2312" w:hAnsi="仿宋_GB2312" w:eastAsia="仿宋_GB2312" w:cs="仿宋_GB2312"/>
          <w:color w:val="333333"/>
          <w:sz w:val="32"/>
          <w:szCs w:val="32"/>
          <w:u w:val="none"/>
          <w:lang w:eastAsia="zh-CN"/>
        </w:rPr>
        <w:t xml:space="preserve">                                     </w:t>
      </w:r>
    </w:p>
    <w:p w14:paraId="15B0F6E2">
      <w:pPr>
        <w:keepNext w:val="0"/>
        <w:keepLines w:val="0"/>
        <w:pageBreakBefore w:val="0"/>
        <w:widowControl/>
        <w:kinsoku/>
        <w:wordWrap/>
        <w:overflowPunct/>
        <w:topLinePunct w:val="0"/>
        <w:autoSpaceDE w:val="0"/>
        <w:autoSpaceDN w:val="0"/>
        <w:bidi w:val="0"/>
        <w:adjustRightInd/>
        <w:snapToGrid/>
        <w:spacing w:line="600" w:lineRule="exact"/>
        <w:ind w:left="105" w:leftChars="50" w:right="105" w:rightChars="50" w:firstLine="596" w:firstLineChars="200"/>
        <w:jc w:val="both"/>
        <w:textAlignment w:val="auto"/>
        <w:rPr>
          <w:rFonts w:hint="eastAsia" w:ascii="仿宋_GB2312" w:hAnsi="仿宋_GB2312" w:eastAsia="仿宋_GB2312" w:cs="仿宋_GB2312"/>
          <w:color w:val="221E1F"/>
          <w:spacing w:val="-11"/>
          <w:sz w:val="32"/>
          <w:szCs w:val="32"/>
          <w:u w:val="none"/>
          <w:lang w:eastAsia="zh-CN"/>
        </w:rPr>
      </w:pPr>
      <w:r>
        <w:rPr>
          <w:rFonts w:hint="eastAsia" w:ascii="仿宋_GB2312" w:hAnsi="仿宋_GB2312" w:eastAsia="仿宋_GB2312" w:cs="仿宋_GB2312"/>
          <w:color w:val="221E1F"/>
          <w:spacing w:val="-11"/>
          <w:sz w:val="32"/>
          <w:szCs w:val="32"/>
          <w:u w:val="none"/>
        </w:rPr>
        <w:t>上述事实</w:t>
      </w:r>
      <w:r>
        <w:rPr>
          <w:rFonts w:hint="eastAsia" w:ascii="仿宋_GB2312" w:hAnsi="仿宋_GB2312" w:eastAsia="仿宋_GB2312" w:cs="仿宋_GB2312"/>
          <w:color w:val="221E1F"/>
          <w:spacing w:val="-10"/>
          <w:sz w:val="32"/>
          <w:szCs w:val="32"/>
          <w:u w:val="none"/>
        </w:rPr>
        <w:t>，</w:t>
      </w:r>
      <w:r>
        <w:rPr>
          <w:rFonts w:hint="eastAsia" w:ascii="仿宋_GB2312" w:hAnsi="仿宋_GB2312" w:eastAsia="仿宋_GB2312" w:cs="仿宋_GB2312"/>
          <w:color w:val="221E1F"/>
          <w:spacing w:val="-11"/>
          <w:sz w:val="32"/>
          <w:szCs w:val="32"/>
          <w:u w:val="none"/>
        </w:rPr>
        <w:t>主要有以下证据证明</w:t>
      </w:r>
      <w:r>
        <w:rPr>
          <w:rFonts w:hint="eastAsia" w:ascii="仿宋_GB2312" w:hAnsi="仿宋_GB2312" w:eastAsia="仿宋_GB2312" w:cs="仿宋_GB2312"/>
          <w:color w:val="221E1F"/>
          <w:spacing w:val="-11"/>
          <w:sz w:val="32"/>
          <w:szCs w:val="32"/>
          <w:u w:val="none"/>
          <w:lang w:eastAsia="zh-CN"/>
        </w:rPr>
        <w:t>；</w:t>
      </w:r>
    </w:p>
    <w:p w14:paraId="291D2449">
      <w:pPr>
        <w:keepNext w:val="0"/>
        <w:keepLines w:val="0"/>
        <w:pageBreakBefore w:val="0"/>
        <w:widowControl/>
        <w:kinsoku/>
        <w:wordWrap/>
        <w:overflowPunct/>
        <w:topLinePunct w:val="0"/>
        <w:autoSpaceDE w:val="0"/>
        <w:autoSpaceDN w:val="0"/>
        <w:bidi w:val="0"/>
        <w:adjustRightInd/>
        <w:snapToGrid/>
        <w:spacing w:line="600" w:lineRule="exact"/>
        <w:ind w:left="105" w:leftChars="50" w:right="105" w:rightChars="50" w:firstLine="596" w:firstLineChars="200"/>
        <w:jc w:val="both"/>
        <w:textAlignment w:val="auto"/>
        <w:rPr>
          <w:rFonts w:hint="eastAsia" w:ascii="仿宋" w:hAnsi="仿宋" w:eastAsia="仿宋" w:cs="仿宋"/>
          <w:color w:val="221E1F"/>
          <w:spacing w:val="-11"/>
          <w:sz w:val="32"/>
          <w:szCs w:val="32"/>
          <w:u w:val="none" w:color="auto"/>
          <w:lang w:eastAsia="zh-CN"/>
        </w:rPr>
      </w:pPr>
      <w:r>
        <w:rPr>
          <w:rFonts w:hint="eastAsia" w:ascii="仿宋" w:hAnsi="仿宋" w:eastAsia="仿宋" w:cs="仿宋"/>
          <w:color w:val="221E1F"/>
          <w:spacing w:val="-11"/>
          <w:sz w:val="32"/>
          <w:szCs w:val="32"/>
          <w:u w:val="none" w:color="auto"/>
          <w:lang w:eastAsia="zh-CN"/>
        </w:rPr>
        <w:t xml:space="preserve">1.营业执照及经营者身份证复印件，证明当事人主体经营资格及经营者身份；                                                </w:t>
      </w:r>
    </w:p>
    <w:p w14:paraId="63C8C6BE">
      <w:pPr>
        <w:keepNext w:val="0"/>
        <w:keepLines w:val="0"/>
        <w:pageBreakBefore w:val="0"/>
        <w:widowControl/>
        <w:kinsoku/>
        <w:wordWrap/>
        <w:overflowPunct/>
        <w:topLinePunct w:val="0"/>
        <w:bidi w:val="0"/>
        <w:adjustRightInd/>
        <w:snapToGrid/>
        <w:spacing w:line="600" w:lineRule="exact"/>
        <w:ind w:left="105" w:leftChars="50" w:right="105" w:rightChars="50" w:firstLine="640" w:firstLineChars="200"/>
        <w:jc w:val="both"/>
        <w:textAlignment w:val="auto"/>
        <w:rPr>
          <w:rFonts w:hint="eastAsia" w:ascii="仿宋" w:hAnsi="仿宋" w:eastAsia="仿宋" w:cs="仿宋"/>
          <w:color w:val="221E1F"/>
          <w:sz w:val="32"/>
          <w:szCs w:val="32"/>
          <w:u w:val="none" w:color="auto"/>
          <w:lang w:eastAsia="zh-CN"/>
        </w:rPr>
      </w:pPr>
      <w:r>
        <w:rPr>
          <w:rFonts w:hint="eastAsia" w:ascii="仿宋" w:hAnsi="仿宋" w:eastAsia="仿宋" w:cs="仿宋"/>
          <w:color w:val="221E1F"/>
          <w:sz w:val="32"/>
          <w:szCs w:val="32"/>
          <w:u w:val="none" w:color="auto"/>
          <w:lang w:eastAsia="zh-CN"/>
        </w:rPr>
        <w:t>2.现场笔录，证明我局执法人员现场检查的情况；</w:t>
      </w:r>
    </w:p>
    <w:p w14:paraId="6D06822C">
      <w:pPr>
        <w:keepNext w:val="0"/>
        <w:keepLines w:val="0"/>
        <w:pageBreakBefore w:val="0"/>
        <w:widowControl/>
        <w:kinsoku/>
        <w:wordWrap/>
        <w:overflowPunct/>
        <w:topLinePunct w:val="0"/>
        <w:bidi w:val="0"/>
        <w:adjustRightInd/>
        <w:snapToGrid/>
        <w:spacing w:line="600" w:lineRule="exact"/>
        <w:ind w:left="105" w:leftChars="50" w:right="105" w:rightChars="50" w:firstLine="640" w:firstLineChars="200"/>
        <w:jc w:val="both"/>
        <w:textAlignment w:val="auto"/>
        <w:rPr>
          <w:rFonts w:hint="eastAsia" w:ascii="仿宋" w:hAnsi="仿宋" w:eastAsia="仿宋" w:cs="仿宋"/>
          <w:color w:val="221E1F"/>
          <w:sz w:val="32"/>
          <w:szCs w:val="32"/>
          <w:u w:val="none" w:color="auto"/>
          <w:lang w:eastAsia="zh-CN"/>
        </w:rPr>
      </w:pPr>
      <w:r>
        <w:rPr>
          <w:rFonts w:hint="eastAsia" w:ascii="仿宋" w:hAnsi="仿宋" w:eastAsia="仿宋" w:cs="仿宋"/>
          <w:color w:val="221E1F"/>
          <w:sz w:val="32"/>
          <w:szCs w:val="32"/>
          <w:u w:val="none" w:color="auto"/>
          <w:lang w:eastAsia="zh-CN"/>
        </w:rPr>
        <w:t>3.询问笔录，证明当事人</w:t>
      </w:r>
      <w:r>
        <w:rPr>
          <w:rFonts w:hint="eastAsia" w:ascii="仿宋" w:hAnsi="仿宋" w:eastAsia="仿宋" w:cs="仿宋"/>
          <w:sz w:val="32"/>
          <w:szCs w:val="32"/>
          <w:u w:val="none" w:color="auto"/>
          <w:lang w:eastAsia="zh-CN"/>
        </w:rPr>
        <w:t>侵犯他人注册商标专用权</w:t>
      </w:r>
      <w:r>
        <w:rPr>
          <w:rFonts w:hint="eastAsia" w:ascii="仿宋" w:hAnsi="仿宋" w:eastAsia="仿宋" w:cs="仿宋"/>
          <w:sz w:val="32"/>
          <w:szCs w:val="32"/>
          <w:u w:val="none" w:color="auto"/>
        </w:rPr>
        <w:t>的</w:t>
      </w:r>
      <w:r>
        <w:rPr>
          <w:rFonts w:hint="eastAsia" w:ascii="仿宋" w:hAnsi="仿宋" w:eastAsia="仿宋" w:cs="仿宋"/>
          <w:sz w:val="32"/>
          <w:szCs w:val="32"/>
          <w:u w:val="none" w:color="auto"/>
          <w:lang w:val="en-US" w:eastAsia="zh-CN"/>
        </w:rPr>
        <w:t>事实</w:t>
      </w:r>
      <w:r>
        <w:rPr>
          <w:rFonts w:hint="eastAsia" w:ascii="仿宋" w:hAnsi="仿宋" w:eastAsia="仿宋" w:cs="仿宋"/>
          <w:color w:val="221E1F"/>
          <w:sz w:val="32"/>
          <w:szCs w:val="32"/>
          <w:u w:val="none" w:color="auto"/>
          <w:lang w:eastAsia="zh-CN"/>
        </w:rPr>
        <w:t xml:space="preserve">；    </w:t>
      </w:r>
    </w:p>
    <w:p w14:paraId="455B3456">
      <w:pPr>
        <w:keepNext w:val="0"/>
        <w:keepLines w:val="0"/>
        <w:pageBreakBefore w:val="0"/>
        <w:widowControl/>
        <w:kinsoku/>
        <w:wordWrap/>
        <w:overflowPunct/>
        <w:topLinePunct w:val="0"/>
        <w:bidi w:val="0"/>
        <w:adjustRightInd/>
        <w:snapToGrid/>
        <w:spacing w:line="600" w:lineRule="exact"/>
        <w:ind w:left="105" w:leftChars="50" w:right="105" w:rightChars="50" w:firstLine="640" w:firstLineChars="200"/>
        <w:jc w:val="both"/>
        <w:textAlignment w:val="auto"/>
        <w:rPr>
          <w:rFonts w:hint="eastAsia" w:ascii="仿宋" w:hAnsi="仿宋" w:eastAsia="仿宋" w:cs="仿宋"/>
          <w:color w:val="221E1F"/>
          <w:sz w:val="32"/>
          <w:szCs w:val="32"/>
          <w:u w:val="none" w:color="auto"/>
          <w:lang w:eastAsia="zh-CN"/>
        </w:rPr>
      </w:pPr>
      <w:r>
        <w:rPr>
          <w:rFonts w:hint="eastAsia" w:ascii="仿宋" w:hAnsi="仿宋" w:eastAsia="仿宋" w:cs="仿宋"/>
          <w:color w:val="221E1F"/>
          <w:sz w:val="32"/>
          <w:szCs w:val="32"/>
          <w:u w:val="none" w:color="auto"/>
          <w:lang w:eastAsia="zh-CN"/>
        </w:rPr>
        <w:t xml:space="preserve">4.实施行政强制措施决定书及财物清单，证明涉嫌侵权商品的被扣押情况； </w:t>
      </w:r>
    </w:p>
    <w:p w14:paraId="2458149A">
      <w:pPr>
        <w:keepNext w:val="0"/>
        <w:keepLines w:val="0"/>
        <w:pageBreakBefore w:val="0"/>
        <w:widowControl/>
        <w:kinsoku/>
        <w:wordWrap/>
        <w:overflowPunct/>
        <w:topLinePunct w:val="0"/>
        <w:bidi w:val="0"/>
        <w:adjustRightInd/>
        <w:snapToGrid/>
        <w:spacing w:line="600" w:lineRule="exact"/>
        <w:ind w:left="105" w:leftChars="50" w:right="105" w:rightChars="50" w:firstLine="640" w:firstLineChars="200"/>
        <w:jc w:val="both"/>
        <w:textAlignment w:val="auto"/>
        <w:rPr>
          <w:rFonts w:hint="eastAsia" w:ascii="仿宋" w:hAnsi="仿宋" w:eastAsia="仿宋" w:cs="仿宋"/>
          <w:color w:val="221E1F"/>
          <w:sz w:val="32"/>
          <w:szCs w:val="32"/>
          <w:u w:val="none" w:color="auto"/>
          <w:lang w:eastAsia="zh-CN"/>
        </w:rPr>
      </w:pPr>
      <w:r>
        <w:rPr>
          <w:rFonts w:hint="eastAsia" w:ascii="仿宋" w:hAnsi="仿宋" w:eastAsia="仿宋" w:cs="仿宋"/>
          <w:color w:val="221E1F"/>
          <w:sz w:val="32"/>
          <w:szCs w:val="32"/>
          <w:u w:val="none" w:color="auto"/>
          <w:lang w:eastAsia="zh-CN"/>
        </w:rPr>
        <w:t>5.涉案侵权产品图片，证明侵权产品的情况；</w:t>
      </w:r>
    </w:p>
    <w:p w14:paraId="0051C91D">
      <w:pPr>
        <w:keepNext w:val="0"/>
        <w:keepLines w:val="0"/>
        <w:pageBreakBefore w:val="0"/>
        <w:widowControl/>
        <w:kinsoku/>
        <w:wordWrap/>
        <w:overflowPunct/>
        <w:topLinePunct w:val="0"/>
        <w:bidi w:val="0"/>
        <w:adjustRightInd/>
        <w:snapToGrid/>
        <w:spacing w:line="600" w:lineRule="exact"/>
        <w:ind w:left="105" w:leftChars="50" w:right="105" w:rightChars="50" w:firstLine="640" w:firstLineChars="200"/>
        <w:jc w:val="both"/>
        <w:textAlignment w:val="auto"/>
        <w:rPr>
          <w:rFonts w:hint="eastAsia" w:ascii="仿宋" w:hAnsi="仿宋" w:eastAsia="仿宋" w:cs="仿宋"/>
          <w:color w:val="221E1F"/>
          <w:sz w:val="32"/>
          <w:szCs w:val="32"/>
          <w:u w:val="none" w:color="auto"/>
          <w:lang w:eastAsia="zh-CN"/>
        </w:rPr>
      </w:pPr>
      <w:r>
        <w:rPr>
          <w:rFonts w:hint="eastAsia" w:ascii="仿宋" w:hAnsi="仿宋" w:eastAsia="仿宋" w:cs="仿宋"/>
          <w:color w:val="221E1F"/>
          <w:sz w:val="32"/>
          <w:szCs w:val="32"/>
          <w:u w:val="none" w:color="auto"/>
          <w:lang w:eastAsia="zh-CN"/>
        </w:rPr>
        <w:t>6.</w:t>
      </w:r>
      <w:r>
        <w:rPr>
          <w:rFonts w:hint="eastAsia" w:ascii="仿宋" w:hAnsi="仿宋" w:eastAsia="仿宋" w:cs="仿宋"/>
          <w:sz w:val="32"/>
          <w:szCs w:val="32"/>
          <w:u w:val="none" w:color="auto"/>
          <w:lang w:val="en-US" w:eastAsia="zh-CN"/>
        </w:rPr>
        <w:t>鉴定</w:t>
      </w:r>
      <w:r>
        <w:rPr>
          <w:rFonts w:hint="eastAsia" w:ascii="仿宋" w:hAnsi="仿宋" w:eastAsia="仿宋" w:cs="仿宋"/>
          <w:sz w:val="32"/>
          <w:szCs w:val="32"/>
          <w:u w:val="none" w:color="auto"/>
          <w:lang w:eastAsia="zh-CN"/>
        </w:rPr>
        <w:t>证明，证明</w:t>
      </w:r>
      <w:r>
        <w:rPr>
          <w:rFonts w:hint="eastAsia" w:ascii="仿宋" w:hAnsi="仿宋" w:eastAsia="仿宋" w:cs="仿宋"/>
          <w:sz w:val="32"/>
          <w:szCs w:val="32"/>
          <w:u w:val="none" w:color="auto"/>
          <w:lang w:val="en-US" w:eastAsia="zh-CN"/>
        </w:rPr>
        <w:t>当事人侵权情况；</w:t>
      </w:r>
      <w:r>
        <w:rPr>
          <w:rFonts w:hint="eastAsia" w:ascii="仿宋" w:hAnsi="仿宋" w:eastAsia="仿宋" w:cs="仿宋"/>
          <w:color w:val="221E1F"/>
          <w:sz w:val="32"/>
          <w:szCs w:val="32"/>
          <w:u w:val="none" w:color="auto"/>
          <w:lang w:eastAsia="zh-CN"/>
        </w:rPr>
        <w:t xml:space="preserve"> </w:t>
      </w:r>
    </w:p>
    <w:p w14:paraId="32E7DF85">
      <w:pPr>
        <w:keepNext w:val="0"/>
        <w:keepLines w:val="0"/>
        <w:pageBreakBefore w:val="0"/>
        <w:widowControl/>
        <w:kinsoku/>
        <w:wordWrap/>
        <w:overflowPunct/>
        <w:topLinePunct w:val="0"/>
        <w:bidi w:val="0"/>
        <w:adjustRightInd/>
        <w:snapToGrid/>
        <w:spacing w:line="600" w:lineRule="exact"/>
        <w:ind w:left="105" w:leftChars="50" w:right="105" w:rightChars="50" w:firstLine="640" w:firstLineChars="200"/>
        <w:jc w:val="both"/>
        <w:textAlignment w:val="auto"/>
        <w:rPr>
          <w:rFonts w:hint="eastAsia" w:ascii="仿宋" w:hAnsi="仿宋" w:eastAsia="仿宋" w:cs="仿宋"/>
          <w:sz w:val="32"/>
          <w:szCs w:val="32"/>
        </w:rPr>
      </w:pPr>
      <w:r>
        <w:rPr>
          <w:rFonts w:hint="eastAsia" w:ascii="仿宋" w:hAnsi="仿宋" w:eastAsia="仿宋" w:cs="仿宋"/>
          <w:color w:val="221E1F"/>
          <w:sz w:val="32"/>
          <w:szCs w:val="32"/>
          <w:u w:val="none" w:color="auto"/>
          <w:lang w:val="en-US" w:eastAsia="zh-CN"/>
        </w:rPr>
        <w:t>7.耐克</w:t>
      </w:r>
      <w:r>
        <w:rPr>
          <w:rFonts w:hint="eastAsia" w:ascii="仿宋" w:hAnsi="仿宋" w:eastAsia="仿宋" w:cs="仿宋"/>
          <w:color w:val="auto"/>
          <w:sz w:val="32"/>
          <w:szCs w:val="32"/>
          <w:u w:val="none" w:color="auto"/>
          <w:lang w:val="en-US" w:eastAsia="zh-CN"/>
        </w:rPr>
        <w:t xml:space="preserve">商标注册证及授权委托书，证明耐克商标注册情况和被授权人情况。                     </w:t>
      </w:r>
      <w:r>
        <w:rPr>
          <w:rFonts w:hint="eastAsia" w:ascii="仿宋" w:hAnsi="仿宋" w:eastAsia="仿宋" w:cs="仿宋_GB2312"/>
          <w:color w:val="221E1F"/>
          <w:sz w:val="32"/>
          <w:szCs w:val="32"/>
        </w:rPr>
        <w:t xml:space="preserve">   </w:t>
      </w:r>
      <w:r>
        <w:rPr>
          <w:rFonts w:hint="eastAsia" w:ascii="仿宋" w:hAnsi="仿宋" w:eastAsia="仿宋" w:cs="仿宋"/>
          <w:sz w:val="32"/>
          <w:szCs w:val="32"/>
        </w:rPr>
        <w:t xml:space="preserve">                   </w:t>
      </w:r>
    </w:p>
    <w:p w14:paraId="57118AD7">
      <w:pPr>
        <w:keepNext w:val="0"/>
        <w:keepLines w:val="0"/>
        <w:pageBreakBefore w:val="0"/>
        <w:widowControl/>
        <w:kinsoku/>
        <w:wordWrap/>
        <w:overflowPunct/>
        <w:topLinePunct w:val="0"/>
        <w:bidi w:val="0"/>
        <w:adjustRightInd/>
        <w:snapToGrid/>
        <w:spacing w:line="600" w:lineRule="exact"/>
        <w:ind w:left="105" w:leftChars="50" w:right="105" w:rightChars="50" w:firstLine="640" w:firstLineChars="200"/>
        <w:jc w:val="both"/>
        <w:textAlignment w:val="auto"/>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rPr>
        <w:t>当事人的上述行为，违反了《中华人民共和国商标法》第五十七条：“有下列行为之一的，均属侵犯注册商标专用权：（一）未经商标注册人的许可，在同一种商品上使用与其注册商标相同的商标的；（六）故意为侵犯他人商标专用权行为提供便利条件，帮助他人实施侵犯商标专用权行为的；”之规定，其行为属于侵犯注册商标专用权。</w:t>
      </w:r>
      <w:r>
        <w:rPr>
          <w:rFonts w:hint="eastAsia" w:ascii="仿宋_GB2312" w:hAnsi="仿宋_GB2312" w:eastAsia="仿宋_GB2312" w:cs="仿宋_GB2312"/>
          <w:sz w:val="32"/>
          <w:szCs w:val="32"/>
          <w:u w:val="none"/>
          <w:lang w:val="en-US" w:eastAsia="zh-CN"/>
        </w:rPr>
        <w:t xml:space="preserve"> </w:t>
      </w:r>
    </w:p>
    <w:p w14:paraId="4249544C">
      <w:pPr>
        <w:keepNext w:val="0"/>
        <w:keepLines w:val="0"/>
        <w:pageBreakBefore w:val="0"/>
        <w:widowControl/>
        <w:kinsoku/>
        <w:wordWrap/>
        <w:overflowPunct/>
        <w:topLinePunct w:val="0"/>
        <w:bidi w:val="0"/>
        <w:adjustRightInd/>
        <w:snapToGrid/>
        <w:spacing w:line="600" w:lineRule="exact"/>
        <w:ind w:left="105" w:leftChars="50" w:right="105" w:rightChars="50" w:firstLine="640" w:firstLineChars="200"/>
        <w:jc w:val="both"/>
        <w:textAlignment w:val="auto"/>
        <w:rPr>
          <w:rFonts w:hint="eastAsia" w:ascii="仿宋_GB2312" w:hAnsi="仿宋_GB2312" w:eastAsia="仿宋_GB2312" w:cs="仿宋_GB2312"/>
          <w:color w:val="221E1F"/>
          <w:sz w:val="32"/>
          <w:szCs w:val="32"/>
          <w:u w:val="none"/>
          <w:lang w:eastAsia="zh-CN"/>
        </w:rPr>
      </w:pPr>
      <w:r>
        <w:rPr>
          <w:rFonts w:hint="eastAsia" w:ascii="仿宋" w:hAnsi="仿宋" w:eastAsia="仿宋" w:cs="仿宋_GB2312"/>
          <w:sz w:val="32"/>
          <w:szCs w:val="32"/>
        </w:rPr>
        <w:t>根据当事人违法的事实、情节、及社会危害性，参照《河南省市场监督管理行政处罚裁量权适用通则》第十八条第一款“当事人不具备不予行政处罚、减轻、从轻或者从重行政处罚情形的，应当给予一般行政处罚。”之规定，应当给予一般行政处罚。</w:t>
      </w:r>
    </w:p>
    <w:p w14:paraId="192D97EC">
      <w:pPr>
        <w:keepNext w:val="0"/>
        <w:keepLines w:val="0"/>
        <w:pageBreakBefore w:val="0"/>
        <w:kinsoku/>
        <w:wordWrap/>
        <w:overflowPunct/>
        <w:topLinePunct w:val="0"/>
        <w:autoSpaceDE/>
        <w:autoSpaceDN/>
        <w:bidi w:val="0"/>
        <w:adjustRightInd/>
        <w:snapToGrid/>
        <w:spacing w:line="600" w:lineRule="exact"/>
        <w:ind w:left="105" w:leftChars="50" w:right="105" w:rightChars="50"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2025年</w:t>
      </w:r>
      <w:r>
        <w:rPr>
          <w:rFonts w:hint="eastAsia" w:ascii="仿宋" w:hAnsi="仿宋" w:eastAsia="仿宋" w:cs="仿宋"/>
          <w:sz w:val="32"/>
          <w:szCs w:val="32"/>
          <w:lang w:val="en-US" w:eastAsia="zh-CN"/>
        </w:rPr>
        <w:t>3</w:t>
      </w:r>
      <w:r>
        <w:rPr>
          <w:rFonts w:hint="eastAsia" w:ascii="仿宋" w:hAnsi="仿宋" w:eastAsia="仿宋" w:cs="仿宋"/>
          <w:sz w:val="32"/>
          <w:szCs w:val="32"/>
        </w:rPr>
        <w:t>月</w:t>
      </w:r>
      <w:r>
        <w:rPr>
          <w:rFonts w:hint="eastAsia" w:ascii="仿宋" w:hAnsi="仿宋" w:eastAsia="仿宋" w:cs="仿宋"/>
          <w:sz w:val="32"/>
          <w:szCs w:val="32"/>
          <w:lang w:val="en-US" w:eastAsia="zh-CN"/>
        </w:rPr>
        <w:t>24</w:t>
      </w:r>
      <w:r>
        <w:rPr>
          <w:rFonts w:hint="eastAsia" w:ascii="仿宋" w:hAnsi="仿宋" w:eastAsia="仿宋" w:cs="仿宋"/>
          <w:sz w:val="32"/>
          <w:szCs w:val="32"/>
        </w:rPr>
        <w:t>日，我局向当事人送达偃市监罚告〔2025〕</w:t>
      </w:r>
      <w:r>
        <w:rPr>
          <w:rFonts w:hint="eastAsia" w:ascii="仿宋" w:hAnsi="仿宋" w:eastAsia="仿宋" w:cs="仿宋"/>
          <w:sz w:val="32"/>
          <w:szCs w:val="32"/>
          <w:lang w:val="en-US" w:eastAsia="zh-CN"/>
        </w:rPr>
        <w:t>23</w:t>
      </w:r>
      <w:r>
        <w:rPr>
          <w:rFonts w:hint="eastAsia" w:ascii="仿宋" w:hAnsi="仿宋" w:eastAsia="仿宋" w:cs="仿宋"/>
          <w:sz w:val="32"/>
          <w:szCs w:val="32"/>
        </w:rPr>
        <w:t>号《行政处罚告知书》，告知当事人我局拟做出行政处罚决定的事实、理由、依据、内容以及当事人依法享有的陈述权、申辩权，并可以要求听证。在规定的时间内，当事人未提出陈述、申辩权意见</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也未要求听证</w:t>
      </w:r>
      <w:r>
        <w:rPr>
          <w:rFonts w:hint="eastAsia" w:ascii="仿宋" w:hAnsi="仿宋" w:eastAsia="仿宋" w:cs="仿宋"/>
          <w:sz w:val="32"/>
          <w:szCs w:val="32"/>
        </w:rPr>
        <w:t>。</w:t>
      </w:r>
    </w:p>
    <w:p w14:paraId="6AB70C9A">
      <w:pPr>
        <w:pStyle w:val="9"/>
        <w:keepNext w:val="0"/>
        <w:keepLines w:val="0"/>
        <w:pageBreakBefore w:val="0"/>
        <w:widowControl/>
        <w:shd w:val="clear" w:color="auto" w:fill="FFFFFF"/>
        <w:kinsoku/>
        <w:wordWrap/>
        <w:overflowPunct/>
        <w:topLinePunct w:val="0"/>
        <w:bidi w:val="0"/>
        <w:adjustRightInd/>
        <w:snapToGrid/>
        <w:spacing w:before="0" w:beforeAutospacing="0" w:after="0" w:afterAutospacing="0" w:line="600" w:lineRule="exact"/>
        <w:ind w:left="105" w:leftChars="50" w:right="105" w:rightChars="50" w:firstLine="640" w:firstLineChars="200"/>
        <w:jc w:val="both"/>
        <w:textAlignment w:val="auto"/>
        <w:rPr>
          <w:rFonts w:hint="eastAsia" w:ascii="仿宋" w:hAnsi="仿宋" w:eastAsia="仿宋"/>
          <w:sz w:val="32"/>
          <w:szCs w:val="32"/>
        </w:rPr>
      </w:pPr>
      <w:r>
        <w:rPr>
          <w:rFonts w:hint="eastAsia" w:ascii="仿宋" w:hAnsi="仿宋" w:eastAsia="仿宋"/>
          <w:sz w:val="32"/>
          <w:szCs w:val="32"/>
        </w:rPr>
        <w:t>依据《中华人民共和国商标法》第六十条第二款 “工商行政管理部门处理时，认定侵权行为成立的，责令立即停止侵权行为，没收、销毁侵权商品和主要用于制造侵权商品、伪造注册商标标识的工具，违法经营额五万元以上的，可以处违法经营额五倍以下的罚款，没有违法经营额或者违法经营额不足五万元的，可以处二十五万元以下的罚款。对五年内实施两次以上商标侵权行为或者有其他严重情节的，应当从重处罚。销售不知道是侵犯注册商标专用权的商品，能证明该商品是自己合法取得并说明提供者的，由工商行政管理部门责令停止销售。”之规定，参照《河南省市场监督管理行政处罚裁量基准（2023版）》9.1.3“依据《商标法》第六十条第二款实施的行政处罚裁量等级 一般 违法情形 不具有从轻、从重处罚情形。裁量基准 没收、销毁侵权商品和主要用于制造侵权商品、伪造注册商标标识的工具，违法经营额5万元以上的，处违法经营额3.5倍以下的罚款，没有违法经营额或者违法经营额不足5万元的，处17.5万元以下的罚款。”之规定，</w:t>
      </w:r>
      <w:r>
        <w:rPr>
          <w:rFonts w:hint="eastAsia" w:ascii="仿宋" w:hAnsi="仿宋" w:eastAsia="仿宋"/>
          <w:sz w:val="32"/>
          <w:szCs w:val="32"/>
          <w:lang w:val="en-US" w:eastAsia="zh-CN"/>
        </w:rPr>
        <w:t>经我局研究，决定</w:t>
      </w:r>
      <w:r>
        <w:rPr>
          <w:rFonts w:hint="eastAsia" w:ascii="仿宋" w:hAnsi="仿宋" w:eastAsia="仿宋" w:cs="仿宋"/>
          <w:sz w:val="32"/>
          <w:szCs w:val="32"/>
          <w:u w:val="none" w:color="auto"/>
        </w:rPr>
        <w:t>责令</w:t>
      </w:r>
      <w:r>
        <w:rPr>
          <w:rFonts w:hint="eastAsia" w:ascii="仿宋" w:hAnsi="仿宋" w:eastAsia="仿宋" w:cs="仿宋"/>
          <w:color w:val="221E1F"/>
          <w:sz w:val="32"/>
          <w:szCs w:val="32"/>
          <w:u w:val="none" w:color="auto"/>
          <w:lang w:val="en-US" w:eastAsia="zh-CN"/>
        </w:rPr>
        <w:t>偃师市龙福祥制鞋厂</w:t>
      </w:r>
      <w:r>
        <w:rPr>
          <w:rFonts w:hint="eastAsia" w:ascii="仿宋" w:hAnsi="仿宋" w:eastAsia="仿宋" w:cs="仿宋"/>
          <w:sz w:val="32"/>
          <w:szCs w:val="32"/>
          <w:u w:val="none" w:color="auto"/>
        </w:rPr>
        <w:t>立即停止侵权行为，没收</w:t>
      </w:r>
      <w:r>
        <w:rPr>
          <w:rFonts w:hint="eastAsia" w:ascii="仿宋" w:hAnsi="仿宋" w:eastAsia="仿宋" w:cs="仿宋"/>
          <w:sz w:val="32"/>
          <w:szCs w:val="32"/>
          <w:u w:val="none" w:color="auto"/>
          <w:lang w:val="en-US" w:eastAsia="zh-CN"/>
        </w:rPr>
        <w:t>涉案有耐克商标标识的</w:t>
      </w:r>
      <w:r>
        <w:rPr>
          <w:rFonts w:hint="eastAsia" w:ascii="仿宋" w:hAnsi="仿宋" w:eastAsia="仿宋" w:cs="仿宋"/>
          <w:sz w:val="32"/>
          <w:szCs w:val="32"/>
          <w:u w:val="none" w:color="auto"/>
        </w:rPr>
        <w:t>鞋</w:t>
      </w:r>
      <w:r>
        <w:rPr>
          <w:rFonts w:hint="eastAsia" w:ascii="仿宋" w:hAnsi="仿宋" w:eastAsia="仿宋" w:cs="仿宋"/>
          <w:sz w:val="32"/>
          <w:szCs w:val="32"/>
          <w:u w:val="none" w:color="auto"/>
          <w:lang w:val="en-US" w:eastAsia="zh-CN"/>
        </w:rPr>
        <w:t>16</w:t>
      </w:r>
      <w:r>
        <w:rPr>
          <w:rFonts w:hint="eastAsia" w:ascii="仿宋" w:hAnsi="仿宋" w:eastAsia="仿宋" w:cs="仿宋"/>
          <w:sz w:val="32"/>
          <w:szCs w:val="32"/>
          <w:u w:val="none" w:color="auto"/>
        </w:rPr>
        <w:t>双、鞋帮</w:t>
      </w:r>
      <w:r>
        <w:rPr>
          <w:rFonts w:hint="eastAsia" w:ascii="仿宋" w:hAnsi="仿宋" w:eastAsia="仿宋" w:cs="仿宋"/>
          <w:sz w:val="32"/>
          <w:szCs w:val="32"/>
          <w:u w:val="none" w:color="auto"/>
          <w:lang w:val="en-US" w:eastAsia="zh-CN"/>
        </w:rPr>
        <w:t>13</w:t>
      </w:r>
      <w:r>
        <w:rPr>
          <w:rFonts w:hint="eastAsia" w:ascii="仿宋" w:hAnsi="仿宋" w:eastAsia="仿宋" w:cs="仿宋"/>
          <w:sz w:val="32"/>
          <w:szCs w:val="32"/>
          <w:u w:val="none" w:color="auto"/>
        </w:rPr>
        <w:t>双，</w:t>
      </w:r>
      <w:r>
        <w:rPr>
          <w:rFonts w:hint="eastAsia" w:ascii="仿宋" w:hAnsi="仿宋" w:eastAsia="仿宋" w:cs="仿宋"/>
          <w:color w:val="221E1F"/>
          <w:sz w:val="32"/>
          <w:szCs w:val="32"/>
          <w:u w:val="none" w:color="auto"/>
        </w:rPr>
        <w:t>处</w:t>
      </w:r>
      <w:r>
        <w:rPr>
          <w:rFonts w:hint="eastAsia" w:ascii="仿宋" w:hAnsi="仿宋" w:eastAsia="仿宋" w:cs="仿宋"/>
          <w:color w:val="221E1F"/>
          <w:sz w:val="32"/>
          <w:szCs w:val="32"/>
          <w:u w:val="none" w:color="auto"/>
          <w:lang w:val="en-US" w:eastAsia="zh-CN"/>
        </w:rPr>
        <w:t>3</w:t>
      </w:r>
      <w:r>
        <w:rPr>
          <w:rFonts w:hint="eastAsia" w:ascii="仿宋" w:hAnsi="仿宋" w:eastAsia="仿宋" w:cs="仿宋"/>
          <w:sz w:val="32"/>
          <w:szCs w:val="32"/>
          <w:u w:val="none" w:color="auto"/>
        </w:rPr>
        <w:t>0000</w:t>
      </w:r>
      <w:r>
        <w:rPr>
          <w:rFonts w:hint="eastAsia" w:ascii="仿宋" w:hAnsi="仿宋" w:eastAsia="仿宋" w:cs="仿宋"/>
          <w:color w:val="221E1F"/>
          <w:sz w:val="32"/>
          <w:szCs w:val="32"/>
          <w:u w:val="none" w:color="auto"/>
        </w:rPr>
        <w:t>元罚款</w:t>
      </w:r>
      <w:r>
        <w:rPr>
          <w:rFonts w:hint="eastAsia" w:ascii="仿宋" w:hAnsi="仿宋" w:eastAsia="仿宋" w:cs="仿宋"/>
          <w:sz w:val="32"/>
          <w:szCs w:val="32"/>
          <w:u w:val="none" w:color="auto"/>
        </w:rPr>
        <w:t xml:space="preserve">。 </w:t>
      </w:r>
      <w:r>
        <w:rPr>
          <w:rFonts w:hint="eastAsia" w:ascii="仿宋_GB2312" w:hAnsi="仿宋_GB2312" w:eastAsia="仿宋_GB2312" w:cs="仿宋_GB2312"/>
          <w:sz w:val="32"/>
          <w:szCs w:val="32"/>
          <w:u w:val="none"/>
        </w:rPr>
        <w:t xml:space="preserve"> </w:t>
      </w:r>
    </w:p>
    <w:p w14:paraId="760F5644">
      <w:pPr>
        <w:keepNext w:val="0"/>
        <w:keepLines w:val="0"/>
        <w:pageBreakBefore w:val="0"/>
        <w:kinsoku/>
        <w:wordWrap/>
        <w:overflowPunct/>
        <w:topLinePunct w:val="0"/>
        <w:bidi w:val="0"/>
        <w:adjustRightInd/>
        <w:snapToGrid/>
        <w:spacing w:line="600" w:lineRule="exact"/>
        <w:ind w:left="105" w:leftChars="50" w:right="105" w:rightChars="50" w:firstLine="640" w:firstLineChars="200"/>
        <w:textAlignment w:val="auto"/>
        <w:rPr>
          <w:rFonts w:hint="eastAsia" w:ascii="仿宋" w:hAnsi="仿宋" w:eastAsia="仿宋"/>
          <w:sz w:val="32"/>
          <w:szCs w:val="32"/>
        </w:rPr>
      </w:pPr>
      <w:r>
        <w:rPr>
          <w:rFonts w:hint="eastAsia" w:ascii="仿宋" w:hAnsi="仿宋" w:eastAsia="仿宋" w:cs="宋体"/>
          <w:sz w:val="32"/>
          <w:szCs w:val="32"/>
        </w:rPr>
        <w:t>当事人收到本处罚决定之日起15日内，缴清上述罚款。</w:t>
      </w:r>
      <w:r>
        <w:rPr>
          <w:rFonts w:hint="eastAsia" w:ascii="仿宋" w:hAnsi="仿宋" w:eastAsia="仿宋"/>
          <w:sz w:val="32"/>
          <w:szCs w:val="32"/>
        </w:rPr>
        <w:t xml:space="preserve">（当事人可选择以下银行缴纳罚款：1.农业银行偃师市支行，户名：洛阳市偃师区财政局财政专户，账号：16129101040000020。2.工商银行偃师市支行，户名：洛阳市偃师区财政局财政专户，账号：1705027009064004971。3.中国银行偃师市支行，户名：洛阳市偃师区财政局财政专户，账号：249407156581。4.农商银行偃师营业部，户名：洛阳市偃师区财政局财政专户，账号：00000005583396678012。5.建设银行偃师支行，户名：洛阳市偃师区财政局财政专户，账号：41001591110058000003。6.中原银行偃师市支行，户名：洛阳市偃师区财政局财政专户，账号：671610090000000753。7.邮储银行偃师市支行，户名：洛阳市偃师区财政局财政专户，账号：100216664840019999。  </w:t>
      </w:r>
    </w:p>
    <w:p w14:paraId="753A876E">
      <w:pPr>
        <w:keepNext w:val="0"/>
        <w:keepLines w:val="0"/>
        <w:pageBreakBefore w:val="0"/>
        <w:kinsoku/>
        <w:wordWrap/>
        <w:overflowPunct/>
        <w:topLinePunct w:val="0"/>
        <w:bidi w:val="0"/>
        <w:adjustRightInd/>
        <w:snapToGrid/>
        <w:spacing w:line="600" w:lineRule="exact"/>
        <w:ind w:left="105" w:leftChars="50" w:right="105" w:rightChars="50" w:firstLine="640" w:firstLineChars="200"/>
        <w:textAlignment w:val="auto"/>
        <w:rPr>
          <w:rFonts w:hint="eastAsia" w:ascii="仿宋" w:hAnsi="仿宋" w:eastAsia="仿宋"/>
          <w:sz w:val="32"/>
          <w:szCs w:val="32"/>
        </w:rPr>
      </w:pPr>
      <w:r>
        <w:rPr>
          <w:rFonts w:hint="eastAsia" w:ascii="仿宋" w:hAnsi="仿宋" w:eastAsia="仿宋"/>
          <w:sz w:val="32"/>
          <w:szCs w:val="32"/>
        </w:rPr>
        <w:t>根据《中华人民共和国行政处罚法》第七十二条规定，当事人逾期不履行行政处罚决定的，本机关可以采取以下措施：（一）到期不缴纳罚款的，每日按罚款数额的百分之三加处罚款；（二）申请人民法院强制执行。</w:t>
      </w:r>
    </w:p>
    <w:p w14:paraId="0651F5FD">
      <w:pPr>
        <w:keepNext w:val="0"/>
        <w:keepLines w:val="0"/>
        <w:pageBreakBefore w:val="0"/>
        <w:kinsoku/>
        <w:wordWrap/>
        <w:overflowPunct/>
        <w:topLinePunct w:val="0"/>
        <w:bidi w:val="0"/>
        <w:adjustRightInd/>
        <w:snapToGrid/>
        <w:spacing w:line="600" w:lineRule="exact"/>
        <w:ind w:left="105" w:leftChars="50" w:right="105" w:rightChars="50" w:firstLine="640" w:firstLineChars="200"/>
        <w:textAlignment w:val="auto"/>
        <w:rPr>
          <w:rFonts w:hint="eastAsia" w:ascii="仿宋" w:hAnsi="仿宋" w:eastAsia="仿宋"/>
          <w:sz w:val="32"/>
          <w:szCs w:val="32"/>
        </w:rPr>
      </w:pPr>
      <w:r>
        <w:rPr>
          <w:rFonts w:hint="eastAsia" w:ascii="仿宋" w:hAnsi="仿宋" w:eastAsia="仿宋"/>
          <w:sz w:val="32"/>
          <w:szCs w:val="32"/>
        </w:rPr>
        <w:t xml:space="preserve">如不服本处罚决定，可自接文之日起六十日内向洛阳市偃师区人民政府申请复议，也可于接文之日起六个月内向洛阳市偃师区人民法院提起诉讼。如果需要通过互联网渠道申请行政复议，可以通过行政复议服务平台（https://xzfy.moj.gov.cn/）网站提交申请。行政复议或者行政诉讼期间，本行政处罚决定不停止执行。       </w:t>
      </w:r>
    </w:p>
    <w:p w14:paraId="41BE8694">
      <w:pPr>
        <w:keepNext w:val="0"/>
        <w:keepLines w:val="0"/>
        <w:pageBreakBefore w:val="0"/>
        <w:kinsoku/>
        <w:wordWrap/>
        <w:overflowPunct/>
        <w:topLinePunct w:val="0"/>
        <w:bidi w:val="0"/>
        <w:adjustRightInd/>
        <w:snapToGrid/>
        <w:spacing w:line="600" w:lineRule="exact"/>
        <w:ind w:left="105" w:leftChars="50" w:right="105" w:rightChars="50" w:firstLine="640" w:firstLineChars="200"/>
        <w:textAlignment w:val="auto"/>
        <w:rPr>
          <w:rFonts w:hint="eastAsia" w:ascii="仿宋" w:hAnsi="仿宋" w:eastAsia="仿宋"/>
          <w:sz w:val="32"/>
          <w:szCs w:val="32"/>
        </w:rPr>
      </w:pPr>
    </w:p>
    <w:p w14:paraId="74DD1EEE">
      <w:pPr>
        <w:keepNext w:val="0"/>
        <w:keepLines w:val="0"/>
        <w:pageBreakBefore w:val="0"/>
        <w:kinsoku/>
        <w:wordWrap/>
        <w:overflowPunct/>
        <w:topLinePunct w:val="0"/>
        <w:bidi w:val="0"/>
        <w:adjustRightInd/>
        <w:snapToGrid/>
        <w:spacing w:line="600" w:lineRule="exact"/>
        <w:ind w:left="105" w:leftChars="50" w:right="105" w:rightChars="50" w:firstLine="640" w:firstLineChars="200"/>
        <w:textAlignment w:val="auto"/>
        <w:rPr>
          <w:rFonts w:hint="eastAsia" w:ascii="仿宋" w:hAnsi="仿宋" w:eastAsia="仿宋"/>
          <w:sz w:val="32"/>
          <w:szCs w:val="32"/>
        </w:rPr>
      </w:pPr>
    </w:p>
    <w:p w14:paraId="31825FC4">
      <w:pPr>
        <w:keepNext w:val="0"/>
        <w:keepLines w:val="0"/>
        <w:pageBreakBefore w:val="0"/>
        <w:kinsoku/>
        <w:wordWrap/>
        <w:overflowPunct/>
        <w:topLinePunct w:val="0"/>
        <w:bidi w:val="0"/>
        <w:adjustRightInd/>
        <w:snapToGrid/>
        <w:spacing w:line="600" w:lineRule="exact"/>
        <w:ind w:left="105" w:leftChars="50" w:firstLine="640" w:firstLineChars="200"/>
        <w:textAlignment w:val="auto"/>
        <w:rPr>
          <w:rFonts w:hint="eastAsia" w:ascii="仿宋" w:hAnsi="仿宋" w:eastAsia="仿宋"/>
          <w:sz w:val="32"/>
          <w:szCs w:val="32"/>
        </w:rPr>
      </w:pPr>
    </w:p>
    <w:p w14:paraId="22E4CDCD">
      <w:pPr>
        <w:keepNext w:val="0"/>
        <w:keepLines w:val="0"/>
        <w:pageBreakBefore w:val="0"/>
        <w:kinsoku/>
        <w:wordWrap/>
        <w:overflowPunct/>
        <w:topLinePunct w:val="0"/>
        <w:bidi w:val="0"/>
        <w:adjustRightInd/>
        <w:snapToGrid/>
        <w:spacing w:line="600" w:lineRule="exact"/>
        <w:ind w:left="105" w:leftChars="50" w:firstLine="2880" w:firstLineChars="900"/>
        <w:textAlignment w:val="auto"/>
        <w:rPr>
          <w:rFonts w:hint="eastAsia" w:ascii="仿宋" w:hAnsi="仿宋" w:eastAsia="仿宋"/>
          <w:sz w:val="32"/>
          <w:szCs w:val="32"/>
        </w:rPr>
      </w:pPr>
      <w:r>
        <w:rPr>
          <w:rFonts w:hint="eastAsia" w:ascii="仿宋" w:hAnsi="仿宋" w:eastAsia="仿宋"/>
          <w:sz w:val="32"/>
          <w:szCs w:val="32"/>
        </w:rPr>
        <w:t>洛阳市偃师区市场监督管理局</w:t>
      </w:r>
    </w:p>
    <w:p w14:paraId="16E9262E">
      <w:pPr>
        <w:keepNext w:val="0"/>
        <w:keepLines w:val="0"/>
        <w:pageBreakBefore w:val="0"/>
        <w:kinsoku/>
        <w:wordWrap/>
        <w:overflowPunct/>
        <w:topLinePunct w:val="0"/>
        <w:bidi w:val="0"/>
        <w:adjustRightInd/>
        <w:snapToGrid/>
        <w:spacing w:line="600" w:lineRule="exact"/>
        <w:ind w:left="105" w:leftChars="50" w:firstLine="640" w:firstLineChars="200"/>
        <w:textAlignment w:val="auto"/>
        <w:rPr>
          <w:rFonts w:hint="eastAsia" w:ascii="仿宋" w:hAnsi="仿宋" w:eastAsia="仿宋"/>
          <w:sz w:val="32"/>
          <w:szCs w:val="32"/>
        </w:rPr>
      </w:pPr>
    </w:p>
    <w:p w14:paraId="59CD2481">
      <w:pPr>
        <w:keepNext w:val="0"/>
        <w:keepLines w:val="0"/>
        <w:pageBreakBefore w:val="0"/>
        <w:kinsoku/>
        <w:wordWrap/>
        <w:overflowPunct/>
        <w:topLinePunct w:val="0"/>
        <w:bidi w:val="0"/>
        <w:adjustRightInd/>
        <w:snapToGrid/>
        <w:spacing w:line="600" w:lineRule="exact"/>
        <w:ind w:left="105" w:leftChars="50" w:firstLine="3840" w:firstLineChars="1200"/>
        <w:textAlignment w:val="auto"/>
        <w:rPr>
          <w:rFonts w:hint="eastAsia" w:ascii="仿宋" w:hAnsi="仿宋" w:eastAsia="仿宋"/>
          <w:sz w:val="32"/>
          <w:szCs w:val="32"/>
        </w:rPr>
      </w:pPr>
      <w:r>
        <w:rPr>
          <w:rFonts w:hint="eastAsia" w:ascii="仿宋" w:hAnsi="仿宋" w:eastAsia="仿宋"/>
          <w:sz w:val="32"/>
          <w:szCs w:val="32"/>
        </w:rPr>
        <w:t>2025年</w:t>
      </w:r>
      <w:r>
        <w:rPr>
          <w:rFonts w:hint="eastAsia" w:ascii="仿宋" w:hAnsi="仿宋" w:eastAsia="仿宋"/>
          <w:sz w:val="32"/>
          <w:szCs w:val="32"/>
          <w:lang w:val="en-US" w:eastAsia="zh-CN"/>
        </w:rPr>
        <w:t>4</w:t>
      </w:r>
      <w:r>
        <w:rPr>
          <w:rFonts w:hint="eastAsia" w:ascii="仿宋" w:hAnsi="仿宋" w:eastAsia="仿宋"/>
          <w:sz w:val="32"/>
          <w:szCs w:val="32"/>
        </w:rPr>
        <w:t>月</w:t>
      </w:r>
      <w:r>
        <w:rPr>
          <w:rFonts w:hint="eastAsia" w:ascii="仿宋" w:hAnsi="仿宋" w:eastAsia="仿宋"/>
          <w:sz w:val="32"/>
          <w:szCs w:val="32"/>
          <w:lang w:val="en-US" w:eastAsia="zh-CN"/>
        </w:rPr>
        <w:t>3</w:t>
      </w:r>
      <w:r>
        <w:rPr>
          <w:rFonts w:hint="eastAsia" w:ascii="仿宋" w:hAnsi="仿宋" w:eastAsia="仿宋"/>
          <w:sz w:val="32"/>
          <w:szCs w:val="32"/>
        </w:rPr>
        <w:t>日</w:t>
      </w:r>
    </w:p>
    <w:p w14:paraId="60B7099F">
      <w:pPr>
        <w:keepNext w:val="0"/>
        <w:keepLines w:val="0"/>
        <w:pageBreakBefore w:val="0"/>
        <w:kinsoku/>
        <w:wordWrap/>
        <w:overflowPunct/>
        <w:topLinePunct w:val="0"/>
        <w:bidi w:val="0"/>
        <w:adjustRightInd/>
        <w:snapToGrid/>
        <w:spacing w:line="600" w:lineRule="exact"/>
        <w:ind w:left="105" w:leftChars="50" w:firstLine="640" w:firstLineChars="200"/>
        <w:textAlignment w:val="auto"/>
        <w:rPr>
          <w:rFonts w:hint="eastAsia" w:ascii="仿宋" w:hAnsi="仿宋" w:eastAsia="仿宋"/>
          <w:sz w:val="32"/>
          <w:szCs w:val="32"/>
        </w:rPr>
      </w:pPr>
    </w:p>
    <w:p w14:paraId="26D29E9B">
      <w:pPr>
        <w:keepNext w:val="0"/>
        <w:keepLines w:val="0"/>
        <w:pageBreakBefore w:val="0"/>
        <w:kinsoku/>
        <w:wordWrap/>
        <w:overflowPunct/>
        <w:topLinePunct w:val="0"/>
        <w:bidi w:val="0"/>
        <w:adjustRightInd/>
        <w:snapToGrid/>
        <w:spacing w:line="600" w:lineRule="exact"/>
        <w:ind w:left="105" w:leftChars="50" w:firstLine="640" w:firstLineChars="200"/>
        <w:textAlignment w:val="auto"/>
        <w:rPr>
          <w:rFonts w:hint="eastAsia" w:ascii="仿宋" w:hAnsi="仿宋" w:eastAsia="仿宋"/>
          <w:sz w:val="32"/>
          <w:szCs w:val="32"/>
        </w:rPr>
      </w:pPr>
    </w:p>
    <w:p w14:paraId="0C710A34">
      <w:pPr>
        <w:keepNext w:val="0"/>
        <w:keepLines w:val="0"/>
        <w:pageBreakBefore w:val="0"/>
        <w:kinsoku/>
        <w:wordWrap/>
        <w:overflowPunct/>
        <w:topLinePunct w:val="0"/>
        <w:bidi w:val="0"/>
        <w:adjustRightInd/>
        <w:snapToGrid/>
        <w:spacing w:line="600" w:lineRule="exact"/>
        <w:ind w:firstLine="3840" w:firstLineChars="1200"/>
        <w:textAlignment w:val="auto"/>
        <w:rPr>
          <w:rFonts w:hint="eastAsia" w:ascii="仿宋" w:hAnsi="仿宋" w:eastAsia="仿宋"/>
          <w:sz w:val="32"/>
          <w:szCs w:val="32"/>
        </w:rPr>
      </w:pPr>
    </w:p>
    <w:p w14:paraId="271E4B33">
      <w:pPr>
        <w:keepNext w:val="0"/>
        <w:keepLines w:val="0"/>
        <w:pageBreakBefore w:val="0"/>
        <w:kinsoku/>
        <w:wordWrap/>
        <w:overflowPunct/>
        <w:topLinePunct w:val="0"/>
        <w:bidi w:val="0"/>
        <w:adjustRightInd/>
        <w:snapToGrid/>
        <w:spacing w:line="600" w:lineRule="exact"/>
        <w:ind w:firstLine="3840" w:firstLineChars="1200"/>
        <w:textAlignment w:val="auto"/>
        <w:rPr>
          <w:rFonts w:hint="eastAsia" w:ascii="仿宋" w:hAnsi="仿宋" w:eastAsia="仿宋"/>
          <w:sz w:val="32"/>
          <w:szCs w:val="32"/>
        </w:rPr>
      </w:pPr>
    </w:p>
    <w:p w14:paraId="1DAACA40">
      <w:pPr>
        <w:keepNext w:val="0"/>
        <w:keepLines w:val="0"/>
        <w:pageBreakBefore w:val="0"/>
        <w:kinsoku/>
        <w:wordWrap/>
        <w:overflowPunct/>
        <w:topLinePunct w:val="0"/>
        <w:bidi w:val="0"/>
        <w:adjustRightInd/>
        <w:snapToGrid/>
        <w:spacing w:line="600" w:lineRule="exact"/>
        <w:ind w:firstLine="3840" w:firstLineChars="1200"/>
        <w:textAlignment w:val="auto"/>
        <w:rPr>
          <w:rFonts w:hint="eastAsia" w:ascii="仿宋" w:hAnsi="仿宋" w:eastAsia="仿宋"/>
          <w:sz w:val="32"/>
          <w:szCs w:val="32"/>
        </w:rPr>
      </w:pPr>
    </w:p>
    <w:p w14:paraId="2C07DD92">
      <w:pPr>
        <w:keepNext w:val="0"/>
        <w:keepLines w:val="0"/>
        <w:pageBreakBefore w:val="0"/>
        <w:kinsoku/>
        <w:wordWrap/>
        <w:overflowPunct/>
        <w:topLinePunct w:val="0"/>
        <w:bidi w:val="0"/>
        <w:adjustRightInd/>
        <w:snapToGrid/>
        <w:spacing w:line="600" w:lineRule="exact"/>
        <w:ind w:firstLine="3840" w:firstLineChars="1200"/>
        <w:textAlignment w:val="auto"/>
        <w:rPr>
          <w:rFonts w:hint="eastAsia" w:ascii="仿宋" w:hAnsi="仿宋" w:eastAsia="仿宋"/>
          <w:sz w:val="32"/>
          <w:szCs w:val="32"/>
        </w:rPr>
      </w:pPr>
    </w:p>
    <w:p w14:paraId="5FE82527">
      <w:pPr>
        <w:keepNext w:val="0"/>
        <w:keepLines w:val="0"/>
        <w:pageBreakBefore w:val="0"/>
        <w:kinsoku/>
        <w:wordWrap/>
        <w:overflowPunct/>
        <w:topLinePunct w:val="0"/>
        <w:bidi w:val="0"/>
        <w:adjustRightInd/>
        <w:snapToGrid/>
        <w:spacing w:line="600" w:lineRule="exact"/>
        <w:ind w:firstLine="3840" w:firstLineChars="1200"/>
        <w:textAlignment w:val="auto"/>
        <w:rPr>
          <w:rFonts w:hint="eastAsia" w:ascii="仿宋" w:hAnsi="仿宋" w:eastAsia="仿宋"/>
          <w:sz w:val="32"/>
          <w:szCs w:val="32"/>
        </w:rPr>
      </w:pPr>
    </w:p>
    <w:p w14:paraId="30867D0B">
      <w:pPr>
        <w:keepNext w:val="0"/>
        <w:keepLines w:val="0"/>
        <w:pageBreakBefore w:val="0"/>
        <w:kinsoku/>
        <w:wordWrap/>
        <w:overflowPunct/>
        <w:topLinePunct w:val="0"/>
        <w:bidi w:val="0"/>
        <w:adjustRightInd/>
        <w:snapToGrid/>
        <w:spacing w:line="600" w:lineRule="exact"/>
        <w:ind w:firstLine="3840" w:firstLineChars="1200"/>
        <w:textAlignment w:val="auto"/>
        <w:rPr>
          <w:rFonts w:hint="eastAsia" w:ascii="仿宋" w:hAnsi="仿宋" w:eastAsia="仿宋"/>
          <w:sz w:val="32"/>
          <w:szCs w:val="32"/>
        </w:rPr>
      </w:pPr>
    </w:p>
    <w:p w14:paraId="2AF38256">
      <w:pPr>
        <w:keepNext w:val="0"/>
        <w:keepLines w:val="0"/>
        <w:pageBreakBefore w:val="0"/>
        <w:kinsoku/>
        <w:wordWrap/>
        <w:overflowPunct/>
        <w:topLinePunct w:val="0"/>
        <w:bidi w:val="0"/>
        <w:adjustRightInd/>
        <w:snapToGrid/>
        <w:spacing w:line="600" w:lineRule="exact"/>
        <w:ind w:firstLine="3840" w:firstLineChars="1200"/>
        <w:textAlignment w:val="auto"/>
        <w:rPr>
          <w:rFonts w:hint="eastAsia" w:ascii="仿宋" w:hAnsi="仿宋" w:eastAsia="仿宋"/>
          <w:sz w:val="32"/>
          <w:szCs w:val="32"/>
        </w:rPr>
      </w:pPr>
    </w:p>
    <w:p w14:paraId="12792516">
      <w:pPr>
        <w:keepNext w:val="0"/>
        <w:keepLines w:val="0"/>
        <w:pageBreakBefore w:val="0"/>
        <w:kinsoku/>
        <w:wordWrap/>
        <w:overflowPunct/>
        <w:topLinePunct w:val="0"/>
        <w:bidi w:val="0"/>
        <w:adjustRightInd/>
        <w:snapToGrid/>
        <w:spacing w:line="600" w:lineRule="exact"/>
        <w:ind w:firstLine="3840" w:firstLineChars="1200"/>
        <w:textAlignment w:val="auto"/>
        <w:rPr>
          <w:rFonts w:hint="eastAsia" w:ascii="仿宋" w:hAnsi="仿宋" w:eastAsia="仿宋"/>
          <w:sz w:val="32"/>
          <w:szCs w:val="32"/>
        </w:rPr>
      </w:pPr>
    </w:p>
    <w:p w14:paraId="1FD8F8E5">
      <w:pPr>
        <w:keepNext w:val="0"/>
        <w:keepLines w:val="0"/>
        <w:pageBreakBefore w:val="0"/>
        <w:kinsoku/>
        <w:wordWrap/>
        <w:overflowPunct/>
        <w:topLinePunct w:val="0"/>
        <w:bidi w:val="0"/>
        <w:adjustRightInd/>
        <w:snapToGrid/>
        <w:spacing w:line="600" w:lineRule="exact"/>
        <w:textAlignment w:val="auto"/>
        <w:rPr>
          <w:rFonts w:hint="eastAsia" w:ascii="仿宋" w:hAnsi="仿宋" w:eastAsia="仿宋"/>
          <w:sz w:val="32"/>
          <w:szCs w:val="32"/>
        </w:rPr>
      </w:pPr>
    </w:p>
    <w:p w14:paraId="52072B28">
      <w:pPr>
        <w:keepNext w:val="0"/>
        <w:keepLines w:val="0"/>
        <w:pageBreakBefore w:val="0"/>
        <w:kinsoku/>
        <w:wordWrap/>
        <w:overflowPunct/>
        <w:topLinePunct w:val="0"/>
        <w:bidi w:val="0"/>
        <w:adjustRightInd/>
        <w:snapToGrid/>
        <w:spacing w:line="520" w:lineRule="exact"/>
        <w:ind w:firstLine="640" w:firstLineChars="200"/>
        <w:textAlignment w:val="auto"/>
        <w:rPr>
          <w:rFonts w:hint="eastAsia" w:ascii="仿宋" w:hAnsi="仿宋" w:eastAsia="仿宋"/>
          <w:sz w:val="32"/>
          <w:szCs w:val="32"/>
        </w:rPr>
      </w:pPr>
    </w:p>
    <w:p w14:paraId="0D786AEB">
      <w:pPr>
        <w:keepNext w:val="0"/>
        <w:keepLines w:val="0"/>
        <w:pageBreakBefore w:val="0"/>
        <w:kinsoku/>
        <w:wordWrap/>
        <w:overflowPunct/>
        <w:topLinePunct w:val="0"/>
        <w:bidi w:val="0"/>
        <w:adjustRightInd/>
        <w:snapToGrid/>
        <w:spacing w:line="520" w:lineRule="exact"/>
        <w:textAlignment w:val="auto"/>
        <w:rPr>
          <w:rFonts w:hint="eastAsia" w:ascii="仿宋" w:hAnsi="仿宋" w:eastAsia="仿宋"/>
          <w:sz w:val="32"/>
          <w:szCs w:val="32"/>
        </w:rPr>
      </w:pPr>
      <w:r>
        <w:rPr>
          <w:rFonts w:hint="eastAsia" w:ascii="仿宋" w:hAnsi="仿宋" w:eastAsia="仿宋"/>
          <w:sz w:val="32"/>
          <w:szCs w:val="32"/>
        </w:rPr>
        <w:t>（市场监督管理部门将依法向社会公开行政处罚决定信息）</w:t>
      </w:r>
    </w:p>
    <w:p w14:paraId="25B0FB7B">
      <w:pPr>
        <w:keepNext w:val="0"/>
        <w:keepLines w:val="0"/>
        <w:pageBreakBefore w:val="0"/>
        <w:kinsoku/>
        <w:wordWrap/>
        <w:overflowPunct/>
        <w:topLinePunct w:val="0"/>
        <w:bidi w:val="0"/>
        <w:adjustRightInd/>
        <w:snapToGrid/>
        <w:spacing w:line="520" w:lineRule="exact"/>
        <w:textAlignment w:val="auto"/>
        <w:rPr>
          <w:color w:val="auto"/>
        </w:rPr>
      </w:pPr>
      <w:r>
        <w:rPr>
          <w:rFonts w:ascii="仿宋" w:hAnsi="仿宋" w:eastAsia="仿宋"/>
          <w:spacing w:val="-12"/>
          <w:sz w:val="32"/>
          <w:szCs w:val="32"/>
        </w:rPr>
        <mc:AlternateContent>
          <mc:Choice Requires="wps">
            <w:drawing>
              <wp:anchor distT="0" distB="0" distL="114300" distR="114300" simplePos="0" relativeHeight="251659264" behindDoc="0" locked="0" layoutInCell="1" allowOverlap="1">
                <wp:simplePos x="0" y="0"/>
                <wp:positionH relativeFrom="column">
                  <wp:posOffset>53340</wp:posOffset>
                </wp:positionH>
                <wp:positionV relativeFrom="paragraph">
                  <wp:posOffset>20955</wp:posOffset>
                </wp:positionV>
                <wp:extent cx="5379720" cy="0"/>
                <wp:effectExtent l="0" t="7620" r="0" b="15240"/>
                <wp:wrapNone/>
                <wp:docPr id="1768780386" name="直接连接符 4"/>
                <wp:cNvGraphicFramePr/>
                <a:graphic xmlns:a="http://schemas.openxmlformats.org/drawingml/2006/main">
                  <a:graphicData uri="http://schemas.microsoft.com/office/word/2010/wordprocessingShape">
                    <wps:wsp>
                      <wps:cNvCnPr/>
                      <wps:spPr>
                        <a:xfrm>
                          <a:off x="0" y="0"/>
                          <a:ext cx="5379720" cy="0"/>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4" o:spid="_x0000_s1026" o:spt="20" style="position:absolute;left:0pt;margin-left:4.2pt;margin-top:1.65pt;height:0pt;width:423.6pt;z-index:251659264;mso-width-relative:page;mso-height-relative:page;" filled="f" stroked="t" coordsize="21600,21600" o:gfxdata="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GLX4CXUAAAABQEAAA8AAAAAAAAAAQAgAAAAIgAAAGRycy9kb3ducmV2LnhtbFBL&#10;AQIUABQAAAAIAIdO4kCagSr7+gEAAPADAAAOAAAAAAAAAAEAIAAAACMBAABkcnMvZTJvRG9jLnht&#10;bFBLBQYAAAAABgAGAFkBAACPBQAAAAA=&#10;">
                <v:fill on="f" focussize="0,0"/>
                <v:stroke weight="1.25pt" color="#000000" joinstyle="round"/>
                <v:imagedata o:title=""/>
                <o:lock v:ext="edit" aspectratio="f"/>
              </v:line>
            </w:pict>
          </mc:Fallback>
        </mc:AlternateContent>
      </w:r>
      <w:r>
        <w:rPr>
          <w:rFonts w:ascii="仿宋" w:hAnsi="仿宋" w:eastAsia="仿宋"/>
          <w:spacing w:val="-12"/>
          <w:sz w:val="32"/>
          <w:szCs w:val="32"/>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411636769"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0288;mso-width-relative:page;mso-height-relative:page;" filled="f" stroked="t" coordsize="21600,21600" o:gfxdata="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CL7/OR1wAAAAoBAAAPAAAAAAAAAAEAIAAAACIAAABkcnMvZG93bnJl&#10;di54bWxQSwECFAAUAAAACACHTuJA/RgWlP4BAADwAwAADgAAAAAAAAABACAAAAAmAQAAZHJzL2Uy&#10;b0RvYy54bWxQSwUGAAAAAAYABgBZAQAAlgUAAAAA&#10;">
                <v:fill on="f" focussize="0,0"/>
                <v:stroke weight="0.737007874015748pt" color="#000000" joinstyle="round" endcap="square"/>
                <v:imagedata o:title=""/>
                <o:lock v:ext="edit" aspectratio="f"/>
              </v:line>
            </w:pict>
          </mc:Fallback>
        </mc:AlternateContent>
      </w:r>
      <w:r>
        <w:rPr>
          <w:rFonts w:hint="eastAsia" w:ascii="仿宋" w:hAnsi="仿宋" w:eastAsia="仿宋"/>
          <w:spacing w:val="-12"/>
          <w:sz w:val="32"/>
          <w:szCs w:val="32"/>
        </w:rPr>
        <w:t>本文书一式</w:t>
      </w:r>
      <w:r>
        <w:rPr>
          <w:rFonts w:hint="eastAsia" w:ascii="仿宋" w:hAnsi="仿宋" w:eastAsia="仿宋"/>
          <w:spacing w:val="-12"/>
          <w:sz w:val="32"/>
          <w:szCs w:val="32"/>
          <w:u w:val="single"/>
        </w:rPr>
        <w:t>三</w:t>
      </w:r>
      <w:r>
        <w:rPr>
          <w:rFonts w:hint="eastAsia" w:ascii="仿宋" w:hAnsi="仿宋" w:eastAsia="仿宋"/>
          <w:spacing w:val="-12"/>
          <w:sz w:val="32"/>
          <w:szCs w:val="32"/>
        </w:rPr>
        <w:t>份，</w:t>
      </w:r>
      <w:r>
        <w:rPr>
          <w:rFonts w:hint="eastAsia" w:ascii="仿宋" w:hAnsi="仿宋" w:eastAsia="仿宋"/>
          <w:spacing w:val="-12"/>
          <w:sz w:val="32"/>
          <w:szCs w:val="32"/>
          <w:u w:val="single"/>
        </w:rPr>
        <w:t>一</w:t>
      </w:r>
      <w:r>
        <w:rPr>
          <w:rFonts w:hint="eastAsia" w:ascii="仿宋" w:hAnsi="仿宋" w:eastAsia="仿宋"/>
          <w:spacing w:val="-12"/>
          <w:sz w:val="32"/>
          <w:szCs w:val="32"/>
        </w:rPr>
        <w:t>份送达，</w:t>
      </w:r>
      <w:r>
        <w:rPr>
          <w:rFonts w:hint="eastAsia" w:ascii="仿宋" w:hAnsi="仿宋" w:eastAsia="仿宋"/>
          <w:spacing w:val="-12"/>
          <w:sz w:val="32"/>
          <w:szCs w:val="32"/>
          <w:u w:val="single"/>
        </w:rPr>
        <w:t>一</w:t>
      </w:r>
      <w:r>
        <w:rPr>
          <w:rFonts w:hint="eastAsia" w:ascii="仿宋" w:hAnsi="仿宋" w:eastAsia="仿宋"/>
          <w:spacing w:val="-12"/>
          <w:sz w:val="32"/>
          <w:szCs w:val="32"/>
        </w:rPr>
        <w:t>份归档，</w:t>
      </w:r>
      <w:r>
        <w:rPr>
          <w:rFonts w:hint="eastAsia" w:ascii="仿宋" w:hAnsi="仿宋" w:eastAsia="仿宋"/>
          <w:spacing w:val="-12"/>
          <w:sz w:val="32"/>
          <w:szCs w:val="32"/>
          <w:u w:val="single"/>
        </w:rPr>
        <w:t>一</w:t>
      </w:r>
      <w:r>
        <w:rPr>
          <w:rFonts w:hint="eastAsia" w:ascii="仿宋" w:hAnsi="仿宋" w:eastAsia="仿宋"/>
          <w:spacing w:val="-12"/>
          <w:sz w:val="32"/>
          <w:szCs w:val="32"/>
        </w:rPr>
        <w:t>份办案机构留存。</w:t>
      </w:r>
    </w:p>
    <w:p w14:paraId="15B35686">
      <w:pPr>
        <w:spacing w:line="500" w:lineRule="exact"/>
        <w:rPr>
          <w:color w:val="auto"/>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angal">
    <w:panose1 w:val="02040503050203030202"/>
    <w:charset w:val="00"/>
    <w:family w:val="roman"/>
    <w:pitch w:val="default"/>
    <w:sig w:usb0="00008003" w:usb1="00000000" w:usb2="00000000" w:usb3="00000000" w:csb0="00000001" w:csb1="00000000"/>
  </w:font>
  <w:font w:name="Arial Unicode MS">
    <w:panose1 w:val="020B0604020202020204"/>
    <w:charset w:val="86"/>
    <w:family w:val="auto"/>
    <w:pitch w:val="default"/>
    <w:sig w:usb0="FFFFFFFF" w:usb1="E9FFFFFF" w:usb2="0000003F" w:usb3="00000000" w:csb0="603F01FF" w:csb1="FFFF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Mongolian Baiti">
    <w:panose1 w:val="03000500000000000000"/>
    <w:charset w:val="00"/>
    <w:family w:val="script"/>
    <w:pitch w:val="default"/>
    <w:sig w:usb0="80000023" w:usb1="00000000" w:usb2="00020000" w:usb3="00000000" w:csb0="0000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3C5560">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9A08F54">
                          <w:pPr>
                            <w:pStyle w:val="4"/>
                            <w:rPr>
                              <w:rFonts w:hint="eastAsia" w:ascii="宋体" w:hAnsi="宋体" w:eastAsia="宋体" w:cs="宋体"/>
                              <w:sz w:val="28"/>
                              <w:szCs w:val="28"/>
                            </w:rPr>
                          </w:pPr>
                          <w:r>
                            <w:rPr>
                              <w:rFonts w:hint="eastAsia" w:ascii="宋体" w:hAnsi="宋体" w:eastAsia="宋体" w:cs="宋体"/>
                              <w:sz w:val="28"/>
                              <w:szCs w:val="28"/>
                            </w:rPr>
                            <w:t xml:space="preserve">第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页 共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NUMPAGES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9A08F54">
                    <w:pPr>
                      <w:pStyle w:val="4"/>
                      <w:rPr>
                        <w:rFonts w:hint="eastAsia" w:ascii="宋体" w:hAnsi="宋体" w:eastAsia="宋体" w:cs="宋体"/>
                        <w:sz w:val="28"/>
                        <w:szCs w:val="28"/>
                      </w:rPr>
                    </w:pPr>
                    <w:r>
                      <w:rPr>
                        <w:rFonts w:hint="eastAsia" w:ascii="宋体" w:hAnsi="宋体" w:eastAsia="宋体" w:cs="宋体"/>
                        <w:sz w:val="28"/>
                        <w:szCs w:val="28"/>
                      </w:rPr>
                      <w:t xml:space="preserve">第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页 共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NUMPAGES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8"/>
    <w:multiLevelType w:val="multilevel"/>
    <w:tmpl w:val="00000008"/>
    <w:lvl w:ilvl="0" w:tentative="0">
      <w:start w:val="1"/>
      <w:numFmt w:val="none"/>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abstractNum w:abstractNumId="1">
    <w:nsid w:val="0000000A"/>
    <w:multiLevelType w:val="multilevel"/>
    <w:tmpl w:val="0000000A"/>
    <w:lvl w:ilvl="0" w:tentative="0">
      <w:start w:val="1"/>
      <w:numFmt w:val="none"/>
      <w:pStyle w:val="2"/>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EyM2U5YzI2ZWYzNzA3YjY5MWY2NDE1MjMyNWZjOTUifQ=="/>
    <w:docVar w:name="KSO_WPS_MARK_KEY" w:val="3a570657-d4b9-4633-8bde-b1be1a221b99"/>
  </w:docVars>
  <w:rsids>
    <w:rsidRoot w:val="5BA419F7"/>
    <w:rsid w:val="00193C35"/>
    <w:rsid w:val="0032134F"/>
    <w:rsid w:val="010A478A"/>
    <w:rsid w:val="02B83402"/>
    <w:rsid w:val="02DE4853"/>
    <w:rsid w:val="042774DD"/>
    <w:rsid w:val="048D2705"/>
    <w:rsid w:val="04CD463F"/>
    <w:rsid w:val="04FA4431"/>
    <w:rsid w:val="05C51508"/>
    <w:rsid w:val="06476E0A"/>
    <w:rsid w:val="06BAE61F"/>
    <w:rsid w:val="071C7669"/>
    <w:rsid w:val="07580619"/>
    <w:rsid w:val="0776795A"/>
    <w:rsid w:val="07DA78EE"/>
    <w:rsid w:val="08365B64"/>
    <w:rsid w:val="087864F3"/>
    <w:rsid w:val="090B4D3A"/>
    <w:rsid w:val="09290BEC"/>
    <w:rsid w:val="09AA7B69"/>
    <w:rsid w:val="0A2F38BD"/>
    <w:rsid w:val="0A3665F0"/>
    <w:rsid w:val="0B22091D"/>
    <w:rsid w:val="0CF71776"/>
    <w:rsid w:val="0D242541"/>
    <w:rsid w:val="0FB748D6"/>
    <w:rsid w:val="103E22C5"/>
    <w:rsid w:val="11524677"/>
    <w:rsid w:val="115320F9"/>
    <w:rsid w:val="119E3BCA"/>
    <w:rsid w:val="1350279A"/>
    <w:rsid w:val="14203063"/>
    <w:rsid w:val="143E1E38"/>
    <w:rsid w:val="1490670C"/>
    <w:rsid w:val="152E563E"/>
    <w:rsid w:val="15B93156"/>
    <w:rsid w:val="16D23D7F"/>
    <w:rsid w:val="18325353"/>
    <w:rsid w:val="188449CB"/>
    <w:rsid w:val="18B229B2"/>
    <w:rsid w:val="19FE4517"/>
    <w:rsid w:val="1AE345F4"/>
    <w:rsid w:val="1B37398D"/>
    <w:rsid w:val="1C7339BB"/>
    <w:rsid w:val="1C7A5BA8"/>
    <w:rsid w:val="1E664711"/>
    <w:rsid w:val="1EC222D9"/>
    <w:rsid w:val="1F2B5D07"/>
    <w:rsid w:val="1FC004DE"/>
    <w:rsid w:val="1FD31F15"/>
    <w:rsid w:val="212E3259"/>
    <w:rsid w:val="22287087"/>
    <w:rsid w:val="237778B4"/>
    <w:rsid w:val="23F5677C"/>
    <w:rsid w:val="24626694"/>
    <w:rsid w:val="258D6CE0"/>
    <w:rsid w:val="27A45517"/>
    <w:rsid w:val="2B1B3EFC"/>
    <w:rsid w:val="2CEA3815"/>
    <w:rsid w:val="2DE10173"/>
    <w:rsid w:val="2F327E79"/>
    <w:rsid w:val="2F7CE1EF"/>
    <w:rsid w:val="2F8A6913"/>
    <w:rsid w:val="30DB5683"/>
    <w:rsid w:val="30FA2F6D"/>
    <w:rsid w:val="31562B39"/>
    <w:rsid w:val="31BE0AF5"/>
    <w:rsid w:val="32CE76E8"/>
    <w:rsid w:val="3334290F"/>
    <w:rsid w:val="33740640"/>
    <w:rsid w:val="3585615B"/>
    <w:rsid w:val="363C12E3"/>
    <w:rsid w:val="368E5656"/>
    <w:rsid w:val="377FBB27"/>
    <w:rsid w:val="37F16547"/>
    <w:rsid w:val="38B63DA7"/>
    <w:rsid w:val="3930619F"/>
    <w:rsid w:val="3A4E178D"/>
    <w:rsid w:val="3BF97ECA"/>
    <w:rsid w:val="3C2965F0"/>
    <w:rsid w:val="3D6B1177"/>
    <w:rsid w:val="3E5F4AE1"/>
    <w:rsid w:val="3E853745"/>
    <w:rsid w:val="3F2604DF"/>
    <w:rsid w:val="3F6783E4"/>
    <w:rsid w:val="3F842066"/>
    <w:rsid w:val="3FFF82D4"/>
    <w:rsid w:val="402E7C06"/>
    <w:rsid w:val="40FE5F8F"/>
    <w:rsid w:val="425049CE"/>
    <w:rsid w:val="43102E61"/>
    <w:rsid w:val="442B16EC"/>
    <w:rsid w:val="458F64B9"/>
    <w:rsid w:val="45C51FFB"/>
    <w:rsid w:val="46157ACD"/>
    <w:rsid w:val="47243FC5"/>
    <w:rsid w:val="48C10000"/>
    <w:rsid w:val="495E7BA6"/>
    <w:rsid w:val="4A555101"/>
    <w:rsid w:val="4ADF49AE"/>
    <w:rsid w:val="4B8F0B22"/>
    <w:rsid w:val="4C02380F"/>
    <w:rsid w:val="4C7C04B3"/>
    <w:rsid w:val="4CC8271B"/>
    <w:rsid w:val="4D9306AE"/>
    <w:rsid w:val="4E8950D9"/>
    <w:rsid w:val="4F722566"/>
    <w:rsid w:val="4F93378A"/>
    <w:rsid w:val="503F09B5"/>
    <w:rsid w:val="516D5500"/>
    <w:rsid w:val="52802336"/>
    <w:rsid w:val="53A0483E"/>
    <w:rsid w:val="547C0750"/>
    <w:rsid w:val="55FE5622"/>
    <w:rsid w:val="57503162"/>
    <w:rsid w:val="58A4140A"/>
    <w:rsid w:val="591F0542"/>
    <w:rsid w:val="59A10938"/>
    <w:rsid w:val="5BA419F7"/>
    <w:rsid w:val="5BEF1DBF"/>
    <w:rsid w:val="5BF91583"/>
    <w:rsid w:val="5BFB2E57"/>
    <w:rsid w:val="5C5D2BD9"/>
    <w:rsid w:val="5DD7483B"/>
    <w:rsid w:val="5E5FAB03"/>
    <w:rsid w:val="5E605C94"/>
    <w:rsid w:val="5EA00CBE"/>
    <w:rsid w:val="5F9FEDD5"/>
    <w:rsid w:val="5FBEF003"/>
    <w:rsid w:val="5FE33914"/>
    <w:rsid w:val="5FFA4D85"/>
    <w:rsid w:val="602422E6"/>
    <w:rsid w:val="60B635F2"/>
    <w:rsid w:val="60C16F3B"/>
    <w:rsid w:val="612E7E8C"/>
    <w:rsid w:val="617678F3"/>
    <w:rsid w:val="61DC2B1A"/>
    <w:rsid w:val="636955DE"/>
    <w:rsid w:val="646E5E05"/>
    <w:rsid w:val="64E43803"/>
    <w:rsid w:val="657F58CB"/>
    <w:rsid w:val="66934D57"/>
    <w:rsid w:val="68E625A9"/>
    <w:rsid w:val="6AD7030F"/>
    <w:rsid w:val="6BA277B7"/>
    <w:rsid w:val="6BCC1BB9"/>
    <w:rsid w:val="6C6723F1"/>
    <w:rsid w:val="6CA517CF"/>
    <w:rsid w:val="6D064CEC"/>
    <w:rsid w:val="6D6C7F13"/>
    <w:rsid w:val="6D923254"/>
    <w:rsid w:val="6DD2313B"/>
    <w:rsid w:val="6E04767D"/>
    <w:rsid w:val="6E355D52"/>
    <w:rsid w:val="6E6950E9"/>
    <w:rsid w:val="6ED952C0"/>
    <w:rsid w:val="6F013B3F"/>
    <w:rsid w:val="6F732ABB"/>
    <w:rsid w:val="6FF58B64"/>
    <w:rsid w:val="6FF8F863"/>
    <w:rsid w:val="70CF02CA"/>
    <w:rsid w:val="70F532B7"/>
    <w:rsid w:val="71013020"/>
    <w:rsid w:val="710D7C3E"/>
    <w:rsid w:val="71FC56E7"/>
    <w:rsid w:val="7376089F"/>
    <w:rsid w:val="74E06ABE"/>
    <w:rsid w:val="75B2DA43"/>
    <w:rsid w:val="75BD90DB"/>
    <w:rsid w:val="75CC41D0"/>
    <w:rsid w:val="75F8119D"/>
    <w:rsid w:val="76222141"/>
    <w:rsid w:val="76704CDE"/>
    <w:rsid w:val="76D869B3"/>
    <w:rsid w:val="76FD0A98"/>
    <w:rsid w:val="77DF8BD4"/>
    <w:rsid w:val="77EFD5CC"/>
    <w:rsid w:val="77FFADAC"/>
    <w:rsid w:val="7835649C"/>
    <w:rsid w:val="789620E4"/>
    <w:rsid w:val="78FD530C"/>
    <w:rsid w:val="79FC69D6"/>
    <w:rsid w:val="7AFB4DD2"/>
    <w:rsid w:val="7B0F6E9A"/>
    <w:rsid w:val="7BA46A39"/>
    <w:rsid w:val="7BFD6076"/>
    <w:rsid w:val="7C8E43D6"/>
    <w:rsid w:val="7DA813EB"/>
    <w:rsid w:val="7DFF108F"/>
    <w:rsid w:val="7EED8AE6"/>
    <w:rsid w:val="7F5A6980"/>
    <w:rsid w:val="7FEADF5C"/>
    <w:rsid w:val="91BF8AB9"/>
    <w:rsid w:val="9FF1B21D"/>
    <w:rsid w:val="B7BFD803"/>
    <w:rsid w:val="BD5EB179"/>
    <w:rsid w:val="BD7F788E"/>
    <w:rsid w:val="DEFF1EB3"/>
    <w:rsid w:val="DF3F4C88"/>
    <w:rsid w:val="DF7A9960"/>
    <w:rsid w:val="DFBF15D5"/>
    <w:rsid w:val="DFD70EC8"/>
    <w:rsid w:val="DFFE6C63"/>
    <w:rsid w:val="E53DE605"/>
    <w:rsid w:val="E775D448"/>
    <w:rsid w:val="ECC7B000"/>
    <w:rsid w:val="F0ED2927"/>
    <w:rsid w:val="F3EF5848"/>
    <w:rsid w:val="F5A28C7E"/>
    <w:rsid w:val="F9BF6AE4"/>
    <w:rsid w:val="FB57F652"/>
    <w:rsid w:val="FBBF88F6"/>
    <w:rsid w:val="FBFEBC90"/>
    <w:rsid w:val="FCF69F69"/>
    <w:rsid w:val="FD7BEF22"/>
    <w:rsid w:val="FD8BB826"/>
    <w:rsid w:val="FD9199D6"/>
    <w:rsid w:val="FDAC17BA"/>
    <w:rsid w:val="FDDF4064"/>
    <w:rsid w:val="FDF46C9E"/>
    <w:rsid w:val="FEAFF630"/>
    <w:rsid w:val="FEDEBCAC"/>
    <w:rsid w:val="FF7F62AA"/>
    <w:rsid w:val="FFDBA3A8"/>
    <w:rsid w:val="FFDF073B"/>
    <w:rsid w:val="FFFE0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numPr>
        <w:ilvl w:val="0"/>
        <w:numId w:val="1"/>
      </w:numPr>
      <w:spacing w:before="240" w:after="120"/>
      <w:jc w:val="left"/>
      <w:outlineLvl w:val="0"/>
    </w:pPr>
    <w:rPr>
      <w:rFonts w:ascii="Times New Roman" w:hAnsi="Times New Roman" w:cs="Mangal"/>
      <w:color w:val="00000A"/>
      <w:sz w:val="24"/>
      <w:lang w:val="zh-CN" w:bidi="hi-IN"/>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unhideWhenUsed/>
    <w:qFormat/>
    <w:uiPriority w:val="99"/>
    <w:pPr>
      <w:tabs>
        <w:tab w:val="center" w:pos="4153"/>
        <w:tab w:val="right" w:pos="8306"/>
      </w:tabs>
      <w:snapToGrid w:val="0"/>
      <w:jc w:val="left"/>
    </w:pPr>
    <w:rPr>
      <w:rFonts w:ascii="Calibri" w:hAnsi="Calibri" w:eastAsia="宋体" w:cs="Times New Roman"/>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9">
    <w:name w:val="contentarticle"/>
    <w:basedOn w:val="1"/>
    <w:qFormat/>
    <w:uiPriority w:val="0"/>
    <w:pPr>
      <w:spacing w:before="100" w:beforeAutospacing="1" w:after="100" w:afterAutospacing="1"/>
    </w:pPr>
    <w:rPr>
      <w:rFonts w:ascii="宋体" w:hAnsi="宋体" w:eastAsia="宋体" w:cs="宋体"/>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2448</Words>
  <Characters>2748</Characters>
  <Lines>0</Lines>
  <Paragraphs>0</Paragraphs>
  <TotalTime>0</TotalTime>
  <ScaleCrop>false</ScaleCrop>
  <LinksUpToDate>false</LinksUpToDate>
  <CharactersWithSpaces>2962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2021-08-02T10:04:00Z</dcterms:created>
  <dc:creator>胖林宝宝噜啦噜～</dc:creator>
  <cp:lastModifiedBy>王建清</cp:lastModifiedBy>
  <dcterms:modified xsi:type="dcterms:W3CDTF">2025-08-19T06:41:43Z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AEB7DFF4554542938ABCECE516203CDA_13</vt:lpwstr>
  </property>
  <property fmtid="{D5CDD505-2E9C-101B-9397-08002B2CF9AE}" pid="4" name="KSOTemplateDocerSaveRecord">
    <vt:lpwstr>eyJoZGlkIjoiOTJkNzdiMWY1ZWU2ZWU3NmE4ZTUxNGRmYWVhMzdjNDQiLCJ1c2VySWQiOiI4ODA3MzMzNDYifQ==</vt:lpwstr>
  </property>
</Properties>
</file>