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180BF7">
      <w:pPr>
        <w:numPr>
          <w:ilvl w:val="0"/>
          <w:numId w:val="2"/>
        </w:numPr>
        <w:spacing w:line="640" w:lineRule="exact"/>
        <w:jc w:val="center"/>
        <w:outlineLvl w:val="0"/>
        <w:rPr>
          <w:rFonts w:hint="eastAsia" w:ascii="方正小标宋简体" w:hAnsi="方正小标宋简体" w:eastAsia="方正小标宋简体" w:cs="方正小标宋简体"/>
          <w:color w:val="auto"/>
          <w:sz w:val="44"/>
          <w:szCs w:val="44"/>
        </w:rPr>
      </w:pPr>
      <w:bookmarkStart w:id="0" w:name="DYNAMIC—DWXX—tAj_dwmc"/>
      <w:r>
        <w:rPr>
          <w:rFonts w:hint="default" w:ascii="方正小标宋简体" w:hAnsi="方正小标宋简体" w:eastAsia="方正小标宋简体" w:cs="方正小标宋简体"/>
          <w:color w:val="000000"/>
          <w:sz w:val="44"/>
          <w:u w:val="none"/>
        </w:rPr>
        <w:t>洛阳市偃师区市场监督管理局</w:t>
      </w:r>
      <w:bookmarkEnd w:id="0"/>
    </w:p>
    <w:p w14:paraId="2B4E712C">
      <w:pPr>
        <w:pStyle w:val="2"/>
        <w:keepNext w:val="0"/>
        <w:numPr>
          <w:ilvl w:val="0"/>
          <w:numId w:val="2"/>
        </w:numPr>
        <w:spacing w:before="0" w:after="0" w:line="640" w:lineRule="exact"/>
        <w:jc w:val="center"/>
        <w:rPr>
          <w:rFonts w:hint="eastAsia" w:eastAsia="方正小标宋简体" w:cs="方正小标宋简体"/>
          <w:color w:val="auto"/>
          <w:sz w:val="44"/>
          <w:szCs w:val="44"/>
        </w:rPr>
      </w:pPr>
      <w:bookmarkStart w:id="1" w:name="_Toc76683344"/>
      <w:r>
        <w:rPr>
          <w:rFonts w:hint="eastAsia" w:hAnsi="方正小标宋简体" w:eastAsia="方正小标宋简体" w:cs="方正小标宋简体"/>
          <w:color w:val="000000"/>
          <w:sz w:val="44"/>
          <w:szCs w:val="44"/>
          <w:u w:val="none"/>
          <w:lang w:val="en-US"/>
        </w:rPr>
        <w:t>行政处罚</w:t>
      </w:r>
      <w:r>
        <w:rPr>
          <w:rFonts w:hint="eastAsia" w:hAnsi="方正小标宋简体" w:eastAsia="方正小标宋简体" w:cs="方正小标宋简体"/>
          <w:color w:val="000000"/>
          <w:sz w:val="44"/>
          <w:szCs w:val="44"/>
          <w:u w:val="none"/>
          <w:lang w:val="en-US" w:eastAsia="zh-Hans"/>
        </w:rPr>
        <w:t>决定</w:t>
      </w:r>
      <w:r>
        <w:rPr>
          <w:rFonts w:hint="eastAsia" w:hAnsi="方正小标宋简体" w:eastAsia="方正小标宋简体" w:cs="方正小标宋简体"/>
          <w:color w:val="000000"/>
          <w:sz w:val="44"/>
          <w:szCs w:val="44"/>
          <w:u w:val="none"/>
          <w:lang w:val="en-US"/>
        </w:rPr>
        <w:t>书</w:t>
      </w:r>
      <w:bookmarkEnd w:id="1"/>
    </w:p>
    <w:p w14:paraId="2D3AC62D">
      <w:pPr>
        <w:widowControl/>
        <w:snapToGrid w:val="0"/>
        <w:spacing w:line="560" w:lineRule="exact"/>
        <w:ind w:right="55"/>
        <w:jc w:val="center"/>
        <w:outlineLvl w:val="1"/>
        <w:rPr>
          <w:rFonts w:hint="eastAsia" w:ascii="Times New Roman" w:hAnsi="仿宋_GB2312" w:eastAsia="仿宋_GB2312" w:cs="仿宋_GB2312"/>
          <w:bCs/>
          <w:color w:val="auto"/>
          <w:sz w:val="32"/>
          <w:szCs w:val="32"/>
        </w:rPr>
      </w:pPr>
      <w:bookmarkStart w:id="2" w:name="tAj_wh"/>
      <w:r>
        <w:rPr>
          <w:rFonts w:hint="eastAsia" w:ascii="Times New Roman" w:hAnsi="Times New Roman" w:eastAsia="仿宋_GB2312" w:cs="Mongolian Baiti"/>
          <w:color w:val="000000"/>
          <w:sz w:val="32"/>
          <w:u w:val="none"/>
        </w:rPr>
        <w:t>偃市监处罚〔2025〕34号</w:t>
      </w:r>
      <w:bookmarkEnd w:id="2"/>
    </w:p>
    <w:p w14:paraId="5772E399">
      <w:pPr>
        <w:spacing w:line="520" w:lineRule="exact"/>
        <w:ind w:left="140" w:hanging="140"/>
        <w:rPr>
          <w:rFonts w:hint="eastAsia" w:ascii="Times New Roman" w:hAnsi="Times New Roman" w:eastAsia="仿宋_GB2312" w:cs="Mongolian Baiti"/>
          <w:bCs/>
          <w:sz w:val="32"/>
          <w:szCs w:val="32"/>
          <w:u w:val="none" w:color="auto"/>
        </w:rPr>
      </w:pPr>
      <w:r>
        <w:rPr>
          <w:rFonts w:hint="eastAsia" w:ascii="Times New Roman" w:hAnsi="Times New Roman" w:eastAsia="仿宋_GB2312" w:cs="Mongolian Baiti"/>
          <w:bCs/>
          <w:color w:val="000000"/>
          <w:kern w:val="1"/>
          <w:sz w:val="32"/>
          <w:szCs w:val="32"/>
          <w:u w:val="none"/>
        </w:rPr>
        <w:t>当事人：</w:t>
      </w:r>
      <w:r>
        <w:rPr>
          <w:rFonts w:hint="eastAsia" w:ascii="Times New Roman" w:hAnsi="Times New Roman" w:eastAsia="仿宋_GB2312" w:cs="Mongolian Baiti"/>
          <w:bCs/>
          <w:color w:val="000000"/>
          <w:kern w:val="1"/>
          <w:sz w:val="32"/>
          <w:szCs w:val="32"/>
          <w:u w:val="none" w:color="auto"/>
          <w:lang w:eastAsia="zh-CN"/>
        </w:rPr>
        <w:t>李晓平</w:t>
      </w:r>
      <w:r>
        <w:rPr>
          <w:rFonts w:hint="eastAsia" w:ascii="仿宋_GB2312" w:hAnsi="Times New Roman" w:eastAsia="仿宋_GB2312"/>
          <w:color w:val="000000"/>
          <w:sz w:val="32"/>
          <w:szCs w:val="32"/>
          <w:u w:val="none" w:color="auto"/>
        </w:rPr>
        <w:t xml:space="preserve">            </w:t>
      </w:r>
      <w:r>
        <w:rPr>
          <w:rFonts w:hint="eastAsia" w:ascii="仿宋_GB2312" w:hAnsi="Times New Roman" w:eastAsia="仿宋_GB2312"/>
          <w:color w:val="000000"/>
          <w:sz w:val="32"/>
          <w:szCs w:val="32"/>
          <w:u w:val="none" w:color="auto"/>
          <w:lang w:val="en-US" w:eastAsia="zh-CN"/>
        </w:rPr>
        <w:t xml:space="preserve">                             </w:t>
      </w:r>
      <w:r>
        <w:rPr>
          <w:rFonts w:hint="eastAsia" w:ascii="Times New Roman" w:hAnsi="Times New Roman" w:eastAsia="仿宋_GB2312" w:cs="Mongolian Baiti"/>
          <w:color w:val="000000"/>
          <w:kern w:val="1"/>
          <w:sz w:val="32"/>
          <w:szCs w:val="32"/>
          <w:u w:val="none" w:color="auto"/>
        </w:rPr>
        <w:t xml:space="preserve">   </w:t>
      </w:r>
    </w:p>
    <w:p w14:paraId="03DE683B">
      <w:pPr>
        <w:spacing w:line="520" w:lineRule="exact"/>
        <w:rPr>
          <w:rFonts w:hint="eastAsia" w:ascii="Times New Roman" w:hAnsi="Times New Roman" w:eastAsia="仿宋_GB2312" w:cs="Mongolian Baiti"/>
          <w:kern w:val="1"/>
          <w:sz w:val="32"/>
          <w:szCs w:val="32"/>
          <w:u w:val="none" w:color="auto"/>
        </w:rPr>
      </w:pPr>
      <w:r>
        <w:rPr>
          <w:rFonts w:hint="eastAsia" w:ascii="仿宋_GB2312" w:hAnsi="仿宋_GB2312" w:eastAsia="仿宋_GB2312" w:cs="仿宋_GB2312"/>
          <w:bCs/>
          <w:color w:val="000000"/>
          <w:sz w:val="32"/>
          <w:szCs w:val="32"/>
          <w:u w:val="none" w:color="auto"/>
          <w:lang w:val="en-US" w:eastAsia="zh-CN"/>
        </w:rPr>
        <w:t>住址：河南省偃师市岳滩镇尚庄村</w:t>
      </w:r>
      <w:bookmarkStart w:id="5" w:name="_GoBack"/>
      <w:bookmarkEnd w:id="5"/>
    </w:p>
    <w:p w14:paraId="459B9065">
      <w:pPr>
        <w:keepNext w:val="0"/>
        <w:keepLines w:val="0"/>
        <w:pageBreakBefore w:val="0"/>
        <w:widowControl/>
        <w:kinsoku w:val="0"/>
        <w:wordWrap/>
        <w:overflowPunct/>
        <w:topLinePunct w:val="0"/>
        <w:autoSpaceDE w:val="0"/>
        <w:autoSpaceDN w:val="0"/>
        <w:bidi w:val="0"/>
        <w:adjustRightInd w:val="0"/>
        <w:snapToGrid w:val="0"/>
        <w:spacing w:before="104" w:line="600" w:lineRule="exact"/>
        <w:ind w:firstLine="640" w:firstLineChars="200"/>
        <w:textAlignment w:val="baseline"/>
        <w:rPr>
          <w:rFonts w:hint="eastAsia" w:ascii="仿宋_GB2312" w:hAnsi="仿宋_GB2312" w:eastAsia="仿宋_GB2312" w:cs="仿宋_GB2312"/>
          <w:sz w:val="32"/>
          <w:szCs w:val="32"/>
          <w:u w:val="none" w:color="auto"/>
          <w:lang w:val="en-US" w:eastAsia="zh-CN"/>
        </w:rPr>
      </w:pPr>
      <w:r>
        <w:rPr>
          <w:rFonts w:hint="eastAsia" w:ascii="仿宋_GB2312" w:hAnsi="仿宋_GB2312" w:eastAsia="仿宋_GB2312" w:cs="仿宋_GB2312"/>
          <w:color w:val="000000"/>
          <w:sz w:val="32"/>
          <w:szCs w:val="32"/>
          <w:u w:val="none" w:color="auto"/>
          <w:lang w:val="en-US" w:eastAsia="zh-CN"/>
        </w:rPr>
        <w:t>2024年11月5日，我局执法人员对当事人进行现场检查，发现在当事人店内南面柜子里摆放有第三类医疗器械：“水呼吸</w:t>
      </w:r>
      <w:r>
        <w:rPr>
          <w:rFonts w:hint="eastAsia" w:ascii="宋体" w:hAnsi="宋体" w:eastAsia="宋体" w:cs="宋体"/>
          <w:color w:val="000000"/>
          <w:sz w:val="32"/>
          <w:szCs w:val="32"/>
          <w:u w:val="none" w:color="auto"/>
          <w:lang w:val="en-US" w:eastAsia="zh-CN"/>
        </w:rPr>
        <w:t>®</w:t>
      </w:r>
      <w:r>
        <w:rPr>
          <w:rFonts w:hint="eastAsia" w:ascii="仿宋_GB2312" w:hAnsi="仿宋_GB2312" w:eastAsia="仿宋_GB2312" w:cs="仿宋_GB2312"/>
          <w:color w:val="000000"/>
          <w:sz w:val="32"/>
          <w:szCs w:val="32"/>
          <w:u w:val="none" w:color="auto"/>
          <w:lang w:val="en-US" w:eastAsia="zh-CN"/>
        </w:rPr>
        <w:t>软性亲水接触镜”50瓶（型号规格：彩色镜片MC38 注册证编号/产品技术要求编号：国械注准20193161631 注册人/生产企业：甘肃康视达科技集团有限公司 注册人住所/生产地址：甘肃省白银市白银区创新南路10号 生产许可证号：甘食药监械生产许20120003号 总直径：14.50</w:t>
      </w:r>
      <w:r>
        <w:rPr>
          <w:rFonts w:hint="eastAsia" w:ascii="宋体" w:hAnsi="宋体" w:eastAsia="宋体" w:cs="宋体"/>
          <w:color w:val="000000"/>
          <w:sz w:val="32"/>
          <w:szCs w:val="32"/>
          <w:u w:val="none" w:color="auto"/>
          <w:lang w:val="en-US" w:eastAsia="zh-CN"/>
        </w:rPr>
        <w:t>㎜</w:t>
      </w:r>
      <w:r>
        <w:rPr>
          <w:rFonts w:hint="eastAsia" w:ascii="仿宋_GB2312" w:hAnsi="仿宋_GB2312" w:eastAsia="仿宋_GB2312" w:cs="仿宋_GB2312"/>
          <w:color w:val="000000"/>
          <w:sz w:val="32"/>
          <w:szCs w:val="32"/>
          <w:u w:val="none" w:color="auto"/>
          <w:lang w:val="en-US" w:eastAsia="zh-CN"/>
        </w:rPr>
        <w:t xml:space="preserve"> 生产批号：B24042801 生产日期：2024.04.28 失效日期：2029.04.27）；“康视达</w:t>
      </w:r>
      <w:r>
        <w:rPr>
          <w:rFonts w:hint="eastAsia" w:ascii="宋体" w:hAnsi="宋体" w:eastAsia="宋体" w:cs="宋体"/>
          <w:color w:val="000000"/>
          <w:sz w:val="32"/>
          <w:szCs w:val="32"/>
          <w:u w:val="none" w:color="auto"/>
          <w:lang w:val="en-US" w:eastAsia="zh-CN"/>
        </w:rPr>
        <w:t>®</w:t>
      </w:r>
      <w:r>
        <w:rPr>
          <w:rFonts w:hint="eastAsia" w:ascii="仿宋" w:hAnsi="仿宋" w:eastAsia="仿宋" w:cs="仿宋"/>
          <w:color w:val="000000"/>
          <w:sz w:val="32"/>
          <w:szCs w:val="32"/>
          <w:u w:val="none" w:color="auto"/>
          <w:lang w:val="en-US" w:eastAsia="zh-CN"/>
        </w:rPr>
        <w:t>仁康</w:t>
      </w:r>
      <w:r>
        <w:rPr>
          <w:rFonts w:hint="eastAsia" w:ascii="宋体" w:hAnsi="宋体" w:eastAsia="宋体" w:cs="宋体"/>
          <w:color w:val="000000"/>
          <w:sz w:val="32"/>
          <w:szCs w:val="32"/>
          <w:u w:val="none" w:color="auto"/>
          <w:lang w:val="en-US" w:eastAsia="zh-CN"/>
        </w:rPr>
        <w:t>®</w:t>
      </w:r>
      <w:r>
        <w:rPr>
          <w:rFonts w:hint="eastAsia" w:ascii="仿宋_GB2312" w:hAnsi="仿宋_GB2312" w:eastAsia="仿宋_GB2312" w:cs="仿宋_GB2312"/>
          <w:color w:val="000000"/>
          <w:sz w:val="32"/>
          <w:szCs w:val="32"/>
          <w:u w:val="none" w:color="auto"/>
          <w:lang w:val="en-US" w:eastAsia="zh-CN"/>
        </w:rPr>
        <w:t>软性亲水接触镜”92瓶（型号规格：彩色镜片MC38 注册证编号/产品技术要求编号：国械注准20193161631 注册人/生产企业：甘肃康视达科技集团有限公司 注册人住所/生产地址：甘肃省白银市白银区创新南路10号 生产许可证号：甘食药监械生产许20120003号 总直径：14.20</w:t>
      </w:r>
      <w:r>
        <w:rPr>
          <w:rFonts w:hint="eastAsia" w:ascii="宋体" w:hAnsi="宋体" w:eastAsia="宋体" w:cs="宋体"/>
          <w:color w:val="000000"/>
          <w:sz w:val="32"/>
          <w:szCs w:val="32"/>
          <w:u w:val="none" w:color="auto"/>
          <w:lang w:val="en-US" w:eastAsia="zh-CN"/>
        </w:rPr>
        <w:t>㎜</w:t>
      </w:r>
      <w:r>
        <w:rPr>
          <w:rFonts w:hint="eastAsia" w:ascii="宋体" w:hAnsi="宋体" w:cs="宋体"/>
          <w:color w:val="000000"/>
          <w:sz w:val="32"/>
          <w:szCs w:val="32"/>
          <w:u w:val="none" w:color="auto"/>
          <w:lang w:val="en-US" w:eastAsia="zh-CN"/>
        </w:rPr>
        <w:t xml:space="preserve"> </w:t>
      </w:r>
      <w:r>
        <w:rPr>
          <w:rFonts w:hint="eastAsia" w:ascii="仿宋_GB2312" w:hAnsi="仿宋_GB2312" w:eastAsia="仿宋_GB2312" w:cs="仿宋_GB2312"/>
          <w:color w:val="000000"/>
          <w:sz w:val="32"/>
          <w:szCs w:val="32"/>
          <w:u w:val="none" w:color="auto"/>
          <w:lang w:val="en-US" w:eastAsia="zh-CN"/>
        </w:rPr>
        <w:t>生产批号：B20110401 生产日期：2020.11.04 失效日期：2025.11.03），当事人不能提供医疗器械经营许可证。当日，执法人员对上述物品进行扣押。</w:t>
      </w:r>
      <w:r>
        <w:rPr>
          <w:rFonts w:hint="eastAsia" w:ascii="仿宋_GB2312" w:hAnsi="仿宋_GB2312" w:eastAsia="仿宋_GB2312" w:cs="仿宋_GB2312"/>
          <w:b w:val="0"/>
          <w:bCs w:val="0"/>
          <w:color w:val="000000"/>
          <w:sz w:val="32"/>
          <w:szCs w:val="32"/>
          <w:u w:val="none" w:color="auto"/>
          <w:lang w:eastAsia="zh-CN"/>
        </w:rPr>
        <w:t>为进一步查清</w:t>
      </w:r>
      <w:r>
        <w:rPr>
          <w:rFonts w:hint="eastAsia" w:ascii="仿宋_GB2312" w:hAnsi="仿宋_GB2312" w:eastAsia="仿宋_GB2312" w:cs="仿宋_GB2312"/>
          <w:color w:val="000000"/>
          <w:sz w:val="32"/>
          <w:szCs w:val="32"/>
          <w:u w:val="none" w:color="auto"/>
          <w:lang w:val="en-US" w:eastAsia="zh-CN"/>
        </w:rPr>
        <w:t>事实，我局于2024年11月25日立案，并通过询问当事人，调取相关证据对案件进行调查。</w:t>
      </w:r>
    </w:p>
    <w:p w14:paraId="1661B2B8">
      <w:pPr>
        <w:keepNext w:val="0"/>
        <w:keepLines w:val="0"/>
        <w:pageBreakBefore w:val="0"/>
        <w:widowControl/>
        <w:kinsoku w:val="0"/>
        <w:wordWrap/>
        <w:overflowPunct/>
        <w:topLinePunct w:val="0"/>
        <w:autoSpaceDE w:val="0"/>
        <w:autoSpaceDN w:val="0"/>
        <w:bidi w:val="0"/>
        <w:adjustRightInd w:val="0"/>
        <w:snapToGrid w:val="0"/>
        <w:spacing w:before="104" w:line="600" w:lineRule="exact"/>
        <w:ind w:firstLine="640" w:firstLineChars="200"/>
        <w:textAlignment w:val="baseline"/>
        <w:rPr>
          <w:rFonts w:hint="eastAsia" w:ascii="仿宋_GB2312" w:hAnsi="仿宋_GB2312" w:eastAsia="仿宋_GB2312" w:cs="仿宋_GB2312"/>
          <w:sz w:val="32"/>
          <w:szCs w:val="32"/>
          <w:u w:val="none" w:color="auto"/>
          <w:lang w:val="en-US" w:eastAsia="zh-CN"/>
        </w:rPr>
      </w:pPr>
      <w:r>
        <w:rPr>
          <w:rFonts w:hint="eastAsia" w:ascii="仿宋_GB2312" w:hAnsi="仿宋_GB2312" w:eastAsia="仿宋_GB2312" w:cs="仿宋_GB2312"/>
          <w:color w:val="000000"/>
          <w:sz w:val="32"/>
          <w:szCs w:val="32"/>
          <w:u w:val="none" w:color="auto"/>
          <w:lang w:val="en-US" w:eastAsia="zh-CN"/>
        </w:rPr>
        <w:t>经查，当事人于2024年9月27日从郑州市万博饰品城购进水呼吸®软性亲水接触镜购进50瓶（1片/瓶），康视达®仁康®软性亲水接触镜共购进100瓶（1片/瓶），两种软性亲水接触镜进价均为5元/瓶，售价均为10元/瓶，截至查获，水呼吸®软性亲水接触镜未售出，康视达®仁康®软性亲水接触镜已售出8瓶。上述软性亲水接触镜货值金额1500元，违法所得80元。</w:t>
      </w:r>
    </w:p>
    <w:p w14:paraId="1989D1BC">
      <w:pPr>
        <w:keepNext w:val="0"/>
        <w:keepLines w:val="0"/>
        <w:pageBreakBefore w:val="0"/>
        <w:widowControl/>
        <w:kinsoku w:val="0"/>
        <w:wordWrap/>
        <w:overflowPunct/>
        <w:topLinePunct w:val="0"/>
        <w:autoSpaceDE w:val="0"/>
        <w:autoSpaceDN w:val="0"/>
        <w:bidi w:val="0"/>
        <w:adjustRightInd w:val="0"/>
        <w:snapToGrid w:val="0"/>
        <w:spacing w:before="104" w:line="600" w:lineRule="exact"/>
        <w:ind w:firstLine="640" w:firstLineChars="200"/>
        <w:textAlignment w:val="baseline"/>
        <w:rPr>
          <w:rFonts w:hint="eastAsia" w:ascii="仿宋_GB2312" w:hAnsi="仿宋_GB2312" w:eastAsia="仿宋_GB2312" w:cs="仿宋_GB2312"/>
          <w:sz w:val="32"/>
          <w:szCs w:val="32"/>
          <w:u w:val="none" w:color="auto"/>
          <w:lang w:val="en-US" w:eastAsia="zh-CN"/>
        </w:rPr>
      </w:pPr>
      <w:r>
        <w:rPr>
          <w:rFonts w:hint="eastAsia" w:ascii="仿宋_GB2312" w:hAnsi="仿宋_GB2312" w:eastAsia="仿宋_GB2312" w:cs="仿宋_GB2312"/>
          <w:color w:val="000000"/>
          <w:sz w:val="32"/>
          <w:szCs w:val="32"/>
          <w:u w:val="none" w:color="auto"/>
          <w:lang w:val="en-US" w:eastAsia="zh-CN"/>
        </w:rPr>
        <w:t>另，当事人曾办理有营业执照，营业执照名称：洛阳市偃师区乐淘潮品百货店；统一社会信用代码：92410381MA9GW5RE2W；经营者：李晓平；注册日期：2021年05月21日。在案件调查中，该营业执照已于2024年11月27日注销。</w:t>
      </w:r>
    </w:p>
    <w:p w14:paraId="564995E3">
      <w:pPr>
        <w:keepNext w:val="0"/>
        <w:keepLines w:val="0"/>
        <w:pageBreakBefore w:val="0"/>
        <w:widowControl/>
        <w:kinsoku w:val="0"/>
        <w:wordWrap/>
        <w:overflowPunct/>
        <w:topLinePunct w:val="0"/>
        <w:autoSpaceDE w:val="0"/>
        <w:autoSpaceDN w:val="0"/>
        <w:bidi w:val="0"/>
        <w:adjustRightInd w:val="0"/>
        <w:snapToGrid w:val="0"/>
        <w:spacing w:before="104" w:line="600" w:lineRule="exact"/>
        <w:ind w:firstLine="640" w:firstLineChars="200"/>
        <w:textAlignment w:val="baseline"/>
        <w:rPr>
          <w:rFonts w:hint="eastAsia" w:ascii="仿宋_GB2312" w:hAnsi="仿宋_GB2312" w:eastAsia="仿宋_GB2312" w:cs="仿宋_GB2312"/>
          <w:sz w:val="32"/>
          <w:szCs w:val="32"/>
          <w:u w:val="none" w:color="auto"/>
          <w:lang w:val="en-US" w:eastAsia="zh-CN"/>
        </w:rPr>
      </w:pPr>
      <w:r>
        <w:rPr>
          <w:rFonts w:hint="eastAsia" w:ascii="仿宋_GB2312" w:hAnsi="仿宋_GB2312" w:eastAsia="仿宋_GB2312" w:cs="仿宋_GB2312"/>
          <w:color w:val="000000"/>
          <w:sz w:val="32"/>
          <w:szCs w:val="32"/>
          <w:u w:val="none" w:color="auto"/>
          <w:lang w:val="en-US" w:eastAsia="zh-CN"/>
        </w:rPr>
        <w:t>当事人未经许可从事第三类医疗器械经营活动，货值金额1500元，违法所得80元。</w:t>
      </w:r>
    </w:p>
    <w:p w14:paraId="1C7BF517">
      <w:pPr>
        <w:keepNext w:val="0"/>
        <w:keepLines w:val="0"/>
        <w:pageBreakBefore w:val="0"/>
        <w:widowControl/>
        <w:kinsoku w:val="0"/>
        <w:wordWrap/>
        <w:overflowPunct/>
        <w:topLinePunct w:val="0"/>
        <w:autoSpaceDE w:val="0"/>
        <w:autoSpaceDN w:val="0"/>
        <w:bidi w:val="0"/>
        <w:adjustRightInd w:val="0"/>
        <w:snapToGrid w:val="0"/>
        <w:spacing w:before="104" w:line="600" w:lineRule="exact"/>
        <w:ind w:firstLine="640" w:firstLineChars="200"/>
        <w:textAlignment w:val="baseline"/>
        <w:rPr>
          <w:rFonts w:hint="eastAsia" w:ascii="仿宋_GB2312" w:hAnsi="仿宋_GB2312" w:eastAsia="仿宋_GB2312" w:cs="仿宋_GB2312"/>
          <w:sz w:val="32"/>
          <w:szCs w:val="32"/>
          <w:u w:val="none" w:color="auto"/>
          <w:lang w:val="en-US" w:eastAsia="zh-CN"/>
        </w:rPr>
      </w:pPr>
      <w:r>
        <w:rPr>
          <w:rFonts w:hint="eastAsia" w:ascii="仿宋_GB2312" w:hAnsi="仿宋_GB2312" w:eastAsia="仿宋_GB2312" w:cs="仿宋_GB2312"/>
          <w:color w:val="000000"/>
          <w:sz w:val="32"/>
          <w:szCs w:val="32"/>
          <w:u w:val="none" w:color="auto"/>
          <w:lang w:val="en-US" w:eastAsia="zh-CN"/>
        </w:rPr>
        <w:t>上述事实，主要有以下证据证明：</w:t>
      </w:r>
    </w:p>
    <w:p w14:paraId="29383925">
      <w:pPr>
        <w:keepNext w:val="0"/>
        <w:keepLines w:val="0"/>
        <w:pageBreakBefore w:val="0"/>
        <w:widowControl/>
        <w:kinsoku w:val="0"/>
        <w:wordWrap/>
        <w:overflowPunct/>
        <w:topLinePunct w:val="0"/>
        <w:autoSpaceDE w:val="0"/>
        <w:autoSpaceDN w:val="0"/>
        <w:bidi w:val="0"/>
        <w:adjustRightInd w:val="0"/>
        <w:snapToGrid w:val="0"/>
        <w:spacing w:before="104" w:line="600" w:lineRule="exact"/>
        <w:ind w:firstLine="640" w:firstLineChars="200"/>
        <w:textAlignment w:val="baseline"/>
        <w:rPr>
          <w:rFonts w:hint="eastAsia" w:ascii="仿宋_GB2312" w:hAnsi="仿宋_GB2312" w:eastAsia="仿宋_GB2312" w:cs="仿宋_GB2312"/>
          <w:sz w:val="32"/>
          <w:szCs w:val="32"/>
          <w:u w:val="none" w:color="auto"/>
          <w:lang w:val="en-US" w:eastAsia="zh-CN"/>
        </w:rPr>
      </w:pPr>
      <w:r>
        <w:rPr>
          <w:rFonts w:hint="eastAsia" w:ascii="仿宋_GB2312" w:hAnsi="仿宋_GB2312" w:eastAsia="仿宋_GB2312" w:cs="仿宋_GB2312"/>
          <w:color w:val="000000"/>
          <w:sz w:val="32"/>
          <w:szCs w:val="32"/>
          <w:u w:val="none" w:color="auto"/>
          <w:lang w:val="en-US" w:eastAsia="zh-CN"/>
        </w:rPr>
        <w:t>1.营业执照复印件，证明当事人的主体资格；</w:t>
      </w:r>
    </w:p>
    <w:p w14:paraId="6B3911CD">
      <w:pPr>
        <w:keepNext w:val="0"/>
        <w:keepLines w:val="0"/>
        <w:pageBreakBefore w:val="0"/>
        <w:widowControl/>
        <w:kinsoku w:val="0"/>
        <w:wordWrap/>
        <w:overflowPunct/>
        <w:topLinePunct w:val="0"/>
        <w:autoSpaceDE w:val="0"/>
        <w:autoSpaceDN w:val="0"/>
        <w:bidi w:val="0"/>
        <w:adjustRightInd w:val="0"/>
        <w:snapToGrid w:val="0"/>
        <w:spacing w:before="104" w:line="600" w:lineRule="exact"/>
        <w:ind w:firstLine="640" w:firstLineChars="200"/>
        <w:textAlignment w:val="baseline"/>
        <w:rPr>
          <w:rFonts w:hint="eastAsia" w:ascii="仿宋_GB2312" w:hAnsi="仿宋_GB2312" w:eastAsia="仿宋_GB2312" w:cs="仿宋_GB2312"/>
          <w:sz w:val="32"/>
          <w:szCs w:val="32"/>
          <w:u w:val="none" w:color="auto"/>
          <w:lang w:val="en-US" w:eastAsia="zh-CN"/>
        </w:rPr>
      </w:pPr>
      <w:r>
        <w:rPr>
          <w:rFonts w:hint="eastAsia" w:ascii="仿宋_GB2312" w:hAnsi="仿宋_GB2312" w:eastAsia="仿宋_GB2312" w:cs="仿宋_GB2312"/>
          <w:color w:val="000000"/>
          <w:sz w:val="32"/>
          <w:szCs w:val="32"/>
          <w:u w:val="none" w:color="auto"/>
          <w:lang w:val="en-US" w:eastAsia="zh-CN"/>
        </w:rPr>
        <w:t>2.当事人身份证复印件，证明当事人身份情况；</w:t>
      </w:r>
    </w:p>
    <w:p w14:paraId="2DE91742">
      <w:pPr>
        <w:keepNext w:val="0"/>
        <w:keepLines w:val="0"/>
        <w:pageBreakBefore w:val="0"/>
        <w:widowControl/>
        <w:kinsoku w:val="0"/>
        <w:wordWrap/>
        <w:overflowPunct/>
        <w:topLinePunct w:val="0"/>
        <w:autoSpaceDE w:val="0"/>
        <w:autoSpaceDN w:val="0"/>
        <w:bidi w:val="0"/>
        <w:adjustRightInd w:val="0"/>
        <w:snapToGrid w:val="0"/>
        <w:spacing w:before="104" w:line="600" w:lineRule="exact"/>
        <w:ind w:firstLine="640" w:firstLineChars="200"/>
        <w:textAlignment w:val="baseline"/>
        <w:rPr>
          <w:rFonts w:hint="eastAsia" w:ascii="仿宋_GB2312" w:hAnsi="仿宋_GB2312" w:eastAsia="仿宋_GB2312" w:cs="仿宋_GB2312"/>
          <w:sz w:val="32"/>
          <w:szCs w:val="32"/>
          <w:u w:val="none" w:color="auto"/>
          <w:lang w:val="en-US" w:eastAsia="zh-CN"/>
        </w:rPr>
      </w:pPr>
      <w:r>
        <w:rPr>
          <w:rFonts w:hint="eastAsia" w:ascii="仿宋_GB2312" w:hAnsi="仿宋_GB2312" w:eastAsia="仿宋_GB2312" w:cs="仿宋_GB2312"/>
          <w:color w:val="000000"/>
          <w:sz w:val="32"/>
          <w:szCs w:val="32"/>
          <w:u w:val="none" w:color="auto"/>
          <w:lang w:val="en-US" w:eastAsia="zh-CN"/>
        </w:rPr>
        <w:t>3.《现场检查笔录》证明现场检查情况；</w:t>
      </w:r>
    </w:p>
    <w:p w14:paraId="605B6D71">
      <w:pPr>
        <w:keepNext w:val="0"/>
        <w:keepLines w:val="0"/>
        <w:pageBreakBefore w:val="0"/>
        <w:widowControl/>
        <w:kinsoku w:val="0"/>
        <w:wordWrap/>
        <w:overflowPunct/>
        <w:topLinePunct w:val="0"/>
        <w:autoSpaceDE w:val="0"/>
        <w:autoSpaceDN w:val="0"/>
        <w:bidi w:val="0"/>
        <w:adjustRightInd w:val="0"/>
        <w:snapToGrid w:val="0"/>
        <w:spacing w:before="104" w:line="600" w:lineRule="exact"/>
        <w:ind w:firstLine="640" w:firstLineChars="200"/>
        <w:textAlignment w:val="baseline"/>
        <w:rPr>
          <w:rFonts w:hint="eastAsia" w:ascii="仿宋_GB2312" w:hAnsi="仿宋_GB2312" w:eastAsia="仿宋_GB2312" w:cs="仿宋_GB2312"/>
          <w:sz w:val="32"/>
          <w:szCs w:val="32"/>
          <w:u w:val="none" w:color="auto"/>
          <w:lang w:val="en-US" w:eastAsia="zh-CN"/>
        </w:rPr>
      </w:pPr>
      <w:r>
        <w:rPr>
          <w:rFonts w:hint="eastAsia" w:ascii="仿宋_GB2312" w:hAnsi="仿宋_GB2312" w:eastAsia="仿宋_GB2312" w:cs="仿宋_GB2312"/>
          <w:color w:val="000000"/>
          <w:sz w:val="32"/>
          <w:szCs w:val="32"/>
          <w:u w:val="none" w:color="auto"/>
          <w:lang w:val="en-US" w:eastAsia="zh-CN"/>
        </w:rPr>
        <w:t>4.《询问笔录》，证明当事人的违法事实；</w:t>
      </w:r>
    </w:p>
    <w:p w14:paraId="5A8BD1E5">
      <w:pPr>
        <w:keepNext w:val="0"/>
        <w:keepLines w:val="0"/>
        <w:pageBreakBefore w:val="0"/>
        <w:widowControl/>
        <w:kinsoku w:val="0"/>
        <w:wordWrap/>
        <w:overflowPunct/>
        <w:topLinePunct w:val="0"/>
        <w:autoSpaceDE w:val="0"/>
        <w:autoSpaceDN w:val="0"/>
        <w:bidi w:val="0"/>
        <w:adjustRightInd w:val="0"/>
        <w:snapToGrid w:val="0"/>
        <w:spacing w:before="104" w:line="600" w:lineRule="exact"/>
        <w:ind w:firstLine="640" w:firstLineChars="200"/>
        <w:textAlignment w:val="baseline"/>
        <w:rPr>
          <w:rFonts w:hint="eastAsia" w:ascii="仿宋_GB2312" w:hAnsi="仿宋_GB2312" w:eastAsia="仿宋_GB2312" w:cs="仿宋_GB2312"/>
          <w:sz w:val="32"/>
          <w:szCs w:val="32"/>
          <w:u w:val="none" w:color="auto"/>
          <w:lang w:val="en-US" w:eastAsia="zh-CN"/>
        </w:rPr>
      </w:pPr>
      <w:r>
        <w:rPr>
          <w:rFonts w:hint="eastAsia" w:ascii="仿宋_GB2312" w:hAnsi="仿宋_GB2312" w:eastAsia="仿宋_GB2312" w:cs="仿宋_GB2312"/>
          <w:color w:val="000000"/>
          <w:sz w:val="32"/>
          <w:szCs w:val="32"/>
          <w:u w:val="none" w:color="auto"/>
          <w:lang w:val="en-US" w:eastAsia="zh-CN"/>
        </w:rPr>
        <w:t>5.照片，证明当事人经营第三类医疗器械的事实；</w:t>
      </w:r>
    </w:p>
    <w:p w14:paraId="18D9076E">
      <w:pPr>
        <w:keepNext w:val="0"/>
        <w:keepLines w:val="0"/>
        <w:pageBreakBefore w:val="0"/>
        <w:widowControl/>
        <w:kinsoku w:val="0"/>
        <w:wordWrap/>
        <w:overflowPunct/>
        <w:topLinePunct w:val="0"/>
        <w:autoSpaceDE w:val="0"/>
        <w:autoSpaceDN w:val="0"/>
        <w:bidi w:val="0"/>
        <w:adjustRightInd w:val="0"/>
        <w:snapToGrid w:val="0"/>
        <w:spacing w:before="104" w:line="600" w:lineRule="exact"/>
        <w:ind w:firstLine="640" w:firstLineChars="200"/>
        <w:textAlignment w:val="baseline"/>
        <w:rPr>
          <w:rFonts w:hint="eastAsia" w:ascii="仿宋_GB2312" w:hAnsi="仿宋_GB2312" w:eastAsia="仿宋_GB2312" w:cs="仿宋_GB2312"/>
          <w:sz w:val="32"/>
          <w:szCs w:val="32"/>
          <w:u w:val="none" w:color="auto"/>
          <w:lang w:val="en-US" w:eastAsia="zh-CN"/>
        </w:rPr>
      </w:pPr>
      <w:r>
        <w:rPr>
          <w:rFonts w:hint="eastAsia" w:ascii="仿宋_GB2312" w:hAnsi="仿宋_GB2312" w:eastAsia="仿宋_GB2312" w:cs="仿宋_GB2312"/>
          <w:color w:val="000000"/>
          <w:sz w:val="32"/>
          <w:szCs w:val="32"/>
          <w:u w:val="none" w:color="auto"/>
          <w:lang w:val="en-US" w:eastAsia="zh-CN"/>
        </w:rPr>
        <w:t xml:space="preserve">本局认为，当事人的行为，违反了《医疗器械监督管理条例》第四十二条：“从事第三类医疗器械经营的，经营企业应当向所在地设区的市级人民政府负责药品监督管理的部门申请经营许可并提交符合本条例第四十条规定条件的有关资料。受理经营许可申请的负责药品监督管理的部门应当对申请资料进行审查，必要时组织核查，并自受理申请之日起20个工作日内作出决定。对符合规定条件的，准予许可并发给医疗器械经营许可证；对不符合规定条件的，不予许可并书面说明理由。医疗器械经营许可证有效期为5年。有效期届满需要延续的，依照有关行政许可的法律规定办理延续手续。”之规定，构成未经许可从事第三类医疗器械经营活动的违法行为。                     </w:t>
      </w:r>
    </w:p>
    <w:p w14:paraId="3A1542E0">
      <w:pPr>
        <w:keepNext w:val="0"/>
        <w:keepLines w:val="0"/>
        <w:pageBreakBefore w:val="0"/>
        <w:widowControl/>
        <w:kinsoku w:val="0"/>
        <w:wordWrap/>
        <w:overflowPunct/>
        <w:topLinePunct w:val="0"/>
        <w:autoSpaceDE w:val="0"/>
        <w:autoSpaceDN w:val="0"/>
        <w:bidi w:val="0"/>
        <w:adjustRightInd w:val="0"/>
        <w:snapToGrid w:val="0"/>
        <w:spacing w:before="104" w:line="600" w:lineRule="exact"/>
        <w:ind w:firstLine="640" w:firstLineChars="200"/>
        <w:textAlignment w:val="baseline"/>
        <w:rPr>
          <w:rFonts w:hint="eastAsia" w:ascii="仿宋_GB2312" w:hAnsi="仿宋_GB2312" w:eastAsia="仿宋_GB2312" w:cs="仿宋_GB2312"/>
          <w:sz w:val="32"/>
          <w:szCs w:val="32"/>
          <w:u w:val="none" w:color="auto"/>
          <w:lang w:val="en-US" w:eastAsia="zh-CN"/>
        </w:rPr>
      </w:pPr>
      <w:r>
        <w:rPr>
          <w:rFonts w:hint="eastAsia" w:ascii="仿宋_GB2312" w:hAnsi="仿宋_GB2312" w:eastAsia="仿宋_GB2312" w:cs="仿宋_GB2312"/>
          <w:color w:val="000000"/>
          <w:sz w:val="32"/>
          <w:szCs w:val="32"/>
          <w:u w:val="none" w:color="auto"/>
          <w:lang w:val="en-US" w:eastAsia="zh-CN"/>
        </w:rPr>
        <w:t>在案件调查中，当事人积极配合调查，依据《药品监督管理行政处罚裁量适用规则》第二章第十一条 “当事人有下列情形之一的,可以从轻或者减轻行政处罚: (二)积极配合药品监督管理部门调查并主动提供证据材料的;”之规定，综合考虑当事人违法的事实、性质、情节、社会危害程度等因素，可以对当事人依法给予减轻行政处罚。</w:t>
      </w:r>
    </w:p>
    <w:p w14:paraId="69F11EB7">
      <w:pPr>
        <w:keepNext w:val="0"/>
        <w:keepLines w:val="0"/>
        <w:pageBreakBefore w:val="0"/>
        <w:widowControl/>
        <w:kinsoku w:val="0"/>
        <w:wordWrap/>
        <w:overflowPunct/>
        <w:topLinePunct w:val="0"/>
        <w:autoSpaceDE w:val="0"/>
        <w:autoSpaceDN w:val="0"/>
        <w:bidi w:val="0"/>
        <w:adjustRightInd w:val="0"/>
        <w:snapToGrid w:val="0"/>
        <w:spacing w:before="104" w:line="600" w:lineRule="exact"/>
        <w:ind w:firstLine="640" w:firstLineChars="200"/>
        <w:textAlignment w:val="baseline"/>
        <w:rPr>
          <w:rFonts w:hint="eastAsia" w:ascii="仿宋_GB2312" w:hAnsi="仿宋_GB2312" w:eastAsia="仿宋_GB2312" w:cs="仿宋_GB2312"/>
          <w:sz w:val="32"/>
          <w:szCs w:val="32"/>
          <w:u w:val="none" w:color="auto"/>
          <w:lang w:val="en-US" w:eastAsia="zh-CN"/>
        </w:rPr>
      </w:pPr>
      <w:r>
        <w:rPr>
          <w:rFonts w:hint="eastAsia" w:ascii="仿宋_GB2312" w:hAnsi="仿宋_GB2312" w:eastAsia="仿宋_GB2312" w:cs="仿宋_GB2312"/>
          <w:color w:val="000000"/>
          <w:sz w:val="32"/>
          <w:szCs w:val="32"/>
          <w:u w:val="none" w:color="auto"/>
          <w:lang w:val="en-US" w:eastAsia="zh-CN"/>
        </w:rPr>
        <w:t>我局于2025年3月24日向当事人送达偃市监罚告〔2025〕27号《行政处罚告知书》，告知当事人我局拟作出行政处罚决定的事实、理由、依据、内容以及当事人依法享有的陈述权、申辩权。当事人在法定期限内未向我局提出陈述、申辩意见。</w:t>
      </w:r>
    </w:p>
    <w:p w14:paraId="653FF6FD">
      <w:pPr>
        <w:keepNext w:val="0"/>
        <w:keepLines w:val="0"/>
        <w:pageBreakBefore w:val="0"/>
        <w:widowControl/>
        <w:kinsoku w:val="0"/>
        <w:wordWrap/>
        <w:overflowPunct/>
        <w:topLinePunct w:val="0"/>
        <w:autoSpaceDE w:val="0"/>
        <w:autoSpaceDN w:val="0"/>
        <w:bidi w:val="0"/>
        <w:adjustRightInd w:val="0"/>
        <w:snapToGrid w:val="0"/>
        <w:spacing w:before="104" w:line="600" w:lineRule="exact"/>
        <w:ind w:firstLine="640" w:firstLineChars="200"/>
        <w:textAlignment w:val="baseline"/>
        <w:rPr>
          <w:rFonts w:hint="eastAsia" w:ascii="仿宋_GB2312" w:hAnsi="仿宋_GB2312" w:eastAsia="仿宋_GB2312" w:cs="仿宋_GB2312"/>
          <w:sz w:val="32"/>
          <w:szCs w:val="32"/>
          <w:u w:val="none" w:color="auto"/>
          <w:lang w:val="en-US" w:eastAsia="zh-CN"/>
        </w:rPr>
      </w:pPr>
      <w:r>
        <w:rPr>
          <w:rFonts w:hint="eastAsia" w:ascii="仿宋_GB2312" w:hAnsi="仿宋_GB2312" w:eastAsia="仿宋_GB2312" w:cs="仿宋_GB2312"/>
          <w:color w:val="000000"/>
          <w:sz w:val="32"/>
          <w:szCs w:val="32"/>
          <w:u w:val="none" w:color="auto"/>
          <w:lang w:val="en-US" w:eastAsia="zh-CN"/>
        </w:rPr>
        <w:t>依据《医疗器械监督管理条例》第八十一条：“有下列情形之一的，由负责药品监督管理的部门没收违法所得、违法生产经营的医疗器械和用于违法生产经营的工具、设备、原材料等物品；违法生产经营的医疗器械货值金额不足1万元的，并处5万元以上15万元以下罚款；货值金额1万元以上的，并处货值金额15倍以上30倍以下罚款；情节严重的，责令停产停业，10年内不受理相关责任人以及单位提出的医疗器械许可申请，对违法单位的法定代表人、主要负责人、直接负责的主管人员和其他责任人员，没收违法行为发生期间自本单位所获收入，并处所获收入30%以上3倍以下罚款，终身禁止其从事医疗器械生产经营活动：(三)未经许可从事第三类医疗器械经营活动。”及《中华人民共和国行政处罚法》第二十八条第一款“行政机关实施行政处罚时，应当责令当事人改正或者限期改正违法行为。”之规定，参照《医疗器械类行政处罚裁量基准》（一）医疗器械监督管理条例行政处罚裁量基准1.1 “依据《医疗器械监督管理条例》第八十一条第一款实施的行政处罚 裁量等级 减轻 裁量基准 由负责药品监督管理的部门没收违法所得、违法生产经营的医疗器械和用于违法生产经营的工具、设备、原材料等物品；违法生产经营的医疗器械货值金额不足1万元的，处5万元以下罚款；货值金额1万元以上的，处货值金额 15倍以下罚款；情节严重的，责令停产停业，10 年内不受理相关责任人以及单位提出的医疗器械许可申请，对违法单位的法定代表人、主要负责人、直接负责的主管人员和其他责任人员，没收违法行为发生期间自本单位所获收入，并处所获收入30%以下罚款，终身禁止其从事医疗器械生产经营活动。”之规定，我局研究决定，对李晓平责令改正，处罚如下：1.没收违法所得80元；2.没收涉案第三类医疗器械142瓶；3.罚款1420元。</w:t>
      </w:r>
    </w:p>
    <w:p w14:paraId="1E49D7AA">
      <w:pPr>
        <w:keepNext w:val="0"/>
        <w:keepLines w:val="0"/>
        <w:pageBreakBefore w:val="0"/>
        <w:widowControl/>
        <w:kinsoku w:val="0"/>
        <w:wordWrap/>
        <w:overflowPunct/>
        <w:topLinePunct w:val="0"/>
        <w:autoSpaceDE w:val="0"/>
        <w:autoSpaceDN w:val="0"/>
        <w:bidi w:val="0"/>
        <w:adjustRightInd w:val="0"/>
        <w:snapToGrid w:val="0"/>
        <w:spacing w:before="104" w:line="600" w:lineRule="exact"/>
        <w:ind w:firstLine="640" w:firstLineChars="200"/>
        <w:textAlignment w:val="baseline"/>
        <w:rPr>
          <w:rFonts w:hint="eastAsia" w:ascii="仿宋_GB2312" w:hAnsi="仿宋_GB2312" w:eastAsia="仿宋_GB2312" w:cs="仿宋_GB2312"/>
          <w:sz w:val="32"/>
          <w:szCs w:val="32"/>
          <w:u w:val="none" w:color="auto"/>
          <w:lang w:val="en-US" w:eastAsia="zh-CN"/>
        </w:rPr>
      </w:pPr>
      <w:r>
        <w:rPr>
          <w:rFonts w:hint="eastAsia" w:ascii="仿宋_GB2312" w:hAnsi="仿宋_GB2312" w:eastAsia="仿宋_GB2312" w:cs="仿宋_GB2312"/>
          <w:color w:val="000000"/>
          <w:sz w:val="32"/>
          <w:szCs w:val="32"/>
          <w:u w:val="none" w:color="auto"/>
          <w:lang w:val="en-US" w:eastAsia="zh-CN"/>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w:t>
      </w:r>
    </w:p>
    <w:p w14:paraId="170BCB64">
      <w:pPr>
        <w:keepNext w:val="0"/>
        <w:keepLines w:val="0"/>
        <w:pageBreakBefore w:val="0"/>
        <w:widowControl/>
        <w:kinsoku w:val="0"/>
        <w:wordWrap/>
        <w:overflowPunct/>
        <w:topLinePunct w:val="0"/>
        <w:autoSpaceDE w:val="0"/>
        <w:autoSpaceDN w:val="0"/>
        <w:bidi w:val="0"/>
        <w:adjustRightInd w:val="0"/>
        <w:snapToGrid w:val="0"/>
        <w:spacing w:before="104" w:line="600" w:lineRule="exact"/>
        <w:ind w:firstLine="640" w:firstLineChars="200"/>
        <w:textAlignment w:val="baseline"/>
        <w:rPr>
          <w:rFonts w:hint="eastAsia" w:ascii="仿宋_GB2312" w:hAnsi="仿宋_GB2312" w:eastAsia="仿宋_GB2312" w:cs="仿宋_GB2312"/>
          <w:sz w:val="32"/>
          <w:szCs w:val="32"/>
          <w:u w:val="none" w:color="auto"/>
          <w:lang w:val="en-US" w:eastAsia="zh-CN"/>
        </w:rPr>
      </w:pPr>
      <w:r>
        <w:rPr>
          <w:rFonts w:hint="eastAsia" w:ascii="仿宋_GB2312" w:hAnsi="仿宋_GB2312" w:eastAsia="仿宋_GB2312" w:cs="仿宋_GB2312"/>
          <w:color w:val="000000"/>
          <w:sz w:val="32"/>
          <w:szCs w:val="32"/>
          <w:u w:val="none" w:color="auto"/>
          <w:lang w:val="en-US" w:eastAsia="zh-CN"/>
        </w:rPr>
        <w:t xml:space="preserve">根据《中华人民共和国行政处罚法》第七十二条规定，当事人逾期不履行行政处罚决定的，本机关可以采取以下措施：（一）到期不缴纳罚款的，每日按罚款数额的百分之三加处罚款；（二）申请人民法院强制执行。            </w:t>
      </w:r>
    </w:p>
    <w:p w14:paraId="76001D90">
      <w:pPr>
        <w:keepNext w:val="0"/>
        <w:keepLines w:val="0"/>
        <w:pageBreakBefore w:val="0"/>
        <w:widowControl/>
        <w:kinsoku w:val="0"/>
        <w:wordWrap/>
        <w:overflowPunct/>
        <w:topLinePunct w:val="0"/>
        <w:autoSpaceDE w:val="0"/>
        <w:autoSpaceDN w:val="0"/>
        <w:bidi w:val="0"/>
        <w:adjustRightInd w:val="0"/>
        <w:snapToGrid w:val="0"/>
        <w:spacing w:before="104" w:line="600" w:lineRule="exact"/>
        <w:ind w:firstLine="640" w:firstLineChars="200"/>
        <w:textAlignment w:val="baseline"/>
        <w:rPr>
          <w:rFonts w:hint="eastAsia" w:ascii="仿宋_GB2312" w:hAnsi="仿宋_GB2312" w:eastAsia="仿宋_GB2312" w:cs="仿宋_GB2312"/>
          <w:sz w:val="32"/>
          <w:szCs w:val="32"/>
          <w:u w:val="none" w:color="auto"/>
          <w:lang w:val="en-US" w:eastAsia="zh-CN"/>
        </w:rPr>
      </w:pPr>
      <w:r>
        <w:rPr>
          <w:rFonts w:hint="eastAsia" w:ascii="仿宋_GB2312" w:hAnsi="仿宋_GB2312" w:eastAsia="仿宋_GB2312" w:cs="仿宋_GB2312"/>
          <w:color w:val="000000"/>
          <w:sz w:val="32"/>
          <w:szCs w:val="32"/>
          <w:u w:val="none" w:color="auto"/>
          <w:lang w:val="en-US" w:eastAsia="zh-CN"/>
        </w:rPr>
        <w:t>如不服本处罚决定，可自接文之日起六十日内向洛阳市偃师区人民政府申请复议，也可于接文之日起六个月内向洛阳市偃师区人民法院提起诉讼。如果需要通过互联网渠道申请行政复议，可以通过行政复议服务平台（https://xzfy.moj.gov.cn/）网站提交申请。行政复议或者行政诉讼期间，本行政处罚决定不停止执行。</w:t>
      </w:r>
    </w:p>
    <w:p w14:paraId="04E075CA">
      <w:pPr>
        <w:keepNext w:val="0"/>
        <w:keepLines w:val="0"/>
        <w:pageBreakBefore w:val="0"/>
        <w:wordWrap/>
        <w:overflowPunct/>
        <w:topLinePunct w:val="0"/>
        <w:bidi w:val="0"/>
        <w:spacing w:line="560" w:lineRule="exact"/>
        <w:ind w:right="-19" w:rightChars="-9"/>
        <w:textAlignment w:val="baseline"/>
        <w:rPr>
          <w:rFonts w:hint="eastAsia" w:ascii="仿宋" w:hAnsi="仿宋" w:eastAsia="仿宋" w:cs="仿宋"/>
          <w:sz w:val="32"/>
          <w:szCs w:val="32"/>
        </w:rPr>
      </w:pPr>
    </w:p>
    <w:p w14:paraId="100C6F02">
      <w:pPr>
        <w:keepNext w:val="0"/>
        <w:keepLines w:val="0"/>
        <w:pageBreakBefore w:val="0"/>
        <w:wordWrap/>
        <w:overflowPunct/>
        <w:topLinePunct w:val="0"/>
        <w:bidi w:val="0"/>
        <w:spacing w:line="560" w:lineRule="exact"/>
        <w:ind w:right="-19" w:rightChars="-9"/>
        <w:textAlignment w:val="baseline"/>
        <w:rPr>
          <w:rFonts w:hint="eastAsia" w:ascii="仿宋" w:hAnsi="仿宋" w:eastAsia="仿宋" w:cs="仿宋"/>
          <w:sz w:val="32"/>
          <w:szCs w:val="32"/>
        </w:rPr>
      </w:pPr>
    </w:p>
    <w:p w14:paraId="42517B69">
      <w:pPr>
        <w:keepNext w:val="0"/>
        <w:keepLines w:val="0"/>
        <w:pageBreakBefore w:val="0"/>
        <w:wordWrap/>
        <w:overflowPunct/>
        <w:topLinePunct w:val="0"/>
        <w:bidi w:val="0"/>
        <w:spacing w:line="560" w:lineRule="exact"/>
        <w:ind w:right="-19" w:rightChars="-9" w:firstLine="3200" w:firstLineChars="1000"/>
        <w:textAlignment w:val="baseline"/>
        <w:rPr>
          <w:rFonts w:hint="eastAsia" w:ascii="仿宋" w:hAnsi="仿宋" w:eastAsia="仿宋" w:cs="仿宋"/>
          <w:sz w:val="32"/>
          <w:szCs w:val="32"/>
        </w:rPr>
      </w:pPr>
    </w:p>
    <w:p w14:paraId="7EE1C0E9">
      <w:pPr>
        <w:keepNext w:val="0"/>
        <w:keepLines w:val="0"/>
        <w:pageBreakBefore w:val="0"/>
        <w:wordWrap/>
        <w:overflowPunct/>
        <w:topLinePunct w:val="0"/>
        <w:bidi w:val="0"/>
        <w:spacing w:line="560" w:lineRule="exact"/>
        <w:ind w:right="-19" w:rightChars="-9" w:firstLine="3200" w:firstLineChars="1000"/>
        <w:textAlignment w:val="baseline"/>
        <w:rPr>
          <w:rFonts w:hint="eastAsia" w:ascii="仿宋" w:hAnsi="仿宋" w:eastAsia="仿宋" w:cs="仿宋"/>
          <w:sz w:val="32"/>
          <w:szCs w:val="32"/>
        </w:rPr>
      </w:pPr>
    </w:p>
    <w:p w14:paraId="3975DB0D">
      <w:pPr>
        <w:keepNext w:val="0"/>
        <w:keepLines w:val="0"/>
        <w:pageBreakBefore w:val="0"/>
        <w:wordWrap/>
        <w:overflowPunct/>
        <w:topLinePunct w:val="0"/>
        <w:bidi w:val="0"/>
        <w:spacing w:line="560" w:lineRule="exact"/>
        <w:ind w:right="-19" w:rightChars="-9" w:firstLine="3200" w:firstLineChars="1000"/>
        <w:textAlignment w:val="baseline"/>
        <w:rPr>
          <w:rFonts w:hint="eastAsia" w:ascii="仿宋" w:hAnsi="仿宋" w:eastAsia="仿宋" w:cs="仿宋"/>
          <w:sz w:val="32"/>
          <w:szCs w:val="32"/>
        </w:rPr>
      </w:pPr>
    </w:p>
    <w:p w14:paraId="65C4A0EE"/>
    <w:p w14:paraId="45974966">
      <w:pPr>
        <w:widowControl/>
        <w:snapToGrid w:val="0"/>
        <w:spacing w:line="520" w:lineRule="exact"/>
        <w:jc w:val="left"/>
        <w:rPr>
          <w:rFonts w:ascii="Times New Roman" w:hAnsi="Times New Roman" w:eastAsia="仿宋_GB2312" w:cs="仿宋_GB2312"/>
          <w:color w:val="auto"/>
          <w:sz w:val="32"/>
          <w:szCs w:val="32"/>
        </w:rPr>
      </w:pPr>
    </w:p>
    <w:p w14:paraId="238659F3">
      <w:pPr>
        <w:widowControl/>
        <w:snapToGrid w:val="0"/>
        <w:spacing w:line="520" w:lineRule="exact"/>
        <w:ind w:firstLine="6240" w:firstLineChars="1950"/>
        <w:jc w:val="left"/>
        <w:rPr>
          <w:rFonts w:hint="eastAsia" w:ascii="Times New Roman" w:hAnsi="Times New Roman" w:eastAsia="仿宋_GB2312" w:cs="仿宋_GB2312"/>
          <w:color w:val="auto"/>
          <w:sz w:val="32"/>
          <w:szCs w:val="32"/>
          <w:lang w:val="en-US" w:eastAsia="zh-Hans"/>
        </w:rPr>
      </w:pPr>
    </w:p>
    <w:p w14:paraId="45121503">
      <w:pPr>
        <w:spacing w:line="560" w:lineRule="exact"/>
        <w:ind w:right="640" w:firstLine="601"/>
        <w:jc w:val="right"/>
        <w:rPr>
          <w:rFonts w:ascii="Times New Roman" w:hAnsi="Times New Roman" w:eastAsia="仿宋_GB2312" w:cs="仿宋"/>
          <w:color w:val="auto"/>
          <w:sz w:val="32"/>
          <w:szCs w:val="32"/>
        </w:rPr>
      </w:pPr>
      <w:bookmarkStart w:id="3" w:name="DYNAMIC—DWXX—tAj_dwmc—2"/>
      <w:r>
        <w:rPr>
          <w:rFonts w:hint="eastAsia" w:ascii="Times New Roman" w:hAnsi="Times New Roman" w:eastAsia="仿宋_GB2312" w:cs="仿宋"/>
          <w:color w:val="000000"/>
          <w:sz w:val="32"/>
          <w:u w:val="none"/>
        </w:rPr>
        <w:t>洛阳市偃师区市场监督管理局</w:t>
      </w:r>
      <w:bookmarkEnd w:id="3"/>
      <w:r>
        <w:rPr>
          <w:rFonts w:hint="eastAsia" w:ascii="Times New Roman" w:hAnsi="Times New Roman" w:eastAsia="仿宋_GB2312" w:cs="仿宋"/>
          <w:color w:val="000000"/>
          <w:sz w:val="32"/>
          <w:szCs w:val="32"/>
          <w:u w:val="none"/>
        </w:rPr>
        <w:t xml:space="preserve">    </w:t>
      </w:r>
    </w:p>
    <w:p w14:paraId="3B3F4670">
      <w:pPr>
        <w:spacing w:line="560" w:lineRule="exact"/>
        <w:ind w:right="640" w:firstLine="601"/>
        <w:jc w:val="right"/>
        <w:outlineLvl w:val="1"/>
        <w:rPr>
          <w:rFonts w:ascii="Times New Roman" w:hAnsi="Times New Roman" w:eastAsia="仿宋_GB2312" w:cs="仿宋"/>
          <w:color w:val="auto"/>
          <w:sz w:val="32"/>
          <w:szCs w:val="32"/>
        </w:rPr>
      </w:pPr>
      <w:r>
        <w:rPr>
          <w:rFonts w:hint="eastAsia" w:ascii="Times New Roman" w:hAnsi="Times New Roman" w:eastAsia="仿宋_GB2312" w:cs="仿宋"/>
          <w:color w:val="000000"/>
          <w:sz w:val="32"/>
          <w:szCs w:val="32"/>
          <w:u w:val="none"/>
        </w:rPr>
        <w:t>（印 章）</w:t>
      </w:r>
    </w:p>
    <w:p w14:paraId="46D7A9F3">
      <w:pPr>
        <w:keepNext w:val="0"/>
        <w:keepLines w:val="0"/>
        <w:pageBreakBefore w:val="0"/>
        <w:widowControl w:val="0"/>
        <w:kinsoku/>
        <w:wordWrap/>
        <w:overflowPunct/>
        <w:topLinePunct w:val="0"/>
        <w:autoSpaceDE/>
        <w:autoSpaceDN/>
        <w:bidi w:val="0"/>
        <w:adjustRightInd/>
        <w:snapToGrid/>
        <w:spacing w:line="560" w:lineRule="exact"/>
        <w:ind w:left="0" w:leftChars="0" w:right="630" w:rightChars="300" w:firstLine="600" w:firstLineChars="0"/>
        <w:jc w:val="right"/>
        <w:textAlignment w:val="auto"/>
        <w:outlineLvl w:val="9"/>
        <w:rPr>
          <w:rFonts w:ascii="Times New Roman" w:hAnsi="Times New Roman" w:eastAsia="仿宋_GB2312" w:cs="仿宋_GB2312"/>
          <w:color w:val="auto"/>
          <w:sz w:val="32"/>
          <w:szCs w:val="32"/>
        </w:rPr>
      </w:pPr>
      <w:bookmarkStart w:id="4" w:name="CALCULATE—TIME—NOW"/>
      <w:r>
        <w:rPr>
          <w:rFonts w:ascii="仿宋_GB2312" w:hAnsi="仿宋_GB2312" w:eastAsia="仿宋_GB2312" w:cs="仿宋_GB2312"/>
          <w:sz w:val="32"/>
        </w:rPr>
        <w:t>2025年04月02日</w:t>
      </w:r>
      <w:bookmarkEnd w:id="4"/>
      <w:r>
        <w:rPr>
          <w:rFonts w:hint="eastAsia" w:ascii="Times New Roman" w:hAnsi="Times New Roman" w:eastAsia="仿宋_GB2312" w:cs="仿宋_GB2312"/>
          <w:color w:val="000000"/>
          <w:sz w:val="32"/>
          <w:szCs w:val="32"/>
          <w:u w:val="none"/>
        </w:rPr>
        <w:t xml:space="preserve">  </w:t>
      </w:r>
    </w:p>
    <w:p w14:paraId="06CA12C6">
      <w:pPr>
        <w:widowControl/>
        <w:snapToGrid w:val="0"/>
        <w:spacing w:line="520" w:lineRule="exact"/>
        <w:jc w:val="right"/>
        <w:rPr>
          <w:rFonts w:ascii="Times New Roman" w:hAnsi="Times New Roman" w:eastAsia="仿宋_GB2312" w:cs="Mongolian Baiti"/>
          <w:color w:val="auto"/>
          <w:sz w:val="32"/>
          <w:szCs w:val="32"/>
        </w:rPr>
      </w:pPr>
    </w:p>
    <w:p w14:paraId="6824232A">
      <w:pPr>
        <w:pStyle w:val="3"/>
        <w:spacing w:before="1"/>
        <w:ind w:left="163"/>
        <w:rPr>
          <w:rFonts w:ascii="Times New Roman" w:hAnsi="Times New Roman" w:eastAsia="仿宋_GB2312" w:cs="仿宋"/>
          <w:bCs/>
          <w:color w:val="auto"/>
          <w:sz w:val="44"/>
          <w:szCs w:val="44"/>
        </w:rPr>
      </w:pPr>
      <w:r>
        <w:rPr>
          <w:rFonts w:ascii="Times New Roman" w:hAnsi="Times New Roman" w:eastAsia="仿宋_GB2312"/>
          <w:color w:val="000000"/>
          <w:sz w:val="32"/>
          <w:u w:val="none"/>
        </w:rPr>
        <mc:AlternateContent>
          <mc:Choice Requires="wps">
            <w:drawing>
              <wp:anchor distT="0" distB="0" distL="114300" distR="114300" simplePos="0" relativeHeight="251661312" behindDoc="0" locked="0" layoutInCell="1" allowOverlap="1">
                <wp:simplePos x="0" y="0"/>
                <wp:positionH relativeFrom="column">
                  <wp:posOffset>27305</wp:posOffset>
                </wp:positionH>
                <wp:positionV relativeFrom="paragraph">
                  <wp:posOffset>396875</wp:posOffset>
                </wp:positionV>
                <wp:extent cx="5550535" cy="635"/>
                <wp:effectExtent l="0" t="0" r="0" b="0"/>
                <wp:wrapNone/>
                <wp:docPr id="14" name="直接连接符 14"/>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2.15pt;margin-top:31.25pt;height:0.05pt;width:437.05pt;z-index:251661312;mso-width-relative:page;mso-height-relative:page;" filled="f" stroked="t" coordsize="21600,21600" o:gfxdata="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d&#10;1F2Z1gAAAAcBAAAPAAAAAAAAAAEAIAAAACIAAABkcnMvZG93bnJldi54bWxQSwECFAAUAAAACACH&#10;TuJAlk3HAe0BAADdAwAADgAAAAAAAAABACAAAAAlAQAAZHJzL2Uyb0RvYy54bWxQSwUGAAAAAAYA&#10;BgBZAQAAhAUAAAAA&#10;">
                <v:fill on="f" focussize="0,0"/>
                <v:stroke weight="1.25pt" color="#000000" joinstyle="round"/>
                <v:imagedata o:title=""/>
                <o:lock v:ext="edit" aspectratio="f"/>
              </v:line>
            </w:pict>
          </mc:Fallback>
        </mc:AlternateContent>
      </w:r>
      <w:r>
        <w:rPr>
          <w:rFonts w:hint="eastAsia" w:ascii="黑体" w:hAnsi="黑体" w:eastAsia="黑体"/>
          <w:color w:val="000000"/>
          <w:spacing w:val="-16"/>
          <w:u w:val="none"/>
        </w:rPr>
        <w:t>（市场监督管理部门将依法向社会公开行政处罚决定信息）</w:t>
      </w:r>
    </w:p>
    <w:p w14:paraId="1D37DAFA">
      <w:pPr>
        <w:keepNext w:val="0"/>
        <w:keepLines w:val="0"/>
        <w:pageBreakBefore w:val="0"/>
        <w:widowControl/>
        <w:kinsoku w:val="0"/>
        <w:wordWrap/>
        <w:overflowPunct/>
        <w:topLinePunct w:val="0"/>
        <w:autoSpaceDE w:val="0"/>
        <w:autoSpaceDN w:val="0"/>
        <w:bidi w:val="0"/>
        <w:adjustRightInd w:val="0"/>
        <w:snapToGrid w:val="0"/>
        <w:spacing w:before="104" w:line="600" w:lineRule="exact"/>
        <w:ind w:firstLine="640" w:firstLineChars="200"/>
        <w:textAlignment w:val="baseline"/>
        <w:rPr>
          <w:color w:val="auto"/>
        </w:rPr>
      </w:pPr>
      <w:r>
        <w:rPr>
          <w:rFonts w:ascii="Times New Roman" w:hAnsi="Times New Roman" w:eastAsia="仿宋_GB2312"/>
          <w:color w:val="000000"/>
          <w:sz w:val="32"/>
          <w:u w:val="none"/>
        </w:rPr>
        <mc:AlternateContent>
          <mc:Choice Requires="wps">
            <w:drawing>
              <wp:anchor distT="0" distB="0" distL="114300" distR="114300" simplePos="0" relativeHeight="251663360" behindDoc="0" locked="0" layoutInCell="1" allowOverlap="1">
                <wp:simplePos x="0" y="0"/>
                <wp:positionH relativeFrom="column">
                  <wp:posOffset>-137795</wp:posOffset>
                </wp:positionH>
                <wp:positionV relativeFrom="paragraph">
                  <wp:posOffset>-2540</wp:posOffset>
                </wp:positionV>
                <wp:extent cx="5550535" cy="635"/>
                <wp:effectExtent l="0" t="0" r="0" b="0"/>
                <wp:wrapNone/>
                <wp:docPr id="2" name="直接连接符 2"/>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0.85pt;margin-top:-0.2pt;height:0.05pt;width:437.05pt;z-index:251663360;mso-width-relative:page;mso-height-relative:page;" filled="f" stroked="t" coordsize="21600,21600" o:gfxdata="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N01rPbVAAAABwEAAA8AAAAAAAAAAQAgAAAAIgAAAGRycy9kb3ducmV2LnhtbFBLAQIU&#10;ABQAAAAIAIdO4kD9c99R9gEAAOcDAAAOAAAAAAAAAAEAIAAAACQBAABkcnMvZTJvRG9jLnhtbFBL&#10;BQYAAAAABgAGAFkBAACMBQAAAAA=&#10;">
                <v:fill on="f" focussize="0,0"/>
                <v:stroke weight="1.25pt" color="#000000" joinstyle="round"/>
                <v:imagedata o:title=""/>
                <o:lock v:ext="edit" aspectratio="f"/>
              </v:line>
            </w:pict>
          </mc:Fallback>
        </mc:AlternateContent>
      </w:r>
      <w:r>
        <w:rPr>
          <w:rFonts w:ascii="Times New Roman" w:hAnsi="Times New Roman" w:eastAsia="仿宋_GB2312" w:cs="仿宋"/>
          <w:bCs/>
          <w:color w:val="000000"/>
          <w:sz w:val="32"/>
          <w:szCs w:val="32"/>
          <w:u w:val="none"/>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3" name="直接连接符 3"/>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1638.35pt;height:0.1pt;width:453.75pt;z-index:251662336;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i+/zkdcAAAAKAQAADwAAAAAAAAABACAAAAAiAAAAZHJzL2Rvd25yZXYueG1s&#10;UEsBAhQAFAAAAAgAh07iQBSD0Df5AQAA5QMAAA4AAAAAAAAAAQAgAAAAJgEAAGRycy9lMm9Eb2Mu&#10;eG1sUEsFBgAAAAAGAAYAWQEAAJE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z w:val="32"/>
          <w:szCs w:val="32"/>
          <w:u w:val="none"/>
        </w:rPr>
        <w:t>本文书一</w:t>
      </w:r>
      <w:r>
        <w:rPr>
          <w:rFonts w:hint="eastAsia" w:ascii="仿宋_GB2312" w:hAnsi="仿宋_GB2312" w:eastAsia="仿宋_GB2312" w:cs="仿宋_GB2312"/>
          <w:b w:val="0"/>
          <w:bCs w:val="0"/>
          <w:color w:val="000000"/>
          <w:sz w:val="32"/>
          <w:szCs w:val="32"/>
          <w:u w:val="none" w:color="auto"/>
          <w:lang w:eastAsia="zh-CN"/>
        </w:rPr>
        <w:t>式二</w:t>
      </w:r>
      <w:r>
        <w:rPr>
          <w:rFonts w:hint="eastAsia" w:ascii="Times New Roman" w:hAnsi="Times New Roman" w:eastAsia="仿宋_GB2312" w:cs="仿宋"/>
          <w:color w:val="000000"/>
          <w:sz w:val="32"/>
          <w:szCs w:val="32"/>
          <w:u w:val="none"/>
        </w:rPr>
        <w:t>份，</w:t>
      </w:r>
      <w:r>
        <w:rPr>
          <w:rFonts w:hint="eastAsia" w:ascii="Times New Roman" w:hAnsi="Times New Roman" w:eastAsia="仿宋_GB2312" w:cs="仿宋"/>
          <w:color w:val="000000"/>
          <w:sz w:val="32"/>
          <w:szCs w:val="32"/>
          <w:u w:val="none"/>
          <w:lang w:eastAsia="zh-CN"/>
        </w:rPr>
        <w:t>一</w:t>
      </w:r>
      <w:r>
        <w:rPr>
          <w:rFonts w:hint="eastAsia" w:ascii="Times New Roman" w:hAnsi="Times New Roman" w:eastAsia="仿宋_GB2312" w:cs="仿宋"/>
          <w:color w:val="000000"/>
          <w:sz w:val="32"/>
          <w:szCs w:val="32"/>
          <w:u w:val="none"/>
        </w:rPr>
        <w:t>份送达，一份归档。</w:t>
      </w:r>
      <w:r>
        <w:rPr>
          <w:rFonts w:ascii="Times New Roman" w:hAnsi="Times New Roman" w:eastAsia="仿宋_GB2312" w:cs="仿宋"/>
          <w:bCs/>
          <w:color w:val="000000"/>
          <w:sz w:val="32"/>
          <w:szCs w:val="32"/>
          <w:u w:val="none"/>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3" name="直接连接符 13"/>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1638.35pt;height:0.1pt;width:453.75pt;z-index:251660288;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Ivv85HXAAAACgEAAA8AAAAAAAAAAQAgAAAAIgAAAGRycy9kb3ducmV2LnhtbFBLAQIUABQA&#10;AAAIAIdO4kAJ1svO8QEAANsDAAAOAAAAAAAAAAEAIAAAACYBAABkcnMvZTJvRG9jLnhtbFBLBQYA&#10;AAAABgAGAFkBAACJBQAAAAA=&#10;">
                <v:fill on="f" focussize="0,0"/>
                <v:stroke weight="0.737007874015748pt" color="#000000" joinstyle="round" endcap="square"/>
                <v:imagedata o:title=""/>
                <o:lock v:ext="edit" aspectratio="f"/>
              </v:line>
            </w:pict>
          </mc:Fallback>
        </mc:AlternateConten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ngal">
    <w:panose1 w:val="02040503050203030202"/>
    <w:charset w:val="00"/>
    <w:family w:val="roman"/>
    <w:pitch w:val="default"/>
    <w:sig w:usb0="00008003"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266426">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D497AF">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BD497AF">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0A"/>
    <w:multiLevelType w:val="multilevel"/>
    <w:tmpl w:val="0000000A"/>
    <w:lvl w:ilvl="0" w:tentative="0">
      <w:start w:val="1"/>
      <w:numFmt w:val="none"/>
      <w:pStyle w:val="2"/>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M2U5YzI2ZWYzNzA3YjY5MWY2NDE1MjMyNWZjOTUifQ=="/>
    <w:docVar w:name="KSO_WPS_MARK_KEY" w:val="3a570657-d4b9-4633-8bde-b1be1a221b99"/>
  </w:docVars>
  <w:rsids>
    <w:rsidRoot w:val="5BA419F7"/>
    <w:rsid w:val="00193C35"/>
    <w:rsid w:val="0032134F"/>
    <w:rsid w:val="010A478A"/>
    <w:rsid w:val="02B83402"/>
    <w:rsid w:val="042774DD"/>
    <w:rsid w:val="048D2705"/>
    <w:rsid w:val="04CD463F"/>
    <w:rsid w:val="04FA4431"/>
    <w:rsid w:val="05C51508"/>
    <w:rsid w:val="06476E0A"/>
    <w:rsid w:val="06BAE61F"/>
    <w:rsid w:val="071C7669"/>
    <w:rsid w:val="07580619"/>
    <w:rsid w:val="0776795A"/>
    <w:rsid w:val="07DA78EE"/>
    <w:rsid w:val="08365B64"/>
    <w:rsid w:val="087864F3"/>
    <w:rsid w:val="090B4D3A"/>
    <w:rsid w:val="09290BEC"/>
    <w:rsid w:val="09AA7B69"/>
    <w:rsid w:val="0A2F38BD"/>
    <w:rsid w:val="0A3665F0"/>
    <w:rsid w:val="0B22091D"/>
    <w:rsid w:val="0CF71776"/>
    <w:rsid w:val="0D242541"/>
    <w:rsid w:val="0FB748D6"/>
    <w:rsid w:val="103E22C5"/>
    <w:rsid w:val="11524677"/>
    <w:rsid w:val="115320F9"/>
    <w:rsid w:val="119E3BCA"/>
    <w:rsid w:val="1350279A"/>
    <w:rsid w:val="14203063"/>
    <w:rsid w:val="143E1E38"/>
    <w:rsid w:val="14540C9E"/>
    <w:rsid w:val="1490670C"/>
    <w:rsid w:val="152E563E"/>
    <w:rsid w:val="15B93156"/>
    <w:rsid w:val="16D23D7F"/>
    <w:rsid w:val="18325353"/>
    <w:rsid w:val="188449CB"/>
    <w:rsid w:val="18B229B2"/>
    <w:rsid w:val="19FE4517"/>
    <w:rsid w:val="1AE345F4"/>
    <w:rsid w:val="1B37398D"/>
    <w:rsid w:val="1C7339BB"/>
    <w:rsid w:val="1C7A5BA8"/>
    <w:rsid w:val="1E664711"/>
    <w:rsid w:val="1EC222D9"/>
    <w:rsid w:val="1F2B5D07"/>
    <w:rsid w:val="1FC004DE"/>
    <w:rsid w:val="1FD31F15"/>
    <w:rsid w:val="212E3259"/>
    <w:rsid w:val="22287087"/>
    <w:rsid w:val="237778B4"/>
    <w:rsid w:val="23F5677C"/>
    <w:rsid w:val="24626694"/>
    <w:rsid w:val="258D6CE0"/>
    <w:rsid w:val="27A45517"/>
    <w:rsid w:val="2B1B3EFC"/>
    <w:rsid w:val="2CEA3815"/>
    <w:rsid w:val="2DE10173"/>
    <w:rsid w:val="2F327E79"/>
    <w:rsid w:val="2F7CE1EF"/>
    <w:rsid w:val="2F8A6913"/>
    <w:rsid w:val="30DB5683"/>
    <w:rsid w:val="30FA2F6D"/>
    <w:rsid w:val="31562B39"/>
    <w:rsid w:val="31BE0AF5"/>
    <w:rsid w:val="32CE76E8"/>
    <w:rsid w:val="3334290F"/>
    <w:rsid w:val="33740640"/>
    <w:rsid w:val="3585615B"/>
    <w:rsid w:val="363C12E3"/>
    <w:rsid w:val="368E5656"/>
    <w:rsid w:val="377FBB27"/>
    <w:rsid w:val="37F16547"/>
    <w:rsid w:val="38B63DA7"/>
    <w:rsid w:val="3930619F"/>
    <w:rsid w:val="3A4E178D"/>
    <w:rsid w:val="3BF97ECA"/>
    <w:rsid w:val="3C2965F0"/>
    <w:rsid w:val="3D6B1177"/>
    <w:rsid w:val="3E5F4AE1"/>
    <w:rsid w:val="3E853745"/>
    <w:rsid w:val="3F2604DF"/>
    <w:rsid w:val="3F6783E4"/>
    <w:rsid w:val="3F842066"/>
    <w:rsid w:val="3FFF82D4"/>
    <w:rsid w:val="402E7C06"/>
    <w:rsid w:val="40FE5F8F"/>
    <w:rsid w:val="425049CE"/>
    <w:rsid w:val="442B16EC"/>
    <w:rsid w:val="458F64B9"/>
    <w:rsid w:val="45C51FFB"/>
    <w:rsid w:val="46157ACD"/>
    <w:rsid w:val="46514458"/>
    <w:rsid w:val="47243FC5"/>
    <w:rsid w:val="48C10000"/>
    <w:rsid w:val="4A555101"/>
    <w:rsid w:val="4ADF49AE"/>
    <w:rsid w:val="4B8F0B22"/>
    <w:rsid w:val="4C02380F"/>
    <w:rsid w:val="4C7C04B3"/>
    <w:rsid w:val="4CC8271B"/>
    <w:rsid w:val="4D9306AE"/>
    <w:rsid w:val="4E8950D9"/>
    <w:rsid w:val="4F722566"/>
    <w:rsid w:val="4F93378A"/>
    <w:rsid w:val="503F09B5"/>
    <w:rsid w:val="516D5500"/>
    <w:rsid w:val="52802336"/>
    <w:rsid w:val="53A0483E"/>
    <w:rsid w:val="547C0750"/>
    <w:rsid w:val="55FE5622"/>
    <w:rsid w:val="57503162"/>
    <w:rsid w:val="58A4140A"/>
    <w:rsid w:val="591F0542"/>
    <w:rsid w:val="59A10938"/>
    <w:rsid w:val="5BA419F7"/>
    <w:rsid w:val="5BEF1DBF"/>
    <w:rsid w:val="5BF91583"/>
    <w:rsid w:val="5BFB2E57"/>
    <w:rsid w:val="5C5D2BD9"/>
    <w:rsid w:val="5DD7483B"/>
    <w:rsid w:val="5E5FAB03"/>
    <w:rsid w:val="5E605C94"/>
    <w:rsid w:val="5EA00CBE"/>
    <w:rsid w:val="5F9FEDD5"/>
    <w:rsid w:val="5FBEF003"/>
    <w:rsid w:val="5FE33914"/>
    <w:rsid w:val="5FFA4D85"/>
    <w:rsid w:val="602422E6"/>
    <w:rsid w:val="60B635F2"/>
    <w:rsid w:val="60C16F3B"/>
    <w:rsid w:val="612E7E8C"/>
    <w:rsid w:val="617678F3"/>
    <w:rsid w:val="61DC2B1A"/>
    <w:rsid w:val="636955DE"/>
    <w:rsid w:val="646E5E05"/>
    <w:rsid w:val="64E43803"/>
    <w:rsid w:val="657F58CB"/>
    <w:rsid w:val="66934D57"/>
    <w:rsid w:val="66EE2CBD"/>
    <w:rsid w:val="6AD7030F"/>
    <w:rsid w:val="6BA277B7"/>
    <w:rsid w:val="6BCC1BB9"/>
    <w:rsid w:val="6C6723F1"/>
    <w:rsid w:val="6CA517CF"/>
    <w:rsid w:val="6D064CEC"/>
    <w:rsid w:val="6D6C7F13"/>
    <w:rsid w:val="6D923254"/>
    <w:rsid w:val="6DD2313B"/>
    <w:rsid w:val="6E04767D"/>
    <w:rsid w:val="6E355D52"/>
    <w:rsid w:val="6E6950E9"/>
    <w:rsid w:val="6ED952C0"/>
    <w:rsid w:val="6F013B3F"/>
    <w:rsid w:val="6F732ABB"/>
    <w:rsid w:val="6FF58B64"/>
    <w:rsid w:val="6FF8F863"/>
    <w:rsid w:val="70CF02CA"/>
    <w:rsid w:val="70F532B7"/>
    <w:rsid w:val="71013020"/>
    <w:rsid w:val="710D7C3E"/>
    <w:rsid w:val="71FC56E7"/>
    <w:rsid w:val="7376089F"/>
    <w:rsid w:val="74E06ABE"/>
    <w:rsid w:val="75B2DA43"/>
    <w:rsid w:val="75BD90DB"/>
    <w:rsid w:val="75CC41D0"/>
    <w:rsid w:val="75F8119D"/>
    <w:rsid w:val="76222141"/>
    <w:rsid w:val="76704CDE"/>
    <w:rsid w:val="76D869B3"/>
    <w:rsid w:val="76FD0A98"/>
    <w:rsid w:val="77DF8BD4"/>
    <w:rsid w:val="77EFD5CC"/>
    <w:rsid w:val="77FFADAC"/>
    <w:rsid w:val="7835649C"/>
    <w:rsid w:val="789620E4"/>
    <w:rsid w:val="78FD530C"/>
    <w:rsid w:val="7AFB4DD2"/>
    <w:rsid w:val="7B0F6E9A"/>
    <w:rsid w:val="7BA46A39"/>
    <w:rsid w:val="7BFD6076"/>
    <w:rsid w:val="7C8E43D6"/>
    <w:rsid w:val="7DA813EB"/>
    <w:rsid w:val="7DFF108F"/>
    <w:rsid w:val="7EED8AE6"/>
    <w:rsid w:val="7F5A6980"/>
    <w:rsid w:val="7FEADF5C"/>
    <w:rsid w:val="91BF8AB9"/>
    <w:rsid w:val="9FF1B21D"/>
    <w:rsid w:val="B7BFD803"/>
    <w:rsid w:val="BD5EB179"/>
    <w:rsid w:val="BD7F788E"/>
    <w:rsid w:val="DEFF1EB3"/>
    <w:rsid w:val="DF3F4C88"/>
    <w:rsid w:val="DF7A9960"/>
    <w:rsid w:val="DFBF15D5"/>
    <w:rsid w:val="DFD70EC8"/>
    <w:rsid w:val="DFFE6C63"/>
    <w:rsid w:val="E53DE605"/>
    <w:rsid w:val="E775D448"/>
    <w:rsid w:val="ECC7B000"/>
    <w:rsid w:val="F0ED2927"/>
    <w:rsid w:val="F3EF5848"/>
    <w:rsid w:val="F5A28C7E"/>
    <w:rsid w:val="F9BF6AE4"/>
    <w:rsid w:val="FB57F652"/>
    <w:rsid w:val="FBBF88F6"/>
    <w:rsid w:val="FBFEBC90"/>
    <w:rsid w:val="FCF69F69"/>
    <w:rsid w:val="FD7BEF22"/>
    <w:rsid w:val="FD8BB826"/>
    <w:rsid w:val="FD9199D6"/>
    <w:rsid w:val="FDAC17BA"/>
    <w:rsid w:val="FDDF4064"/>
    <w:rsid w:val="FDF46C9E"/>
    <w:rsid w:val="FEAFF630"/>
    <w:rsid w:val="FEDEBCAC"/>
    <w:rsid w:val="FF7F62AA"/>
    <w:rsid w:val="FFDBA3A8"/>
    <w:rsid w:val="FFDF073B"/>
    <w:rsid w:val="FFFE0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numPr>
        <w:ilvl w:val="0"/>
        <w:numId w:val="1"/>
      </w:numPr>
      <w:spacing w:before="240" w:after="120"/>
      <w:jc w:val="left"/>
      <w:outlineLvl w:val="0"/>
    </w:pPr>
    <w:rPr>
      <w:rFonts w:ascii="Times New Roman" w:hAnsi="Times New Roman" w:cs="Mangal"/>
      <w:color w:val="00000A"/>
      <w:sz w:val="24"/>
      <w:lang w:val="zh-CN" w:bidi="hi-IN"/>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2698</Words>
  <Characters>3063</Characters>
  <Lines>0</Lines>
  <Paragraphs>0</Paragraphs>
  <TotalTime>1</TotalTime>
  <ScaleCrop>false</ScaleCrop>
  <LinksUpToDate>false</LinksUpToDate>
  <CharactersWithSpaces>3172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2021-08-02T10:04:00Z</dcterms:created>
  <dc:creator>胖林宝宝噜啦噜～</dc:creator>
  <cp:lastModifiedBy>王建清</cp:lastModifiedBy>
  <dcterms:modified xsi:type="dcterms:W3CDTF">2025-08-19T06:44:12Z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CC58A18EAEBC40A2B1674F3CECCA5F0C_13</vt:lpwstr>
  </property>
  <property fmtid="{D5CDD505-2E9C-101B-9397-08002B2CF9AE}" pid="4" name="KSOTemplateDocerSaveRecord">
    <vt:lpwstr>eyJoZGlkIjoiOTJkNzdiMWY1ZWU2ZWU3NmE4ZTUxNGRmYWVhMzdjNDQiLCJ1c2VySWQiOiI4ODA3MzMzNDYifQ==</vt:lpwstr>
  </property>
</Properties>
</file>