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88C7A">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1756935B">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0AA17706">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偃市监处罚〔2025〕38号</w:t>
      </w:r>
      <w:bookmarkEnd w:id="2"/>
    </w:p>
    <w:p w14:paraId="73D1F367">
      <w:pPr>
        <w:keepNext w:val="0"/>
        <w:keepLines w:val="0"/>
        <w:pageBreakBefore w:val="0"/>
        <w:kinsoku/>
        <w:overflowPunct/>
        <w:topLinePunct w:val="0"/>
        <w:bidi w:val="0"/>
        <w:spacing w:before="315" w:beforeLines="100" w:line="580" w:lineRule="exact"/>
        <w:ind w:left="142" w:hanging="142"/>
        <w:jc w:val="both"/>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kern w:val="0"/>
          <w:sz w:val="32"/>
          <w:szCs w:val="32"/>
          <w:u w:val="none" w:color="231F20"/>
          <w:lang w:val="en-US" w:eastAsia="zh-CN" w:bidi="ar-SA"/>
        </w:rPr>
        <w:t>偃师市翟镇忻乐眼镜店</w:t>
      </w:r>
      <w:bookmarkEnd w:id="3"/>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p>
    <w:p w14:paraId="469961E6">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szCs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08C73F97">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kern w:val="0"/>
          <w:sz w:val="32"/>
          <w:szCs w:val="32"/>
          <w:u w:val="none" w:color="231F20"/>
          <w:lang w:val="en-US" w:eastAsia="zh-CN" w:bidi="ar-SA"/>
        </w:rPr>
        <w:t>92410381MA4338F43G</w:t>
      </w:r>
      <w:bookmarkEnd w:id="5"/>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p>
    <w:p w14:paraId="4D1C7FC4">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lang w:eastAsia="zh-CN"/>
        </w:rPr>
        <w:t>经营场所</w:t>
      </w:r>
      <w:r>
        <w:rPr>
          <w:rFonts w:hint="eastAsia" w:ascii="仿宋_GB2312" w:hAnsi="仿宋_GB2312" w:eastAsia="仿宋_GB2312" w:cs="仿宋_GB2312"/>
          <w:b w:val="0"/>
          <w:bCs/>
          <w:color w:val="000000"/>
          <w:kern w:val="1"/>
          <w:sz w:val="32"/>
          <w:szCs w:val="32"/>
          <w:u w:val="none"/>
        </w:rPr>
        <w:t>：</w:t>
      </w:r>
      <w:bookmarkStart w:id="6" w:name="CALCULATE—DSR—tAjDsrs_cLxdzSheng"/>
      <w:r>
        <w:rPr>
          <w:rFonts w:hint="eastAsia" w:ascii="仿宋_GB2312" w:hAnsi="仿宋_GB2312" w:eastAsia="仿宋_GB2312" w:cs="仿宋_GB2312"/>
          <w:b w:val="0"/>
          <w:color w:val="000000"/>
          <w:kern w:val="0"/>
          <w:sz w:val="32"/>
          <w:szCs w:val="32"/>
          <w:u w:val="none" w:color="231F20"/>
          <w:lang w:val="en-US" w:eastAsia="zh-CN" w:bidi="ar-SA"/>
        </w:rPr>
        <w:t>河南省偃师市翟镇翟东村</w:t>
      </w:r>
      <w:bookmarkEnd w:id="6"/>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1910ED59">
      <w:pPr>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kern w:val="0"/>
          <w:sz w:val="32"/>
          <w:szCs w:val="32"/>
          <w:u w:val="none" w:color="231F20"/>
          <w:lang w:val="en-US" w:eastAsia="zh-CN" w:bidi="ar-SA"/>
        </w:rPr>
        <w:t>庞利娟</w:t>
      </w:r>
      <w:bookmarkEnd w:id="7"/>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p>
    <w:p w14:paraId="3F37013E">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sz w:val="32"/>
          <w:szCs w:val="32"/>
          <w:u w:val="single" w:color="231F20"/>
        </w:rPr>
      </w:pPr>
      <w:bookmarkStart w:id="15" w:name="_GoBack"/>
      <w:bookmarkEnd w:id="15"/>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p>
    <w:p w14:paraId="09378DC2">
      <w:pPr>
        <w:pStyle w:val="4"/>
        <w:keepNext w:val="0"/>
        <w:keepLines w:val="0"/>
        <w:pageBreakBefore w:val="0"/>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szCs w:val="32"/>
          <w:u w:val="none" w:color="231F20"/>
        </w:rPr>
        <w:t>202</w:t>
      </w:r>
      <w:r>
        <w:rPr>
          <w:rFonts w:hint="eastAsia" w:ascii="仿宋_GB2312" w:hAnsi="仿宋_GB2312" w:eastAsia="仿宋_GB2312" w:cs="仿宋_GB2312"/>
          <w:b w:val="0"/>
          <w:color w:val="000000"/>
          <w:sz w:val="32"/>
          <w:szCs w:val="32"/>
          <w:u w:val="none" w:color="231F20"/>
          <w:lang w:val="en-US" w:eastAsia="zh-CN"/>
        </w:rPr>
        <w:t>5</w:t>
      </w:r>
      <w:r>
        <w:rPr>
          <w:rFonts w:hint="eastAsia" w:ascii="仿宋_GB2312" w:hAnsi="仿宋_GB2312" w:eastAsia="仿宋_GB2312" w:cs="仿宋_GB2312"/>
          <w:b w:val="0"/>
          <w:color w:val="000000"/>
          <w:sz w:val="32"/>
          <w:szCs w:val="32"/>
          <w:u w:val="none" w:color="231F20"/>
        </w:rPr>
        <w:t>年</w:t>
      </w:r>
      <w:r>
        <w:rPr>
          <w:rFonts w:hint="eastAsia" w:ascii="仿宋_GB2312" w:hAnsi="仿宋_GB2312" w:eastAsia="仿宋_GB2312" w:cs="仿宋_GB2312"/>
          <w:b w:val="0"/>
          <w:color w:val="000000"/>
          <w:sz w:val="32"/>
          <w:szCs w:val="32"/>
          <w:u w:val="none" w:color="231F20"/>
          <w:lang w:val="en-US" w:eastAsia="zh-CN"/>
        </w:rPr>
        <w:t>2</w:t>
      </w:r>
      <w:r>
        <w:rPr>
          <w:rFonts w:hint="eastAsia" w:ascii="仿宋_GB2312" w:hAnsi="仿宋_GB2312" w:eastAsia="仿宋_GB2312" w:cs="仿宋_GB2312"/>
          <w:b w:val="0"/>
          <w:color w:val="000000"/>
          <w:sz w:val="32"/>
          <w:szCs w:val="32"/>
          <w:u w:val="none" w:color="231F20"/>
        </w:rPr>
        <w:t>月</w:t>
      </w:r>
      <w:r>
        <w:rPr>
          <w:rFonts w:hint="eastAsia" w:ascii="仿宋_GB2312" w:hAnsi="仿宋_GB2312" w:eastAsia="仿宋_GB2312" w:cs="仿宋_GB2312"/>
          <w:b w:val="0"/>
          <w:color w:val="000000"/>
          <w:sz w:val="32"/>
          <w:szCs w:val="32"/>
          <w:u w:val="none" w:color="231F20"/>
          <w:lang w:val="en-US" w:eastAsia="zh-CN"/>
        </w:rPr>
        <w:t>11</w:t>
      </w:r>
      <w:r>
        <w:rPr>
          <w:rFonts w:hint="eastAsia" w:ascii="仿宋_GB2312" w:hAnsi="仿宋_GB2312" w:eastAsia="仿宋_GB2312" w:cs="仿宋_GB2312"/>
          <w:b w:val="0"/>
          <w:color w:val="000000"/>
          <w:sz w:val="32"/>
          <w:szCs w:val="32"/>
          <w:u w:val="none" w:color="231F20"/>
        </w:rPr>
        <w:t>日，我局执法人员</w:t>
      </w:r>
      <w:r>
        <w:rPr>
          <w:rFonts w:hint="eastAsia" w:ascii="仿宋_GB2312" w:hAnsi="仿宋_GB2312" w:eastAsia="仿宋_GB2312" w:cs="仿宋_GB2312"/>
          <w:b w:val="0"/>
          <w:color w:val="000000"/>
          <w:sz w:val="32"/>
          <w:szCs w:val="32"/>
          <w:u w:val="none" w:color="231F20"/>
          <w:lang w:val="en-US" w:eastAsia="zh-CN"/>
        </w:rPr>
        <w:t>赵丹</w:t>
      </w:r>
      <w:r>
        <w:rPr>
          <w:rFonts w:hint="eastAsia" w:ascii="仿宋_GB2312" w:hAnsi="仿宋_GB2312" w:eastAsia="仿宋_GB2312" w:cs="仿宋_GB2312"/>
          <w:b w:val="0"/>
          <w:color w:val="000000"/>
          <w:sz w:val="32"/>
          <w:szCs w:val="32"/>
          <w:u w:val="none" w:color="231F20"/>
        </w:rPr>
        <w:t>、史晓伟在进行执法检查时，发现偃师市翟镇忻乐眼镜店经营有：海俪恩隐形眼镜多功能护理液2盒（120ml/盒，注册号：国械注准20153160956）。以上</w:t>
      </w:r>
      <w:r>
        <w:rPr>
          <w:rFonts w:hint="eastAsia" w:ascii="仿宋_GB2312" w:hAnsi="仿宋_GB2312" w:eastAsia="仿宋_GB2312" w:cs="仿宋_GB2312"/>
          <w:b w:val="0"/>
          <w:color w:val="000000"/>
          <w:sz w:val="32"/>
          <w:szCs w:val="32"/>
          <w:u w:val="none" w:color="231F20"/>
          <w:lang w:val="en-US" w:eastAsia="zh-CN"/>
        </w:rPr>
        <w:t>产品</w:t>
      </w:r>
      <w:r>
        <w:rPr>
          <w:rFonts w:hint="eastAsia" w:ascii="仿宋_GB2312" w:hAnsi="仿宋_GB2312" w:eastAsia="仿宋_GB2312" w:cs="仿宋_GB2312"/>
          <w:b w:val="0"/>
          <w:color w:val="000000"/>
          <w:sz w:val="32"/>
          <w:szCs w:val="32"/>
          <w:u w:val="none" w:color="231F20"/>
        </w:rPr>
        <w:t>为三类医疗器械（予以扣押，详见编号为YX00</w:t>
      </w:r>
      <w:r>
        <w:rPr>
          <w:rFonts w:hint="eastAsia" w:ascii="仿宋_GB2312" w:hAnsi="仿宋_GB2312" w:eastAsia="仿宋_GB2312" w:cs="仿宋_GB2312"/>
          <w:b w:val="0"/>
          <w:color w:val="000000"/>
          <w:sz w:val="32"/>
          <w:szCs w:val="32"/>
          <w:u w:val="none" w:color="231F20"/>
          <w:lang w:val="en-US" w:eastAsia="zh-CN"/>
        </w:rPr>
        <w:t>02</w:t>
      </w:r>
      <w:r>
        <w:rPr>
          <w:rFonts w:hint="eastAsia" w:ascii="仿宋_GB2312" w:hAnsi="仿宋_GB2312" w:eastAsia="仿宋_GB2312" w:cs="仿宋_GB2312"/>
          <w:b w:val="0"/>
          <w:color w:val="000000"/>
          <w:sz w:val="32"/>
          <w:szCs w:val="32"/>
          <w:u w:val="none" w:color="231F20"/>
        </w:rPr>
        <w:t>的物品清单）</w:t>
      </w:r>
      <w:r>
        <w:rPr>
          <w:rFonts w:hint="eastAsia" w:ascii="仿宋_GB2312" w:hAnsi="仿宋_GB2312" w:eastAsia="仿宋_GB2312" w:cs="仿宋_GB2312"/>
          <w:b w:val="0"/>
          <w:color w:val="000000"/>
          <w:sz w:val="32"/>
          <w:szCs w:val="32"/>
          <w:u w:val="none" w:color="231F20"/>
          <w:lang w:eastAsia="zh-CN"/>
        </w:rPr>
        <w:t>，</w:t>
      </w:r>
      <w:r>
        <w:rPr>
          <w:rFonts w:hint="eastAsia" w:ascii="仿宋_GB2312" w:hAnsi="仿宋_GB2312" w:eastAsia="仿宋_GB2312" w:cs="仿宋_GB2312"/>
          <w:b w:val="0"/>
          <w:color w:val="000000"/>
          <w:sz w:val="32"/>
          <w:szCs w:val="32"/>
          <w:u w:val="none" w:color="231F20"/>
        </w:rPr>
        <w:t>当事人不能提供《医疗器械经营许可证》。</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6C5A395E">
      <w:pPr>
        <w:pStyle w:val="4"/>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bCs/>
          <w:color w:val="000000"/>
          <w:kern w:val="1"/>
          <w:sz w:val="32"/>
          <w:szCs w:val="32"/>
          <w:u w:val="none"/>
          <w:lang w:eastAsia="zh-CN"/>
        </w:rPr>
        <w:t>当事人</w:t>
      </w:r>
      <w:bookmarkEnd w:id="9"/>
      <w:r>
        <w:rPr>
          <w:rFonts w:hint="eastAsia" w:ascii="仿宋_GB2312" w:hAnsi="仿宋_GB2312" w:eastAsia="仿宋_GB2312" w:cs="仿宋_GB2312"/>
          <w:b w:val="0"/>
          <w:color w:val="000000"/>
          <w:sz w:val="32"/>
          <w:szCs w:val="32"/>
          <w:u w:val="none" w:color="231F20"/>
        </w:rPr>
        <w:t>于2024年8月从郑州升龙国际眼镜城陈峰眼镜店购进的该产品，共购进20瓶，购进价格为10元/瓶，售出18瓶，销售价格15元/瓶。违法所得270元，货值金额300元。</w:t>
      </w:r>
      <w:r>
        <w:rPr>
          <w:rFonts w:hint="eastAsia" w:ascii="仿宋_GB2312" w:hAnsi="仿宋_GB2312" w:eastAsia="仿宋_GB2312" w:cs="仿宋_GB2312"/>
          <w:b w:val="0"/>
          <w:color w:val="000000"/>
          <w:sz w:val="32"/>
          <w:szCs w:val="32"/>
          <w:u w:val="none" w:color="231F20"/>
          <w:lang w:eastAsia="zh-CN"/>
        </w:rPr>
        <w:t>当事人</w:t>
      </w:r>
      <w:r>
        <w:rPr>
          <w:rFonts w:hint="eastAsia" w:ascii="仿宋_GB2312" w:hAnsi="仿宋_GB2312" w:eastAsia="仿宋_GB2312" w:cs="仿宋_GB2312"/>
          <w:b w:val="0"/>
          <w:bCs/>
          <w:color w:val="000000"/>
          <w:kern w:val="1"/>
          <w:sz w:val="32"/>
          <w:szCs w:val="32"/>
          <w:u w:val="none"/>
          <w:lang w:eastAsia="zh-CN"/>
        </w:rPr>
        <w:t>未办理</w:t>
      </w:r>
      <w:r>
        <w:rPr>
          <w:rFonts w:hint="eastAsia" w:ascii="仿宋_GB2312" w:hAnsi="仿宋_GB2312" w:eastAsia="仿宋_GB2312" w:cs="仿宋_GB2312"/>
          <w:b w:val="0"/>
          <w:color w:val="000000"/>
          <w:sz w:val="32"/>
          <w:szCs w:val="32"/>
          <w:u w:val="none" w:color="231F20"/>
        </w:rPr>
        <w:t>《医疗器械经营许可证》</w:t>
      </w:r>
      <w:r>
        <w:rPr>
          <w:rFonts w:hint="eastAsia" w:ascii="仿宋_GB2312" w:hAnsi="仿宋_GB2312" w:eastAsia="仿宋_GB2312" w:cs="仿宋_GB2312"/>
          <w:b w:val="0"/>
          <w:color w:val="000000"/>
          <w:sz w:val="32"/>
          <w:szCs w:val="32"/>
          <w:u w:val="none" w:color="231F20"/>
          <w:lang w:eastAsia="zh-CN"/>
        </w:rPr>
        <w:t>从事第三类医疗器械经营活动。</w:t>
      </w:r>
    </w:p>
    <w:p w14:paraId="3EC9BC71">
      <w:pPr>
        <w:pStyle w:val="4"/>
        <w:keepNext w:val="0"/>
        <w:keepLines w:val="0"/>
        <w:pageBreakBefore w:val="0"/>
        <w:tabs>
          <w:tab w:val="left" w:pos="8285"/>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000000"/>
          <w:kern w:val="1"/>
          <w:sz w:val="32"/>
          <w:szCs w:val="32"/>
          <w:u w:val="none"/>
        </w:rPr>
      </w:pPr>
      <w:r>
        <w:rPr>
          <w:rFonts w:hint="eastAsia" w:ascii="仿宋_GB2312" w:hAnsi="仿宋_GB2312" w:eastAsia="仿宋_GB2312" w:cs="仿宋_GB2312"/>
          <w:b w:val="0"/>
          <w:bCs/>
          <w:color w:val="000000"/>
          <w:kern w:val="1"/>
          <w:sz w:val="32"/>
          <w:szCs w:val="32"/>
          <w:u w:val="none"/>
        </w:rPr>
        <w:t>上述事实，主要有以下证据证明：</w:t>
      </w:r>
      <w:bookmarkStart w:id="10" w:name="CALCULATE—ZJCL—tajCltjes_zjclxx"/>
    </w:p>
    <w:p w14:paraId="676D8F8D">
      <w:pPr>
        <w:pStyle w:val="4"/>
        <w:keepNext w:val="0"/>
        <w:keepLines w:val="0"/>
        <w:pageBreakBefore w:val="0"/>
        <w:numPr>
          <w:ilvl w:val="0"/>
          <w:numId w:val="0"/>
        </w:numPr>
        <w:tabs>
          <w:tab w:val="left" w:pos="8285"/>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color w:val="000000"/>
          <w:sz w:val="32"/>
          <w:szCs w:val="32"/>
          <w:u w:val="none"/>
          <w:lang w:val="en-US" w:eastAsia="zh-CN"/>
        </w:rPr>
      </w:pPr>
      <w:r>
        <w:rPr>
          <w:rFonts w:hint="eastAsia" w:ascii="仿宋_GB2312" w:hAnsi="仿宋_GB2312" w:eastAsia="仿宋_GB2312" w:cs="仿宋_GB2312"/>
          <w:b w:val="0"/>
          <w:color w:val="000000"/>
          <w:sz w:val="32"/>
          <w:szCs w:val="32"/>
          <w:u w:val="none"/>
          <w:lang w:val="en-US" w:eastAsia="zh-CN"/>
        </w:rPr>
        <w:t>1.</w:t>
      </w:r>
      <w:r>
        <w:rPr>
          <w:rFonts w:hint="eastAsia" w:ascii="仿宋_GB2312" w:hAnsi="仿宋_GB2312" w:eastAsia="仿宋_GB2312" w:cs="仿宋_GB2312"/>
          <w:b w:val="0"/>
          <w:color w:val="000000"/>
          <w:sz w:val="32"/>
          <w:szCs w:val="32"/>
          <w:u w:val="none"/>
        </w:rPr>
        <w:t>现场笔录，证明现场检查</w:t>
      </w:r>
      <w:r>
        <w:rPr>
          <w:rFonts w:hint="eastAsia" w:ascii="仿宋_GB2312" w:hAnsi="仿宋_GB2312" w:eastAsia="仿宋_GB2312" w:cs="仿宋_GB2312"/>
          <w:b w:val="0"/>
          <w:color w:val="000000"/>
          <w:sz w:val="32"/>
          <w:szCs w:val="32"/>
          <w:u w:val="none"/>
          <w:lang w:eastAsia="zh-CN"/>
        </w:rPr>
        <w:t>当事人违法</w:t>
      </w:r>
      <w:r>
        <w:rPr>
          <w:rFonts w:hint="eastAsia" w:ascii="仿宋_GB2312" w:hAnsi="仿宋_GB2312" w:eastAsia="仿宋_GB2312" w:cs="仿宋_GB2312"/>
          <w:b w:val="0"/>
          <w:color w:val="000000"/>
          <w:sz w:val="32"/>
          <w:szCs w:val="32"/>
          <w:u w:val="none"/>
        </w:rPr>
        <w:t>情况</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2.财务清单，证明扣押财</w:t>
      </w:r>
      <w:r>
        <w:rPr>
          <w:rFonts w:hint="eastAsia" w:ascii="仿宋_GB2312" w:hAnsi="仿宋_GB2312" w:eastAsia="仿宋_GB2312" w:cs="仿宋_GB2312"/>
          <w:b w:val="0"/>
          <w:color w:val="000000"/>
          <w:sz w:val="32"/>
          <w:szCs w:val="32"/>
          <w:u w:val="none"/>
          <w:lang w:eastAsia="zh-CN"/>
        </w:rPr>
        <w:t>物</w:t>
      </w:r>
      <w:r>
        <w:rPr>
          <w:rFonts w:hint="eastAsia" w:ascii="仿宋_GB2312" w:hAnsi="仿宋_GB2312" w:eastAsia="仿宋_GB2312" w:cs="仿宋_GB2312"/>
          <w:b w:val="0"/>
          <w:color w:val="000000"/>
          <w:sz w:val="32"/>
          <w:szCs w:val="32"/>
          <w:u w:val="none"/>
        </w:rPr>
        <w:t>名称、规格、数量</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3.实施行政强制措施决定书，证明行政强制措施的</w:t>
      </w:r>
      <w:r>
        <w:rPr>
          <w:rFonts w:hint="eastAsia" w:ascii="仿宋_GB2312" w:hAnsi="仿宋_GB2312" w:eastAsia="仿宋_GB2312" w:cs="仿宋_GB2312"/>
          <w:b w:val="0"/>
          <w:color w:val="000000"/>
          <w:sz w:val="32"/>
          <w:szCs w:val="32"/>
          <w:u w:val="none"/>
          <w:lang w:eastAsia="zh-CN"/>
        </w:rPr>
        <w:t>情况；</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4.营业执照、身份证复印件及供货方营业执照等资料，证明当事人的</w:t>
      </w:r>
      <w:r>
        <w:rPr>
          <w:rFonts w:hint="eastAsia" w:ascii="仿宋_GB2312" w:hAnsi="仿宋_GB2312" w:eastAsia="仿宋_GB2312" w:cs="仿宋_GB2312"/>
          <w:b w:val="0"/>
          <w:color w:val="000000"/>
          <w:sz w:val="32"/>
          <w:szCs w:val="32"/>
          <w:u w:val="none"/>
          <w:lang w:eastAsia="zh-CN"/>
        </w:rPr>
        <w:t>主体</w:t>
      </w:r>
      <w:r>
        <w:rPr>
          <w:rFonts w:hint="eastAsia" w:ascii="仿宋_GB2312" w:hAnsi="仿宋_GB2312" w:eastAsia="仿宋_GB2312" w:cs="仿宋_GB2312"/>
          <w:b w:val="0"/>
          <w:color w:val="000000"/>
          <w:sz w:val="32"/>
          <w:szCs w:val="32"/>
          <w:u w:val="none"/>
        </w:rPr>
        <w:t>资格以及涉嫌违法物品来源</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5.询问笔录及送达地址确认书，证明证明当事人经营情况</w:t>
      </w:r>
      <w:bookmarkEnd w:id="10"/>
      <w:bookmarkStart w:id="11" w:name="CALCULATE—XZCFJDS—cCfgzwsSdrq"/>
      <w:r>
        <w:rPr>
          <w:rFonts w:hint="eastAsia" w:ascii="仿宋_GB2312" w:hAnsi="仿宋_GB2312" w:eastAsia="仿宋_GB2312" w:cs="仿宋_GB2312"/>
          <w:b w:val="0"/>
          <w:color w:val="000000"/>
          <w:sz w:val="32"/>
          <w:szCs w:val="32"/>
          <w:u w:val="none"/>
          <w:lang w:eastAsia="zh-CN"/>
        </w:rPr>
        <w:t>。</w:t>
      </w:r>
    </w:p>
    <w:p w14:paraId="4A37973D">
      <w:pPr>
        <w:pStyle w:val="4"/>
        <w:keepNext w:val="0"/>
        <w:keepLines w:val="0"/>
        <w:pageBreakBefore w:val="0"/>
        <w:numPr>
          <w:ilvl w:val="0"/>
          <w:numId w:val="0"/>
        </w:numPr>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color w:val="000000"/>
          <w:kern w:val="1"/>
          <w:sz w:val="32"/>
          <w:szCs w:val="32"/>
          <w:u w:val="none"/>
        </w:rPr>
      </w:pPr>
      <w:r>
        <w:rPr>
          <w:rFonts w:hint="eastAsia" w:ascii="仿宋_GB2312" w:hAnsi="仿宋_GB2312" w:eastAsia="仿宋_GB2312" w:cs="仿宋_GB2312"/>
          <w:color w:val="000000"/>
          <w:kern w:val="1"/>
          <w:sz w:val="32"/>
          <w:szCs w:val="32"/>
          <w:u w:val="none"/>
        </w:rPr>
        <w:t>当事人上述行为违反了《医疗器械监督管理条例》第四十二条“从事第三类医疗器械经营的，经营企业应当向所在地设区的市级人民政府负责药品监督管理的部门申请经营许可并提交符合本条例第四十条规定条件的有关资料。受理经营许可申请的负责药品监督管理的部门应当对申请资料进行审查，必要时组织核查，并自受理申请之日起20个工作日内作出决定。对符合规定条件的，准予许可并发给医疗器械经营许可证；对不符合规定条件的，不予许可并书面说明理由。”</w:t>
      </w:r>
      <w:r>
        <w:rPr>
          <w:rFonts w:hint="eastAsia" w:ascii="仿宋_GB2312" w:hAnsi="仿宋_GB2312" w:eastAsia="仿宋_GB2312" w:cs="仿宋_GB2312"/>
          <w:color w:val="000000"/>
          <w:kern w:val="1"/>
          <w:sz w:val="32"/>
          <w:szCs w:val="32"/>
          <w:u w:val="none"/>
          <w:lang w:eastAsia="zh-CN"/>
        </w:rPr>
        <w:t>之规定，</w:t>
      </w:r>
      <w:r>
        <w:rPr>
          <w:rFonts w:hint="eastAsia" w:ascii="仿宋_GB2312" w:hAnsi="仿宋_GB2312" w:eastAsia="仿宋_GB2312" w:cs="仿宋_GB2312"/>
          <w:color w:val="000000"/>
          <w:kern w:val="1"/>
          <w:sz w:val="32"/>
          <w:szCs w:val="32"/>
          <w:u w:val="none"/>
        </w:rPr>
        <w:t>属于无《医疗器械经营许可证》经营第三类医疗器械。鉴于本案当事人积极配合药品监督管理部门调查并主动提供证据材料，参照《药品监督管理行政处罚裁量适用规则》第十一条“当事人有下列情形之一的，可以从轻或者减轻行政处罚：（二）积极配合药品监督管理部门调查并主动提供证据材料的；”的规定，可以依法对其减轻行政处罚。</w:t>
      </w:r>
    </w:p>
    <w:p w14:paraId="1AA52321">
      <w:pPr>
        <w:pStyle w:val="4"/>
        <w:keepNext w:val="0"/>
        <w:keepLines w:val="0"/>
        <w:pageBreakBefore w:val="0"/>
        <w:numPr>
          <w:ilvl w:val="0"/>
          <w:numId w:val="0"/>
        </w:numPr>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color w:val="000000"/>
          <w:sz w:val="32"/>
          <w:szCs w:val="32"/>
          <w:u w:val="none"/>
          <w:lang w:val="en-US" w:eastAsia="zh-CN"/>
        </w:rPr>
        <w:t>2025</w:t>
      </w:r>
      <w:r>
        <w:rPr>
          <w:rFonts w:hint="eastAsia" w:ascii="仿宋_GB2312" w:hAnsi="仿宋_GB2312" w:eastAsia="仿宋_GB2312" w:cs="仿宋_GB2312"/>
          <w:b w:val="0"/>
          <w:color w:val="000000"/>
          <w:sz w:val="32"/>
          <w:szCs w:val="32"/>
          <w:u w:val="none"/>
        </w:rPr>
        <w:t>年03月</w:t>
      </w:r>
      <w:r>
        <w:rPr>
          <w:rFonts w:hint="eastAsia" w:ascii="仿宋_GB2312" w:hAnsi="仿宋_GB2312" w:eastAsia="仿宋_GB2312" w:cs="仿宋_GB2312"/>
          <w:b w:val="0"/>
          <w:color w:val="000000"/>
          <w:sz w:val="32"/>
          <w:szCs w:val="32"/>
          <w:u w:val="none"/>
          <w:lang w:val="en-US" w:eastAsia="zh-CN"/>
        </w:rPr>
        <w:t>24</w:t>
      </w:r>
      <w:r>
        <w:rPr>
          <w:rFonts w:hint="eastAsia" w:ascii="仿宋_GB2312" w:hAnsi="仿宋_GB2312" w:eastAsia="仿宋_GB2312" w:cs="仿宋_GB2312"/>
          <w:b w:val="0"/>
          <w:color w:val="000000"/>
          <w:sz w:val="32"/>
          <w:szCs w:val="32"/>
          <w:u w:val="none"/>
        </w:rPr>
        <w:t>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szCs w:val="32"/>
          <w:u w:val="none"/>
        </w:rPr>
        <w:t>偃市监罚告〔2025〕</w:t>
      </w:r>
      <w:r>
        <w:rPr>
          <w:rFonts w:hint="eastAsia" w:ascii="仿宋_GB2312" w:hAnsi="仿宋_GB2312" w:eastAsia="仿宋_GB2312" w:cs="仿宋_GB2312"/>
          <w:b w:val="0"/>
          <w:color w:val="000000"/>
          <w:sz w:val="32"/>
          <w:szCs w:val="32"/>
          <w:u w:val="none"/>
          <w:lang w:val="en-US" w:eastAsia="zh-CN"/>
        </w:rPr>
        <w:t>32</w:t>
      </w:r>
      <w:r>
        <w:rPr>
          <w:rFonts w:hint="eastAsia" w:ascii="仿宋_GB2312" w:hAnsi="仿宋_GB2312" w:eastAsia="仿宋_GB2312" w:cs="仿宋_GB2312"/>
          <w:b w:val="0"/>
          <w:color w:val="000000"/>
          <w:sz w:val="32"/>
          <w:szCs w:val="32"/>
          <w:u w:val="none"/>
        </w:rPr>
        <w:t>号</w:t>
      </w:r>
      <w:bookmarkEnd w:id="12"/>
      <w:r>
        <w:rPr>
          <w:rFonts w:hint="eastAsia" w:ascii="仿宋_GB2312" w:hAnsi="仿宋_GB2312" w:eastAsia="仿宋_GB2312" w:cs="仿宋_GB2312"/>
          <w:b w:val="0"/>
          <w:bCs/>
          <w:color w:val="000000"/>
          <w:sz w:val="32"/>
          <w:szCs w:val="32"/>
          <w:u w:val="none"/>
        </w:rPr>
        <w:t>)，</w:t>
      </w:r>
      <w:r>
        <w:rPr>
          <w:rFonts w:hint="eastAsia" w:ascii="仿宋_GB2312" w:hAnsi="仿宋_GB2312" w:eastAsia="仿宋_GB2312" w:cs="仿宋_GB2312"/>
          <w:color w:val="000000"/>
          <w:sz w:val="32"/>
          <w:szCs w:val="32"/>
          <w:u w:val="none"/>
          <w:lang w:eastAsia="zh-CN"/>
        </w:rPr>
        <w:t>告知当事人我局拟作出行政处罚决定的事实、理由、依据、内容以及当事人依法享有的陈述权、申辩权，当事人在法定期限内未提出陈述、申辩意见。</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0E8FF571">
      <w:pPr>
        <w:pStyle w:val="4"/>
        <w:keepNext w:val="0"/>
        <w:keepLines w:val="0"/>
        <w:pageBreakBefore w:val="0"/>
        <w:kinsoku/>
        <w:overflowPunct/>
        <w:topLinePunct w:val="0"/>
        <w:bidi w:val="0"/>
        <w:spacing w:line="580" w:lineRule="exact"/>
        <w:ind w:firstLine="627" w:firstLineChars="196"/>
        <w:jc w:val="both"/>
        <w:textAlignment w:val="auto"/>
        <w:rPr>
          <w:rFonts w:hint="eastAsia" w:ascii="仿宋_GB2312" w:hAnsi="仿宋_GB2312" w:eastAsia="仿宋_GB2312" w:cs="仿宋_GB2312"/>
          <w:b w:val="0"/>
          <w:bCs/>
          <w:color w:val="auto"/>
          <w:sz w:val="32"/>
          <w:szCs w:val="32"/>
          <w:u w:val="single"/>
          <w:lang w:val="en-US" w:eastAsia="zh-CN"/>
        </w:rPr>
      </w:pPr>
      <w:bookmarkStart w:id="13" w:name="CALCULATE—XZCFJDS—xzcfjdswfxx"/>
      <w:r>
        <w:rPr>
          <w:rFonts w:hint="eastAsia" w:ascii="仿宋_GB2312" w:hAnsi="仿宋_GB2312" w:eastAsia="仿宋_GB2312" w:cs="仿宋_GB2312"/>
          <w:b w:val="0"/>
          <w:color w:val="000000"/>
          <w:sz w:val="32"/>
          <w:szCs w:val="32"/>
          <w:u w:val="none"/>
        </w:rPr>
        <w:t>依据《医疗器械监督管理条例（2024修订）》第八十一条第一款第三项</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t>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三)未经许可从事第三类医疗器械经营活动。</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t>的规定。</w:t>
      </w:r>
      <w:r>
        <w:rPr>
          <w:rFonts w:hint="eastAsia" w:ascii="仿宋_GB2312" w:hAnsi="仿宋_GB2312" w:eastAsia="仿宋_GB2312" w:cs="仿宋_GB2312"/>
          <w:b w:val="0"/>
          <w:color w:val="000000"/>
          <w:sz w:val="32"/>
          <w:szCs w:val="32"/>
          <w:u w:val="none"/>
          <w:lang w:eastAsia="zh-CN"/>
        </w:rPr>
        <w:t>参照《医疗器械类行政处罚裁量基准》医疗器械监督管理条例行政处罚裁量基准1.1“依据《医疗器械监督管理条例》第八十一条第一款实施的行政处罚 裁量等级 减轻 裁量基准 由负责药品监督管理的部门没收违法所得、违法生产经营的医疗器械和用于违法生产经营的工具、设备、原材料等物品；违法生产经营的医疗器械货值金额不足1万元的，处5万元以下罚款；货值金额1万元以上的，处货值金额 15倍以下罚款；情节严重的，责令停产停业，10 年内不受理相关责任人以及单位提出的医疗器械许可申请，对违法单位的法定代表人、主要负责人、直接负责的主管人员和其他责任人员，没收违法行为发生期间自本单位所获收入，并处所获收入30%以下罚款，终身禁止其从事医疗器械生产经营活动。”的规定，对</w:t>
      </w:r>
      <w:r>
        <w:rPr>
          <w:rFonts w:hint="eastAsia" w:ascii="仿宋_GB2312" w:hAnsi="仿宋_GB2312" w:eastAsia="仿宋_GB2312" w:cs="仿宋_GB2312"/>
          <w:b w:val="0"/>
          <w:color w:val="000000"/>
          <w:sz w:val="32"/>
          <w:szCs w:val="32"/>
          <w:u w:val="none"/>
        </w:rPr>
        <w:t>当事人</w:t>
      </w:r>
      <w:r>
        <w:rPr>
          <w:rFonts w:hint="eastAsia" w:ascii="仿宋_GB2312" w:hAnsi="仿宋_GB2312" w:eastAsia="仿宋_GB2312" w:cs="仿宋_GB2312"/>
          <w:b w:val="0"/>
          <w:color w:val="000000"/>
          <w:sz w:val="32"/>
          <w:szCs w:val="32"/>
          <w:u w:val="none"/>
          <w:lang w:eastAsia="zh-CN"/>
        </w:rPr>
        <w:t>处罚如下</w:t>
      </w:r>
      <w:r>
        <w:rPr>
          <w:rFonts w:hint="eastAsia" w:ascii="仿宋_GB2312" w:hAnsi="仿宋_GB2312" w:eastAsia="仿宋_GB2312" w:cs="仿宋_GB2312"/>
          <w:b w:val="0"/>
          <w:color w:val="000000"/>
          <w:sz w:val="32"/>
          <w:szCs w:val="32"/>
          <w:u w:val="none"/>
        </w:rPr>
        <w:t>：</w:t>
      </w:r>
      <w:bookmarkEnd w:id="13"/>
      <w:bookmarkStart w:id="14" w:name="CALCULATE—XZCFJDS—cfjycxzcfnr"/>
      <w:r>
        <w:rPr>
          <w:rFonts w:hint="eastAsia" w:ascii="仿宋_GB2312" w:hAnsi="仿宋_GB2312" w:eastAsia="仿宋_GB2312" w:cs="仿宋_GB2312"/>
          <w:b w:val="0"/>
          <w:color w:val="000000"/>
          <w:sz w:val="32"/>
          <w:szCs w:val="32"/>
          <w:u w:val="none"/>
          <w:lang w:eastAsia="zh-CN"/>
        </w:rPr>
        <w:t>1.没收经营的海俪恩隐形眼镜多功能护理液2盒；2.没收违法所得270元；3.处2730元罚款 ,罚没款合计3000元整。</w:t>
      </w:r>
      <w:bookmarkEnd w:id="14"/>
    </w:p>
    <w:p w14:paraId="68898EC4">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3F7CCD08">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14:paraId="171AD706">
      <w:pPr>
        <w:keepNext w:val="0"/>
        <w:keepLines w:val="0"/>
        <w:pageBreakBefore w:val="0"/>
        <w:widowControl w:val="0"/>
        <w:kinsoku/>
        <w:wordWrap/>
        <w:overflowPunct/>
        <w:topLinePunct w:val="0"/>
        <w:autoSpaceDE/>
        <w:autoSpaceDN/>
        <w:bidi w:val="0"/>
        <w:adjustRightInd/>
        <w:snapToGrid/>
        <w:spacing w:line="580" w:lineRule="exact"/>
        <w:ind w:firstLine="636"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pacing w:val="-1"/>
          <w:sz w:val="32"/>
          <w:szCs w:val="32"/>
          <w:u w:val="none"/>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r>
        <w:rPr>
          <w:rFonts w:hint="eastAsia" w:ascii="仿宋_GB2312" w:hAnsi="仿宋_GB2312" w:eastAsia="仿宋_GB2312" w:cs="仿宋_GB2312"/>
          <w:color w:val="000000"/>
          <w:sz w:val="32"/>
          <w:szCs w:val="32"/>
          <w:u w:val="none"/>
          <w:lang w:eastAsia="zh-CN"/>
        </w:rPr>
        <w:t xml:space="preserve">                             </w:t>
      </w:r>
    </w:p>
    <w:p w14:paraId="114D8A3B">
      <w:pPr>
        <w:keepNext w:val="0"/>
        <w:keepLines w:val="0"/>
        <w:pageBreakBefore w:val="0"/>
        <w:widowControl w:val="0"/>
        <w:kinsoku/>
        <w:wordWrap/>
        <w:overflowPunct/>
        <w:topLinePunct w:val="0"/>
        <w:autoSpaceDE/>
        <w:autoSpaceDN/>
        <w:bidi w:val="0"/>
        <w:adjustRightInd/>
        <w:snapToGrid/>
        <w:spacing w:line="580" w:lineRule="exact"/>
        <w:ind w:left="5574" w:leftChars="1740" w:hanging="1920" w:hangingChars="600"/>
        <w:jc w:val="both"/>
        <w:textAlignment w:val="auto"/>
        <w:rPr>
          <w:rFonts w:hint="eastAsia" w:ascii="仿宋_GB2312" w:hAnsi="仿宋_GB2312" w:eastAsia="仿宋_GB2312" w:cs="仿宋_GB2312"/>
          <w:bCs/>
          <w:sz w:val="32"/>
          <w:szCs w:val="32"/>
          <w:lang w:eastAsia="zh-CN"/>
        </w:rPr>
      </w:pPr>
    </w:p>
    <w:p w14:paraId="31086CA5">
      <w:pPr>
        <w:pStyle w:val="3"/>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Cs/>
          <w:sz w:val="32"/>
          <w:szCs w:val="32"/>
          <w:lang w:eastAsia="zh-CN"/>
        </w:rPr>
      </w:pPr>
    </w:p>
    <w:p w14:paraId="1F1B7D05">
      <w:pPr>
        <w:pStyle w:val="3"/>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Cs/>
          <w:sz w:val="32"/>
          <w:szCs w:val="32"/>
          <w:lang w:eastAsia="zh-CN"/>
        </w:rPr>
      </w:pPr>
    </w:p>
    <w:p w14:paraId="5F587766">
      <w:pPr>
        <w:keepNext w:val="0"/>
        <w:keepLines w:val="0"/>
        <w:pageBreakBefore w:val="0"/>
        <w:widowControl w:val="0"/>
        <w:kinsoku/>
        <w:wordWrap/>
        <w:overflowPunct/>
        <w:topLinePunct w:val="0"/>
        <w:autoSpaceDE/>
        <w:autoSpaceDN/>
        <w:bidi w:val="0"/>
        <w:adjustRightInd/>
        <w:snapToGrid/>
        <w:spacing w:line="580" w:lineRule="exact"/>
        <w:ind w:firstLine="3520" w:firstLineChars="1100"/>
        <w:jc w:val="both"/>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color w:val="000000"/>
          <w:sz w:val="32"/>
          <w:szCs w:val="32"/>
          <w:u w:val="none"/>
          <w:lang w:eastAsia="zh-CN"/>
        </w:rPr>
        <w:t>洛阳市偃师区市场监督管理局</w:t>
      </w:r>
    </w:p>
    <w:p w14:paraId="3530F08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                         </w:t>
      </w:r>
    </w:p>
    <w:p w14:paraId="4ED2E691">
      <w:pPr>
        <w:keepNext w:val="0"/>
        <w:keepLines w:val="0"/>
        <w:pageBreakBefore w:val="0"/>
        <w:widowControl w:val="0"/>
        <w:kinsoku/>
        <w:wordWrap/>
        <w:overflowPunct/>
        <w:topLinePunct w:val="0"/>
        <w:autoSpaceDE/>
        <w:autoSpaceDN/>
        <w:bidi w:val="0"/>
        <w:adjustRightInd/>
        <w:snapToGrid/>
        <w:spacing w:line="580" w:lineRule="exact"/>
        <w:ind w:firstLine="4480" w:firstLineChars="14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年</w:t>
      </w:r>
      <w:r>
        <w:rPr>
          <w:rFonts w:hint="eastAsia" w:ascii="仿宋_GB2312" w:hAnsi="仿宋_GB2312" w:eastAsia="仿宋_GB2312" w:cs="仿宋_GB2312"/>
          <w:color w:val="000000"/>
          <w:sz w:val="32"/>
          <w:szCs w:val="32"/>
          <w:u w:val="none"/>
          <w:lang w:val="en-US" w:eastAsia="zh-CN"/>
        </w:rPr>
        <w:t>04</w:t>
      </w:r>
      <w:r>
        <w:rPr>
          <w:rFonts w:hint="eastAsia" w:ascii="仿宋_GB2312" w:hAnsi="仿宋_GB2312" w:eastAsia="仿宋_GB2312" w:cs="仿宋_GB2312"/>
          <w:color w:val="000000"/>
          <w:sz w:val="32"/>
          <w:szCs w:val="32"/>
          <w:u w:val="none"/>
          <w:lang w:eastAsia="zh-CN"/>
        </w:rPr>
        <w:t>月</w:t>
      </w:r>
      <w:r>
        <w:rPr>
          <w:rFonts w:hint="eastAsia" w:ascii="仿宋_GB2312" w:hAnsi="仿宋_GB2312" w:eastAsia="仿宋_GB2312" w:cs="仿宋_GB2312"/>
          <w:color w:val="000000"/>
          <w:sz w:val="32"/>
          <w:szCs w:val="32"/>
          <w:u w:val="none"/>
          <w:lang w:val="en-US" w:eastAsia="zh-CN"/>
        </w:rPr>
        <w:t>03</w:t>
      </w:r>
      <w:r>
        <w:rPr>
          <w:rFonts w:hint="eastAsia" w:ascii="仿宋_GB2312" w:hAnsi="仿宋_GB2312" w:eastAsia="仿宋_GB2312" w:cs="仿宋_GB2312"/>
          <w:color w:val="000000"/>
          <w:sz w:val="32"/>
          <w:szCs w:val="32"/>
          <w:u w:val="none"/>
          <w:lang w:eastAsia="zh-CN"/>
        </w:rPr>
        <w:t>日</w:t>
      </w:r>
    </w:p>
    <w:p w14:paraId="40DDD39A">
      <w:pPr>
        <w:pStyle w:val="3"/>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sz w:val="32"/>
          <w:szCs w:val="32"/>
          <w:lang w:eastAsia="zh-CN"/>
        </w:rPr>
      </w:pPr>
    </w:p>
    <w:p w14:paraId="5F2B275A">
      <w:pPr>
        <w:pStyle w:val="4"/>
        <w:keepNext w:val="0"/>
        <w:keepLines w:val="0"/>
        <w:pageBreakBefore w:val="0"/>
        <w:widowControl w:val="0"/>
        <w:tabs>
          <w:tab w:val="left" w:pos="8395"/>
        </w:tabs>
        <w:kinsoku/>
        <w:wordWrap w:val="0"/>
        <w:overflowPunct/>
        <w:topLinePunct w:val="0"/>
        <w:autoSpaceDE w:val="0"/>
        <w:autoSpaceDN w:val="0"/>
        <w:bidi w:val="0"/>
        <w:adjustRightInd w:val="0"/>
        <w:snapToGrid/>
        <w:spacing w:line="580" w:lineRule="exact"/>
        <w:ind w:firstLine="640" w:firstLineChars="200"/>
        <w:jc w:val="both"/>
        <w:textAlignment w:val="auto"/>
        <w:rPr>
          <w:rFonts w:hint="eastAsia" w:ascii="仿宋_GB2312" w:hAnsi="仿宋_GB2312" w:eastAsia="仿宋_GB2312" w:cs="仿宋_GB2312"/>
          <w:b w:val="0"/>
          <w:bCs/>
          <w:color w:val="auto"/>
          <w:sz w:val="32"/>
          <w:szCs w:val="32"/>
          <w:u w:val="single"/>
          <w:lang w:val="en-US" w:eastAsia="zh-CN"/>
        </w:rPr>
      </w:pPr>
    </w:p>
    <w:p w14:paraId="598FE9B8">
      <w:pPr>
        <w:keepNext w:val="0"/>
        <w:keepLines w:val="0"/>
        <w:pageBreakBefore w:val="0"/>
        <w:widowControl/>
        <w:kinsoku/>
        <w:overflowPunct/>
        <w:topLinePunct w:val="0"/>
        <w:bidi w:val="0"/>
        <w:snapToGrid w:val="0"/>
        <w:spacing w:line="580" w:lineRule="exact"/>
        <w:jc w:val="both"/>
        <w:textAlignment w:val="auto"/>
        <w:rPr>
          <w:rFonts w:hint="eastAsia" w:ascii="仿宋_GB2312" w:hAnsi="仿宋_GB2312" w:eastAsia="仿宋_GB2312" w:cs="仿宋_GB2312"/>
          <w:color w:val="auto"/>
          <w:sz w:val="32"/>
          <w:szCs w:val="32"/>
        </w:rPr>
      </w:pPr>
    </w:p>
    <w:p w14:paraId="4DB29835">
      <w:pPr>
        <w:keepNext w:val="0"/>
        <w:keepLines w:val="0"/>
        <w:pageBreakBefore w:val="0"/>
        <w:widowControl/>
        <w:kinsoku/>
        <w:overflowPunct/>
        <w:topLinePunct w:val="0"/>
        <w:bidi w:val="0"/>
        <w:snapToGrid w:val="0"/>
        <w:spacing w:line="580" w:lineRule="exact"/>
        <w:ind w:firstLine="6240" w:firstLineChars="1950"/>
        <w:jc w:val="both"/>
        <w:textAlignment w:val="auto"/>
        <w:rPr>
          <w:rFonts w:hint="eastAsia" w:ascii="仿宋_GB2312" w:hAnsi="仿宋_GB2312" w:eastAsia="仿宋_GB2312" w:cs="仿宋_GB2312"/>
          <w:color w:val="auto"/>
          <w:sz w:val="32"/>
          <w:szCs w:val="32"/>
          <w:lang w:val="en-US" w:eastAsia="zh-Hans"/>
        </w:rPr>
      </w:pPr>
    </w:p>
    <w:p w14:paraId="282F5183">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p>
    <w:p w14:paraId="55E04E13">
      <w:pPr>
        <w:pStyle w:val="3"/>
        <w:rPr>
          <w:rFonts w:hint="eastAsia" w:ascii="仿宋_GB2312" w:hAnsi="仿宋_GB2312" w:eastAsia="仿宋_GB2312" w:cs="仿宋_GB2312"/>
          <w:bCs/>
          <w:spacing w:val="-6"/>
          <w:sz w:val="32"/>
          <w:szCs w:val="32"/>
          <w:lang w:eastAsia="zh-CN"/>
        </w:rPr>
      </w:pPr>
    </w:p>
    <w:p w14:paraId="22C4EC82">
      <w:pPr>
        <w:pStyle w:val="3"/>
        <w:rPr>
          <w:rFonts w:hint="eastAsia" w:ascii="仿宋_GB2312" w:hAnsi="仿宋_GB2312" w:eastAsia="仿宋_GB2312" w:cs="仿宋_GB2312"/>
          <w:bCs/>
          <w:spacing w:val="-6"/>
          <w:sz w:val="32"/>
          <w:szCs w:val="32"/>
          <w:lang w:eastAsia="zh-CN"/>
        </w:rPr>
      </w:pPr>
    </w:p>
    <w:p w14:paraId="1976CD4B">
      <w:pPr>
        <w:pStyle w:val="3"/>
        <w:rPr>
          <w:rFonts w:hint="eastAsia" w:ascii="仿宋_GB2312" w:hAnsi="仿宋_GB2312" w:eastAsia="仿宋_GB2312" w:cs="仿宋_GB2312"/>
          <w:bCs/>
          <w:spacing w:val="-6"/>
          <w:sz w:val="32"/>
          <w:szCs w:val="32"/>
          <w:lang w:eastAsia="zh-CN"/>
        </w:rPr>
      </w:pPr>
    </w:p>
    <w:p w14:paraId="076111A1">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p>
    <w:p w14:paraId="62B6051C">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p>
    <w:p w14:paraId="269A12B9">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r>
        <w:rPr>
          <w:rFonts w:hint="eastAsia" w:ascii="仿宋_GB2312" w:hAnsi="仿宋_GB2312" w:eastAsia="仿宋_GB2312" w:cs="仿宋_GB2312"/>
          <w:bCs/>
          <w:color w:val="000000"/>
          <w:spacing w:val="-6"/>
          <w:sz w:val="32"/>
          <w:szCs w:val="32"/>
          <w:u w:val="none"/>
          <w:lang w:eastAsia="zh-CN"/>
        </w:rPr>
        <w:t>（市场监督管理部门将依法向社会公示本行政处罚决定信息）</w:t>
      </w:r>
    </w:p>
    <w:p w14:paraId="6619F044">
      <w:pPr>
        <w:keepNext w:val="0"/>
        <w:keepLines w:val="0"/>
        <w:pageBreakBefore w:val="0"/>
        <w:kinsoku/>
        <w:overflowPunct/>
        <w:topLinePunct w:val="0"/>
        <w:bidi w:val="0"/>
        <w:spacing w:line="580" w:lineRule="exact"/>
        <w:jc w:val="both"/>
        <w:textAlignment w:val="auto"/>
        <w:rPr>
          <w:color w:val="auto"/>
        </w:rPr>
      </w:pPr>
      <w:r>
        <w:rPr>
          <w:rFonts w:hint="eastAsia" w:ascii="仿宋_GB2312" w:hAnsi="仿宋_GB2312" w:eastAsia="仿宋_GB2312" w:cs="仿宋_GB2312"/>
          <w:color w:val="000000"/>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40640</wp:posOffset>
                </wp:positionV>
                <wp:extent cx="5358765" cy="0"/>
                <wp:effectExtent l="0" t="6350" r="0" b="6350"/>
                <wp:wrapNone/>
                <wp:docPr id="2" name="直接连接符 2"/>
                <wp:cNvGraphicFramePr/>
                <a:graphic xmlns:a="http://schemas.openxmlformats.org/drawingml/2006/main">
                  <a:graphicData uri="http://schemas.microsoft.com/office/word/2010/wordprocessingShape">
                    <wps:wsp>
                      <wps:cNvCnPr/>
                      <wps:spPr>
                        <a:xfrm>
                          <a:off x="0" y="0"/>
                          <a:ext cx="507492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5.25pt;margin-top:3.2pt;height:0pt;width:421.95pt;z-index:251659264;mso-width-relative:page;mso-height-relative:page;" filled="f" stroked="t" coordsize="21600,21600" o:gfxdata="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yg/LDUAAAABgEAAA8AAAAAAAAAAQAgAAAAIgAAAGRycy9kb3ducmV2LnhtbFBLAQIUABQAAAAI&#10;AIdO4kDInd3w8QEAAOcDAAAOAAAAAAAAAAEAIAAAACMBAABkcnMvZTJvRG9jLnhtbFBLBQYAAAAA&#10;BgAGAFkBAACGBQAAAAA=&#10;">
                <v:fill on="f" focussize="0,0"/>
                <v:stroke weight="1pt" color="#000000" joinstyle="round"/>
                <v:imagedata o:title=""/>
                <o:lock v:ext="edit" aspectratio="f"/>
              </v:line>
            </w:pict>
          </mc:Fallback>
        </mc:AlternateContent>
      </w:r>
      <w:r>
        <w:rPr>
          <w:rFonts w:hint="eastAsia" w:ascii="仿宋_GB2312" w:hAnsi="仿宋_GB2312" w:eastAsia="仿宋_GB2312" w:cs="仿宋_GB2312"/>
          <w:bCs/>
          <w:color w:val="000000"/>
          <w:sz w:val="32"/>
          <w:szCs w:val="32"/>
          <w:u w:val="none"/>
          <w:lang w:eastAsia="zh-CN"/>
        </w:rPr>
        <w:t>本文书一式三份，一份送达，一份归档，一份办案机构留存</w:t>
      </w:r>
      <w:r>
        <w:rPr>
          <w:rFonts w:hint="eastAsia" w:ascii="仿宋_GB2312" w:hAnsi="仿宋_GB2312" w:eastAsia="仿宋_GB2312" w:cs="仿宋_GB2312"/>
          <w:color w:val="000000"/>
          <w:sz w:val="32"/>
          <w:szCs w:val="32"/>
          <w:u w:val="none"/>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DE745">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A7D229">
                          <w:pPr>
                            <w:pStyle w:val="5"/>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A7D229">
                    <w:pPr>
                      <w:pStyle w:val="5"/>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7C5162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3177241"/>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3AF15A1"/>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ind w:firstLine="200" w:firstLineChars="200"/>
      <w:jc w:val="both"/>
    </w:pPr>
    <w:rPr>
      <w:rFonts w:ascii="Calibri" w:hAnsi="Calibri" w:eastAsia="宋体" w:cs="Times New Roman"/>
      <w:kern w:val="2"/>
      <w:sz w:val="21"/>
      <w:szCs w:val="24"/>
      <w:lang w:val="en-US" w:eastAsia="zh-CN" w:bidi="ar-SA"/>
    </w:r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2194</Words>
  <Characters>2461</Characters>
  <Lines>0</Lines>
  <Paragraphs>0</Paragraphs>
  <TotalTime>0</TotalTime>
  <ScaleCrop>false</ScaleCrop>
  <LinksUpToDate>false</LinksUpToDate>
  <CharactersWithSpaces>2862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16D3F0ECD80948229D341DBC5020892E_13</vt:lpwstr>
  </property>
  <property fmtid="{D5CDD505-2E9C-101B-9397-08002B2CF9AE}" pid="4" name="KSOTemplateDocerSaveRecord">
    <vt:lpwstr>eyJoZGlkIjoiOTJkNzdiMWY1ZWU2ZWU3NmE4ZTUxNGRmYWVhMzdjNDQiLCJ1c2VySWQiOiI4ODA3MzMzNDYifQ==</vt:lpwstr>
  </property>
</Properties>
</file>