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F5D02">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6B3A1765">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568A5A90">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偃市监处罚〔2025〕39号</w:t>
      </w:r>
      <w:bookmarkEnd w:id="2"/>
    </w:p>
    <w:p w14:paraId="4ACEDF4B">
      <w:pPr>
        <w:spacing w:before="315" w:beforeLines="100" w:line="540" w:lineRule="exact"/>
        <w:ind w:left="142" w:hanging="142"/>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sz w:val="32"/>
          <w:u w:val="none"/>
        </w:rPr>
        <w:t>洛阳市偃师区缑氏镇卫明眼镜店</w:t>
      </w:r>
      <w:bookmarkEnd w:id="3"/>
      <w:r>
        <w:rPr>
          <w:rFonts w:hint="eastAsia" w:ascii="仿宋_GB2312" w:hAnsi="仿宋_GB2312" w:eastAsia="仿宋_GB2312" w:cs="仿宋_GB2312"/>
          <w:b w:val="0"/>
          <w:bCs/>
          <w:color w:val="000000"/>
          <w:kern w:val="1"/>
          <w:sz w:val="32"/>
          <w:szCs w:val="32"/>
          <w:u w:val="none"/>
        </w:rPr>
        <w:t xml:space="preserve">                                            </w:t>
      </w:r>
    </w:p>
    <w:p w14:paraId="0CC292E0">
      <w:pPr>
        <w:spacing w:line="540" w:lineRule="exact"/>
        <w:ind w:left="140" w:hanging="140"/>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4F996DBE">
      <w:pPr>
        <w:spacing w:line="540" w:lineRule="exact"/>
        <w:ind w:left="140" w:hanging="14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sz w:val="32"/>
          <w:u w:val="none"/>
        </w:rPr>
        <w:t>92410381MA413WAC0E</w:t>
      </w:r>
      <w:bookmarkEnd w:id="5"/>
      <w:r>
        <w:rPr>
          <w:rFonts w:hint="eastAsia" w:ascii="仿宋_GB2312" w:hAnsi="仿宋_GB2312" w:eastAsia="仿宋_GB2312" w:cs="仿宋_GB2312"/>
          <w:b w:val="0"/>
          <w:bCs/>
          <w:color w:val="000000"/>
          <w:kern w:val="1"/>
          <w:sz w:val="32"/>
          <w:szCs w:val="32"/>
          <w:u w:val="none"/>
        </w:rPr>
        <w:t xml:space="preserve">                                  </w:t>
      </w:r>
    </w:p>
    <w:p w14:paraId="3D118FB9">
      <w:pPr>
        <w:spacing w:line="540" w:lineRule="exact"/>
        <w:ind w:left="140" w:hanging="140"/>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住所（住址）：</w:t>
      </w:r>
      <w:bookmarkStart w:id="6" w:name="CALCULATE—DSR—tAjDsrs_cLxdzSheng"/>
      <w:r>
        <w:rPr>
          <w:rFonts w:hint="eastAsia" w:ascii="仿宋_GB2312" w:hAnsi="仿宋_GB2312" w:eastAsia="仿宋_GB2312" w:cs="仿宋_GB2312"/>
          <w:b w:val="0"/>
          <w:color w:val="000000"/>
          <w:sz w:val="32"/>
          <w:u w:val="none"/>
        </w:rPr>
        <w:t>河南省河南省洛阳市偃师区缑氏镇缑氏村8组</w:t>
      </w:r>
      <w:bookmarkEnd w:id="6"/>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065DC0D8">
      <w:pPr>
        <w:spacing w:line="540" w:lineRule="exact"/>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法定代表人（负责人</w:t>
      </w: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sz w:val="32"/>
          <w:u w:val="none"/>
        </w:rPr>
        <w:t>杨洪宾</w:t>
      </w:r>
      <w:bookmarkEnd w:id="7"/>
      <w:r>
        <w:rPr>
          <w:rFonts w:hint="eastAsia" w:ascii="仿宋_GB2312" w:hAnsi="仿宋_GB2312" w:eastAsia="仿宋_GB2312" w:cs="仿宋_GB2312"/>
          <w:b w:val="0"/>
          <w:bCs/>
          <w:color w:val="000000"/>
          <w:kern w:val="1"/>
          <w:sz w:val="32"/>
          <w:szCs w:val="32"/>
          <w:u w:val="none"/>
        </w:rPr>
        <w:t xml:space="preserve">                       </w:t>
      </w:r>
    </w:p>
    <w:p w14:paraId="75EA1D6A">
      <w:pPr>
        <w:spacing w:line="540" w:lineRule="exact"/>
        <w:ind w:left="140" w:hanging="140"/>
        <w:rPr>
          <w:rFonts w:hint="eastAsia" w:ascii="仿宋_GB2312" w:hAnsi="仿宋_GB2312" w:eastAsia="仿宋_GB2312" w:cs="仿宋_GB2312"/>
          <w:b w:val="0"/>
          <w:bCs/>
          <w:color w:val="auto"/>
          <w:sz w:val="32"/>
          <w:szCs w:val="32"/>
          <w:u w:val="single" w:color="231F20"/>
        </w:rPr>
      </w:pPr>
      <w:bookmarkStart w:id="20" w:name="_GoBack"/>
      <w:bookmarkEnd w:id="20"/>
      <w:r>
        <w:rPr>
          <w:rFonts w:hint="eastAsia" w:ascii="仿宋_GB2312" w:hAnsi="仿宋_GB2312" w:eastAsia="仿宋_GB2312" w:cs="仿宋_GB2312"/>
          <w:b w:val="0"/>
          <w:bCs/>
          <w:color w:val="000000"/>
          <w:kern w:val="1"/>
          <w:sz w:val="32"/>
          <w:szCs w:val="32"/>
          <w:u w:val="none"/>
        </w:rPr>
        <w:t xml:space="preserve">                                     </w:t>
      </w:r>
    </w:p>
    <w:p w14:paraId="04003DD0">
      <w:pPr>
        <w:pStyle w:val="3"/>
        <w:tabs>
          <w:tab w:val="left" w:pos="9060"/>
        </w:tabs>
        <w:spacing w:line="240" w:lineRule="auto"/>
        <w:ind w:firstLine="0" w:firstLineChars="0"/>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000000"/>
          <w:sz w:val="32"/>
          <w:u w:val="none" w:color="231F20"/>
        </w:rPr>
        <w:t>2025年2月24日，我局执法人员对洛阳市偃师区缑氏镇卫明眼镜店进行检查时，发现该店涉嫌无《医疗器械经营许可证》经营第三类医疗器械。涉嫌违反《医疗器械监督管理条例》有关规定，依据《市场监督管理行政处罚程序规定》第十九条之规定，应予立案调查处理。</w:t>
      </w:r>
      <w:bookmarkEnd w:id="8"/>
      <w:r>
        <w:rPr>
          <w:rFonts w:hint="eastAsia" w:ascii="仿宋_GB2312" w:hAnsi="仿宋_GB2312" w:eastAsia="仿宋_GB2312" w:cs="仿宋_GB2312"/>
          <w:b w:val="0"/>
          <w:bCs/>
          <w:color w:val="000000"/>
          <w:sz w:val="32"/>
          <w:szCs w:val="32"/>
          <w:u w:val="none" w:color="231F20"/>
          <w:lang w:val="en-US" w:eastAsia="zh-CN"/>
        </w:rPr>
        <w:t xml:space="preserve"> </w:t>
      </w:r>
    </w:p>
    <w:p w14:paraId="6AA05379">
      <w:pPr>
        <w:pStyle w:val="3"/>
        <w:tabs>
          <w:tab w:val="left" w:pos="8240"/>
        </w:tabs>
        <w:spacing w:line="240" w:lineRule="auto"/>
        <w:ind w:firstLine="640" w:firstLineChars="20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经查，</w:t>
      </w:r>
      <w:bookmarkStart w:id="9" w:name="CALCULATE—AJCF—tAjCfes_cAjss"/>
      <w:r>
        <w:rPr>
          <w:rFonts w:hint="eastAsia" w:ascii="仿宋_GB2312" w:hAnsi="仿宋_GB2312" w:eastAsia="仿宋_GB2312" w:cs="仿宋_GB2312"/>
          <w:b w:val="0"/>
          <w:color w:val="000000"/>
          <w:sz w:val="32"/>
          <w:u w:val="none" w:color="231F20"/>
        </w:rPr>
        <w:t>2025年2月24日，我局执法人员在监督检查中，发现该单位经营有 “1.软性亲水接触镜（MQ38）16瓶（一片/瓶，2瓶/付，注册证号：20153220643）；2.软性亲水接触镜（NTC-8）6瓶（一片/瓶，2瓶/付，注册证号：20153160336），属于第三类医疗器械”；为进一步调查事实，2025年2月27日我局对当事人立案，并指定赵丹、史晓伟为办案人员。立案后，执法人员通过现场检查、询问相关人员、调取相关证据等方式对案件进行了调查。经调查：这些医疗器械是当事人通过微信与 “郑州市升龙汇金广场中心郑州陈峰眼镜有限公司”联系经“中通快递”于2024年10月初发过来的；没有供货方的经营资质，也没有购货票据。1.软性亲水接触镜（MQ38），共购进50瓶（2瓶/付，计25付）；购价13.00元/付，售价50.00元/付；售出34瓶（2瓶/付，17付），剩余16瓶（2瓶/付，8付）；货值金额1250元，获违法所得850元。2.软性亲水接触镜（NTC-8）共购进50瓶（2瓶/付，计25付）；购价13.00元/付，售价40.00元/付，售出44瓶（2瓶/付，22付），剩余6瓶（2瓶/付，3付）；货值金额1000元，获违法所得880元；合计货值金额2250元，获违法所得1730元。剩下的产品被依法扣押（详见编号为Yx0007号物品清单）。该单位无《医疗器械经营许可证》。</w:t>
      </w:r>
      <w:bookmarkEnd w:id="9"/>
      <w:r>
        <w:rPr>
          <w:rFonts w:hint="eastAsia" w:ascii="仿宋_GB2312" w:hAnsi="仿宋_GB2312" w:eastAsia="仿宋_GB2312" w:cs="仿宋_GB2312"/>
          <w:b w:val="0"/>
          <w:bCs/>
          <w:color w:val="000000"/>
          <w:kern w:val="1"/>
          <w:sz w:val="32"/>
          <w:szCs w:val="32"/>
          <w:u w:val="none"/>
          <w:lang w:val="en-US" w:eastAsia="zh-CN"/>
        </w:rPr>
        <w:t xml:space="preserve"> </w:t>
      </w:r>
    </w:p>
    <w:p w14:paraId="397E9771">
      <w:pPr>
        <w:pStyle w:val="3"/>
        <w:tabs>
          <w:tab w:val="left" w:pos="8285"/>
        </w:tabs>
        <w:spacing w:line="520" w:lineRule="exact"/>
        <w:ind w:firstLine="640" w:firstLineChars="200"/>
        <w:rPr>
          <w:rFonts w:hint="eastAsia" w:ascii="仿宋_GB2312" w:hAnsi="仿宋_GB2312" w:eastAsia="仿宋_GB2312" w:cs="仿宋_GB2312"/>
          <w:b w:val="0"/>
          <w:bCs/>
          <w:color w:val="auto"/>
          <w:sz w:val="32"/>
          <w:szCs w:val="32"/>
          <w:lang w:val="en-US"/>
        </w:rPr>
      </w:pPr>
      <w:r>
        <w:rPr>
          <w:rFonts w:hint="eastAsia" w:ascii="仿宋_GB2312" w:hAnsi="仿宋_GB2312" w:eastAsia="仿宋_GB2312" w:cs="仿宋_GB2312"/>
          <w:b w:val="0"/>
          <w:bCs/>
          <w:color w:val="000000"/>
          <w:kern w:val="1"/>
          <w:sz w:val="32"/>
          <w:szCs w:val="32"/>
          <w:u w:val="none"/>
        </w:rPr>
        <w:t>上述事实，主要有以下证据证明：</w:t>
      </w:r>
    </w:p>
    <w:p w14:paraId="7D9DFB34">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bookmarkStart w:id="10" w:name="CALCULATE—ZJCL—tajCltjes_zjclxx"/>
      <w:r>
        <w:rPr>
          <w:rFonts w:hint="eastAsia" w:ascii="仿宋_GB2312" w:hAnsi="仿宋_GB2312" w:eastAsia="仿宋_GB2312" w:cs="仿宋_GB2312"/>
          <w:b w:val="0"/>
          <w:color w:val="000000"/>
          <w:sz w:val="32"/>
          <w:u w:val="none"/>
        </w:rPr>
        <w:t>　　1.现场检查笔录、询问笔录等书证，证明当事人的违法行为</w:t>
      </w:r>
      <w:bookmarkEnd w:id="10"/>
      <w:r>
        <w:rPr>
          <w:rFonts w:hint="eastAsia" w:ascii="仿宋_GB2312" w:hAnsi="仿宋_GB2312" w:eastAsia="仿宋_GB2312" w:cs="仿宋_GB2312"/>
          <w:b w:val="0"/>
          <w:bCs/>
          <w:color w:val="000000"/>
          <w:sz w:val="32"/>
          <w:szCs w:val="32"/>
          <w:u w:val="none"/>
          <w:lang w:val="en-US" w:eastAsia="zh-CN"/>
        </w:rPr>
        <w:t xml:space="preserve"> </w:t>
      </w:r>
    </w:p>
    <w:p w14:paraId="057B597C">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bCs/>
          <w:color w:val="000000"/>
          <w:sz w:val="32"/>
          <w:szCs w:val="32"/>
          <w:u w:val="none"/>
          <w:lang w:val="en-US" w:eastAsia="zh-CN"/>
        </w:rPr>
        <w:t xml:space="preserve">    </w:t>
      </w:r>
      <w:bookmarkStart w:id="11" w:name="CALCULATE—XZCFJDS—cCfgzwsSdrq"/>
      <w:r>
        <w:rPr>
          <w:rFonts w:hint="eastAsia" w:ascii="仿宋_GB2312" w:hAnsi="仿宋_GB2312" w:eastAsia="仿宋_GB2312" w:cs="仿宋_GB2312"/>
          <w:b w:val="0"/>
          <w:color w:val="000000"/>
          <w:sz w:val="32"/>
          <w:u w:val="none"/>
        </w:rPr>
        <w:t>2025年03月26日</w:t>
      </w:r>
      <w:bookmarkEnd w:id="11"/>
      <w:r>
        <w:rPr>
          <w:rFonts w:hint="eastAsia" w:ascii="仿宋_GB2312" w:hAnsi="仿宋_GB2312" w:eastAsia="仿宋_GB2312" w:cs="仿宋_GB2312"/>
          <w:b w:val="0"/>
          <w:bCs/>
          <w:color w:val="000000"/>
          <w:sz w:val="32"/>
          <w:szCs w:val="32"/>
          <w:u w:val="none"/>
        </w:rPr>
        <w:t>，本局向当事人送达了本案《行政处罚告知书》(</w:t>
      </w:r>
      <w:bookmarkStart w:id="12" w:name="CALCULATE—XZCFJDS—cCfgzSdwswh"/>
      <w:r>
        <w:rPr>
          <w:rFonts w:hint="eastAsia" w:ascii="仿宋_GB2312" w:hAnsi="仿宋_GB2312" w:eastAsia="仿宋_GB2312" w:cs="仿宋_GB2312"/>
          <w:b w:val="0"/>
          <w:color w:val="000000"/>
          <w:sz w:val="32"/>
          <w:u w:val="none"/>
        </w:rPr>
        <w:t>偃市监罚告〔2025〕39号</w:t>
      </w:r>
      <w:bookmarkEnd w:id="12"/>
      <w:r>
        <w:rPr>
          <w:rFonts w:hint="eastAsia" w:ascii="仿宋_GB2312" w:hAnsi="仿宋_GB2312" w:eastAsia="仿宋_GB2312" w:cs="仿宋_GB2312"/>
          <w:b w:val="0"/>
          <w:bCs/>
          <w:color w:val="000000"/>
          <w:sz w:val="32"/>
          <w:szCs w:val="32"/>
          <w:u w:val="none"/>
        </w:rPr>
        <w:t>)，</w:t>
      </w:r>
      <w:bookmarkStart w:id="13" w:name="CALCULATE—XZCFJDS—nTccssb"/>
      <w:r>
        <w:rPr>
          <w:rFonts w:hint="eastAsia" w:ascii="仿宋_GB2312" w:hAnsi="仿宋_GB2312" w:eastAsia="仿宋_GB2312" w:cs="仿宋_GB2312"/>
          <w:b w:val="0"/>
          <w:color w:val="000000"/>
          <w:sz w:val="32"/>
          <w:u w:val="none"/>
        </w:rPr>
        <w:t>当事人在法定期限内未提出任何陈述或申辩</w:t>
      </w:r>
      <w:bookmarkEnd w:id="13"/>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p>
    <w:p w14:paraId="587A2A4A">
      <w:pPr>
        <w:pStyle w:val="3"/>
        <w:spacing w:line="520" w:lineRule="exact"/>
        <w:ind w:firstLine="627" w:firstLineChars="196"/>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color w:val="000000"/>
          <w:kern w:val="1"/>
          <w:sz w:val="32"/>
          <w:szCs w:val="32"/>
          <w:u w:val="none"/>
        </w:rPr>
        <w:t>本局认为，当事人的上述行为违反了</w:t>
      </w:r>
      <w:bookmarkStart w:id="14" w:name="CALCULATE—XZCFJDS—xzcfjdswfxx"/>
      <w:r>
        <w:rPr>
          <w:rFonts w:hint="eastAsia" w:ascii="仿宋_GB2312" w:hAnsi="仿宋_GB2312" w:eastAsia="仿宋_GB2312" w:cs="仿宋_GB2312"/>
          <w:b w:val="0"/>
          <w:color w:val="000000"/>
          <w:sz w:val="32"/>
          <w:u w:val="none"/>
        </w:rPr>
        <w:t>《医疗器械监督管理条例（2024修订）》 / 第四十二条 / 第一款　从事第三类医疗器械经营的，经营企业应当向所在地设区的市级人民政府负责药品监督管理的部门申请经营许可并提交符合本条例第四十条规定条件的有关资料。的规定，构成未经许可从事第三类医疗器械经营活动的行为。依据《医疗器械监督管理条例（2024修订）》 / 第八十一条 / 第一款 / 第三项　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三)未经许可从事第三类医疗器械经营活动。的规定。本局决定给予当事人以下行政处罚： 1.没收经营剩余的“软性亲水接触镜”22瓶（2瓶/付，11付）；2. 没收违法所得1730元；3.处1270元的罚款，罚没款合计3000元。</w:t>
      </w:r>
      <w:bookmarkEnd w:id="14"/>
    </w:p>
    <w:p w14:paraId="3625C774">
      <w:pPr>
        <w:pStyle w:val="3"/>
        <w:tabs>
          <w:tab w:val="left" w:pos="9060"/>
        </w:tabs>
        <w:spacing w:line="520" w:lineRule="exact"/>
        <w:ind w:firstLine="640" w:firstLineChars="200"/>
        <w:rPr>
          <w:rFonts w:hint="eastAsia" w:ascii="仿宋_GB2312" w:hAnsi="仿宋_GB2312" w:eastAsia="仿宋_GB2312" w:cs="仿宋_GB2312"/>
          <w:b w:val="0"/>
          <w:bCs/>
          <w:color w:val="auto"/>
          <w:kern w:val="1"/>
          <w:sz w:val="32"/>
          <w:szCs w:val="32"/>
        </w:rPr>
      </w:pPr>
      <w:r>
        <w:rPr>
          <w:rFonts w:hint="eastAsia" w:ascii="仿宋_GB2312" w:hAnsi="仿宋_GB2312" w:eastAsia="仿宋_GB2312" w:cs="仿宋_GB2312"/>
          <w:b w:val="0"/>
          <w:bCs/>
          <w:color w:val="000000"/>
          <w:kern w:val="1"/>
          <w:sz w:val="32"/>
          <w:szCs w:val="32"/>
          <w:u w:val="none"/>
        </w:rPr>
        <w:t>综上，当事人上述行为违反了</w:t>
      </w:r>
      <w:bookmarkStart w:id="15" w:name="tAj_cAjmcZywfxw"/>
      <w:r>
        <w:rPr>
          <w:rFonts w:hint="eastAsia" w:ascii="仿宋_GB2312" w:hAnsi="仿宋_GB2312" w:eastAsia="仿宋_GB2312" w:cs="仿宋_GB2312"/>
          <w:b w:val="0"/>
          <w:color w:val="000000"/>
          <w:sz w:val="32"/>
          <w:u w:val="none"/>
        </w:rPr>
        <w:t>无《医疗器械经营许可证》经营第三类医疗器械</w:t>
      </w:r>
      <w:bookmarkEnd w:id="15"/>
      <w:r>
        <w:rPr>
          <w:rFonts w:hint="eastAsia" w:ascii="仿宋_GB2312" w:hAnsi="仿宋_GB2312" w:eastAsia="仿宋_GB2312" w:cs="仿宋_GB2312"/>
          <w:b w:val="0"/>
          <w:bCs/>
          <w:color w:val="000000"/>
          <w:sz w:val="32"/>
          <w:szCs w:val="32"/>
          <w:u w:val="none"/>
          <w:lang w:eastAsia="zh-CN"/>
        </w:rPr>
        <w:t>，</w:t>
      </w:r>
      <w:r>
        <w:rPr>
          <w:rFonts w:hint="eastAsia" w:ascii="仿宋_GB2312" w:hAnsi="仿宋_GB2312" w:eastAsia="仿宋_GB2312" w:cs="仿宋_GB2312"/>
          <w:b w:val="0"/>
          <w:bCs/>
          <w:color w:val="000000"/>
          <w:kern w:val="1"/>
          <w:sz w:val="32"/>
          <w:szCs w:val="32"/>
          <w:u w:val="none"/>
        </w:rPr>
        <w:t>依</w:t>
      </w:r>
      <w:r>
        <w:rPr>
          <w:rFonts w:hint="eastAsia" w:ascii="仿宋_GB2312" w:hAnsi="仿宋_GB2312" w:eastAsia="仿宋_GB2312" w:cs="仿宋_GB2312"/>
          <w:b w:val="0"/>
          <w:bCs/>
          <w:color w:val="000000"/>
          <w:kern w:val="1"/>
          <w:sz w:val="32"/>
          <w:szCs w:val="32"/>
          <w:u w:val="none"/>
          <w:lang w:val="en-US" w:eastAsia="zh-Hans"/>
        </w:rPr>
        <w:t>据</w:t>
      </w:r>
      <w:bookmarkStart w:id="16" w:name="CALCULATE—XZCFJDS—xzcfjdswfflfg"/>
      <w:r>
        <w:rPr>
          <w:rFonts w:hint="eastAsia" w:ascii="仿宋_GB2312" w:hAnsi="仿宋_GB2312" w:eastAsia="仿宋_GB2312" w:cs="仿宋_GB2312"/>
          <w:b w:val="0"/>
          <w:color w:val="000000"/>
          <w:sz w:val="32"/>
          <w:u w:val="none"/>
        </w:rPr>
        <w:t>《医疗器械监督管理条例（2024修订）》 / 第四十二条 / 第一款　从事第三类医疗器械经营的，经营企业应当向所在地设区的市级人民政府负责药品监督管理的部门申请经营许可并提交符合本条例第四十条规定条件的有关资料。</w:t>
      </w:r>
      <w:bookmarkEnd w:id="16"/>
      <w:r>
        <w:rPr>
          <w:rFonts w:hint="eastAsia" w:ascii="仿宋_GB2312" w:hAnsi="仿宋_GB2312" w:eastAsia="仿宋_GB2312" w:cs="仿宋_GB2312"/>
          <w:b w:val="0"/>
          <w:bCs/>
          <w:color w:val="000000"/>
          <w:kern w:val="1"/>
          <w:sz w:val="32"/>
          <w:szCs w:val="32"/>
          <w:u w:val="none"/>
        </w:rPr>
        <w:t>，[现责令当事人改正上述违法行为，并]决定处罚如下：</w:t>
      </w:r>
    </w:p>
    <w:p w14:paraId="45B267C8">
      <w:pPr>
        <w:pStyle w:val="3"/>
        <w:tabs>
          <w:tab w:val="left" w:pos="9060"/>
        </w:tabs>
        <w:spacing w:line="520" w:lineRule="exact"/>
        <w:ind w:firstLine="640" w:firstLineChars="200"/>
        <w:rPr>
          <w:rFonts w:hint="eastAsia" w:ascii="仿宋_GB2312" w:hAnsi="仿宋_GB2312" w:eastAsia="仿宋_GB2312" w:cs="仿宋_GB2312"/>
          <w:b w:val="0"/>
          <w:bCs/>
          <w:color w:val="auto"/>
          <w:sz w:val="32"/>
          <w:szCs w:val="32"/>
          <w:u w:val="single" w:color="auto"/>
          <w:lang w:val="en-US" w:eastAsia="zh-CN"/>
        </w:rPr>
      </w:pPr>
      <w:r>
        <w:rPr>
          <w:rFonts w:hint="eastAsia" w:ascii="仿宋_GB2312" w:hAnsi="仿宋_GB2312" w:eastAsia="仿宋_GB2312" w:cs="仿宋_GB2312"/>
          <w:b w:val="0"/>
          <w:bCs/>
          <w:color w:val="000000"/>
          <w:sz w:val="32"/>
          <w:szCs w:val="32"/>
          <w:u w:val="none" w:color="auto"/>
        </w:rPr>
        <w:t>1．</w:t>
      </w:r>
      <w:bookmarkStart w:id="17" w:name="CALCULATE—XZCFJDS—cfjycxzcfnr"/>
      <w:r>
        <w:rPr>
          <w:rFonts w:hint="eastAsia" w:ascii="仿宋_GB2312" w:hAnsi="仿宋_GB2312" w:eastAsia="仿宋_GB2312" w:cs="仿宋_GB2312"/>
          <w:b w:val="0"/>
          <w:color w:val="000000"/>
          <w:sz w:val="32"/>
          <w:u w:val="none" w:color="auto"/>
        </w:rPr>
        <w:t>1.没收经营剩余的“软性亲水接触镜”22瓶（2瓶/付，11付）；2. 没收违法所得1730元；3.处1270元的罚款，罚没款合计3000元。</w:t>
      </w:r>
      <w:bookmarkEnd w:id="17"/>
      <w:r>
        <w:rPr>
          <w:rFonts w:hint="eastAsia" w:ascii="仿宋_GB2312" w:hAnsi="仿宋_GB2312" w:eastAsia="仿宋_GB2312" w:cs="仿宋_GB2312"/>
          <w:b w:val="0"/>
          <w:bCs/>
          <w:color w:val="000000"/>
          <w:sz w:val="32"/>
          <w:szCs w:val="32"/>
          <w:u w:val="none" w:color="auto"/>
          <w:lang w:val="en-US" w:eastAsia="zh-CN"/>
        </w:rPr>
        <w:t xml:space="preserve">  </w:t>
      </w:r>
    </w:p>
    <w:p w14:paraId="69032652">
      <w:pPr>
        <w:pStyle w:val="3"/>
        <w:tabs>
          <w:tab w:val="left" w:pos="9060"/>
        </w:tabs>
        <w:spacing w:line="520" w:lineRule="exact"/>
        <w:ind w:firstLine="627" w:firstLineChars="196"/>
        <w:rPr>
          <w:rFonts w:hint="eastAsia" w:ascii="仿宋_GB2312" w:hAnsi="仿宋_GB2312" w:eastAsia="仿宋_GB2312" w:cs="仿宋_GB2312"/>
          <w:b w:val="0"/>
          <w:bCs/>
          <w:color w:val="auto"/>
          <w:sz w:val="32"/>
          <w:szCs w:val="32"/>
          <w:u w:val="single"/>
        </w:rPr>
      </w:pPr>
      <w:r>
        <w:rPr>
          <w:rFonts w:hint="eastAsia" w:ascii="仿宋_GB2312" w:hAnsi="仿宋_GB2312" w:eastAsia="仿宋_GB2312" w:cs="仿宋_GB2312"/>
          <w:b w:val="0"/>
          <w:bCs/>
          <w:color w:val="000000"/>
          <w:sz w:val="32"/>
          <w:szCs w:val="32"/>
          <w:highlight w:val="yellow"/>
          <w:u w:val="none" w:color="231F20"/>
        </w:rPr>
        <w:t>（行政处罚的履行方式和期限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当事人应当自收到本行政处罚决定之日起十五日内，缴纳罚款，到期不缴纳罚款的，依据《中华人民共和国行政处罚法》第</w:t>
      </w:r>
      <w:r>
        <w:rPr>
          <w:rFonts w:hint="eastAsia" w:ascii="仿宋_GB2312" w:hAnsi="仿宋_GB2312" w:eastAsia="仿宋_GB2312" w:cs="仿宋_GB2312"/>
          <w:b w:val="0"/>
          <w:bCs/>
          <w:color w:val="000000"/>
          <w:kern w:val="2"/>
          <w:sz w:val="32"/>
          <w:szCs w:val="32"/>
          <w:u w:val="none"/>
          <w:lang w:val="en-US" w:eastAsia="zh-Hans" w:bidi="ar-SA"/>
        </w:rPr>
        <w:t>七十二</w:t>
      </w:r>
      <w:r>
        <w:rPr>
          <w:rFonts w:hint="eastAsia" w:ascii="仿宋_GB2312" w:hAnsi="仿宋_GB2312" w:eastAsia="仿宋_GB2312" w:cs="仿宋_GB2312"/>
          <w:b w:val="0"/>
          <w:bCs/>
          <w:color w:val="000000"/>
          <w:kern w:val="2"/>
          <w:sz w:val="32"/>
          <w:szCs w:val="32"/>
          <w:u w:val="none"/>
          <w:lang w:val="en-US" w:eastAsia="zh-CN" w:bidi="ar-SA"/>
        </w:rPr>
        <w:t xml:space="preserve">条的规定，本局将每日按罚款数额的百分之三加处罚款，并依法申请人民法院强制执行 </w:t>
      </w:r>
      <w:r>
        <w:rPr>
          <w:rFonts w:hint="eastAsia" w:ascii="仿宋_GB2312" w:hAnsi="仿宋_GB2312" w:eastAsia="仿宋_GB2312" w:cs="仿宋_GB2312"/>
          <w:b w:val="0"/>
          <w:bCs/>
          <w:color w:val="000000"/>
          <w:sz w:val="32"/>
          <w:szCs w:val="32"/>
          <w:u w:val="none" w:color="231F20"/>
        </w:rPr>
        <w:t xml:space="preserve">                     </w:t>
      </w:r>
      <w:r>
        <w:rPr>
          <w:rFonts w:hint="eastAsia" w:ascii="仿宋_GB2312" w:hAnsi="仿宋_GB2312" w:eastAsia="仿宋_GB2312" w:cs="仿宋_GB2312"/>
          <w:b w:val="0"/>
          <w:bCs/>
          <w:color w:val="000000"/>
          <w:sz w:val="32"/>
          <w:szCs w:val="32"/>
          <w:u w:val="none"/>
        </w:rPr>
        <w:t xml:space="preserve">                           </w:t>
      </w:r>
    </w:p>
    <w:p w14:paraId="22B2364D">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eastAsia" w:ascii="仿宋_GB2312" w:hAnsi="仿宋_GB2312" w:eastAsia="仿宋_GB2312" w:cs="仿宋_GB2312"/>
          <w:b w:val="0"/>
          <w:bCs/>
          <w:color w:val="auto"/>
          <w:kern w:val="2"/>
          <w:sz w:val="32"/>
          <w:szCs w:val="32"/>
          <w:u w:val="single"/>
          <w:lang w:val="en-US" w:eastAsia="zh-CN" w:bidi="ar-SA"/>
        </w:rPr>
      </w:pPr>
      <w:r>
        <w:rPr>
          <w:rFonts w:hint="eastAsia" w:ascii="仿宋_GB2312" w:hAnsi="仿宋_GB2312" w:eastAsia="仿宋_GB2312" w:cs="仿宋_GB2312"/>
          <w:b w:val="0"/>
          <w:bCs/>
          <w:color w:val="000000"/>
          <w:sz w:val="32"/>
          <w:szCs w:val="32"/>
          <w:highlight w:val="yellow"/>
          <w:u w:val="none" w:color="231F20"/>
        </w:rPr>
        <w:t>（救济途径和期限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你（单位）如不服本行政处罚决定，可以在收到本行政处罚决定书之日起六十日内向                   申请行政复议；也可以在六个月内依法向                 人民法院提起行政诉讼。申请行政复议或者提起行政诉讼期间，行政处罚不停止执行。</w:t>
      </w:r>
    </w:p>
    <w:p w14:paraId="3717403D">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default" w:ascii="Times New Roman" w:eastAsia="仿宋_GB2312" w:cs="仿宋_GB2312"/>
          <w:b w:val="0"/>
          <w:bCs/>
          <w:color w:val="auto"/>
          <w:u w:val="single"/>
          <w:lang w:val="en-US" w:eastAsia="zh-CN"/>
        </w:rPr>
      </w:pPr>
    </w:p>
    <w:p w14:paraId="39B6CB2C">
      <w:pPr>
        <w:widowControl/>
        <w:snapToGrid w:val="0"/>
        <w:spacing w:line="520" w:lineRule="exact"/>
        <w:jc w:val="left"/>
        <w:rPr>
          <w:rFonts w:ascii="Times New Roman" w:hAnsi="Times New Roman" w:eastAsia="仿宋_GB2312" w:cs="仿宋_GB2312"/>
          <w:color w:val="auto"/>
          <w:sz w:val="32"/>
          <w:szCs w:val="32"/>
        </w:rPr>
      </w:pPr>
    </w:p>
    <w:p w14:paraId="44213CF0">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6552093B">
      <w:pPr>
        <w:spacing w:line="560" w:lineRule="exact"/>
        <w:ind w:right="640" w:firstLine="601"/>
        <w:jc w:val="right"/>
        <w:rPr>
          <w:rFonts w:ascii="Times New Roman" w:hAnsi="Times New Roman" w:eastAsia="仿宋_GB2312" w:cs="仿宋"/>
          <w:color w:val="auto"/>
          <w:sz w:val="32"/>
          <w:szCs w:val="32"/>
        </w:rPr>
      </w:pPr>
      <w:bookmarkStart w:id="18" w:name="DYNAMIC—DWXX—tAj_dwmc—2"/>
      <w:r>
        <w:rPr>
          <w:rFonts w:hint="eastAsia" w:ascii="Times New Roman" w:hAnsi="Times New Roman" w:eastAsia="仿宋_GB2312" w:cs="仿宋"/>
          <w:color w:val="000000"/>
          <w:sz w:val="32"/>
          <w:u w:val="none"/>
        </w:rPr>
        <w:t>洛阳市偃师区市场监督管理局</w:t>
      </w:r>
      <w:bookmarkEnd w:id="18"/>
      <w:r>
        <w:rPr>
          <w:rFonts w:hint="eastAsia" w:ascii="Times New Roman" w:hAnsi="Times New Roman" w:eastAsia="仿宋_GB2312" w:cs="仿宋"/>
          <w:color w:val="000000"/>
          <w:sz w:val="32"/>
          <w:szCs w:val="32"/>
          <w:u w:val="none"/>
        </w:rPr>
        <w:t xml:space="preserve">    </w:t>
      </w:r>
    </w:p>
    <w:p w14:paraId="2A02233B">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03056177">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19" w:name="CALCULATE—TIME—NOW"/>
      <w:r>
        <w:rPr>
          <w:rFonts w:ascii="仿宋_GB2312" w:hAnsi="仿宋_GB2312" w:eastAsia="仿宋_GB2312" w:cs="仿宋_GB2312"/>
          <w:sz w:val="32"/>
        </w:rPr>
        <w:t>2025年04月07日</w:t>
      </w:r>
      <w:bookmarkEnd w:id="19"/>
      <w:r>
        <w:rPr>
          <w:rFonts w:hint="eastAsia" w:ascii="Times New Roman" w:hAnsi="Times New Roman" w:eastAsia="仿宋_GB2312" w:cs="仿宋_GB2312"/>
          <w:color w:val="000000"/>
          <w:sz w:val="32"/>
          <w:szCs w:val="32"/>
          <w:u w:val="none"/>
        </w:rPr>
        <w:t xml:space="preserve">  </w:t>
      </w:r>
    </w:p>
    <w:p w14:paraId="28CABE16">
      <w:pPr>
        <w:widowControl/>
        <w:snapToGrid w:val="0"/>
        <w:spacing w:line="520" w:lineRule="exact"/>
        <w:jc w:val="right"/>
        <w:rPr>
          <w:rFonts w:ascii="Times New Roman" w:hAnsi="Times New Roman" w:eastAsia="仿宋_GB2312" w:cs="Mongolian Baiti"/>
          <w:color w:val="auto"/>
          <w:sz w:val="32"/>
          <w:szCs w:val="32"/>
        </w:rPr>
      </w:pPr>
    </w:p>
    <w:p w14:paraId="522C5F6D">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22AFBAD4">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BFF0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A0E8AE">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A0E8AE">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B35165"/>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6A01CC4"/>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1855</Words>
  <Characters>2052</Characters>
  <Lines>0</Lines>
  <Paragraphs>0</Paragraphs>
  <TotalTime>17</TotalTime>
  <ScaleCrop>false</ScaleCrop>
  <LinksUpToDate>false</LinksUpToDate>
  <CharactersWithSpaces>2529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E86DEA4539B740DCBAE6774534D8A8E4_13</vt:lpwstr>
  </property>
  <property fmtid="{D5CDD505-2E9C-101B-9397-08002B2CF9AE}" pid="4" name="KSOTemplateDocerSaveRecord">
    <vt:lpwstr>eyJoZGlkIjoiOTJkNzdiMWY1ZWU2ZWU3NmE4ZTUxNGRmYWVhMzdjNDQiLCJ1c2VySWQiOiI4ODA3MzMzNDYifQ==</vt:lpwstr>
  </property>
</Properties>
</file>