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E92A2">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223D662E">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13767520">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偃市监处罚〔2025〕44号</w:t>
      </w:r>
      <w:bookmarkEnd w:id="2"/>
    </w:p>
    <w:p w14:paraId="6885F135">
      <w:pPr>
        <w:pStyle w:val="3"/>
        <w:keepNext w:val="0"/>
        <w:keepLines w:val="0"/>
        <w:pageBreakBefore w:val="0"/>
        <w:widowControl w:val="0"/>
        <w:tabs>
          <w:tab w:val="left" w:pos="4440"/>
          <w:tab w:val="left" w:pos="8920"/>
        </w:tabs>
        <w:kinsoku/>
        <w:wordWrap/>
        <w:overflowPunct/>
        <w:topLinePunct w:val="0"/>
        <w:bidi w:val="0"/>
        <w:snapToGrid/>
        <w:spacing w:line="600" w:lineRule="exact"/>
        <w:ind w:left="0" w:right="118"/>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当事人：偃师市槐新街道办事处利冰商店</w:t>
      </w:r>
    </w:p>
    <w:p w14:paraId="25B875EE">
      <w:pPr>
        <w:pStyle w:val="3"/>
        <w:keepNext w:val="0"/>
        <w:keepLines w:val="0"/>
        <w:pageBreakBefore w:val="0"/>
        <w:widowControl w:val="0"/>
        <w:tabs>
          <w:tab w:val="left" w:pos="4440"/>
          <w:tab w:val="left" w:pos="8920"/>
        </w:tabs>
        <w:kinsoku/>
        <w:wordWrap/>
        <w:overflowPunct/>
        <w:topLinePunct w:val="0"/>
        <w:bidi w:val="0"/>
        <w:snapToGrid/>
        <w:spacing w:line="600" w:lineRule="exact"/>
        <w:ind w:left="0" w:right="118"/>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主体资格证照名称：营业执照</w:t>
      </w:r>
    </w:p>
    <w:p w14:paraId="6D0287BF">
      <w:pPr>
        <w:pStyle w:val="3"/>
        <w:keepNext w:val="0"/>
        <w:keepLines w:val="0"/>
        <w:pageBreakBefore w:val="0"/>
        <w:widowControl w:val="0"/>
        <w:tabs>
          <w:tab w:val="left" w:pos="3785"/>
          <w:tab w:val="left" w:pos="8920"/>
        </w:tabs>
        <w:kinsoku/>
        <w:wordWrap/>
        <w:overflowPunct/>
        <w:topLinePunct w:val="0"/>
        <w:bidi w:val="0"/>
        <w:snapToGrid/>
        <w:spacing w:line="600" w:lineRule="exact"/>
        <w:ind w:left="0" w:right="118"/>
        <w:jc w:val="both"/>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u w:val="none"/>
          <w:lang w:eastAsia="zh-CN"/>
        </w:rPr>
        <w:t>统一社会信用代码：92410381MA453XXF8P</w:t>
      </w:r>
    </w:p>
    <w:p w14:paraId="7F318C82">
      <w:pPr>
        <w:pStyle w:val="3"/>
        <w:keepNext w:val="0"/>
        <w:keepLines w:val="0"/>
        <w:pageBreakBefore w:val="0"/>
        <w:widowControl w:val="0"/>
        <w:tabs>
          <w:tab w:val="left" w:pos="8964"/>
        </w:tabs>
        <w:kinsoku/>
        <w:wordWrap/>
        <w:overflowPunct/>
        <w:topLinePunct w:val="0"/>
        <w:bidi w:val="0"/>
        <w:snapToGrid/>
        <w:spacing w:line="600" w:lineRule="exact"/>
        <w:ind w:left="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经营场所:偃师市槐新街道办事处北窑村4组</w:t>
      </w:r>
    </w:p>
    <w:p w14:paraId="72BEEEF5">
      <w:pPr>
        <w:pStyle w:val="3"/>
        <w:keepNext w:val="0"/>
        <w:keepLines w:val="0"/>
        <w:pageBreakBefore w:val="0"/>
        <w:widowControl w:val="0"/>
        <w:tabs>
          <w:tab w:val="left" w:pos="8964"/>
        </w:tabs>
        <w:kinsoku/>
        <w:wordWrap/>
        <w:overflowPunct/>
        <w:topLinePunct w:val="0"/>
        <w:bidi w:val="0"/>
        <w:snapToGrid/>
        <w:spacing w:line="600" w:lineRule="exact"/>
        <w:ind w:left="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经营者：杨利冰</w:t>
      </w:r>
    </w:p>
    <w:p w14:paraId="16475206">
      <w:pPr>
        <w:pStyle w:val="3"/>
        <w:keepNext w:val="0"/>
        <w:keepLines w:val="0"/>
        <w:pageBreakBefore w:val="0"/>
        <w:widowControl w:val="0"/>
        <w:tabs>
          <w:tab w:val="left" w:pos="8964"/>
        </w:tabs>
        <w:kinsoku/>
        <w:wordWrap/>
        <w:overflowPunct/>
        <w:topLinePunct w:val="0"/>
        <w:bidi w:val="0"/>
        <w:snapToGrid/>
        <w:spacing w:line="600" w:lineRule="exact"/>
        <w:ind w:left="0"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2025年3月19日，我局收到洛阳市偃师区烟草专卖局关</w:t>
      </w:r>
      <w:bookmarkStart w:id="4" w:name="_GoBack"/>
      <w:bookmarkEnd w:id="4"/>
      <w:r>
        <w:rPr>
          <w:rFonts w:hint="eastAsia" w:ascii="仿宋_GB2312" w:hAnsi="仿宋_GB2312" w:eastAsia="仿宋_GB2312" w:cs="仿宋_GB2312"/>
          <w:color w:val="000000"/>
          <w:sz w:val="32"/>
          <w:szCs w:val="32"/>
          <w:u w:val="none"/>
          <w:lang w:eastAsia="zh-CN"/>
        </w:rPr>
        <w:t xml:space="preserve">于“对杨利冰涉嫌无烟草专卖零售许可证经营烟草制品零售业务”案件的移送函（偃烟移[2025]第026号），洛阳市偃师区烟草专卖局对现场销售的烟草制品采取了先行登记保存措施。我局于2025年3月20日报经领导批准立案，通过核实移送材料、对当事人进行询问和调取相关材料等方式进行了案件调查。                               </w:t>
      </w:r>
    </w:p>
    <w:p w14:paraId="56685AB9">
      <w:pPr>
        <w:pStyle w:val="3"/>
        <w:keepNext w:val="0"/>
        <w:keepLines w:val="0"/>
        <w:pageBreakBefore w:val="0"/>
        <w:widowControl w:val="0"/>
        <w:kinsoku/>
        <w:wordWrap/>
        <w:overflowPunct/>
        <w:topLinePunct w:val="0"/>
        <w:autoSpaceDE w:val="0"/>
        <w:bidi w:val="0"/>
        <w:snapToGrid/>
        <w:spacing w:line="600" w:lineRule="exact"/>
        <w:ind w:left="0" w:firstLine="707" w:firstLineChars="221"/>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 xml:space="preserve">经查：当事人在偃师市槐新街道办事处北窑村4组开办商店从事卷烟销售，2025年3月17日因涉嫌无《烟草专卖零售许可证》被洛阳市偃师区烟草专卖局查处。现场销售的卷烟有黄鹤楼(软蓝)7条、黄金叶(金丝路)3条、云烟(软珍品)2条、黄金叶(硬红旗渠)3条、黄金叶（红南阳）2条、泰山（望岳）2条、玉溪(软)2条、天子(金)2条、娇子(时代阳光)4条、利群(新版)3条、娇子(宽窄好运细支)5条、南京(炫赫门)3条、利群(软蓝)2条、双喜(花悦)5条、黄金叶(黄金眼)3条、黄山(红方印细支)2条、泰山(心悦)2条、黄金叶(炫尚)2条、黄鹤楼(天下名楼)3条、黄金叶(爱尚)24条、黄金叶(商鼎)16条、黄金叶(软大金圆)14条、黄金叶(软盛世金典)5条、黄鹤楼(硬8度)3条、黄金叶(乐途)19条、好猫(长乐九美)1条、泰山(颜悦)1条、黄金叶(小目标)1条、云烟(小熊猫家园)1条、黄金叶(乐途中支)1条、泰山(儒风细支)1条、金圣(滕王阁•紫光)1条、白沙(硬精品三代)1条、兰州(细支珍品)1条，合计34个品种147条卷烟。当事人未办理《烟草专卖零售许可证》，进销香烟没有建立账目，根据洛阳市偃师区烟草专卖局出具的《涉案烟草专卖品核价表》，认定当事人无证经营烟草制品的违法经营总额为26130元。  </w:t>
      </w:r>
    </w:p>
    <w:p w14:paraId="39D5B9CC">
      <w:pPr>
        <w:pStyle w:val="3"/>
        <w:keepNext w:val="0"/>
        <w:keepLines w:val="0"/>
        <w:pageBreakBefore w:val="0"/>
        <w:widowControl w:val="0"/>
        <w:kinsoku/>
        <w:wordWrap/>
        <w:overflowPunct/>
        <w:topLinePunct w:val="0"/>
        <w:autoSpaceDE w:val="0"/>
        <w:bidi w:val="0"/>
        <w:snapToGrid/>
        <w:spacing w:line="600" w:lineRule="exact"/>
        <w:ind w:left="0" w:firstLine="707" w:firstLineChars="221"/>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上述事实，主要有以下证据证明：</w:t>
      </w:r>
    </w:p>
    <w:p w14:paraId="51F3DE7C">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1.洛阳市偃师区烟草专卖局现场笔录，证明现场检查情况；</w:t>
      </w:r>
    </w:p>
    <w:p w14:paraId="658FF693">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2.当事人营业执照复印件，证明当事人的主体经营资格；</w:t>
      </w:r>
    </w:p>
    <w:p w14:paraId="789AD4AA">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3.当事人身份证复印件，证明当事人身份情况；</w:t>
      </w:r>
    </w:p>
    <w:p w14:paraId="1D19873A">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4.洛阳市偃师区烟草专卖局证据先行登记保存通知书，证明涉案物品作为证据依法予以先行登记保存；</w:t>
      </w:r>
    </w:p>
    <w:p w14:paraId="51154DD0">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5.证明，证明对涉案事实作出的认定；</w:t>
      </w:r>
    </w:p>
    <w:p w14:paraId="1B1C8A31">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6.洛阳市偃师区烟草专卖局涉案物品核价表，证明涉案物品的品种数量及金额；</w:t>
      </w:r>
    </w:p>
    <w:p w14:paraId="202F8951">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 xml:space="preserve">7.洛阳市偃师区烟草专卖局案件移送函，证明案件来源。   </w:t>
      </w:r>
    </w:p>
    <w:p w14:paraId="1CA33A47">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当事人的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已构成无证经营烟草制品行为。案发后，当事人积极配合市场监督管理部门调查，并主动提供证据材料，如实陈述违法事实，依据《河南省市场监督管理行政处罚裁量权适用通则》第十条“有下列情形之一的,可以依法从轻或者减轻行政处罚：（一）积极配合市场监管部门调查，并主动提供证据材料的”之规定。根据其违法的事实、性质、情节及社会危害度，可以依法给予从轻处罚。</w:t>
      </w:r>
    </w:p>
    <w:p w14:paraId="43532B23">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我局于2025年3月2</w:t>
      </w:r>
      <w:r>
        <w:rPr>
          <w:rFonts w:hint="eastAsia" w:ascii="仿宋_GB2312" w:hAnsi="仿宋_GB2312" w:eastAsia="仿宋_GB2312" w:cs="仿宋_GB2312"/>
          <w:color w:val="000000"/>
          <w:sz w:val="32"/>
          <w:szCs w:val="32"/>
          <w:u w:val="none"/>
          <w:lang w:val="en-US" w:eastAsia="zh-CN"/>
        </w:rPr>
        <w:t>7</w:t>
      </w:r>
      <w:r>
        <w:rPr>
          <w:rFonts w:hint="eastAsia" w:ascii="仿宋_GB2312" w:hAnsi="仿宋_GB2312" w:eastAsia="仿宋_GB2312" w:cs="仿宋_GB2312"/>
          <w:color w:val="000000"/>
          <w:sz w:val="32"/>
          <w:szCs w:val="32"/>
          <w:u w:val="none"/>
          <w:lang w:eastAsia="zh-CN"/>
        </w:rPr>
        <w:t>日向当事人送达了偃市监罚告字〔202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lang w:val="en-US" w:eastAsia="zh-CN"/>
        </w:rPr>
        <w:t>36</w:t>
      </w:r>
      <w:r>
        <w:rPr>
          <w:rFonts w:hint="eastAsia" w:ascii="仿宋_GB2312" w:hAnsi="仿宋_GB2312" w:eastAsia="仿宋_GB2312" w:cs="仿宋_GB2312"/>
          <w:color w:val="000000"/>
          <w:sz w:val="32"/>
          <w:szCs w:val="32"/>
          <w:u w:val="none"/>
          <w:lang w:eastAsia="zh-CN"/>
        </w:rPr>
        <w:t>号《洛阳市偃师区市场监督管理局行政处罚告知书》，</w:t>
      </w:r>
      <w:bookmarkStart w:id="3" w:name="_Hlk111791304"/>
      <w:r>
        <w:rPr>
          <w:rFonts w:hint="eastAsia" w:ascii="仿宋_GB2312" w:hAnsi="仿宋_GB2312" w:eastAsia="仿宋_GB2312" w:cs="仿宋_GB2312"/>
          <w:color w:val="000000"/>
          <w:sz w:val="32"/>
          <w:szCs w:val="32"/>
          <w:u w:val="none"/>
          <w:lang w:eastAsia="zh-CN"/>
        </w:rPr>
        <w:t>告知当事人依据《中华人民共和国行政处罚法》第四十四条、第四十五条的规定，以及《市场监督管理行政处罚程序规定》第五十七条的规定，</w:t>
      </w:r>
      <w:bookmarkEnd w:id="3"/>
      <w:r>
        <w:rPr>
          <w:rFonts w:hint="eastAsia" w:ascii="仿宋_GB2312" w:hAnsi="仿宋_GB2312" w:eastAsia="仿宋_GB2312" w:cs="仿宋_GB2312"/>
          <w:color w:val="000000"/>
          <w:sz w:val="32"/>
          <w:szCs w:val="32"/>
          <w:u w:val="none"/>
          <w:lang w:eastAsia="zh-CN"/>
        </w:rPr>
        <w:t xml:space="preserve">有权进行陈述、申辩。当事人在法定期限内未行使陈述、申辩权。                                                                                      </w:t>
      </w:r>
    </w:p>
    <w:p w14:paraId="6541A1A8">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 xml:space="preserve">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的规定 及《中华人民共和国行政处罚法》二十八条“行政机关实施行政处罚时，应当责令当事人改正或者限期改正违法行为。”之规定，参照《河南省市场监督管理行政处罚裁量基准》10.14.1“依据《烟草专卖法实施条例》第五十七条实施的处罚 裁量基准 责令停止经营烟草制品零售业务，没收违法所得，处以违法经营总额20%以上29%以下的罚款。”之规定，决定对偃师市槐新街道办事处利冰商店责令停止经营烟草制品零售业务，处5226元罚款。                                   </w:t>
      </w:r>
    </w:p>
    <w:p w14:paraId="6F81F2E7">
      <w:pPr>
        <w:keepNext w:val="0"/>
        <w:keepLines w:val="0"/>
        <w:pageBreakBefore w:val="0"/>
        <w:widowControl w:val="0"/>
        <w:kinsoku/>
        <w:wordWrap/>
        <w:overflowPunct/>
        <w:topLinePunct w:val="0"/>
        <w:autoSpaceDE w:val="0"/>
        <w:autoSpaceDN w:val="0"/>
        <w:bidi w:val="0"/>
        <w:adjustRightInd w:val="0"/>
        <w:snapToGrid/>
        <w:spacing w:line="600" w:lineRule="exact"/>
        <w:ind w:right="162" w:firstLine="640" w:firstLineChars="200"/>
        <w:jc w:val="both"/>
        <w:textAlignment w:val="baseline"/>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u w:val="none"/>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67BDE8BD">
      <w:pPr>
        <w:keepNext w:val="0"/>
        <w:keepLines w:val="0"/>
        <w:pageBreakBefore w:val="0"/>
        <w:widowControl w:val="0"/>
        <w:kinsoku/>
        <w:wordWrap/>
        <w:overflowPunct/>
        <w:topLinePunct w:val="0"/>
        <w:bidi w:val="0"/>
        <w:snapToGrid/>
        <w:spacing w:line="600" w:lineRule="exact"/>
        <w:ind w:firstLine="640" w:firstLineChars="200"/>
        <w:jc w:val="both"/>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u w:val="none"/>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14:paraId="6B3E37B6">
      <w:pPr>
        <w:pStyle w:val="3"/>
        <w:keepNext w:val="0"/>
        <w:keepLines w:val="0"/>
        <w:pageBreakBefore w:val="0"/>
        <w:widowControl w:val="0"/>
        <w:tabs>
          <w:tab w:val="left" w:pos="6680"/>
          <w:tab w:val="left" w:pos="8920"/>
        </w:tabs>
        <w:kinsoku/>
        <w:wordWrap/>
        <w:overflowPunct/>
        <w:topLinePunct w:val="0"/>
        <w:bidi w:val="0"/>
        <w:snapToGrid/>
        <w:spacing w:line="600" w:lineRule="exact"/>
        <w:ind w:left="0" w:right="162" w:firstLine="640" w:firstLineChars="200"/>
        <w:jc w:val="both"/>
        <w:textAlignment w:val="baseline"/>
        <w:rPr>
          <w:rFonts w:ascii="仿宋" w:hAnsi="仿宋" w:eastAsia="仿宋" w:cs="仿宋_GB2312"/>
          <w:color w:val="231F20"/>
          <w:lang w:eastAsia="zh-CN"/>
        </w:rPr>
      </w:pPr>
      <w:r>
        <w:rPr>
          <w:rFonts w:hint="eastAsia" w:ascii="仿宋_GB2312" w:hAnsi="仿宋_GB2312" w:eastAsia="仿宋_GB2312" w:cs="仿宋_GB2312"/>
          <w:color w:val="000000"/>
          <w:sz w:val="32"/>
          <w:szCs w:val="32"/>
          <w:u w:val="none"/>
          <w:lang w:eastAsia="zh-CN"/>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w:t>
      </w:r>
      <w:r>
        <w:rPr>
          <w:rFonts w:hint="eastAsia" w:ascii="仿宋" w:hAnsi="仿宋" w:eastAsia="仿宋" w:cs="仿宋_GB2312"/>
          <w:color w:val="000000"/>
          <w:u w:val="none"/>
          <w:lang w:eastAsia="zh-CN"/>
        </w:rPr>
        <w:t xml:space="preserve">不停止执行。      </w:t>
      </w:r>
    </w:p>
    <w:p w14:paraId="290433F5">
      <w:pPr>
        <w:keepNext w:val="0"/>
        <w:keepLines w:val="0"/>
        <w:pageBreakBefore w:val="0"/>
        <w:widowControl w:val="0"/>
        <w:tabs>
          <w:tab w:val="left" w:pos="2440"/>
          <w:tab w:val="left" w:pos="8964"/>
        </w:tabs>
        <w:kinsoku/>
        <w:wordWrap/>
        <w:overflowPunct/>
        <w:topLinePunct w:val="0"/>
        <w:bidi w:val="0"/>
        <w:snapToGrid/>
        <w:spacing w:line="600" w:lineRule="exact"/>
        <w:jc w:val="both"/>
        <w:rPr>
          <w:rFonts w:ascii="仿宋" w:hAnsi="仿宋" w:eastAsia="仿宋" w:cs="仿宋_GB2312"/>
          <w:sz w:val="32"/>
          <w:szCs w:val="32"/>
          <w:lang w:eastAsia="zh-CN"/>
        </w:rPr>
      </w:pPr>
    </w:p>
    <w:p w14:paraId="0826FCDD">
      <w:pPr>
        <w:keepNext w:val="0"/>
        <w:keepLines w:val="0"/>
        <w:pageBreakBefore w:val="0"/>
        <w:widowControl w:val="0"/>
        <w:tabs>
          <w:tab w:val="left" w:pos="2440"/>
          <w:tab w:val="left" w:pos="8964"/>
        </w:tabs>
        <w:kinsoku/>
        <w:wordWrap/>
        <w:overflowPunct/>
        <w:topLinePunct w:val="0"/>
        <w:bidi w:val="0"/>
        <w:snapToGrid/>
        <w:spacing w:line="600" w:lineRule="exact"/>
        <w:ind w:firstLine="4480" w:firstLineChars="1400"/>
        <w:jc w:val="both"/>
        <w:rPr>
          <w:rFonts w:ascii="仿宋" w:hAnsi="仿宋" w:eastAsia="仿宋" w:cs="仿宋_GB2312"/>
          <w:sz w:val="32"/>
          <w:szCs w:val="32"/>
          <w:lang w:eastAsia="zh-CN"/>
        </w:rPr>
      </w:pPr>
    </w:p>
    <w:p w14:paraId="36D4D9BA">
      <w:pPr>
        <w:keepNext w:val="0"/>
        <w:keepLines w:val="0"/>
        <w:pageBreakBefore w:val="0"/>
        <w:widowControl w:val="0"/>
        <w:tabs>
          <w:tab w:val="left" w:pos="2440"/>
          <w:tab w:val="left" w:pos="8964"/>
        </w:tabs>
        <w:kinsoku/>
        <w:wordWrap/>
        <w:overflowPunct/>
        <w:topLinePunct w:val="0"/>
        <w:bidi w:val="0"/>
        <w:snapToGrid/>
        <w:spacing w:line="600" w:lineRule="exact"/>
        <w:ind w:firstLine="3520" w:firstLineChars="1100"/>
        <w:jc w:val="both"/>
        <w:rPr>
          <w:rFonts w:ascii="仿宋" w:hAnsi="仿宋" w:eastAsia="仿宋" w:cs="仿宋_GB2312"/>
          <w:sz w:val="32"/>
          <w:szCs w:val="32"/>
          <w:lang w:eastAsia="zh-CN"/>
        </w:rPr>
      </w:pPr>
      <w:r>
        <w:rPr>
          <w:rFonts w:hint="eastAsia" w:ascii="仿宋" w:hAnsi="仿宋" w:eastAsia="仿宋" w:cs="仿宋_GB2312"/>
          <w:color w:val="000000"/>
          <w:sz w:val="32"/>
          <w:szCs w:val="32"/>
          <w:u w:val="none"/>
          <w:lang w:eastAsia="zh-CN"/>
        </w:rPr>
        <w:t xml:space="preserve">洛阳市偃师区市场监督管理局       </w:t>
      </w:r>
    </w:p>
    <w:p w14:paraId="42E35017">
      <w:pPr>
        <w:keepNext w:val="0"/>
        <w:keepLines w:val="0"/>
        <w:pageBreakBefore w:val="0"/>
        <w:widowControl w:val="0"/>
        <w:tabs>
          <w:tab w:val="left" w:pos="2440"/>
          <w:tab w:val="left" w:pos="8964"/>
        </w:tabs>
        <w:kinsoku/>
        <w:wordWrap/>
        <w:overflowPunct/>
        <w:topLinePunct w:val="0"/>
        <w:bidi w:val="0"/>
        <w:snapToGrid/>
        <w:spacing w:line="600" w:lineRule="exact"/>
        <w:ind w:firstLine="4377" w:firstLineChars="1368"/>
        <w:jc w:val="both"/>
        <w:rPr>
          <w:rFonts w:hint="eastAsia" w:ascii="仿宋_GB2312" w:hAnsi="仿宋_GB2312" w:eastAsia="仿宋_GB2312" w:cs="仿宋_GB2312"/>
          <w:sz w:val="32"/>
          <w:szCs w:val="32"/>
          <w:lang w:eastAsia="zh-CN"/>
        </w:rPr>
      </w:pPr>
      <w:r>
        <w:rPr>
          <w:rFonts w:hint="eastAsia" w:ascii="仿宋" w:hAnsi="仿宋" w:eastAsia="仿宋" w:cs="仿宋_GB2312"/>
          <w:color w:val="000000"/>
          <w:sz w:val="32"/>
          <w:szCs w:val="32"/>
          <w:u w:val="none"/>
          <w:lang w:eastAsia="zh-CN"/>
        </w:rPr>
        <w:t>202</w:t>
      </w:r>
      <w:r>
        <w:rPr>
          <w:rFonts w:hint="eastAsia" w:ascii="仿宋" w:hAnsi="仿宋" w:eastAsia="仿宋" w:cs="仿宋_GB2312"/>
          <w:color w:val="000000"/>
          <w:sz w:val="32"/>
          <w:szCs w:val="32"/>
          <w:u w:val="none"/>
          <w:lang w:val="en-US" w:eastAsia="zh-CN"/>
        </w:rPr>
        <w:t>5</w:t>
      </w:r>
      <w:r>
        <w:rPr>
          <w:rFonts w:hint="eastAsia" w:ascii="仿宋" w:hAnsi="仿宋" w:eastAsia="仿宋" w:cs="仿宋_GB2312"/>
          <w:color w:val="000000"/>
          <w:sz w:val="32"/>
          <w:szCs w:val="32"/>
          <w:u w:val="none"/>
          <w:lang w:eastAsia="zh-CN"/>
        </w:rPr>
        <w:t>年</w:t>
      </w:r>
      <w:r>
        <w:rPr>
          <w:rFonts w:hint="eastAsia" w:ascii="仿宋" w:hAnsi="仿宋" w:eastAsia="仿宋" w:cs="仿宋_GB2312"/>
          <w:color w:val="000000"/>
          <w:sz w:val="32"/>
          <w:szCs w:val="32"/>
          <w:u w:val="none"/>
          <w:lang w:val="en-US" w:eastAsia="zh-CN"/>
        </w:rPr>
        <w:t xml:space="preserve">  </w:t>
      </w:r>
      <w:r>
        <w:rPr>
          <w:rFonts w:hint="eastAsia" w:ascii="仿宋" w:hAnsi="仿宋" w:eastAsia="仿宋" w:cs="仿宋_GB2312"/>
          <w:color w:val="000000"/>
          <w:sz w:val="32"/>
          <w:szCs w:val="32"/>
          <w:u w:val="none"/>
          <w:lang w:eastAsia="zh-CN"/>
        </w:rPr>
        <w:t>月</w:t>
      </w:r>
      <w:r>
        <w:rPr>
          <w:rFonts w:hint="eastAsia" w:ascii="仿宋" w:hAnsi="仿宋" w:eastAsia="仿宋" w:cs="仿宋_GB2312"/>
          <w:color w:val="000000"/>
          <w:sz w:val="32"/>
          <w:szCs w:val="32"/>
          <w:u w:val="none"/>
          <w:lang w:val="en-US" w:eastAsia="zh-CN"/>
        </w:rPr>
        <w:t xml:space="preserve">  </w:t>
      </w:r>
      <w:r>
        <w:rPr>
          <w:rFonts w:hint="eastAsia" w:ascii="仿宋" w:hAnsi="仿宋" w:eastAsia="仿宋" w:cs="仿宋_GB2312"/>
          <w:color w:val="000000"/>
          <w:sz w:val="32"/>
          <w:szCs w:val="32"/>
          <w:u w:val="none"/>
          <w:lang w:eastAsia="zh-CN"/>
        </w:rPr>
        <w:t>日</w:t>
      </w:r>
    </w:p>
    <w:p w14:paraId="65E41B75">
      <w:pPr>
        <w:keepNext w:val="0"/>
        <w:keepLines w:val="0"/>
        <w:pageBreakBefore w:val="0"/>
        <w:widowControl w:val="0"/>
        <w:tabs>
          <w:tab w:val="left" w:pos="2440"/>
          <w:tab w:val="left" w:pos="8964"/>
        </w:tabs>
        <w:kinsoku/>
        <w:wordWrap/>
        <w:overflowPunct/>
        <w:topLinePunct w:val="0"/>
        <w:bidi w:val="0"/>
        <w:snapToGrid/>
        <w:spacing w:line="600" w:lineRule="exact"/>
        <w:jc w:val="both"/>
        <w:rPr>
          <w:rFonts w:hint="eastAsia" w:ascii="仿宋_GB2312" w:hAnsi="仿宋_GB2312" w:eastAsia="仿宋_GB2312" w:cs="仿宋_GB2312"/>
          <w:sz w:val="32"/>
          <w:szCs w:val="32"/>
          <w:lang w:eastAsia="zh-CN"/>
        </w:rPr>
      </w:pPr>
    </w:p>
    <w:p w14:paraId="61F34CE8">
      <w:pPr>
        <w:keepNext w:val="0"/>
        <w:keepLines/>
        <w:pageBreakBefore w:val="0"/>
        <w:widowControl w:val="0"/>
        <w:tabs>
          <w:tab w:val="left" w:pos="2440"/>
          <w:tab w:val="left" w:pos="8964"/>
        </w:tabs>
        <w:kinsoku/>
        <w:wordWrap w:val="0"/>
        <w:overflowPunct/>
        <w:topLinePunct w:val="0"/>
        <w:autoSpaceDE/>
        <w:autoSpaceDN/>
        <w:bidi w:val="0"/>
        <w:adjustRightInd/>
        <w:snapToGrid/>
        <w:spacing w:line="600" w:lineRule="exact"/>
        <w:textAlignment w:val="auto"/>
        <w:rPr>
          <w:rFonts w:hint="eastAsia" w:ascii="仿宋_GB2312" w:hAnsi="仿宋_GB2312" w:eastAsia="仿宋_GB2312" w:cs="仿宋_GB2312"/>
          <w:spacing w:val="-6"/>
          <w:kern w:val="0"/>
          <w:sz w:val="32"/>
          <w:szCs w:val="32"/>
          <w:lang w:eastAsia="zh-CN"/>
        </w:rPr>
      </w:pPr>
      <w:r>
        <w:rPr>
          <w:rFonts w:hint="eastAsia" w:ascii="仿宋_GB2312" w:hAnsi="仿宋_GB2312" w:eastAsia="仿宋_GB2312" w:cs="仿宋_GB2312"/>
          <w:color w:val="000000"/>
          <w:spacing w:val="-6"/>
          <w:kern w:val="0"/>
          <w:sz w:val="32"/>
          <w:szCs w:val="32"/>
          <w:u w:val="none"/>
          <w:lang w:eastAsia="zh-CN"/>
        </w:rPr>
        <w:t>（市场监督管理部门将依法向社会公示本行政处罚决定信息）</w:t>
      </w:r>
    </w:p>
    <w:p w14:paraId="1A673837">
      <w:pPr>
        <w:keepNext w:val="0"/>
        <w:keepLines w:val="0"/>
        <w:pageBreakBefore w:val="0"/>
        <w:widowControl w:val="0"/>
        <w:tabs>
          <w:tab w:val="left" w:pos="2440"/>
          <w:tab w:val="left" w:pos="8964"/>
        </w:tabs>
        <w:kinsoku/>
        <w:wordWrap/>
        <w:overflowPunct/>
        <w:topLinePunct w:val="0"/>
        <w:bidi w:val="0"/>
        <w:snapToGrid/>
        <w:spacing w:line="60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-40005</wp:posOffset>
                </wp:positionH>
                <wp:positionV relativeFrom="paragraph">
                  <wp:posOffset>38100</wp:posOffset>
                </wp:positionV>
                <wp:extent cx="5532120" cy="635"/>
                <wp:effectExtent l="0" t="0" r="0" b="0"/>
                <wp:wrapNone/>
                <wp:docPr id="5" name="直接连接符 3"/>
                <wp:cNvGraphicFramePr/>
                <a:graphic xmlns:a="http://schemas.openxmlformats.org/drawingml/2006/main">
                  <a:graphicData uri="http://schemas.microsoft.com/office/word/2010/wordprocessingShape">
                    <wps:wsp>
                      <wps:cNvCnPr/>
                      <wps:spPr>
                        <a:xfrm>
                          <a:off x="0" y="0"/>
                          <a:ext cx="553212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3.15pt;margin-top:3pt;height:0.05pt;width:435.6pt;z-index:251659264;mso-width-relative:page;mso-height-relative:page;" filled="f" stroked="t" coordsize="21600,21600" o:gfxdata="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ep8SNYAAAAGAQAADwAAAAAAAAABACAAAAAiAAAAZHJzL2Rvd25yZXYueG1sUEsBAhQAFAAA&#10;AAgAh07iQD3F2rHxAQAA6QMAAA4AAAAAAAAAAQAgAAAAJQEAAGRycy9lMm9Eb2MueG1sUEsFBgAA&#10;AAAGAAYAWQEAAIgFAAAAAA==&#10;">
                <v:fill on="f" focussize="0,0"/>
                <v:stroke weight="1pt" color="#000000" joinstyle="round"/>
                <v:imagedata o:title=""/>
                <o:lock v:ext="edit" aspectratio="f"/>
              </v:line>
            </w:pict>
          </mc:Fallback>
        </mc:AlternateContent>
      </w:r>
      <w:r>
        <w:rPr>
          <w:rFonts w:hint="eastAsia" w:ascii="仿宋_GB2312" w:hAnsi="仿宋_GB2312" w:eastAsia="仿宋_GB2312" w:cs="仿宋_GB2312"/>
          <w:color w:val="000000"/>
          <w:sz w:val="32"/>
          <w:szCs w:val="32"/>
          <w:u w:val="none"/>
          <w:lang w:eastAsia="zh-CN"/>
        </w:rPr>
        <w:t>本文书一式三份，一份送达，一份归档，一份办案机构留存。</w:t>
      </w:r>
    </w:p>
    <w:p w14:paraId="1F9FC7B6">
      <w:pPr>
        <w:spacing w:line="500" w:lineRule="exact"/>
        <w:rPr>
          <w:rFonts w:hint="eastAsia" w:ascii="仿宋_GB2312" w:hAnsi="仿宋_GB2312" w:eastAsia="仿宋_GB2312" w:cs="仿宋_GB2312"/>
          <w:color w:val="auto"/>
          <w:sz w:val="32"/>
          <w:szCs w:val="32"/>
        </w:rPr>
      </w:pPr>
    </w:p>
    <w:sectPr>
      <w:footerReference r:id="rId3" w:type="default"/>
      <w:pgSz w:w="11906" w:h="16838"/>
      <w:pgMar w:top="1440" w:right="1803" w:bottom="1440" w:left="1803"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42DC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42C2FF">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42C2FF">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A535350"/>
    <w:rsid w:val="0B22091D"/>
    <w:rsid w:val="0CF71776"/>
    <w:rsid w:val="0D242541"/>
    <w:rsid w:val="0E8C2700"/>
    <w:rsid w:val="0FB748D6"/>
    <w:rsid w:val="103E22C5"/>
    <w:rsid w:val="11524677"/>
    <w:rsid w:val="115320F9"/>
    <w:rsid w:val="119E3BCA"/>
    <w:rsid w:val="1350279A"/>
    <w:rsid w:val="1379754E"/>
    <w:rsid w:val="14203063"/>
    <w:rsid w:val="143E1E38"/>
    <w:rsid w:val="1490670C"/>
    <w:rsid w:val="152E563E"/>
    <w:rsid w:val="15B93156"/>
    <w:rsid w:val="16D23D7F"/>
    <w:rsid w:val="18325353"/>
    <w:rsid w:val="188449CB"/>
    <w:rsid w:val="18B229B2"/>
    <w:rsid w:val="19FE4517"/>
    <w:rsid w:val="1AE345F4"/>
    <w:rsid w:val="1B37398D"/>
    <w:rsid w:val="1C593CDA"/>
    <w:rsid w:val="1C7339BB"/>
    <w:rsid w:val="1C7A5BA8"/>
    <w:rsid w:val="1E664711"/>
    <w:rsid w:val="1EC222D9"/>
    <w:rsid w:val="1F2B5D07"/>
    <w:rsid w:val="1FC004DE"/>
    <w:rsid w:val="1FD31F15"/>
    <w:rsid w:val="212E3259"/>
    <w:rsid w:val="22287087"/>
    <w:rsid w:val="237778B4"/>
    <w:rsid w:val="23F5677C"/>
    <w:rsid w:val="24626694"/>
    <w:rsid w:val="258D6CE0"/>
    <w:rsid w:val="27A45517"/>
    <w:rsid w:val="27EB1160"/>
    <w:rsid w:val="2B1B3EFC"/>
    <w:rsid w:val="2CEA3815"/>
    <w:rsid w:val="2DE10173"/>
    <w:rsid w:val="2F327E79"/>
    <w:rsid w:val="2F7CE1EF"/>
    <w:rsid w:val="2F8A6913"/>
    <w:rsid w:val="30DB5683"/>
    <w:rsid w:val="30FA2F6D"/>
    <w:rsid w:val="31562B39"/>
    <w:rsid w:val="31BE0AF5"/>
    <w:rsid w:val="32CE76E8"/>
    <w:rsid w:val="3334290F"/>
    <w:rsid w:val="33740640"/>
    <w:rsid w:val="35122D6A"/>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8F0B22"/>
    <w:rsid w:val="4C02380F"/>
    <w:rsid w:val="4C7C04B3"/>
    <w:rsid w:val="4CC8271B"/>
    <w:rsid w:val="4CF33E68"/>
    <w:rsid w:val="4D9306AE"/>
    <w:rsid w:val="4E8950D9"/>
    <w:rsid w:val="4F722566"/>
    <w:rsid w:val="4F93378A"/>
    <w:rsid w:val="503F09B5"/>
    <w:rsid w:val="51677310"/>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284185"/>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4D3454"/>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5295"/>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2394</Words>
  <Characters>2678</Characters>
  <Lines>0</Lines>
  <Paragraphs>0</Paragraphs>
  <TotalTime>0</TotalTime>
  <ScaleCrop>false</ScaleCrop>
  <LinksUpToDate>false</LinksUpToDate>
  <CharactersWithSpaces>2870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2025-08-19T06:39:54Z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268A4611A0074DFBAB5A0F30360880FD_13</vt:lpwstr>
  </property>
  <property fmtid="{D5CDD505-2E9C-101B-9397-08002B2CF9AE}" pid="4" name="KSOTemplateDocerSaveRecord">
    <vt:lpwstr>eyJoZGlkIjoiOTJkNzdiMWY1ZWU2ZWU3NmE4ZTUxNGRmYWVhMzdjNDQiLCJ1c2VySWQiOiI4ODA3MzMzNDYifQ==</vt:lpwstr>
  </property>
</Properties>
</file>