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969F0">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0D9F78AF">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79F272FC">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偃市监处罚〔2025〕46号</w:t>
      </w:r>
      <w:bookmarkEnd w:id="2"/>
    </w:p>
    <w:p w14:paraId="10263442">
      <w:pPr>
        <w:spacing w:line="560" w:lineRule="exact"/>
        <w:rPr>
          <w:rFonts w:ascii="仿宋" w:hAnsi="仿宋" w:eastAsia="仿宋" w:cs="仿宋"/>
          <w:color w:val="221E1F"/>
          <w:sz w:val="32"/>
          <w:szCs w:val="32"/>
        </w:rPr>
      </w:pPr>
      <w:r>
        <w:rPr>
          <w:rFonts w:hint="eastAsia" w:ascii="仿宋" w:hAnsi="仿宋" w:eastAsia="仿宋"/>
          <w:sz w:val="32"/>
          <w:szCs w:val="32"/>
        </w:rPr>
        <w:t>当事人：</w:t>
      </w:r>
      <w:bookmarkStart w:id="3" w:name="OLE_LINK3"/>
      <w:bookmarkStart w:id="4" w:name="OLE_LINK2"/>
      <w:bookmarkStart w:id="5" w:name="OLE_LINK10"/>
      <w:r>
        <w:rPr>
          <w:rFonts w:hint="eastAsia" w:ascii="仿宋" w:hAnsi="仿宋" w:eastAsia="仿宋" w:cs="仿宋_GB2312"/>
          <w:sz w:val="32"/>
          <w:szCs w:val="32"/>
        </w:rPr>
        <w:t>洛阳市偃师区伊洛街道隆城百货商行 （个体工商户）</w:t>
      </w:r>
      <w:bookmarkEnd w:id="3"/>
      <w:bookmarkEnd w:id="4"/>
      <w:bookmarkEnd w:id="5"/>
    </w:p>
    <w:p w14:paraId="33FD1E62">
      <w:pPr>
        <w:spacing w:line="560" w:lineRule="exact"/>
        <w:rPr>
          <w:rFonts w:ascii="仿宋" w:hAnsi="仿宋" w:eastAsia="仿宋"/>
          <w:sz w:val="32"/>
          <w:szCs w:val="32"/>
        </w:rPr>
      </w:pPr>
      <w:r>
        <w:rPr>
          <w:rFonts w:hint="eastAsia" w:ascii="仿宋" w:hAnsi="仿宋" w:eastAsia="仿宋"/>
          <w:sz w:val="32"/>
          <w:szCs w:val="32"/>
        </w:rPr>
        <w:t>主体资格证照名称：营业执照</w:t>
      </w:r>
    </w:p>
    <w:p w14:paraId="3EE71886">
      <w:pPr>
        <w:spacing w:line="560" w:lineRule="exact"/>
        <w:rPr>
          <w:rFonts w:ascii="仿宋_GB2312" w:hAnsi="仿宋_GB2312" w:eastAsia="仿宋_GB2312" w:cs="仿宋_GB2312"/>
          <w:sz w:val="32"/>
          <w:szCs w:val="32"/>
        </w:rPr>
      </w:pPr>
      <w:r>
        <w:rPr>
          <w:rFonts w:hint="eastAsia" w:ascii="仿宋" w:hAnsi="仿宋" w:eastAsia="仿宋"/>
          <w:sz w:val="32"/>
          <w:szCs w:val="32"/>
        </w:rPr>
        <w:t>统一社会信用代码：</w:t>
      </w:r>
      <w:r>
        <w:rPr>
          <w:rFonts w:ascii="仿宋" w:hAnsi="仿宋" w:eastAsia="仿宋" w:cs="仿宋"/>
          <w:sz w:val="32"/>
          <w:szCs w:val="32"/>
        </w:rPr>
        <w:t>92410307MAD2KCPG46</w:t>
      </w:r>
    </w:p>
    <w:p w14:paraId="1DE61891">
      <w:pPr>
        <w:spacing w:line="560" w:lineRule="exact"/>
        <w:rPr>
          <w:rFonts w:ascii="仿宋_GB2312" w:hAnsi="仿宋_GB2312" w:eastAsia="仿宋_GB2312" w:cs="仿宋_GB2312"/>
          <w:sz w:val="32"/>
          <w:szCs w:val="32"/>
        </w:rPr>
      </w:pPr>
      <w:r>
        <w:rPr>
          <w:rFonts w:hint="eastAsia" w:ascii="仿宋" w:hAnsi="仿宋" w:eastAsia="仿宋"/>
          <w:sz w:val="32"/>
          <w:szCs w:val="32"/>
        </w:rPr>
        <w:t>经营者：</w:t>
      </w:r>
      <w:r>
        <w:rPr>
          <w:rFonts w:hint="eastAsia" w:ascii="仿宋" w:hAnsi="仿宋" w:eastAsia="仿宋" w:cs="仿宋"/>
          <w:sz w:val="32"/>
          <w:szCs w:val="32"/>
        </w:rPr>
        <w:t>任慧妞</w:t>
      </w:r>
    </w:p>
    <w:p w14:paraId="1A6DDF60">
      <w:pPr>
        <w:spacing w:line="560" w:lineRule="exact"/>
        <w:rPr>
          <w:rFonts w:ascii="仿宋" w:hAnsi="仿宋" w:eastAsia="仿宋" w:cs="仿宋"/>
          <w:sz w:val="32"/>
          <w:szCs w:val="32"/>
        </w:rPr>
      </w:pPr>
      <w:r>
        <w:rPr>
          <w:rFonts w:hint="eastAsia" w:ascii="仿宋" w:hAnsi="仿宋" w:eastAsia="仿宋"/>
          <w:sz w:val="32"/>
          <w:szCs w:val="32"/>
        </w:rPr>
        <w:t>经营场所：</w:t>
      </w:r>
      <w:r>
        <w:rPr>
          <w:rFonts w:hint="eastAsia" w:ascii="仿宋" w:hAnsi="仿宋" w:eastAsia="仿宋" w:cs="仿宋"/>
          <w:sz w:val="32"/>
          <w:szCs w:val="32"/>
        </w:rPr>
        <w:t>洛阳市偃师区伊洛街道首阳路华夏新村</w:t>
      </w:r>
      <w:r>
        <w:rPr>
          <w:rFonts w:ascii="仿宋" w:hAnsi="仿宋" w:eastAsia="仿宋" w:cs="仿宋"/>
          <w:sz w:val="32"/>
          <w:szCs w:val="32"/>
        </w:rPr>
        <w:t>8号楼</w:t>
      </w:r>
      <w:bookmarkStart w:id="11" w:name="_GoBack"/>
      <w:bookmarkEnd w:id="11"/>
    </w:p>
    <w:p w14:paraId="2E135CD7">
      <w:pPr>
        <w:keepNext w:val="0"/>
        <w:keepLines w:val="0"/>
        <w:pageBreakBefore w:val="0"/>
        <w:kinsoku/>
        <w:wordWrap/>
        <w:overflowPunct/>
        <w:topLinePunct w:val="0"/>
        <w:bidi w:val="0"/>
        <w:adjustRightInd/>
        <w:snapToGrid/>
        <w:spacing w:line="600" w:lineRule="exact"/>
        <w:ind w:left="105" w:leftChars="50" w:right="105" w:rightChars="50" w:firstLine="612" w:firstLineChars="200"/>
        <w:textAlignment w:val="auto"/>
        <w:rPr>
          <w:rFonts w:ascii="仿宋" w:hAnsi="仿宋" w:eastAsia="仿宋" w:cs="仿宋_GB2312"/>
          <w:color w:val="221E1F"/>
          <w:sz w:val="32"/>
          <w:szCs w:val="32"/>
        </w:rPr>
      </w:pPr>
      <w:r>
        <w:rPr>
          <w:rFonts w:hint="eastAsia" w:ascii="仿宋" w:hAnsi="仿宋" w:eastAsia="仿宋" w:cs="仿宋_GB2312"/>
          <w:color w:val="221E1F"/>
          <w:spacing w:val="-7"/>
          <w:sz w:val="32"/>
          <w:szCs w:val="32"/>
        </w:rPr>
        <w:t>2025年3月20日我局执法人员会同四川绵竹剑南春酒厂有限公司维权人员对当事人进行检查时，在其商行内西货架上，发现标注四川绵竹剑南春酒厂有限公司生产的剑南春浓香型白酒一瓶(序号：8086 2415 8744 ，净含量:500m1，酒精度:52%vo1)，该酒经四川绵竹剑南春酒厂有限公司维权人员初步鉴定，为假冒产品</w:t>
      </w:r>
      <w:r>
        <w:rPr>
          <w:rFonts w:hint="eastAsia" w:ascii="仿宋" w:hAnsi="仿宋" w:eastAsia="仿宋" w:cs="仿宋_GB2312"/>
          <w:sz w:val="32"/>
          <w:szCs w:val="32"/>
        </w:rPr>
        <w:t>，我局执法人员依法对上述物品进行了扣押</w:t>
      </w:r>
      <w:r>
        <w:rPr>
          <w:rFonts w:hint="eastAsia" w:ascii="仿宋" w:hAnsi="仿宋" w:eastAsia="仿宋" w:cs="仿宋_GB2312"/>
          <w:color w:val="221E1F"/>
          <w:spacing w:val="-7"/>
          <w:sz w:val="32"/>
          <w:szCs w:val="32"/>
        </w:rPr>
        <w:t>。</w:t>
      </w:r>
      <w:r>
        <w:rPr>
          <w:rFonts w:hint="eastAsia" w:ascii="仿宋" w:hAnsi="仿宋" w:eastAsia="仿宋" w:cs="仿宋_GB2312"/>
          <w:color w:val="221E1F"/>
          <w:sz w:val="32"/>
          <w:szCs w:val="32"/>
        </w:rPr>
        <w:t>为进一步查清事实，</w:t>
      </w:r>
      <w:r>
        <w:rPr>
          <w:rFonts w:hint="eastAsia" w:ascii="仿宋" w:hAnsi="仿宋" w:eastAsia="仿宋" w:cs="仿宋_GB2312"/>
          <w:sz w:val="32"/>
          <w:szCs w:val="32"/>
        </w:rPr>
        <w:t>2025年3月20日我局对其</w:t>
      </w:r>
      <w:r>
        <w:rPr>
          <w:rFonts w:hint="eastAsia" w:ascii="仿宋" w:hAnsi="仿宋" w:eastAsia="仿宋" w:cs="仿宋_GB2312"/>
          <w:color w:val="221E1F"/>
          <w:sz w:val="32"/>
          <w:szCs w:val="32"/>
        </w:rPr>
        <w:t>立案。立案后，执法人员采取询问当事人，调取相关证据等方式对本案进行了调查。</w:t>
      </w:r>
    </w:p>
    <w:p w14:paraId="1D20830C">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sz w:val="32"/>
          <w:szCs w:val="32"/>
        </w:rPr>
        <w:t>经查</w:t>
      </w:r>
      <w:r>
        <w:rPr>
          <w:rFonts w:hint="eastAsia" w:ascii="仿宋_GB2312" w:hAnsi="仿宋_GB2312" w:eastAsia="仿宋_GB2312" w:cs="仿宋_GB2312"/>
          <w:sz w:val="32"/>
          <w:szCs w:val="32"/>
        </w:rPr>
        <w:t>：</w:t>
      </w:r>
      <w:r>
        <w:rPr>
          <w:rFonts w:hint="eastAsia" w:ascii="仿宋" w:hAnsi="仿宋" w:eastAsia="仿宋" w:cs="仿宋_GB2312"/>
          <w:color w:val="221E1F"/>
          <w:sz w:val="32"/>
          <w:szCs w:val="32"/>
        </w:rPr>
        <w:t>涉案标注四川绵竹剑南春酒厂有限公司生产的剑南春浓香型白酒 (净含量:500m1，酒精度:52%vo1)，当事人称：该酒是2021年前别人送给当事人的共3瓶（维权人员鉴定只一瓶有问题），不是同一时间送的。2021年煤球房改造，当事人拿到家了，2024年拿到商行，放到货架上没有标注价签，以前未销售过涉案52%vo1剑南春浓香型白酒，不知道进价。</w:t>
      </w:r>
    </w:p>
    <w:p w14:paraId="22827DFD">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sz w:val="32"/>
          <w:szCs w:val="32"/>
        </w:rPr>
        <w:t>2025年3月20日</w:t>
      </w:r>
      <w:r>
        <w:rPr>
          <w:rFonts w:hint="eastAsia" w:ascii="仿宋" w:hAnsi="仿宋" w:eastAsia="仿宋" w:cs="仿宋_GB2312"/>
          <w:color w:val="221E1F"/>
          <w:sz w:val="32"/>
          <w:szCs w:val="32"/>
        </w:rPr>
        <w:t>四川绵竹剑南春酒厂有限公司授权委托人：张仕达（编号0000132）出具了；川剑辨00007832号《四川绵竹剑南春酒厂有限公司辨认意见书》，内容是当事人商行西货架上销售的3瓶标注四川绵竹剑南春酒厂有限公司生产的剑南春浓香型白酒 (净含量:500m1，酒精度:52%vo1)，其中1瓶</w:t>
      </w:r>
      <w:r>
        <w:rPr>
          <w:rFonts w:hint="eastAsia" w:ascii="仿宋" w:hAnsi="仿宋" w:eastAsia="仿宋" w:cs="仿宋_GB2312"/>
          <w:color w:val="221E1F"/>
          <w:spacing w:val="-7"/>
          <w:sz w:val="32"/>
          <w:szCs w:val="32"/>
        </w:rPr>
        <w:t>(序号：8086 2415 8744 )的外包装上，1.</w:t>
      </w:r>
      <w:r>
        <w:t xml:space="preserve"> </w:t>
      </w:r>
      <w:r>
        <w:rPr>
          <w:rFonts w:hint="eastAsia" w:ascii="仿宋" w:hAnsi="仿宋" w:eastAsia="仿宋" w:cs="仿宋_GB2312"/>
          <w:color w:val="221E1F"/>
          <w:spacing w:val="-7"/>
          <w:sz w:val="32"/>
          <w:szCs w:val="32"/>
        </w:rPr>
        <w:t>纹理标防伪与我公司不相符；</w:t>
      </w:r>
      <w:r>
        <w:rPr>
          <w:rFonts w:hint="eastAsia" w:ascii="仿宋" w:hAnsi="仿宋" w:eastAsia="仿宋" w:cs="仿宋_GB2312"/>
          <w:color w:val="221E1F"/>
          <w:spacing w:val="-7"/>
          <w:sz w:val="32"/>
          <w:szCs w:val="32"/>
          <w:lang w:val="en-US" w:eastAsia="zh-CN"/>
        </w:rPr>
        <w:t>2.</w:t>
      </w:r>
      <w:r>
        <w:rPr>
          <w:rFonts w:hint="eastAsia" w:ascii="仿宋" w:hAnsi="仿宋" w:eastAsia="仿宋" w:cs="仿宋_GB2312"/>
          <w:color w:val="221E1F"/>
          <w:spacing w:val="-7"/>
          <w:sz w:val="32"/>
          <w:szCs w:val="32"/>
        </w:rPr>
        <w:t>紫光灯检测与我公司防伪特征不相符；3.放大镜下未显示我公司防伪特征。辨认结论：综上，辨认样品不是我公司生产的产品，</w:t>
      </w:r>
      <w:bookmarkStart w:id="6" w:name="OLE_LINK4"/>
      <w:bookmarkStart w:id="7" w:name="OLE_LINK7"/>
      <w:r>
        <w:rPr>
          <w:rFonts w:hint="eastAsia" w:ascii="仿宋" w:hAnsi="仿宋" w:eastAsia="仿宋" w:cs="仿宋_GB2312"/>
          <w:color w:val="221E1F"/>
          <w:spacing w:val="-7"/>
          <w:sz w:val="32"/>
          <w:szCs w:val="32"/>
        </w:rPr>
        <w:t>侵犯</w:t>
      </w:r>
      <w:bookmarkEnd w:id="6"/>
      <w:bookmarkEnd w:id="7"/>
      <w:r>
        <w:rPr>
          <w:rFonts w:hint="eastAsia" w:ascii="仿宋" w:hAnsi="仿宋" w:eastAsia="仿宋" w:cs="仿宋_GB2312"/>
          <w:color w:val="221E1F"/>
          <w:spacing w:val="-7"/>
          <w:sz w:val="32"/>
          <w:szCs w:val="32"/>
        </w:rPr>
        <w:t>了我公司“剑南春”注册商标专用权。</w:t>
      </w:r>
    </w:p>
    <w:p w14:paraId="70420588">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sz w:val="32"/>
          <w:szCs w:val="32"/>
        </w:rPr>
      </w:pPr>
      <w:bookmarkStart w:id="8" w:name="OLE_LINK6"/>
      <w:bookmarkStart w:id="9" w:name="OLE_LINK5"/>
      <w:r>
        <w:rPr>
          <w:rFonts w:hint="eastAsia" w:ascii="仿宋" w:hAnsi="仿宋" w:eastAsia="仿宋" w:cs="仿宋_GB2312"/>
          <w:color w:val="221E1F"/>
          <w:sz w:val="32"/>
          <w:szCs w:val="32"/>
        </w:rPr>
        <w:t>涉案同型号52%vo1剑南春浓香型白酒，我局执法人员调查了偃师区大张实业有限公司、中成大卖场和大志烟酒，其零售价分别为：425元/瓶、458元/瓶、415元/瓶。其市场</w:t>
      </w:r>
      <w:r>
        <w:rPr>
          <w:rFonts w:hint="eastAsia" w:ascii="仿宋" w:hAnsi="仿宋" w:eastAsia="仿宋" w:cs="仿宋_GB2312"/>
          <w:color w:val="221E1F"/>
          <w:sz w:val="32"/>
          <w:szCs w:val="32"/>
          <w:lang w:val="en-US" w:eastAsia="zh-CN"/>
        </w:rPr>
        <w:t>零售</w:t>
      </w:r>
      <w:r>
        <w:rPr>
          <w:rFonts w:hint="eastAsia" w:ascii="仿宋" w:hAnsi="仿宋" w:eastAsia="仿宋" w:cs="仿宋_GB2312"/>
          <w:color w:val="221E1F"/>
          <w:sz w:val="32"/>
          <w:szCs w:val="32"/>
        </w:rPr>
        <w:t xml:space="preserve">均价为433元/瓶。                       </w:t>
      </w:r>
      <w:bookmarkEnd w:id="8"/>
      <w:bookmarkEnd w:id="9"/>
    </w:p>
    <w:p w14:paraId="608680A2">
      <w:pPr>
        <w:keepNext w:val="0"/>
        <w:keepLines w:val="0"/>
        <w:pageBreakBefore w:val="0"/>
        <w:kinsoku/>
        <w:wordWrap/>
        <w:overflowPunct/>
        <w:topLinePunct w:val="0"/>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 w:hAnsi="仿宋" w:eastAsia="仿宋" w:cs="仿宋_GB2312"/>
          <w:color w:val="221E1F"/>
          <w:sz w:val="32"/>
          <w:szCs w:val="32"/>
        </w:rPr>
        <w:t>当事人销售</w:t>
      </w:r>
      <w:r>
        <w:rPr>
          <w:rFonts w:hint="eastAsia" w:ascii="仿宋" w:hAnsi="仿宋" w:eastAsia="仿宋" w:cs="仿宋_GB2312"/>
          <w:sz w:val="32"/>
          <w:szCs w:val="32"/>
          <w:lang w:val="zh-CN"/>
        </w:rPr>
        <w:t>侵犯</w:t>
      </w:r>
      <w:r>
        <w:rPr>
          <w:rFonts w:hint="eastAsia" w:ascii="仿宋" w:hAnsi="仿宋" w:eastAsia="仿宋" w:cs="仿宋_GB2312"/>
          <w:color w:val="221E1F"/>
          <w:sz w:val="32"/>
          <w:szCs w:val="32"/>
        </w:rPr>
        <w:t>剑南春</w:t>
      </w:r>
      <w:r>
        <w:rPr>
          <w:rFonts w:hint="eastAsia" w:ascii="仿宋" w:hAnsi="仿宋" w:eastAsia="仿宋" w:cs="仿宋_GB2312"/>
          <w:sz w:val="32"/>
          <w:szCs w:val="32"/>
          <w:lang w:val="zh-CN"/>
        </w:rPr>
        <w:t>注册商标专用权</w:t>
      </w:r>
      <w:r>
        <w:rPr>
          <w:rFonts w:hint="eastAsia" w:ascii="仿宋" w:hAnsi="仿宋" w:eastAsia="仿宋" w:cs="仿宋_GB2312"/>
          <w:sz w:val="32"/>
          <w:szCs w:val="32"/>
        </w:rPr>
        <w:t>的</w:t>
      </w:r>
      <w:r>
        <w:rPr>
          <w:rFonts w:hint="eastAsia" w:ascii="仿宋" w:hAnsi="仿宋" w:eastAsia="仿宋" w:cs="仿宋_GB2312"/>
          <w:color w:val="221E1F"/>
          <w:sz w:val="32"/>
          <w:szCs w:val="32"/>
        </w:rPr>
        <w:t>浓香型白酒 (序号：8086 2415 8744，净含量:500m1，酒精度:52%vo1)，其</w:t>
      </w:r>
      <w:r>
        <w:rPr>
          <w:rFonts w:hint="eastAsia" w:ascii="仿宋" w:hAnsi="仿宋" w:eastAsia="仿宋" w:cs="仿宋_GB2312"/>
          <w:sz w:val="32"/>
          <w:szCs w:val="32"/>
        </w:rPr>
        <w:t xml:space="preserve">违法经营额433元。     </w:t>
      </w:r>
      <w:r>
        <w:rPr>
          <w:rFonts w:hint="eastAsia" w:ascii="仿宋" w:hAnsi="仿宋" w:eastAsia="仿宋" w:cs="仿宋_GB2312"/>
        </w:rPr>
        <w:t xml:space="preserve">              </w:t>
      </w:r>
      <w:r>
        <w:rPr>
          <w:rFonts w:hint="eastAsia" w:ascii="仿宋" w:hAnsi="仿宋" w:eastAsia="仿宋" w:cs="仿宋_GB2312"/>
          <w:sz w:val="32"/>
          <w:szCs w:val="32"/>
        </w:rPr>
        <w:t xml:space="preserve">    </w:t>
      </w:r>
      <w:r>
        <w:rPr>
          <w:rFonts w:hint="eastAsia" w:ascii="仿宋_GB2312" w:hAnsi="仿宋_GB2312" w:eastAsia="仿宋_GB2312" w:cs="仿宋_GB2312"/>
          <w:color w:val="333333"/>
          <w:sz w:val="32"/>
          <w:szCs w:val="32"/>
        </w:rPr>
        <w:t xml:space="preserve">                             </w:t>
      </w:r>
    </w:p>
    <w:p w14:paraId="2AA9EECC">
      <w:pPr>
        <w:keepNext w:val="0"/>
        <w:keepLines w:val="0"/>
        <w:pageBreakBefore w:val="0"/>
        <w:widowControl/>
        <w:kinsoku/>
        <w:wordWrap/>
        <w:overflowPunct/>
        <w:topLinePunct w:val="0"/>
        <w:autoSpaceDE w:val="0"/>
        <w:autoSpaceDN w:val="0"/>
        <w:bidi w:val="0"/>
        <w:adjustRightInd/>
        <w:snapToGrid/>
        <w:spacing w:line="600" w:lineRule="exact"/>
        <w:ind w:left="105" w:leftChars="50" w:right="105" w:rightChars="50" w:firstLine="596" w:firstLineChars="200"/>
        <w:textAlignment w:val="auto"/>
        <w:rPr>
          <w:rFonts w:ascii="仿宋" w:hAnsi="仿宋" w:eastAsia="仿宋" w:cs="仿宋_GB2312"/>
          <w:color w:val="221E1F"/>
          <w:spacing w:val="-11"/>
          <w:sz w:val="32"/>
          <w:szCs w:val="32"/>
        </w:rPr>
      </w:pPr>
      <w:r>
        <w:rPr>
          <w:rFonts w:hint="eastAsia" w:ascii="仿宋" w:hAnsi="仿宋" w:eastAsia="仿宋" w:cs="仿宋_GB2312"/>
          <w:color w:val="221E1F"/>
          <w:spacing w:val="-11"/>
          <w:sz w:val="32"/>
          <w:szCs w:val="32"/>
        </w:rPr>
        <w:t>上述事实</w:t>
      </w:r>
      <w:r>
        <w:rPr>
          <w:rFonts w:hint="eastAsia" w:ascii="仿宋" w:hAnsi="仿宋" w:eastAsia="仿宋" w:cs="仿宋_GB2312"/>
          <w:color w:val="221E1F"/>
          <w:spacing w:val="-10"/>
          <w:sz w:val="32"/>
          <w:szCs w:val="32"/>
        </w:rPr>
        <w:t>，</w:t>
      </w:r>
      <w:r>
        <w:rPr>
          <w:rFonts w:hint="eastAsia" w:ascii="仿宋" w:hAnsi="仿宋" w:eastAsia="仿宋" w:cs="仿宋_GB2312"/>
          <w:color w:val="221E1F"/>
          <w:spacing w:val="-11"/>
          <w:sz w:val="32"/>
          <w:szCs w:val="32"/>
        </w:rPr>
        <w:t>主要有以下证据证明；</w:t>
      </w:r>
    </w:p>
    <w:p w14:paraId="53176084">
      <w:pPr>
        <w:keepNext w:val="0"/>
        <w:keepLines w:val="0"/>
        <w:pageBreakBefore w:val="0"/>
        <w:kinsoku/>
        <w:wordWrap/>
        <w:overflowPunct/>
        <w:topLinePunct w:val="0"/>
        <w:autoSpaceDE w:val="0"/>
        <w:autoSpaceDN w:val="0"/>
        <w:bidi w:val="0"/>
        <w:adjustRightInd/>
        <w:snapToGrid/>
        <w:spacing w:line="600" w:lineRule="exact"/>
        <w:ind w:left="105" w:leftChars="50" w:right="105" w:rightChars="50" w:firstLine="596" w:firstLineChars="200"/>
        <w:textAlignment w:val="auto"/>
        <w:rPr>
          <w:rFonts w:ascii="仿宋" w:hAnsi="仿宋" w:eastAsia="仿宋" w:cs="仿宋_GB2312"/>
          <w:color w:val="221E1F"/>
          <w:spacing w:val="-11"/>
          <w:sz w:val="32"/>
          <w:szCs w:val="32"/>
        </w:rPr>
      </w:pPr>
      <w:r>
        <w:rPr>
          <w:rFonts w:hint="eastAsia" w:ascii="仿宋" w:hAnsi="仿宋" w:eastAsia="仿宋" w:cs="仿宋_GB2312"/>
          <w:color w:val="221E1F"/>
          <w:spacing w:val="-11"/>
          <w:sz w:val="32"/>
          <w:szCs w:val="32"/>
        </w:rPr>
        <w:t xml:space="preserve">1.营业执照及经营者身份证复印件，证明 当事人主体经营资格及经营者身份；                                                </w:t>
      </w:r>
    </w:p>
    <w:p w14:paraId="4687951C">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2.现场笔录，证明 我局执法人员现场检查的情况；</w:t>
      </w:r>
    </w:p>
    <w:p w14:paraId="47F0742C">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sz w:val="32"/>
          <w:szCs w:val="32"/>
        </w:rPr>
      </w:pPr>
      <w:r>
        <w:rPr>
          <w:rFonts w:hint="eastAsia" w:ascii="仿宋" w:hAnsi="仿宋" w:eastAsia="仿宋" w:cs="仿宋_GB2312"/>
          <w:color w:val="221E1F"/>
          <w:sz w:val="32"/>
          <w:szCs w:val="32"/>
        </w:rPr>
        <w:t>3.询问笔录，证明 当事人违法的</w:t>
      </w:r>
      <w:r>
        <w:rPr>
          <w:rFonts w:hint="eastAsia" w:ascii="仿宋" w:hAnsi="仿宋" w:eastAsia="仿宋" w:cs="仿宋_GB2312"/>
          <w:sz w:val="32"/>
          <w:szCs w:val="32"/>
        </w:rPr>
        <w:t xml:space="preserve">情况；    </w:t>
      </w:r>
    </w:p>
    <w:p w14:paraId="450D57BE">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 xml:space="preserve">4.实施行政强制措施决定书及财物清单，证明 涉嫌侵权商品的被扣押情况； </w:t>
      </w:r>
    </w:p>
    <w:p w14:paraId="776B7510">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5.涉案侵权商品图片，证明 侵权商品的情况；</w:t>
      </w:r>
    </w:p>
    <w:p w14:paraId="474D224E">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6.</w:t>
      </w:r>
      <w:r>
        <w:rPr>
          <w:rFonts w:hint="eastAsia" w:ascii="仿宋" w:hAnsi="仿宋" w:eastAsia="仿宋" w:cs="仿宋_GB2312"/>
          <w:sz w:val="32"/>
          <w:szCs w:val="32"/>
        </w:rPr>
        <w:t xml:space="preserve">《四川绵竹剑南春酒厂有限公司辨认意见书》，证明 当事人销售侵犯注册商标专用权的商品。    </w:t>
      </w:r>
      <w:r>
        <w:rPr>
          <w:rFonts w:hint="eastAsia" w:ascii="仿宋" w:hAnsi="仿宋" w:eastAsia="仿宋" w:cs="仿宋_GB2312"/>
          <w:color w:val="221E1F"/>
          <w:sz w:val="32"/>
          <w:szCs w:val="32"/>
        </w:rPr>
        <w:t xml:space="preserve"> </w:t>
      </w:r>
    </w:p>
    <w:p w14:paraId="398E0B73">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sz w:val="32"/>
          <w:szCs w:val="32"/>
        </w:rPr>
        <w:t>当事人的上述行为，违反了《中华人民共和国商标法》第五十七条：“有下列行为之一的，均属侵犯注册商标专用权：</w:t>
      </w:r>
      <w:r>
        <w:rPr>
          <w:rFonts w:hint="eastAsia" w:ascii="仿宋" w:hAnsi="仿宋" w:eastAsia="仿宋" w:cs="仿宋_GB2312"/>
          <w:sz w:val="32"/>
          <w:szCs w:val="32"/>
          <w:lang w:val="zh-CN"/>
        </w:rPr>
        <w:t>（三）</w:t>
      </w:r>
      <w:bookmarkStart w:id="10" w:name="OLE_LINK1"/>
      <w:r>
        <w:rPr>
          <w:rFonts w:hint="eastAsia" w:ascii="仿宋" w:hAnsi="仿宋" w:eastAsia="仿宋" w:cs="仿宋_GB2312"/>
          <w:sz w:val="32"/>
          <w:szCs w:val="32"/>
          <w:lang w:val="zh-CN"/>
        </w:rPr>
        <w:t>销售侵犯注册商标专用权的商品的</w:t>
      </w:r>
      <w:bookmarkEnd w:id="10"/>
      <w:r>
        <w:rPr>
          <w:rFonts w:hint="eastAsia" w:ascii="仿宋" w:hAnsi="仿宋" w:eastAsia="仿宋" w:cs="仿宋_GB2312"/>
          <w:sz w:val="32"/>
          <w:szCs w:val="32"/>
        </w:rPr>
        <w:t>”之规定，其行为属于侵犯注册商标专用权。</w:t>
      </w:r>
    </w:p>
    <w:p w14:paraId="014910F9">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2025年4月14日，我局向当事人送达偃市监罚告〔2025〕42号《行政处罚告知书》，</w:t>
      </w:r>
      <w:r>
        <w:rPr>
          <w:rFonts w:hint="eastAsia" w:ascii="仿宋" w:hAnsi="仿宋" w:eastAsia="仿宋" w:cs="仿宋"/>
          <w:sz w:val="32"/>
          <w:szCs w:val="32"/>
        </w:rPr>
        <w:t>告</w:t>
      </w:r>
      <w:r>
        <w:rPr>
          <w:rFonts w:hint="eastAsia" w:ascii="仿宋" w:hAnsi="仿宋" w:eastAsia="仿宋" w:cs="仿宋"/>
          <w:color w:val="333333"/>
          <w:sz w:val="32"/>
          <w:szCs w:val="32"/>
        </w:rPr>
        <w:t>知当事人我局拟做出行政处罚决定的事实、理由、依据、内容以及当事人依法享有的陈述权、申辩权，</w:t>
      </w:r>
      <w:r>
        <w:rPr>
          <w:rFonts w:hint="eastAsia" w:ascii="仿宋" w:hAnsi="仿宋" w:eastAsia="仿宋" w:cs="仿宋"/>
          <w:sz w:val="32"/>
          <w:szCs w:val="32"/>
        </w:rPr>
        <w:t>并可以要求听证</w:t>
      </w:r>
      <w:r>
        <w:rPr>
          <w:rFonts w:hint="eastAsia" w:ascii="仿宋" w:hAnsi="仿宋" w:eastAsia="仿宋" w:cs="仿宋"/>
          <w:color w:val="333333"/>
          <w:sz w:val="32"/>
          <w:szCs w:val="32"/>
        </w:rPr>
        <w:t>。</w:t>
      </w:r>
      <w:r>
        <w:rPr>
          <w:rFonts w:hint="eastAsia" w:ascii="仿宋" w:hAnsi="仿宋" w:eastAsia="仿宋"/>
          <w:sz w:val="32"/>
          <w:szCs w:val="32"/>
        </w:rPr>
        <w:t>在规定的时间内，当事人未提出陈述、申辩权意见，也未要求听证。</w:t>
      </w:r>
    </w:p>
    <w:p w14:paraId="61856180">
      <w:pPr>
        <w:pStyle w:val="9"/>
        <w:keepNext w:val="0"/>
        <w:keepLines w:val="0"/>
        <w:pageBreakBefore w:val="0"/>
        <w:shd w:val="clear" w:color="auto" w:fill="FFFFFF"/>
        <w:kinsoku/>
        <w:wordWrap/>
        <w:overflowPunct/>
        <w:topLinePunct w:val="0"/>
        <w:bidi w:val="0"/>
        <w:adjustRightInd/>
        <w:snapToGrid/>
        <w:spacing w:before="0" w:beforeAutospacing="0" w:after="0" w:afterAutospacing="0" w:line="600" w:lineRule="exact"/>
        <w:ind w:right="-105" w:rightChars="-50" w:firstLine="640" w:firstLineChars="200"/>
        <w:textAlignment w:val="auto"/>
        <w:rPr>
          <w:rFonts w:ascii="仿宋" w:hAnsi="仿宋" w:eastAsia="仿宋" w:cs="仿宋_GB2312"/>
          <w:color w:val="221E1F"/>
          <w:spacing w:val="-36"/>
          <w:sz w:val="32"/>
          <w:szCs w:val="32"/>
        </w:rPr>
      </w:pPr>
      <w:r>
        <w:rPr>
          <w:rFonts w:hint="eastAsia" w:ascii="仿宋" w:hAnsi="仿宋" w:eastAsia="仿宋" w:cs="仿宋_GB2312"/>
          <w:sz w:val="32"/>
          <w:szCs w:val="32"/>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 裁量等级：一般，违法情形：不具有从轻、从重处罚情形。裁量基准：没收、销毁侵权商品和主要用于制造侵权商品、伪造注册商标标识的工具，违法经营额 5 万元以上的，处违法经营额 3.5 倍以下的罚款，没有违法经营额或者违法经营额不足5万元的，处 17.5 万元以下的罚款。”之规定。决定责令</w:t>
      </w:r>
      <w:r>
        <w:rPr>
          <w:rFonts w:hint="eastAsia" w:ascii="仿宋" w:hAnsi="仿宋" w:eastAsia="仿宋" w:cs="仿宋"/>
          <w:sz w:val="32"/>
          <w:szCs w:val="32"/>
        </w:rPr>
        <w:t>洛阳市偃师区伊洛街道隆城百货商行</w:t>
      </w:r>
      <w:r>
        <w:rPr>
          <w:rFonts w:ascii="仿宋" w:hAnsi="仿宋" w:eastAsia="仿宋" w:cs="仿宋"/>
          <w:sz w:val="32"/>
          <w:szCs w:val="32"/>
        </w:rPr>
        <w:t xml:space="preserve"> （个体工商户）立即停止侵权行为，没收涉案剑南春浓香型白酒1瓶，处500元罚款。</w:t>
      </w:r>
    </w:p>
    <w:p w14:paraId="091E74CF">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r>
        <w:rPr>
          <w:rFonts w:hint="eastAsia" w:ascii="仿宋" w:hAnsi="仿宋" w:eastAsia="仿宋" w:cs="宋体"/>
          <w:sz w:val="32"/>
          <w:szCs w:val="32"/>
        </w:rPr>
        <w:t>当事人收到本处罚决定之日起15日内，缴清上述罚款。</w:t>
      </w:r>
      <w:r>
        <w:rPr>
          <w:rFonts w:hint="eastAsia" w:ascii="仿宋" w:hAnsi="仿宋" w:eastAsia="仿宋"/>
          <w:sz w:val="32"/>
          <w:szCs w:val="32"/>
        </w:rPr>
        <w:t xml:space="preserve">（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2198CE10">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76A03DAA">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07951647">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p>
    <w:p w14:paraId="6E0705E2">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p>
    <w:p w14:paraId="44C70955">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p>
    <w:p w14:paraId="4ECFCBB9">
      <w:pPr>
        <w:keepNext w:val="0"/>
        <w:keepLines w:val="0"/>
        <w:pageBreakBefore w:val="0"/>
        <w:kinsoku/>
        <w:wordWrap/>
        <w:overflowPunct/>
        <w:topLinePunct w:val="0"/>
        <w:bidi w:val="0"/>
        <w:adjustRightInd/>
        <w:snapToGrid/>
        <w:spacing w:line="600" w:lineRule="exact"/>
        <w:ind w:firstLine="3520" w:firstLineChars="1100"/>
        <w:textAlignment w:val="auto"/>
        <w:rPr>
          <w:rFonts w:ascii="仿宋" w:hAnsi="仿宋" w:eastAsia="仿宋"/>
          <w:sz w:val="32"/>
          <w:szCs w:val="32"/>
        </w:rPr>
      </w:pPr>
      <w:r>
        <w:rPr>
          <w:rFonts w:hint="eastAsia" w:ascii="仿宋" w:hAnsi="仿宋" w:eastAsia="仿宋"/>
          <w:sz w:val="32"/>
          <w:szCs w:val="32"/>
        </w:rPr>
        <w:t>洛阳市偃师区市场监督管理局</w:t>
      </w:r>
    </w:p>
    <w:p w14:paraId="33577D9A">
      <w:pPr>
        <w:keepNext w:val="0"/>
        <w:keepLines w:val="0"/>
        <w:pageBreakBefore w:val="0"/>
        <w:kinsoku/>
        <w:wordWrap/>
        <w:overflowPunct/>
        <w:topLinePunct w:val="0"/>
        <w:bidi w:val="0"/>
        <w:adjustRightInd/>
        <w:snapToGrid/>
        <w:spacing w:line="600" w:lineRule="exact"/>
        <w:ind w:firstLine="640" w:firstLineChars="200"/>
        <w:textAlignment w:val="auto"/>
        <w:rPr>
          <w:rFonts w:ascii="仿宋" w:hAnsi="仿宋" w:eastAsia="仿宋"/>
          <w:sz w:val="32"/>
          <w:szCs w:val="32"/>
        </w:rPr>
      </w:pPr>
    </w:p>
    <w:p w14:paraId="52A25263">
      <w:pPr>
        <w:keepNext w:val="0"/>
        <w:keepLines w:val="0"/>
        <w:pageBreakBefore w:val="0"/>
        <w:kinsoku/>
        <w:wordWrap/>
        <w:overflowPunct/>
        <w:topLinePunct w:val="0"/>
        <w:bidi w:val="0"/>
        <w:adjustRightInd/>
        <w:snapToGrid/>
        <w:spacing w:line="600" w:lineRule="exact"/>
        <w:ind w:firstLine="5120" w:firstLineChars="1600"/>
        <w:textAlignment w:val="auto"/>
        <w:rPr>
          <w:rFonts w:hint="eastAsia" w:ascii="仿宋" w:hAnsi="仿宋" w:eastAsia="仿宋"/>
          <w:sz w:val="32"/>
          <w:szCs w:val="32"/>
        </w:rPr>
      </w:pPr>
      <w:r>
        <w:rPr>
          <w:rFonts w:hint="eastAsia" w:ascii="仿宋" w:hAnsi="仿宋" w:eastAsia="仿宋"/>
          <w:sz w:val="32"/>
          <w:szCs w:val="32"/>
        </w:rPr>
        <w:t>2025年</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22</w:t>
      </w:r>
      <w:r>
        <w:rPr>
          <w:rFonts w:hint="eastAsia" w:ascii="仿宋" w:hAnsi="仿宋" w:eastAsia="仿宋"/>
          <w:sz w:val="32"/>
          <w:szCs w:val="32"/>
        </w:rPr>
        <w:t>日</w:t>
      </w:r>
    </w:p>
    <w:p w14:paraId="447C910B">
      <w:pPr>
        <w:spacing w:line="540" w:lineRule="exact"/>
        <w:rPr>
          <w:rFonts w:ascii="仿宋" w:hAnsi="仿宋" w:eastAsia="仿宋"/>
          <w:sz w:val="32"/>
          <w:szCs w:val="32"/>
        </w:rPr>
      </w:pPr>
    </w:p>
    <w:p w14:paraId="1B46367D">
      <w:pPr>
        <w:spacing w:line="560" w:lineRule="exact"/>
        <w:rPr>
          <w:rFonts w:ascii="仿宋" w:hAnsi="仿宋" w:eastAsia="仿宋"/>
          <w:sz w:val="32"/>
          <w:szCs w:val="32"/>
        </w:rPr>
      </w:pPr>
      <w:r>
        <w:rPr>
          <w:rFonts w:hint="eastAsia" w:ascii="仿宋" w:hAnsi="仿宋" w:eastAsia="仿宋"/>
          <w:sz w:val="32"/>
          <w:szCs w:val="32"/>
        </w:rPr>
        <w:t>（市场监督管理部门将依法向社会公开行政处罚决定信息）</w:t>
      </w:r>
    </w:p>
    <w:p w14:paraId="3FEDA540">
      <w:pPr>
        <w:spacing w:line="560" w:lineRule="exact"/>
        <w:rPr>
          <w:rFonts w:ascii="仿宋" w:hAnsi="仿宋" w:eastAsia="仿宋"/>
          <w:spacing w:val="-12"/>
          <w:sz w:val="32"/>
          <w:szCs w:val="32"/>
        </w:rPr>
      </w:pPr>
      <w:r>
        <w:rPr>
          <w:rFonts w:ascii="仿宋" w:hAnsi="仿宋" w:eastAsia="仿宋"/>
          <w:spacing w:val="-12"/>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7620" r="0" b="15240"/>
                <wp:wrapNone/>
                <wp:docPr id="1768780386" name="直接连接符 1768780386"/>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tfgJdQAAAAFAQAADwAAAAAAAAABACAAAAAiAAAAZHJzL2Rvd25yZXYueG1s&#10;UEsBAhQAFAAAAAgAh07iQE+xjNb8AQAA+QMAAA4AAAAAAAAAAQAgAAAAIwEAAGRycy9lMm9Eb2Mu&#10;eG1sUEsFBgAAAAAGAAYAWQEAAJEFAAAAAA==&#10;">
                <v:fill on="f" focussize="0,0"/>
                <v:stroke weight="1.25pt" color="#000000" joinstyle="round"/>
                <v:imagedata o:title=""/>
                <o:lock v:ext="edit" aspectratio="f"/>
              </v:line>
            </w:pict>
          </mc:Fallback>
        </mc:AlternateContent>
      </w:r>
      <w:r>
        <w:rPr>
          <w:rFonts w:ascii="仿宋" w:hAnsi="仿宋" w:eastAsia="仿宋"/>
          <w:spacing w:val="-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411636769" name="直接连接符 1411636769"/>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zkdcAAAAKAQAADwAAAAAAAAABACAAAAAiAAAAZHJzL2Rvd25y&#10;ZXYueG1sUEsBAhQAFAAAAAgAh07iQKJVwFX/AQAA+QMAAA4AAAAAAAAAAQAgAAAAJgEAAGRycy9l&#10;Mm9Eb2MueG1sUEsFBgAAAAAGAAYAWQEAAJcFA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p w14:paraId="3F05E158">
      <w:pPr>
        <w:spacing w:line="500" w:lineRule="exact"/>
        <w:rPr>
          <w:color w:val="auto"/>
          <w:u w:val="none" w:color="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95F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9B62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79B62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13F7A9A"/>
    <w:rsid w:val="01A377BE"/>
    <w:rsid w:val="02B83402"/>
    <w:rsid w:val="02BF1210"/>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154BBD"/>
    <w:rsid w:val="0B22091D"/>
    <w:rsid w:val="0CF71776"/>
    <w:rsid w:val="0D242541"/>
    <w:rsid w:val="0FB748D6"/>
    <w:rsid w:val="103E22C5"/>
    <w:rsid w:val="10A73DDF"/>
    <w:rsid w:val="11524677"/>
    <w:rsid w:val="115320F9"/>
    <w:rsid w:val="119E3BCA"/>
    <w:rsid w:val="11FF5A95"/>
    <w:rsid w:val="1350279A"/>
    <w:rsid w:val="14203063"/>
    <w:rsid w:val="143E1E38"/>
    <w:rsid w:val="14632D00"/>
    <w:rsid w:val="1490670C"/>
    <w:rsid w:val="14AC7DF0"/>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9EC66D5"/>
    <w:rsid w:val="2B1B3EFC"/>
    <w:rsid w:val="2CEA3815"/>
    <w:rsid w:val="2DE10173"/>
    <w:rsid w:val="2DE7275E"/>
    <w:rsid w:val="2F327E79"/>
    <w:rsid w:val="2F7CE1EF"/>
    <w:rsid w:val="2F8A6913"/>
    <w:rsid w:val="30DB5683"/>
    <w:rsid w:val="30FA2F6D"/>
    <w:rsid w:val="31562B39"/>
    <w:rsid w:val="31A232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BA0BE4"/>
    <w:rsid w:val="40FE5F8F"/>
    <w:rsid w:val="41D66391"/>
    <w:rsid w:val="425049CE"/>
    <w:rsid w:val="438660D8"/>
    <w:rsid w:val="442B16EC"/>
    <w:rsid w:val="458F64B9"/>
    <w:rsid w:val="45C51FFB"/>
    <w:rsid w:val="45D3591D"/>
    <w:rsid w:val="46157ACD"/>
    <w:rsid w:val="47243FC5"/>
    <w:rsid w:val="48C10000"/>
    <w:rsid w:val="4A555101"/>
    <w:rsid w:val="4ADF49AE"/>
    <w:rsid w:val="4B8F0B22"/>
    <w:rsid w:val="4BD17E71"/>
    <w:rsid w:val="4C02380F"/>
    <w:rsid w:val="4C7C04B3"/>
    <w:rsid w:val="4CC8271B"/>
    <w:rsid w:val="4D9306AE"/>
    <w:rsid w:val="4E8950D9"/>
    <w:rsid w:val="4F722566"/>
    <w:rsid w:val="4F93378A"/>
    <w:rsid w:val="503F09B5"/>
    <w:rsid w:val="516D5500"/>
    <w:rsid w:val="52566E26"/>
    <w:rsid w:val="52802336"/>
    <w:rsid w:val="53A0483E"/>
    <w:rsid w:val="547C0750"/>
    <w:rsid w:val="55FE5622"/>
    <w:rsid w:val="57503162"/>
    <w:rsid w:val="58A4140A"/>
    <w:rsid w:val="591F0542"/>
    <w:rsid w:val="59A10938"/>
    <w:rsid w:val="5BA419F7"/>
    <w:rsid w:val="5BEF1DBF"/>
    <w:rsid w:val="5BF91583"/>
    <w:rsid w:val="5BFB2E57"/>
    <w:rsid w:val="5C5D2BD9"/>
    <w:rsid w:val="5D1C3851"/>
    <w:rsid w:val="5DD7483B"/>
    <w:rsid w:val="5E5FAB03"/>
    <w:rsid w:val="5E605C94"/>
    <w:rsid w:val="5EA00CBE"/>
    <w:rsid w:val="5F9FEDD5"/>
    <w:rsid w:val="5FBEF003"/>
    <w:rsid w:val="5FE33914"/>
    <w:rsid w:val="5FFA4D85"/>
    <w:rsid w:val="602422E6"/>
    <w:rsid w:val="60B635F2"/>
    <w:rsid w:val="60C16F3B"/>
    <w:rsid w:val="612E7E8C"/>
    <w:rsid w:val="617678F3"/>
    <w:rsid w:val="61DC2B1A"/>
    <w:rsid w:val="63546E84"/>
    <w:rsid w:val="636955DE"/>
    <w:rsid w:val="646E5E05"/>
    <w:rsid w:val="649B4C1C"/>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256B0"/>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contentarticle"/>
    <w:basedOn w:val="1"/>
    <w:qFormat/>
    <w:uiPriority w:val="0"/>
    <w:pPr>
      <w:spacing w:before="100" w:beforeAutospacing="1" w:after="100" w:afterAutospacing="1"/>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2276</Words>
  <Characters>2627</Characters>
  <Lines>0</Lines>
  <Paragraphs>0</Paragraphs>
  <TotalTime>0</TotalTime>
  <ScaleCrop>false</ScaleCrop>
  <LinksUpToDate>false</LinksUpToDate>
  <CharactersWithSpaces>2796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3492B484513B48AB915BF4C038005B8E_13</vt:lpwstr>
  </property>
  <property fmtid="{D5CDD505-2E9C-101B-9397-08002B2CF9AE}" pid="4" name="KSOTemplateDocerSaveRecord">
    <vt:lpwstr>eyJoZGlkIjoiOTJkNzdiMWY1ZWU2ZWU3NmE4ZTUxNGRmYWVhMzdjNDQiLCJ1c2VySWQiOiI4ODA3MzMzNDYifQ==</vt:lpwstr>
  </property>
</Properties>
</file>