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E4EAC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检查频次上限</w:t>
      </w:r>
    </w:p>
    <w:p w14:paraId="57AB2F26">
      <w:pPr>
        <w:ind w:left="0" w:leftChars="0" w:right="0" w:rightChars="0" w:firstLine="54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寰蒋闆呴粦" w:hAnsi="寰蒋闆呴粦" w:eastAsia="寰蒋闆呴粦" w:cs="寰蒋闆呴粦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除投诉举报、转办交办、数据监测等线索确需实施行政检查外，</w:t>
      </w:r>
      <w:r>
        <w:rPr>
          <w:rFonts w:hint="eastAsia" w:ascii="寰蒋闆呴粦" w:hAnsi="寰蒋闆呴粦" w:eastAsia="宋体" w:cs="寰蒋闆呴粦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偃师区</w:t>
      </w:r>
      <w:bookmarkStart w:id="0" w:name="_GoBack"/>
      <w:bookmarkEnd w:id="0"/>
      <w:r>
        <w:rPr>
          <w:rFonts w:hint="eastAsia" w:ascii="寰蒋闆呴粦" w:hAnsi="寰蒋闆呴粦" w:eastAsia="宋体" w:cs="寰蒋闆呴粦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财政局</w:t>
      </w:r>
      <w:r>
        <w:rPr>
          <w:rFonts w:ascii="寰蒋闆呴粦" w:hAnsi="寰蒋闆呴粦" w:eastAsia="寰蒋闆呴粦" w:cs="寰蒋闆呴粦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对同一企业实施行政检查的年度频次为不超过一次。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E6F17"/>
    <w:rsid w:val="211629D7"/>
    <w:rsid w:val="3D5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2025-06-30T01:42:00Z</dcterms:created>
  <dc:creator>Administrator</dc:creator>
  <cp:lastModifiedBy>赵强</cp:lastModifiedBy>
  <dcterms:modified xsi:type="dcterms:W3CDTF">2025-09-10T08:58:54Z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eyJoZGlkIjoiMGQ0NzMyNjMyYWU5YmE3ZTNiMzAwMDEwYTdiYmFhYWYiLCJ1c2VySWQiOiI1ODAxMjc0NjQifQ==</vt:lpwstr>
  </property>
  <property fmtid="{D5CDD505-2E9C-101B-9397-08002B2CF9AE}" pid="4" name="ICV">
    <vt:lpwstr>B567BCCEA5F74C998F61D49C17F51F51_12</vt:lpwstr>
  </property>
</Properties>
</file>