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4CCF1">
      <w:pPr>
        <w:snapToGrid w:val="0"/>
        <w:spacing w:after="124" w:afterLines="40"/>
        <w:jc w:val="center"/>
        <w:rPr>
          <w:rFonts w:hint="eastAsia" w:ascii="黑体" w:hAnsi="黑体" w:eastAsia="黑体"/>
          <w:color w:val="000000"/>
          <w:sz w:val="30"/>
          <w:szCs w:val="30"/>
        </w:rPr>
      </w:pPr>
      <w:r>
        <w:rPr>
          <w:rFonts w:hint="eastAsia" w:ascii="黑体" w:hAnsi="黑体" w:eastAsia="黑体"/>
          <w:color w:val="000000"/>
          <w:sz w:val="30"/>
          <w:szCs w:val="30"/>
        </w:rPr>
        <w:t>一、</w:t>
      </w:r>
      <w:r>
        <w:rPr>
          <w:rFonts w:ascii="黑体" w:hAnsi="黑体" w:eastAsia="黑体"/>
          <w:color w:val="000000"/>
          <w:sz w:val="30"/>
          <w:szCs w:val="30"/>
        </w:rPr>
        <w:t>建设项目基本情况</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653"/>
        <w:gridCol w:w="988"/>
        <w:gridCol w:w="2548"/>
        <w:gridCol w:w="1924"/>
        <w:gridCol w:w="2901"/>
      </w:tblGrid>
      <w:tr w14:paraId="39A2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4" w:hRule="atLeast"/>
        </w:trPr>
        <w:tc>
          <w:tcPr>
            <w:tcW w:w="910" w:type="pct"/>
            <w:gridSpan w:val="2"/>
            <w:noWrap w:val="0"/>
            <w:vAlign w:val="center"/>
          </w:tcPr>
          <w:p w14:paraId="258C3E4C">
            <w:pPr>
              <w:spacing w:line="360" w:lineRule="auto"/>
              <w:jc w:val="center"/>
              <w:rPr>
                <w:color w:val="000000"/>
                <w:sz w:val="24"/>
                <w:szCs w:val="24"/>
              </w:rPr>
            </w:pPr>
            <w:r>
              <w:rPr>
                <w:color w:val="000000"/>
                <w:sz w:val="24"/>
                <w:szCs w:val="24"/>
              </w:rPr>
              <w:t>建设项目名称</w:t>
            </w:r>
          </w:p>
        </w:tc>
        <w:tc>
          <w:tcPr>
            <w:tcW w:w="4089" w:type="pct"/>
            <w:gridSpan w:val="3"/>
            <w:noWrap w:val="0"/>
            <w:vAlign w:val="center"/>
          </w:tcPr>
          <w:p w14:paraId="6D5CA1AC">
            <w:pPr>
              <w:spacing w:line="360" w:lineRule="auto"/>
              <w:jc w:val="center"/>
              <w:rPr>
                <w:rFonts w:hint="eastAsia"/>
                <w:color w:val="000000"/>
                <w:sz w:val="24"/>
                <w:szCs w:val="24"/>
                <w:lang w:val="en-US" w:eastAsia="zh-CN"/>
              </w:rPr>
            </w:pPr>
            <w:r>
              <w:rPr>
                <w:rFonts w:hint="eastAsia"/>
                <w:color w:val="000000"/>
                <w:sz w:val="24"/>
                <w:szCs w:val="24"/>
                <w:lang w:val="en-US" w:eastAsia="zh-CN"/>
              </w:rPr>
              <w:t>洛阳豫容鑫鞋业有限公司</w:t>
            </w:r>
          </w:p>
          <w:p w14:paraId="0EF57D50">
            <w:pPr>
              <w:spacing w:line="360" w:lineRule="auto"/>
              <w:jc w:val="center"/>
              <w:rPr>
                <w:rFonts w:hint="default" w:eastAsia="宋体"/>
                <w:color w:val="000000"/>
                <w:sz w:val="24"/>
                <w:szCs w:val="24"/>
                <w:lang w:val="en-US" w:eastAsia="zh-CN"/>
              </w:rPr>
            </w:pPr>
            <w:r>
              <w:rPr>
                <w:rFonts w:hint="eastAsia"/>
                <w:color w:val="000000"/>
                <w:sz w:val="24"/>
                <w:szCs w:val="24"/>
                <w:lang w:val="en-US" w:eastAsia="zh-CN"/>
              </w:rPr>
              <w:t>年产50万双PVC鞋底及300吨PVC颗粒料项目</w:t>
            </w:r>
          </w:p>
        </w:tc>
      </w:tr>
      <w:tr w14:paraId="2351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4" w:hRule="atLeast"/>
        </w:trPr>
        <w:tc>
          <w:tcPr>
            <w:tcW w:w="910" w:type="pct"/>
            <w:gridSpan w:val="2"/>
            <w:noWrap w:val="0"/>
            <w:vAlign w:val="center"/>
          </w:tcPr>
          <w:p w14:paraId="0D9404FA">
            <w:pPr>
              <w:adjustRightInd w:val="0"/>
              <w:spacing w:line="360" w:lineRule="auto"/>
              <w:jc w:val="center"/>
              <w:rPr>
                <w:color w:val="000000"/>
                <w:sz w:val="24"/>
                <w:szCs w:val="24"/>
              </w:rPr>
            </w:pPr>
            <w:r>
              <w:rPr>
                <w:color w:val="000000"/>
                <w:sz w:val="24"/>
                <w:szCs w:val="24"/>
              </w:rPr>
              <w:t>项目代码</w:t>
            </w:r>
          </w:p>
        </w:tc>
        <w:tc>
          <w:tcPr>
            <w:tcW w:w="4089" w:type="pct"/>
            <w:gridSpan w:val="3"/>
            <w:noWrap w:val="0"/>
            <w:vAlign w:val="center"/>
          </w:tcPr>
          <w:p w14:paraId="76F51818">
            <w:pPr>
              <w:spacing w:line="360" w:lineRule="auto"/>
              <w:jc w:val="center"/>
              <w:rPr>
                <w:rFonts w:hint="default" w:eastAsia="宋体"/>
                <w:color w:val="000000"/>
                <w:sz w:val="24"/>
                <w:szCs w:val="24"/>
                <w:lang w:val="en-US" w:eastAsia="zh-CN"/>
              </w:rPr>
            </w:pPr>
            <w:r>
              <w:rPr>
                <w:rFonts w:hint="eastAsia"/>
                <w:color w:val="000000"/>
                <w:sz w:val="24"/>
                <w:szCs w:val="24"/>
                <w:lang w:val="en-US" w:eastAsia="zh-CN"/>
              </w:rPr>
              <w:t>2508</w:t>
            </w:r>
            <w:r>
              <w:rPr>
                <w:color w:val="000000"/>
                <w:sz w:val="24"/>
                <w:szCs w:val="24"/>
              </w:rPr>
              <w:t>-410381-04-0</w:t>
            </w:r>
            <w:r>
              <w:rPr>
                <w:rFonts w:hint="eastAsia"/>
                <w:color w:val="000000"/>
                <w:sz w:val="24"/>
                <w:szCs w:val="24"/>
                <w:lang w:val="en-US" w:eastAsia="zh-CN"/>
              </w:rPr>
              <w:t>1</w:t>
            </w:r>
            <w:r>
              <w:rPr>
                <w:color w:val="000000"/>
                <w:sz w:val="24"/>
                <w:szCs w:val="24"/>
              </w:rPr>
              <w:t>-</w:t>
            </w:r>
            <w:r>
              <w:rPr>
                <w:rFonts w:hint="eastAsia"/>
                <w:color w:val="000000"/>
                <w:sz w:val="24"/>
                <w:szCs w:val="24"/>
                <w:lang w:val="en-US" w:eastAsia="zh-CN"/>
              </w:rPr>
              <w:t>313494</w:t>
            </w:r>
          </w:p>
        </w:tc>
      </w:tr>
      <w:tr w14:paraId="3077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4" w:hRule="atLeast"/>
        </w:trPr>
        <w:tc>
          <w:tcPr>
            <w:tcW w:w="910" w:type="pct"/>
            <w:gridSpan w:val="2"/>
            <w:noWrap w:val="0"/>
            <w:vAlign w:val="center"/>
          </w:tcPr>
          <w:p w14:paraId="6CC07C06">
            <w:pPr>
              <w:adjustRightInd w:val="0"/>
              <w:spacing w:before="93" w:beforeLines="30"/>
              <w:jc w:val="center"/>
              <w:rPr>
                <w:color w:val="000000"/>
                <w:sz w:val="24"/>
                <w:szCs w:val="24"/>
              </w:rPr>
            </w:pPr>
            <w:r>
              <w:rPr>
                <w:color w:val="000000"/>
                <w:sz w:val="24"/>
                <w:szCs w:val="24"/>
              </w:rPr>
              <w:t>建设单位</w:t>
            </w:r>
          </w:p>
          <w:p w14:paraId="5809F03C">
            <w:pPr>
              <w:adjustRightInd w:val="0"/>
              <w:spacing w:after="93" w:afterLines="30"/>
              <w:jc w:val="center"/>
              <w:rPr>
                <w:color w:val="000000"/>
                <w:sz w:val="24"/>
                <w:szCs w:val="24"/>
              </w:rPr>
            </w:pPr>
            <w:r>
              <w:rPr>
                <w:color w:val="000000"/>
                <w:sz w:val="24"/>
                <w:szCs w:val="24"/>
              </w:rPr>
              <w:t>联系人</w:t>
            </w:r>
          </w:p>
        </w:tc>
        <w:tc>
          <w:tcPr>
            <w:tcW w:w="1413" w:type="pct"/>
            <w:noWrap w:val="0"/>
            <w:vAlign w:val="center"/>
          </w:tcPr>
          <w:p w14:paraId="78DB5D7B">
            <w:pPr>
              <w:adjustRightInd w:val="0"/>
              <w:spacing w:line="360" w:lineRule="auto"/>
              <w:jc w:val="center"/>
              <w:rPr>
                <w:rFonts w:hint="default" w:eastAsia="宋体"/>
                <w:color w:val="000000"/>
                <w:sz w:val="24"/>
                <w:szCs w:val="24"/>
                <w:lang w:val="en-US" w:eastAsia="zh-CN"/>
              </w:rPr>
            </w:pPr>
            <w:r>
              <w:rPr>
                <w:rFonts w:hint="eastAsia"/>
                <w:color w:val="000000"/>
                <w:sz w:val="24"/>
                <w:szCs w:val="24"/>
                <w:lang w:val="en-US" w:eastAsia="zh-CN"/>
              </w:rPr>
              <w:t>*</w:t>
            </w:r>
            <w:bookmarkStart w:id="2" w:name="_GoBack"/>
            <w:bookmarkEnd w:id="2"/>
          </w:p>
        </w:tc>
        <w:tc>
          <w:tcPr>
            <w:tcW w:w="1067" w:type="pct"/>
            <w:noWrap w:val="0"/>
            <w:vAlign w:val="center"/>
          </w:tcPr>
          <w:p w14:paraId="2D4BFBE6">
            <w:pPr>
              <w:adjustRightInd w:val="0"/>
              <w:spacing w:line="360" w:lineRule="auto"/>
              <w:jc w:val="center"/>
              <w:rPr>
                <w:color w:val="000000"/>
                <w:sz w:val="24"/>
                <w:szCs w:val="24"/>
              </w:rPr>
            </w:pPr>
            <w:r>
              <w:rPr>
                <w:color w:val="000000"/>
                <w:sz w:val="24"/>
                <w:szCs w:val="24"/>
              </w:rPr>
              <w:t>联系方式</w:t>
            </w:r>
          </w:p>
        </w:tc>
        <w:tc>
          <w:tcPr>
            <w:tcW w:w="1609" w:type="pct"/>
            <w:noWrap w:val="0"/>
            <w:vAlign w:val="center"/>
          </w:tcPr>
          <w:p w14:paraId="5D1F7F7B">
            <w:pPr>
              <w:adjustRightInd w:val="0"/>
              <w:spacing w:line="360" w:lineRule="auto"/>
              <w:jc w:val="center"/>
              <w:rPr>
                <w:rFonts w:hint="eastAsia" w:eastAsia="宋体"/>
                <w:color w:val="000000"/>
                <w:sz w:val="24"/>
                <w:szCs w:val="24"/>
                <w:lang w:eastAsia="zh-CN"/>
              </w:rPr>
            </w:pPr>
            <w:r>
              <w:rPr>
                <w:rFonts w:hint="eastAsia"/>
                <w:color w:val="000000"/>
                <w:sz w:val="24"/>
                <w:szCs w:val="24"/>
                <w:lang w:val="en-US" w:eastAsia="zh-CN"/>
              </w:rPr>
              <w:t>*</w:t>
            </w:r>
          </w:p>
        </w:tc>
      </w:tr>
      <w:tr w14:paraId="7D7C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910" w:type="pct"/>
            <w:gridSpan w:val="2"/>
            <w:noWrap w:val="0"/>
            <w:vAlign w:val="center"/>
          </w:tcPr>
          <w:p w14:paraId="2548C29B">
            <w:pPr>
              <w:adjustRightInd w:val="0"/>
              <w:spacing w:line="360" w:lineRule="auto"/>
              <w:jc w:val="center"/>
              <w:rPr>
                <w:color w:val="000000"/>
                <w:sz w:val="24"/>
                <w:szCs w:val="24"/>
              </w:rPr>
            </w:pPr>
            <w:r>
              <w:rPr>
                <w:color w:val="000000"/>
                <w:sz w:val="24"/>
                <w:szCs w:val="24"/>
              </w:rPr>
              <w:t>建设地点</w:t>
            </w:r>
          </w:p>
        </w:tc>
        <w:tc>
          <w:tcPr>
            <w:tcW w:w="4089" w:type="pct"/>
            <w:gridSpan w:val="3"/>
            <w:noWrap w:val="0"/>
            <w:vAlign w:val="center"/>
          </w:tcPr>
          <w:p w14:paraId="1142F44C">
            <w:pPr>
              <w:adjustRightInd w:val="0"/>
              <w:spacing w:line="360" w:lineRule="auto"/>
              <w:jc w:val="center"/>
              <w:rPr>
                <w:rFonts w:hint="default" w:eastAsia="宋体"/>
                <w:color w:val="000000"/>
                <w:sz w:val="24"/>
                <w:szCs w:val="24"/>
                <w:lang w:val="en-US" w:eastAsia="zh-CN"/>
              </w:rPr>
            </w:pPr>
            <w:r>
              <w:rPr>
                <w:rFonts w:hint="eastAsia" w:eastAsia="宋体"/>
                <w:color w:val="000000"/>
                <w:sz w:val="24"/>
                <w:szCs w:val="24"/>
                <w:lang w:val="en-US" w:eastAsia="zh-CN"/>
              </w:rPr>
              <w:t>洛阳市偃师区顾县镇安滩村</w:t>
            </w:r>
          </w:p>
        </w:tc>
      </w:tr>
      <w:tr w14:paraId="3001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910" w:type="pct"/>
            <w:gridSpan w:val="2"/>
            <w:noWrap w:val="0"/>
            <w:vAlign w:val="center"/>
          </w:tcPr>
          <w:p w14:paraId="192D86C6">
            <w:pPr>
              <w:adjustRightInd w:val="0"/>
              <w:spacing w:line="360" w:lineRule="auto"/>
              <w:jc w:val="center"/>
              <w:rPr>
                <w:color w:val="000000"/>
                <w:sz w:val="24"/>
                <w:szCs w:val="24"/>
              </w:rPr>
            </w:pPr>
            <w:r>
              <w:rPr>
                <w:color w:val="000000"/>
                <w:sz w:val="24"/>
                <w:szCs w:val="24"/>
              </w:rPr>
              <w:t>地理坐标</w:t>
            </w:r>
          </w:p>
        </w:tc>
        <w:tc>
          <w:tcPr>
            <w:tcW w:w="4089" w:type="pct"/>
            <w:gridSpan w:val="3"/>
            <w:noWrap w:val="0"/>
            <w:vAlign w:val="center"/>
          </w:tcPr>
          <w:p w14:paraId="0598DA7B">
            <w:pPr>
              <w:spacing w:line="360" w:lineRule="auto"/>
              <w:jc w:val="center"/>
              <w:rPr>
                <w:color w:val="000000"/>
                <w:sz w:val="24"/>
                <w:szCs w:val="24"/>
              </w:rPr>
            </w:pPr>
            <w:r>
              <w:rPr>
                <w:rFonts w:hint="eastAsia"/>
                <w:color w:val="000000"/>
                <w:sz w:val="24"/>
                <w:szCs w:val="24"/>
              </w:rPr>
              <w:t>经度112度</w:t>
            </w:r>
            <w:r>
              <w:rPr>
                <w:rFonts w:hint="eastAsia"/>
                <w:color w:val="000000"/>
                <w:sz w:val="24"/>
                <w:szCs w:val="24"/>
                <w:lang w:val="en-US" w:eastAsia="zh-CN"/>
              </w:rPr>
              <w:t>46</w:t>
            </w:r>
            <w:r>
              <w:rPr>
                <w:rFonts w:hint="eastAsia"/>
                <w:color w:val="000000"/>
                <w:sz w:val="24"/>
                <w:szCs w:val="24"/>
              </w:rPr>
              <w:t>分</w:t>
            </w:r>
            <w:r>
              <w:rPr>
                <w:rFonts w:hint="eastAsia"/>
                <w:color w:val="000000"/>
                <w:sz w:val="24"/>
                <w:szCs w:val="24"/>
                <w:lang w:val="en-US" w:eastAsia="zh-CN"/>
              </w:rPr>
              <w:t>43.932</w:t>
            </w:r>
            <w:r>
              <w:rPr>
                <w:rFonts w:hint="eastAsia"/>
                <w:color w:val="000000"/>
                <w:sz w:val="24"/>
                <w:szCs w:val="24"/>
              </w:rPr>
              <w:t>秒，纬度34度4</w:t>
            </w:r>
            <w:r>
              <w:rPr>
                <w:rFonts w:hint="eastAsia"/>
                <w:color w:val="000000"/>
                <w:sz w:val="24"/>
                <w:szCs w:val="24"/>
                <w:lang w:val="en-US" w:eastAsia="zh-CN"/>
              </w:rPr>
              <w:t>0</w:t>
            </w:r>
            <w:r>
              <w:rPr>
                <w:rFonts w:hint="eastAsia"/>
                <w:color w:val="000000"/>
                <w:sz w:val="24"/>
                <w:szCs w:val="24"/>
              </w:rPr>
              <w:t>分</w:t>
            </w:r>
            <w:r>
              <w:rPr>
                <w:rFonts w:hint="eastAsia"/>
                <w:color w:val="000000"/>
                <w:sz w:val="24"/>
                <w:szCs w:val="24"/>
                <w:lang w:val="en-US" w:eastAsia="zh-CN"/>
              </w:rPr>
              <w:t>41.154</w:t>
            </w:r>
            <w:r>
              <w:rPr>
                <w:rFonts w:hint="eastAsia"/>
                <w:color w:val="000000"/>
                <w:sz w:val="24"/>
                <w:szCs w:val="24"/>
              </w:rPr>
              <w:t>秒</w:t>
            </w:r>
          </w:p>
        </w:tc>
      </w:tr>
      <w:tr w14:paraId="7C6F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6" w:hRule="atLeast"/>
        </w:trPr>
        <w:tc>
          <w:tcPr>
            <w:tcW w:w="910" w:type="pct"/>
            <w:gridSpan w:val="2"/>
            <w:noWrap w:val="0"/>
            <w:vAlign w:val="center"/>
          </w:tcPr>
          <w:p w14:paraId="3E46FCF4">
            <w:pPr>
              <w:adjustRightInd w:val="0"/>
              <w:jc w:val="center"/>
              <w:rPr>
                <w:color w:val="000000"/>
                <w:sz w:val="24"/>
                <w:szCs w:val="24"/>
              </w:rPr>
            </w:pPr>
            <w:r>
              <w:rPr>
                <w:color w:val="000000"/>
                <w:sz w:val="24"/>
                <w:szCs w:val="24"/>
              </w:rPr>
              <w:t>国民经济</w:t>
            </w:r>
          </w:p>
          <w:p w14:paraId="53599215">
            <w:pPr>
              <w:adjustRightInd w:val="0"/>
              <w:jc w:val="center"/>
              <w:rPr>
                <w:color w:val="000000"/>
                <w:sz w:val="24"/>
                <w:szCs w:val="24"/>
              </w:rPr>
            </w:pPr>
            <w:r>
              <w:rPr>
                <w:color w:val="000000"/>
                <w:sz w:val="24"/>
                <w:szCs w:val="24"/>
              </w:rPr>
              <w:t>行业类别</w:t>
            </w:r>
          </w:p>
        </w:tc>
        <w:tc>
          <w:tcPr>
            <w:tcW w:w="1413" w:type="pct"/>
            <w:noWrap w:val="0"/>
            <w:vAlign w:val="center"/>
          </w:tcPr>
          <w:p w14:paraId="59A372BE">
            <w:pPr>
              <w:spacing w:line="360" w:lineRule="auto"/>
              <w:jc w:val="center"/>
              <w:rPr>
                <w:rFonts w:hint="eastAsia"/>
                <w:color w:val="000000"/>
                <w:sz w:val="24"/>
                <w:szCs w:val="24"/>
                <w:lang w:val="en-US" w:eastAsia="zh-CN"/>
              </w:rPr>
            </w:pPr>
            <w:r>
              <w:rPr>
                <w:rFonts w:hint="eastAsia"/>
                <w:color w:val="000000"/>
                <w:sz w:val="24"/>
                <w:szCs w:val="24"/>
              </w:rPr>
              <w:t>C</w:t>
            </w:r>
            <w:r>
              <w:rPr>
                <w:rFonts w:hint="eastAsia"/>
                <w:color w:val="000000"/>
                <w:sz w:val="24"/>
                <w:szCs w:val="24"/>
                <w:lang w:val="en-US" w:eastAsia="zh-CN"/>
              </w:rPr>
              <w:t>1953塑料鞋制造</w:t>
            </w:r>
          </w:p>
          <w:p w14:paraId="2F4546D4">
            <w:pPr>
              <w:spacing w:line="360" w:lineRule="auto"/>
              <w:jc w:val="center"/>
              <w:rPr>
                <w:rFonts w:hint="default"/>
                <w:color w:val="000000"/>
                <w:sz w:val="24"/>
                <w:szCs w:val="24"/>
                <w:lang w:val="en-US" w:eastAsia="zh-CN"/>
              </w:rPr>
            </w:pPr>
            <w:r>
              <w:rPr>
                <w:rFonts w:hint="eastAsia"/>
                <w:color w:val="000000"/>
                <w:sz w:val="24"/>
                <w:szCs w:val="24"/>
                <w:lang w:val="en-US" w:eastAsia="zh-CN"/>
              </w:rPr>
              <w:t>C2929塑料零件及其他塑料制品制造</w:t>
            </w:r>
          </w:p>
        </w:tc>
        <w:tc>
          <w:tcPr>
            <w:tcW w:w="1067" w:type="pct"/>
            <w:noWrap w:val="0"/>
            <w:vAlign w:val="center"/>
          </w:tcPr>
          <w:p w14:paraId="49E0C892">
            <w:pPr>
              <w:adjustRightInd w:val="0"/>
              <w:jc w:val="center"/>
              <w:rPr>
                <w:color w:val="000000"/>
                <w:sz w:val="24"/>
                <w:szCs w:val="24"/>
              </w:rPr>
            </w:pPr>
            <w:bookmarkStart w:id="0" w:name="_Hlk49843745"/>
            <w:r>
              <w:rPr>
                <w:color w:val="000000"/>
                <w:sz w:val="24"/>
                <w:szCs w:val="24"/>
              </w:rPr>
              <w:t>建设项目</w:t>
            </w:r>
          </w:p>
          <w:p w14:paraId="6D2E0899">
            <w:pPr>
              <w:adjustRightInd w:val="0"/>
              <w:jc w:val="center"/>
              <w:rPr>
                <w:color w:val="000000"/>
                <w:sz w:val="24"/>
                <w:szCs w:val="24"/>
              </w:rPr>
            </w:pPr>
            <w:r>
              <w:rPr>
                <w:color w:val="000000"/>
                <w:sz w:val="24"/>
                <w:szCs w:val="24"/>
              </w:rPr>
              <w:t>行业类别</w:t>
            </w:r>
            <w:bookmarkEnd w:id="0"/>
          </w:p>
        </w:tc>
        <w:tc>
          <w:tcPr>
            <w:tcW w:w="1609" w:type="pct"/>
            <w:noWrap w:val="0"/>
            <w:vAlign w:val="center"/>
          </w:tcPr>
          <w:p w14:paraId="64C77B3C">
            <w:pPr>
              <w:spacing w:before="93" w:beforeLines="30" w:after="93" w:afterLines="30"/>
              <w:jc w:val="center"/>
              <w:rPr>
                <w:rFonts w:hint="default"/>
                <w:color w:val="000000"/>
                <w:sz w:val="24"/>
                <w:szCs w:val="24"/>
                <w:lang w:val="en-US" w:eastAsia="zh-CN"/>
              </w:rPr>
            </w:pPr>
            <w:r>
              <w:rPr>
                <w:rFonts w:hint="eastAsia"/>
                <w:color w:val="000000"/>
                <w:sz w:val="24"/>
                <w:szCs w:val="24"/>
                <w:lang w:val="en-US" w:eastAsia="zh-CN"/>
              </w:rPr>
              <w:t>十六、皮革、毛皮、羽毛及其制品和制鞋业19中32制鞋业195*</w:t>
            </w:r>
          </w:p>
          <w:p w14:paraId="467054C8">
            <w:pPr>
              <w:spacing w:before="93" w:beforeLines="30" w:after="93" w:afterLines="30"/>
              <w:jc w:val="center"/>
              <w:rPr>
                <w:rFonts w:hint="default"/>
                <w:color w:val="000000"/>
                <w:sz w:val="24"/>
                <w:szCs w:val="24"/>
                <w:lang w:val="en-US"/>
              </w:rPr>
            </w:pPr>
            <w:r>
              <w:rPr>
                <w:rFonts w:hint="eastAsia"/>
                <w:color w:val="000000"/>
                <w:sz w:val="24"/>
                <w:szCs w:val="24"/>
                <w:lang w:val="en-US" w:eastAsia="zh-CN"/>
              </w:rPr>
              <w:t>二十六</w:t>
            </w:r>
            <w:r>
              <w:rPr>
                <w:rFonts w:hint="eastAsia"/>
                <w:color w:val="000000"/>
                <w:sz w:val="24"/>
                <w:szCs w:val="24"/>
              </w:rPr>
              <w:t>、</w:t>
            </w:r>
            <w:r>
              <w:rPr>
                <w:rFonts w:hint="eastAsia"/>
                <w:color w:val="000000"/>
                <w:sz w:val="24"/>
                <w:szCs w:val="24"/>
                <w:lang w:val="en-US" w:eastAsia="zh-CN"/>
              </w:rPr>
              <w:t>橡胶和塑料制品业29</w:t>
            </w:r>
            <w:r>
              <w:rPr>
                <w:rFonts w:hint="eastAsia"/>
                <w:color w:val="000000"/>
                <w:sz w:val="24"/>
                <w:szCs w:val="24"/>
              </w:rPr>
              <w:t>中</w:t>
            </w:r>
            <w:r>
              <w:rPr>
                <w:rFonts w:hint="eastAsia"/>
                <w:color w:val="000000"/>
                <w:sz w:val="24"/>
                <w:szCs w:val="24"/>
                <w:lang w:val="en-US" w:eastAsia="zh-CN"/>
              </w:rPr>
              <w:t>53</w:t>
            </w:r>
            <w:r>
              <w:rPr>
                <w:rFonts w:hint="eastAsia"/>
                <w:color w:val="000000"/>
                <w:sz w:val="24"/>
                <w:szCs w:val="24"/>
              </w:rPr>
              <w:t>、</w:t>
            </w:r>
            <w:r>
              <w:rPr>
                <w:rFonts w:hint="eastAsia"/>
                <w:color w:val="000000"/>
                <w:sz w:val="24"/>
                <w:szCs w:val="24"/>
                <w:lang w:val="en-US" w:eastAsia="zh-CN"/>
              </w:rPr>
              <w:t>塑料制品业292</w:t>
            </w:r>
          </w:p>
        </w:tc>
      </w:tr>
      <w:tr w14:paraId="653E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910" w:type="pct"/>
            <w:gridSpan w:val="2"/>
            <w:noWrap w:val="0"/>
            <w:vAlign w:val="center"/>
          </w:tcPr>
          <w:p w14:paraId="3888D583">
            <w:pPr>
              <w:adjustRightInd w:val="0"/>
              <w:spacing w:line="360" w:lineRule="auto"/>
              <w:jc w:val="center"/>
              <w:rPr>
                <w:color w:val="000000"/>
                <w:sz w:val="24"/>
                <w:szCs w:val="24"/>
              </w:rPr>
            </w:pPr>
            <w:r>
              <w:rPr>
                <w:color w:val="000000"/>
                <w:sz w:val="24"/>
                <w:szCs w:val="24"/>
              </w:rPr>
              <w:t>建设性质</w:t>
            </w:r>
          </w:p>
        </w:tc>
        <w:tc>
          <w:tcPr>
            <w:tcW w:w="1413" w:type="pct"/>
            <w:noWrap w:val="0"/>
            <w:vAlign w:val="center"/>
          </w:tcPr>
          <w:p w14:paraId="1F26D854">
            <w:pPr>
              <w:snapToGrid w:val="0"/>
              <w:spacing w:before="93" w:beforeLines="30"/>
              <w:jc w:val="left"/>
              <w:rPr>
                <w:color w:val="000000"/>
                <w:sz w:val="24"/>
                <w:szCs w:val="24"/>
              </w:rPr>
            </w:pPr>
            <w:r>
              <w:rPr>
                <w:color w:val="000000"/>
                <w:sz w:val="24"/>
                <w:szCs w:val="24"/>
              </w:rPr>
              <w:sym w:font="Wingdings 2" w:char="00A3"/>
            </w:r>
            <w:r>
              <w:rPr>
                <w:color w:val="000000"/>
                <w:sz w:val="24"/>
                <w:szCs w:val="24"/>
              </w:rPr>
              <w:t>新建（迁建）</w:t>
            </w:r>
          </w:p>
          <w:p w14:paraId="06B1307C">
            <w:pPr>
              <w:jc w:val="left"/>
              <w:rPr>
                <w:color w:val="000000"/>
                <w:sz w:val="24"/>
                <w:szCs w:val="24"/>
              </w:rPr>
            </w:pPr>
            <w:r>
              <w:rPr>
                <w:color w:val="000000"/>
                <w:sz w:val="24"/>
                <w:szCs w:val="24"/>
              </w:rPr>
              <w:sym w:font="Wingdings 2" w:char="0052"/>
            </w:r>
            <w:r>
              <w:rPr>
                <w:color w:val="000000"/>
                <w:sz w:val="24"/>
                <w:szCs w:val="24"/>
              </w:rPr>
              <w:t>改建</w:t>
            </w:r>
          </w:p>
          <w:p w14:paraId="1B12B6EA">
            <w:pPr>
              <w:jc w:val="left"/>
              <w:rPr>
                <w:color w:val="000000"/>
                <w:sz w:val="24"/>
                <w:szCs w:val="24"/>
              </w:rPr>
            </w:pPr>
            <w:r>
              <w:rPr>
                <w:color w:val="000000"/>
                <w:sz w:val="24"/>
                <w:szCs w:val="24"/>
              </w:rPr>
              <w:sym w:font="Wingdings 2" w:char="F0A3"/>
            </w:r>
            <w:r>
              <w:rPr>
                <w:color w:val="000000"/>
                <w:sz w:val="24"/>
                <w:szCs w:val="24"/>
              </w:rPr>
              <w:t>扩建</w:t>
            </w:r>
          </w:p>
          <w:p w14:paraId="0A91EB51">
            <w:pPr>
              <w:spacing w:after="93" w:afterLines="30"/>
              <w:jc w:val="left"/>
              <w:rPr>
                <w:color w:val="000000"/>
                <w:sz w:val="24"/>
                <w:szCs w:val="24"/>
              </w:rPr>
            </w:pPr>
            <w:r>
              <w:rPr>
                <w:color w:val="000000"/>
                <w:sz w:val="24"/>
                <w:szCs w:val="24"/>
              </w:rPr>
              <w:sym w:font="Wingdings 2" w:char="F0A3"/>
            </w:r>
            <w:r>
              <w:rPr>
                <w:color w:val="000000"/>
                <w:sz w:val="24"/>
                <w:szCs w:val="24"/>
              </w:rPr>
              <w:t>技术改造</w:t>
            </w:r>
          </w:p>
        </w:tc>
        <w:tc>
          <w:tcPr>
            <w:tcW w:w="1067" w:type="pct"/>
            <w:noWrap w:val="0"/>
            <w:vAlign w:val="center"/>
          </w:tcPr>
          <w:p w14:paraId="63DAC951">
            <w:pPr>
              <w:adjustRightInd w:val="0"/>
              <w:jc w:val="center"/>
              <w:rPr>
                <w:color w:val="000000"/>
                <w:sz w:val="24"/>
                <w:szCs w:val="24"/>
              </w:rPr>
            </w:pPr>
            <w:r>
              <w:rPr>
                <w:color w:val="000000"/>
                <w:sz w:val="24"/>
                <w:szCs w:val="24"/>
              </w:rPr>
              <w:t>建设项目</w:t>
            </w:r>
          </w:p>
          <w:p w14:paraId="1B0BE98B">
            <w:pPr>
              <w:adjustRightInd w:val="0"/>
              <w:jc w:val="center"/>
              <w:rPr>
                <w:color w:val="000000"/>
                <w:sz w:val="24"/>
                <w:szCs w:val="24"/>
              </w:rPr>
            </w:pPr>
            <w:r>
              <w:rPr>
                <w:color w:val="000000"/>
                <w:sz w:val="24"/>
                <w:szCs w:val="24"/>
              </w:rPr>
              <w:t>申报情形</w:t>
            </w:r>
          </w:p>
        </w:tc>
        <w:tc>
          <w:tcPr>
            <w:tcW w:w="1609" w:type="pct"/>
            <w:noWrap w:val="0"/>
            <w:vAlign w:val="center"/>
          </w:tcPr>
          <w:p w14:paraId="37B54DDA">
            <w:pPr>
              <w:snapToGrid w:val="0"/>
              <w:spacing w:before="93" w:beforeLines="30"/>
              <w:jc w:val="left"/>
              <w:rPr>
                <w:color w:val="000000"/>
                <w:sz w:val="24"/>
                <w:szCs w:val="24"/>
              </w:rPr>
            </w:pPr>
            <w:r>
              <w:rPr>
                <w:color w:val="000000"/>
                <w:sz w:val="24"/>
                <w:szCs w:val="24"/>
              </w:rPr>
              <w:sym w:font="Wingdings 2" w:char="F052"/>
            </w:r>
            <w:r>
              <w:rPr>
                <w:color w:val="000000"/>
                <w:sz w:val="24"/>
                <w:szCs w:val="24"/>
              </w:rPr>
              <w:t>首次申报项目</w:t>
            </w:r>
          </w:p>
          <w:p w14:paraId="36D151C5">
            <w:pPr>
              <w:jc w:val="left"/>
              <w:rPr>
                <w:color w:val="000000"/>
                <w:sz w:val="24"/>
                <w:szCs w:val="24"/>
              </w:rPr>
            </w:pPr>
            <w:r>
              <w:rPr>
                <w:color w:val="000000"/>
                <w:sz w:val="24"/>
                <w:szCs w:val="24"/>
              </w:rPr>
              <w:sym w:font="Wingdings 2" w:char="F0A3"/>
            </w:r>
            <w:r>
              <w:rPr>
                <w:color w:val="000000"/>
                <w:spacing w:val="-8"/>
                <w:sz w:val="24"/>
                <w:szCs w:val="24"/>
              </w:rPr>
              <w:t>不予批准后再次申报项目</w:t>
            </w:r>
          </w:p>
          <w:p w14:paraId="62C28E1F">
            <w:pPr>
              <w:jc w:val="left"/>
              <w:rPr>
                <w:color w:val="000000"/>
                <w:sz w:val="24"/>
                <w:szCs w:val="24"/>
              </w:rPr>
            </w:pPr>
            <w:r>
              <w:rPr>
                <w:color w:val="000000"/>
                <w:sz w:val="24"/>
                <w:szCs w:val="24"/>
              </w:rPr>
              <w:sym w:font="Wingdings 2" w:char="F0A3"/>
            </w:r>
            <w:r>
              <w:rPr>
                <w:color w:val="000000"/>
                <w:sz w:val="24"/>
                <w:szCs w:val="24"/>
              </w:rPr>
              <w:t>超五年重新审核项目</w:t>
            </w:r>
          </w:p>
          <w:p w14:paraId="1FBF99C2">
            <w:pPr>
              <w:spacing w:after="93" w:afterLines="30"/>
              <w:jc w:val="left"/>
              <w:rPr>
                <w:color w:val="000000"/>
                <w:sz w:val="24"/>
                <w:szCs w:val="24"/>
              </w:rPr>
            </w:pPr>
            <w:r>
              <w:rPr>
                <w:color w:val="000000"/>
                <w:sz w:val="24"/>
                <w:szCs w:val="24"/>
              </w:rPr>
              <w:sym w:font="Wingdings 2" w:char="F0A3"/>
            </w:r>
            <w:r>
              <w:rPr>
                <w:color w:val="000000"/>
                <w:sz w:val="24"/>
                <w:szCs w:val="24"/>
              </w:rPr>
              <w:t>重大变动重新报批项目</w:t>
            </w:r>
          </w:p>
        </w:tc>
      </w:tr>
      <w:tr w14:paraId="4ABE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910" w:type="pct"/>
            <w:gridSpan w:val="2"/>
            <w:noWrap w:val="0"/>
            <w:vAlign w:val="center"/>
          </w:tcPr>
          <w:p w14:paraId="043AB938">
            <w:pPr>
              <w:adjustRightInd w:val="0"/>
              <w:spacing w:before="93" w:beforeLines="30"/>
              <w:jc w:val="center"/>
              <w:rPr>
                <w:color w:val="000000"/>
                <w:sz w:val="24"/>
                <w:szCs w:val="24"/>
              </w:rPr>
            </w:pPr>
            <w:r>
              <w:rPr>
                <w:color w:val="000000"/>
                <w:sz w:val="24"/>
                <w:szCs w:val="24"/>
              </w:rPr>
              <w:t>项目审批（核</w:t>
            </w:r>
          </w:p>
          <w:p w14:paraId="6EF7F69A">
            <w:pPr>
              <w:adjustRightInd w:val="0"/>
              <w:spacing w:after="93" w:afterLines="30"/>
              <w:jc w:val="center"/>
              <w:rPr>
                <w:color w:val="000000"/>
                <w:sz w:val="24"/>
                <w:szCs w:val="24"/>
              </w:rPr>
            </w:pPr>
            <w:r>
              <w:rPr>
                <w:color w:val="000000"/>
                <w:sz w:val="24"/>
                <w:szCs w:val="24"/>
              </w:rPr>
              <w:t>准/备案）部门</w:t>
            </w:r>
          </w:p>
        </w:tc>
        <w:tc>
          <w:tcPr>
            <w:tcW w:w="1413" w:type="pct"/>
            <w:noWrap w:val="0"/>
            <w:vAlign w:val="center"/>
          </w:tcPr>
          <w:p w14:paraId="6094F7A2">
            <w:pPr>
              <w:adjustRightInd w:val="0"/>
              <w:spacing w:after="93" w:afterLines="30"/>
              <w:jc w:val="center"/>
              <w:rPr>
                <w:color w:val="000000"/>
                <w:sz w:val="24"/>
                <w:szCs w:val="24"/>
              </w:rPr>
            </w:pPr>
            <w:r>
              <w:rPr>
                <w:rFonts w:hint="eastAsia"/>
                <w:color w:val="000000"/>
                <w:sz w:val="24"/>
                <w:szCs w:val="24"/>
              </w:rPr>
              <w:t>洛阳市偃师区发展和改革委员会</w:t>
            </w:r>
          </w:p>
        </w:tc>
        <w:tc>
          <w:tcPr>
            <w:tcW w:w="1067" w:type="pct"/>
            <w:noWrap w:val="0"/>
            <w:vAlign w:val="center"/>
          </w:tcPr>
          <w:p w14:paraId="5979CD5D">
            <w:pPr>
              <w:adjustRightInd w:val="0"/>
              <w:spacing w:before="93" w:beforeLines="30"/>
              <w:jc w:val="center"/>
              <w:rPr>
                <w:rFonts w:hint="eastAsia"/>
                <w:color w:val="000000"/>
                <w:sz w:val="24"/>
              </w:rPr>
            </w:pPr>
            <w:r>
              <w:rPr>
                <w:color w:val="000000"/>
                <w:sz w:val="24"/>
                <w:szCs w:val="24"/>
              </w:rPr>
              <w:t>项目审批（核准</w:t>
            </w:r>
          </w:p>
          <w:p w14:paraId="3D1BC2DD">
            <w:pPr>
              <w:adjustRightInd w:val="0"/>
              <w:spacing w:after="93" w:afterLines="30"/>
              <w:jc w:val="center"/>
              <w:rPr>
                <w:color w:val="000000"/>
                <w:sz w:val="24"/>
                <w:szCs w:val="24"/>
              </w:rPr>
            </w:pPr>
            <w:r>
              <w:rPr>
                <w:color w:val="000000"/>
                <w:sz w:val="24"/>
                <w:szCs w:val="24"/>
              </w:rPr>
              <w:t>/备案）文号</w:t>
            </w:r>
          </w:p>
        </w:tc>
        <w:tc>
          <w:tcPr>
            <w:tcW w:w="1609" w:type="pct"/>
            <w:noWrap w:val="0"/>
            <w:vAlign w:val="center"/>
          </w:tcPr>
          <w:p w14:paraId="65C001D1">
            <w:pPr>
              <w:adjustRightInd w:val="0"/>
              <w:spacing w:line="360" w:lineRule="auto"/>
              <w:jc w:val="center"/>
              <w:rPr>
                <w:rFonts w:hint="eastAsia"/>
                <w:color w:val="000000"/>
                <w:sz w:val="24"/>
                <w:szCs w:val="24"/>
              </w:rPr>
            </w:pPr>
            <w:r>
              <w:rPr>
                <w:rFonts w:hint="eastAsia"/>
                <w:color w:val="000000"/>
                <w:sz w:val="24"/>
                <w:szCs w:val="24"/>
              </w:rPr>
              <w:t>/</w:t>
            </w:r>
          </w:p>
        </w:tc>
      </w:tr>
      <w:tr w14:paraId="1EB0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910" w:type="pct"/>
            <w:gridSpan w:val="2"/>
            <w:noWrap w:val="0"/>
            <w:vAlign w:val="center"/>
          </w:tcPr>
          <w:p w14:paraId="6B8A629D">
            <w:pPr>
              <w:adjustRightInd w:val="0"/>
              <w:spacing w:line="360" w:lineRule="auto"/>
              <w:jc w:val="center"/>
              <w:rPr>
                <w:color w:val="000000"/>
                <w:sz w:val="24"/>
                <w:szCs w:val="24"/>
              </w:rPr>
            </w:pPr>
            <w:r>
              <w:rPr>
                <w:color w:val="000000"/>
                <w:sz w:val="24"/>
                <w:szCs w:val="24"/>
              </w:rPr>
              <w:t>总投资（万元）</w:t>
            </w:r>
          </w:p>
        </w:tc>
        <w:tc>
          <w:tcPr>
            <w:tcW w:w="1413" w:type="pct"/>
            <w:noWrap w:val="0"/>
            <w:vAlign w:val="center"/>
          </w:tcPr>
          <w:p w14:paraId="6C60F0E6">
            <w:pPr>
              <w:adjustRightInd w:val="0"/>
              <w:spacing w:line="360" w:lineRule="auto"/>
              <w:jc w:val="center"/>
              <w:rPr>
                <w:rFonts w:hint="default" w:eastAsia="宋体"/>
                <w:color w:val="000000"/>
                <w:sz w:val="24"/>
                <w:szCs w:val="24"/>
                <w:lang w:val="en-US" w:eastAsia="zh-CN"/>
              </w:rPr>
            </w:pPr>
            <w:r>
              <w:rPr>
                <w:rFonts w:hint="eastAsia"/>
                <w:color w:val="000000"/>
                <w:sz w:val="24"/>
                <w:szCs w:val="24"/>
                <w:lang w:val="en-US" w:eastAsia="zh-CN"/>
              </w:rPr>
              <w:t>50</w:t>
            </w:r>
          </w:p>
        </w:tc>
        <w:tc>
          <w:tcPr>
            <w:tcW w:w="1067" w:type="pct"/>
            <w:noWrap w:val="0"/>
            <w:vAlign w:val="center"/>
          </w:tcPr>
          <w:p w14:paraId="5E3D291F">
            <w:pPr>
              <w:adjustRightInd w:val="0"/>
              <w:spacing w:line="360" w:lineRule="auto"/>
              <w:jc w:val="center"/>
              <w:rPr>
                <w:color w:val="000000"/>
                <w:sz w:val="24"/>
                <w:szCs w:val="24"/>
              </w:rPr>
            </w:pPr>
            <w:r>
              <w:rPr>
                <w:color w:val="000000"/>
                <w:sz w:val="24"/>
                <w:szCs w:val="24"/>
              </w:rPr>
              <w:t>环保投资（万元）</w:t>
            </w:r>
          </w:p>
        </w:tc>
        <w:tc>
          <w:tcPr>
            <w:tcW w:w="1609" w:type="pct"/>
            <w:noWrap w:val="0"/>
            <w:vAlign w:val="center"/>
          </w:tcPr>
          <w:p w14:paraId="53B26980">
            <w:pPr>
              <w:adjustRightInd w:val="0"/>
              <w:spacing w:line="360" w:lineRule="auto"/>
              <w:jc w:val="center"/>
              <w:rPr>
                <w:rFonts w:hint="default" w:eastAsia="宋体"/>
                <w:color w:val="000000"/>
                <w:sz w:val="24"/>
                <w:szCs w:val="24"/>
                <w:lang w:val="en-US" w:eastAsia="zh-CN"/>
              </w:rPr>
            </w:pPr>
            <w:r>
              <w:rPr>
                <w:rFonts w:hint="eastAsia"/>
                <w:color w:val="000000"/>
                <w:sz w:val="24"/>
                <w:szCs w:val="24"/>
                <w:lang w:val="en-US" w:eastAsia="zh-CN"/>
              </w:rPr>
              <w:t>5.7</w:t>
            </w:r>
          </w:p>
        </w:tc>
      </w:tr>
      <w:tr w14:paraId="6869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0" w:hRule="atLeast"/>
        </w:trPr>
        <w:tc>
          <w:tcPr>
            <w:tcW w:w="910" w:type="pct"/>
            <w:gridSpan w:val="2"/>
            <w:noWrap w:val="0"/>
            <w:vAlign w:val="center"/>
          </w:tcPr>
          <w:p w14:paraId="44204A5D">
            <w:pPr>
              <w:adjustRightInd w:val="0"/>
              <w:spacing w:before="93" w:beforeLines="30"/>
              <w:jc w:val="center"/>
              <w:rPr>
                <w:rFonts w:hint="eastAsia"/>
                <w:color w:val="000000"/>
                <w:sz w:val="24"/>
              </w:rPr>
            </w:pPr>
            <w:r>
              <w:rPr>
                <w:color w:val="000000"/>
                <w:sz w:val="24"/>
                <w:szCs w:val="24"/>
              </w:rPr>
              <w:t>环保投资占比</w:t>
            </w:r>
          </w:p>
          <w:p w14:paraId="7E7FBC92">
            <w:pPr>
              <w:adjustRightInd w:val="0"/>
              <w:spacing w:after="93" w:afterLines="30"/>
              <w:jc w:val="center"/>
              <w:rPr>
                <w:color w:val="000000"/>
                <w:sz w:val="24"/>
                <w:szCs w:val="24"/>
              </w:rPr>
            </w:pPr>
            <w:r>
              <w:rPr>
                <w:color w:val="000000"/>
                <w:sz w:val="24"/>
                <w:szCs w:val="24"/>
              </w:rPr>
              <w:t>（%）</w:t>
            </w:r>
          </w:p>
        </w:tc>
        <w:tc>
          <w:tcPr>
            <w:tcW w:w="1413" w:type="pct"/>
            <w:noWrap w:val="0"/>
            <w:vAlign w:val="center"/>
          </w:tcPr>
          <w:p w14:paraId="6A2105C9">
            <w:pPr>
              <w:adjustRightInd w:val="0"/>
              <w:spacing w:line="360" w:lineRule="auto"/>
              <w:jc w:val="center"/>
              <w:rPr>
                <w:rFonts w:hint="default" w:eastAsia="宋体"/>
                <w:color w:val="000000"/>
                <w:sz w:val="24"/>
                <w:szCs w:val="24"/>
                <w:lang w:val="en-US" w:eastAsia="zh-CN"/>
              </w:rPr>
            </w:pPr>
            <w:r>
              <w:rPr>
                <w:rFonts w:hint="eastAsia"/>
                <w:color w:val="000000"/>
                <w:sz w:val="24"/>
                <w:szCs w:val="24"/>
                <w:lang w:val="en-US" w:eastAsia="zh-CN"/>
              </w:rPr>
              <w:t>11.4</w:t>
            </w:r>
          </w:p>
        </w:tc>
        <w:tc>
          <w:tcPr>
            <w:tcW w:w="1067" w:type="pct"/>
            <w:noWrap w:val="0"/>
            <w:vAlign w:val="center"/>
          </w:tcPr>
          <w:p w14:paraId="78CF0308">
            <w:pPr>
              <w:adjustRightInd w:val="0"/>
              <w:spacing w:line="360" w:lineRule="auto"/>
              <w:jc w:val="center"/>
              <w:rPr>
                <w:color w:val="000000"/>
                <w:sz w:val="24"/>
                <w:szCs w:val="24"/>
              </w:rPr>
            </w:pPr>
            <w:r>
              <w:rPr>
                <w:color w:val="000000"/>
                <w:sz w:val="24"/>
                <w:szCs w:val="24"/>
              </w:rPr>
              <w:t>施工工期</w:t>
            </w:r>
          </w:p>
        </w:tc>
        <w:tc>
          <w:tcPr>
            <w:tcW w:w="1609" w:type="pct"/>
            <w:noWrap w:val="0"/>
            <w:vAlign w:val="center"/>
          </w:tcPr>
          <w:p w14:paraId="2E633874">
            <w:pPr>
              <w:adjustRightInd w:val="0"/>
              <w:spacing w:line="360" w:lineRule="auto"/>
              <w:jc w:val="center"/>
              <w:rPr>
                <w:color w:val="000000"/>
                <w:sz w:val="24"/>
                <w:szCs w:val="24"/>
              </w:rPr>
            </w:pPr>
            <w:r>
              <w:rPr>
                <w:rFonts w:hint="eastAsia"/>
                <w:color w:val="000000"/>
                <w:sz w:val="24"/>
                <w:szCs w:val="24"/>
                <w:lang w:val="en-US" w:eastAsia="zh-CN"/>
              </w:rPr>
              <w:t>3</w:t>
            </w:r>
            <w:r>
              <w:rPr>
                <w:color w:val="000000"/>
                <w:sz w:val="24"/>
                <w:szCs w:val="24"/>
              </w:rPr>
              <w:t>个月</w:t>
            </w:r>
          </w:p>
        </w:tc>
      </w:tr>
      <w:tr w14:paraId="6A01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78" w:hRule="atLeast"/>
        </w:trPr>
        <w:tc>
          <w:tcPr>
            <w:tcW w:w="910" w:type="pct"/>
            <w:gridSpan w:val="2"/>
            <w:noWrap w:val="0"/>
            <w:vAlign w:val="center"/>
          </w:tcPr>
          <w:p w14:paraId="226FD5EA">
            <w:pPr>
              <w:adjustRightInd w:val="0"/>
              <w:spacing w:line="360" w:lineRule="auto"/>
              <w:jc w:val="center"/>
              <w:rPr>
                <w:color w:val="000000"/>
                <w:sz w:val="24"/>
                <w:szCs w:val="24"/>
              </w:rPr>
            </w:pPr>
            <w:r>
              <w:rPr>
                <w:color w:val="000000"/>
                <w:sz w:val="24"/>
                <w:szCs w:val="24"/>
              </w:rPr>
              <w:t>是否开工建设</w:t>
            </w:r>
          </w:p>
        </w:tc>
        <w:tc>
          <w:tcPr>
            <w:tcW w:w="1413" w:type="pct"/>
            <w:noWrap w:val="0"/>
            <w:vAlign w:val="center"/>
          </w:tcPr>
          <w:p w14:paraId="4393113A">
            <w:pPr>
              <w:adjustRightInd w:val="0"/>
              <w:spacing w:before="93" w:beforeLines="30"/>
              <w:rPr>
                <w:color w:val="000000"/>
                <w:sz w:val="24"/>
                <w:szCs w:val="24"/>
              </w:rPr>
            </w:pPr>
            <w:r>
              <w:rPr>
                <w:color w:val="000000"/>
                <w:sz w:val="24"/>
                <w:szCs w:val="24"/>
              </w:rPr>
              <w:sym w:font="Wingdings 2" w:char="F052"/>
            </w:r>
            <w:r>
              <w:rPr>
                <w:color w:val="000000"/>
                <w:sz w:val="24"/>
                <w:szCs w:val="24"/>
              </w:rPr>
              <w:t>否</w:t>
            </w:r>
          </w:p>
          <w:p w14:paraId="2B4D9181">
            <w:pPr>
              <w:adjustRightInd w:val="0"/>
              <w:rPr>
                <w:color w:val="000000"/>
                <w:sz w:val="24"/>
                <w:szCs w:val="24"/>
              </w:rPr>
            </w:pPr>
            <w:r>
              <w:rPr>
                <w:color w:val="000000"/>
                <w:sz w:val="24"/>
                <w:szCs w:val="24"/>
              </w:rPr>
              <w:sym w:font="Wingdings 2" w:char="F0A3"/>
            </w:r>
            <w:r>
              <w:rPr>
                <w:color w:val="000000"/>
                <w:sz w:val="24"/>
                <w:szCs w:val="24"/>
              </w:rPr>
              <w:t>是：</w:t>
            </w:r>
            <w:r>
              <w:rPr>
                <w:rFonts w:hint="eastAsia"/>
                <w:color w:val="000000"/>
                <w:sz w:val="24"/>
                <w:szCs w:val="24"/>
                <w:u w:val="single"/>
              </w:rPr>
              <w:t xml:space="preserve">             </w:t>
            </w:r>
          </w:p>
        </w:tc>
        <w:tc>
          <w:tcPr>
            <w:tcW w:w="1067" w:type="pct"/>
            <w:noWrap w:val="0"/>
            <w:vAlign w:val="center"/>
          </w:tcPr>
          <w:p w14:paraId="764A4942">
            <w:pPr>
              <w:adjustRightInd w:val="0"/>
              <w:spacing w:before="93" w:beforeLines="30"/>
              <w:jc w:val="center"/>
              <w:rPr>
                <w:rFonts w:hint="eastAsia"/>
                <w:color w:val="000000"/>
                <w:spacing w:val="-6"/>
                <w:sz w:val="24"/>
              </w:rPr>
            </w:pPr>
            <w:r>
              <w:rPr>
                <w:color w:val="000000"/>
                <w:spacing w:val="-6"/>
                <w:sz w:val="24"/>
                <w:szCs w:val="24"/>
              </w:rPr>
              <w:t>用地（用海）</w:t>
            </w:r>
          </w:p>
          <w:p w14:paraId="5C64A677">
            <w:pPr>
              <w:adjustRightInd w:val="0"/>
              <w:spacing w:after="93" w:afterLines="30"/>
              <w:jc w:val="center"/>
              <w:rPr>
                <w:color w:val="000000"/>
                <w:sz w:val="24"/>
                <w:szCs w:val="24"/>
              </w:rPr>
            </w:pPr>
            <w:r>
              <w:rPr>
                <w:color w:val="000000"/>
                <w:spacing w:val="-6"/>
                <w:sz w:val="24"/>
                <w:szCs w:val="24"/>
              </w:rPr>
              <w:t>面积（m</w:t>
            </w:r>
            <w:r>
              <w:rPr>
                <w:color w:val="000000"/>
                <w:spacing w:val="-6"/>
                <w:sz w:val="24"/>
                <w:szCs w:val="24"/>
                <w:vertAlign w:val="superscript"/>
              </w:rPr>
              <w:t>2</w:t>
            </w:r>
            <w:r>
              <w:rPr>
                <w:color w:val="000000"/>
                <w:spacing w:val="-6"/>
                <w:sz w:val="24"/>
                <w:szCs w:val="24"/>
              </w:rPr>
              <w:t>）</w:t>
            </w:r>
          </w:p>
        </w:tc>
        <w:tc>
          <w:tcPr>
            <w:tcW w:w="1609" w:type="pct"/>
            <w:noWrap w:val="0"/>
            <w:vAlign w:val="center"/>
          </w:tcPr>
          <w:p w14:paraId="4580B4F6">
            <w:pPr>
              <w:adjustRightInd w:val="0"/>
              <w:spacing w:before="93" w:beforeLines="30"/>
              <w:jc w:val="center"/>
              <w:rPr>
                <w:rFonts w:hint="eastAsia"/>
                <w:color w:val="000000"/>
                <w:spacing w:val="-6"/>
                <w:sz w:val="24"/>
                <w:szCs w:val="24"/>
              </w:rPr>
            </w:pPr>
            <w:r>
              <w:rPr>
                <w:rFonts w:hint="eastAsia"/>
                <w:color w:val="000000"/>
                <w:spacing w:val="-6"/>
                <w:sz w:val="24"/>
                <w:szCs w:val="24"/>
              </w:rPr>
              <w:t>0</w:t>
            </w:r>
          </w:p>
          <w:p w14:paraId="0A4B6B43">
            <w:pPr>
              <w:adjustRightInd w:val="0"/>
              <w:spacing w:after="93" w:afterLines="30"/>
              <w:jc w:val="center"/>
              <w:rPr>
                <w:rFonts w:hint="eastAsia"/>
                <w:color w:val="000000"/>
                <w:sz w:val="24"/>
                <w:szCs w:val="24"/>
              </w:rPr>
            </w:pPr>
            <w:r>
              <w:rPr>
                <w:rFonts w:hint="eastAsia"/>
                <w:color w:val="000000"/>
                <w:spacing w:val="-6"/>
                <w:sz w:val="24"/>
                <w:szCs w:val="24"/>
              </w:rPr>
              <w:t>（未新增占地）</w:t>
            </w:r>
          </w:p>
        </w:tc>
      </w:tr>
      <w:tr w14:paraId="4633F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94" w:hRule="atLeast"/>
        </w:trPr>
        <w:tc>
          <w:tcPr>
            <w:tcW w:w="910" w:type="pct"/>
            <w:gridSpan w:val="2"/>
            <w:noWrap w:val="0"/>
            <w:vAlign w:val="center"/>
          </w:tcPr>
          <w:p w14:paraId="355D6D7B">
            <w:pPr>
              <w:autoSpaceDE w:val="0"/>
              <w:autoSpaceDN w:val="0"/>
              <w:adjustRightInd w:val="0"/>
              <w:spacing w:before="93" w:beforeLines="30"/>
              <w:jc w:val="center"/>
              <w:rPr>
                <w:rFonts w:hint="eastAsia" w:ascii="宋体" w:hAnsi="宋体" w:cs="宋体"/>
                <w:color w:val="000000"/>
                <w:kern w:val="0"/>
                <w:sz w:val="24"/>
              </w:rPr>
            </w:pPr>
            <w:r>
              <w:rPr>
                <w:rFonts w:hint="eastAsia" w:ascii="宋体" w:hAnsi="宋体" w:cs="宋体"/>
                <w:color w:val="000000"/>
                <w:kern w:val="0"/>
                <w:sz w:val="24"/>
                <w:szCs w:val="24"/>
              </w:rPr>
              <w:t>专项评价设置</w:t>
            </w:r>
          </w:p>
          <w:p w14:paraId="5684A05C">
            <w:pPr>
              <w:autoSpaceDE w:val="0"/>
              <w:autoSpaceDN w:val="0"/>
              <w:adjustRightInd w:val="0"/>
              <w:spacing w:after="93" w:afterLines="30"/>
              <w:jc w:val="center"/>
              <w:rPr>
                <w:rFonts w:ascii="宋体" w:hAnsi="宋体" w:cs="宋体"/>
                <w:color w:val="000000"/>
                <w:kern w:val="0"/>
                <w:sz w:val="24"/>
                <w:szCs w:val="24"/>
              </w:rPr>
            </w:pPr>
            <w:r>
              <w:rPr>
                <w:rFonts w:hint="eastAsia" w:ascii="宋体" w:hAnsi="宋体" w:cs="宋体"/>
                <w:color w:val="000000"/>
                <w:kern w:val="0"/>
                <w:sz w:val="24"/>
                <w:szCs w:val="24"/>
              </w:rPr>
              <w:t>情况</w:t>
            </w:r>
          </w:p>
        </w:tc>
        <w:tc>
          <w:tcPr>
            <w:tcW w:w="4089" w:type="pct"/>
            <w:gridSpan w:val="3"/>
            <w:noWrap w:val="0"/>
            <w:vAlign w:val="center"/>
          </w:tcPr>
          <w:p w14:paraId="6ED0C631">
            <w:pPr>
              <w:autoSpaceDE w:val="0"/>
              <w:autoSpaceDN w:val="0"/>
              <w:adjustRightInd w:val="0"/>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无</w:t>
            </w:r>
          </w:p>
        </w:tc>
      </w:tr>
      <w:tr w14:paraId="2BCC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087" w:hRule="atLeast"/>
        </w:trPr>
        <w:tc>
          <w:tcPr>
            <w:tcW w:w="910" w:type="pct"/>
            <w:gridSpan w:val="2"/>
            <w:noWrap w:val="0"/>
            <w:vAlign w:val="center"/>
          </w:tcPr>
          <w:p w14:paraId="6EBC7903">
            <w:pPr>
              <w:autoSpaceDE w:val="0"/>
              <w:autoSpaceDN w:val="0"/>
              <w:adjustRightInd w:val="0"/>
              <w:spacing w:line="360" w:lineRule="auto"/>
              <w:jc w:val="center"/>
              <w:rPr>
                <w:rFonts w:hint="eastAsia" w:ascii="宋体" w:hAnsi="宋体" w:cs="宋体"/>
                <w:color w:val="000000"/>
                <w:kern w:val="0"/>
                <w:sz w:val="24"/>
                <w:szCs w:val="24"/>
              </w:rPr>
            </w:pPr>
            <w:r>
              <w:rPr>
                <w:rFonts w:hint="eastAsia" w:ascii="宋体" w:hAnsi="宋体" w:cs="宋体"/>
                <w:color w:val="000000"/>
                <w:sz w:val="24"/>
                <w:szCs w:val="24"/>
              </w:rPr>
              <w:t>规划情况</w:t>
            </w:r>
          </w:p>
        </w:tc>
        <w:tc>
          <w:tcPr>
            <w:tcW w:w="4089" w:type="pct"/>
            <w:gridSpan w:val="3"/>
            <w:noWrap w:val="0"/>
            <w:vAlign w:val="center"/>
          </w:tcPr>
          <w:p w14:paraId="623C60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kern w:val="0"/>
                <w:sz w:val="24"/>
                <w:szCs w:val="24"/>
              </w:rPr>
            </w:pPr>
            <w:r>
              <w:rPr>
                <w:rFonts w:hint="default" w:ascii="Times New Roman" w:hAnsi="Times New Roman" w:cs="Times New Roman"/>
                <w:color w:val="000000"/>
                <w:sz w:val="24"/>
                <w:szCs w:val="24"/>
                <w:u w:val="none"/>
              </w:rPr>
              <w:t>按照《中共河南省委河南省人民政府关于推动河南省开发区高质量发展的指导意见》（豫发〔2021〕21号）等工作部署和要求，洛阳偃师区先进制造业开发区编制了《洛阳偃师区先进制造业开发区发展规划（2022</w:t>
            </w:r>
            <w:r>
              <w:rPr>
                <w:rFonts w:hint="eastAsia" w:ascii="Times New Roman" w:hAnsi="Times New Roman" w:cs="Times New Roman"/>
                <w:color w:val="000000"/>
                <w:sz w:val="24"/>
                <w:szCs w:val="24"/>
                <w:u w:val="none"/>
                <w:lang w:val="en-US" w:eastAsia="zh-CN"/>
              </w:rPr>
              <w:t>-</w:t>
            </w:r>
            <w:r>
              <w:rPr>
                <w:rFonts w:hint="default" w:ascii="Times New Roman" w:hAnsi="Times New Roman" w:cs="Times New Roman"/>
                <w:color w:val="000000"/>
                <w:sz w:val="24"/>
                <w:szCs w:val="24"/>
                <w:u w:val="none"/>
              </w:rPr>
              <w:t>2035年）》</w:t>
            </w:r>
            <w:r>
              <w:rPr>
                <w:rFonts w:hint="eastAsia" w:ascii="Times New Roman" w:hAnsi="Times New Roman" w:cs="Times New Roman"/>
                <w:color w:val="000000"/>
                <w:sz w:val="24"/>
                <w:szCs w:val="24"/>
                <w:u w:val="none"/>
                <w:lang w:eastAsia="zh-CN"/>
              </w:rPr>
              <w:t>。</w:t>
            </w:r>
          </w:p>
        </w:tc>
      </w:tr>
      <w:tr w14:paraId="74CA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262" w:hRule="atLeast"/>
        </w:trPr>
        <w:tc>
          <w:tcPr>
            <w:tcW w:w="910" w:type="pct"/>
            <w:gridSpan w:val="2"/>
            <w:noWrap w:val="0"/>
            <w:vAlign w:val="center"/>
          </w:tcPr>
          <w:p w14:paraId="1B60BE86">
            <w:pPr>
              <w:autoSpaceDE w:val="0"/>
              <w:autoSpaceDN w:val="0"/>
              <w:adjustRightInd w:val="0"/>
              <w:spacing w:line="360" w:lineRule="auto"/>
              <w:jc w:val="center"/>
              <w:rPr>
                <w:rFonts w:hint="eastAsia" w:ascii="宋体" w:hAnsi="宋体" w:cs="宋体"/>
                <w:color w:val="000000"/>
                <w:sz w:val="24"/>
                <w:szCs w:val="24"/>
              </w:rPr>
            </w:pPr>
            <w:r>
              <w:rPr>
                <w:rFonts w:hint="eastAsia" w:ascii="宋体" w:hAnsi="宋体" w:cs="宋体"/>
                <w:color w:val="000000"/>
                <w:sz w:val="24"/>
                <w:szCs w:val="24"/>
              </w:rPr>
              <w:t>规划环境影响评价情况</w:t>
            </w:r>
          </w:p>
        </w:tc>
        <w:tc>
          <w:tcPr>
            <w:tcW w:w="4089" w:type="pct"/>
            <w:gridSpan w:val="3"/>
            <w:noWrap w:val="0"/>
            <w:vAlign w:val="center"/>
          </w:tcPr>
          <w:p w14:paraId="17597638">
            <w:pPr>
              <w:autoSpaceDE w:val="0"/>
              <w:autoSpaceDN w:val="0"/>
              <w:adjustRightInd w:val="0"/>
              <w:spacing w:line="360" w:lineRule="auto"/>
              <w:ind w:firstLine="480" w:firstLineChars="200"/>
              <w:jc w:val="both"/>
              <w:rPr>
                <w:rFonts w:hint="default" w:ascii="Times New Roman" w:hAnsi="Times New Roman" w:cs="Times New Roman"/>
                <w:color w:val="000000"/>
                <w:kern w:val="0"/>
                <w:sz w:val="24"/>
                <w:szCs w:val="24"/>
                <w:u w:val="none"/>
              </w:rPr>
            </w:pPr>
            <w:r>
              <w:rPr>
                <w:rFonts w:hint="eastAsia" w:ascii="Times New Roman" w:hAnsi="Times New Roman" w:cs="Times New Roman"/>
                <w:color w:val="000000"/>
                <w:kern w:val="0"/>
                <w:sz w:val="24"/>
                <w:szCs w:val="24"/>
                <w:u w:val="none"/>
                <w:lang w:val="en-US" w:eastAsia="zh-CN"/>
              </w:rPr>
              <w:t>规</w:t>
            </w:r>
            <w:r>
              <w:rPr>
                <w:rFonts w:hint="default" w:ascii="Times New Roman" w:hAnsi="Times New Roman" w:cs="Times New Roman"/>
                <w:color w:val="000000"/>
                <w:kern w:val="0"/>
                <w:sz w:val="24"/>
                <w:szCs w:val="24"/>
                <w:u w:val="none"/>
              </w:rPr>
              <w:t>划环境影响评价文件名称：《洛阳偃师区先进制造业开发区发展规划（2022</w:t>
            </w:r>
            <w:r>
              <w:rPr>
                <w:rFonts w:hint="eastAsia" w:ascii="Times New Roman" w:hAnsi="Times New Roman" w:cs="Times New Roman"/>
                <w:color w:val="000000"/>
                <w:kern w:val="0"/>
                <w:sz w:val="24"/>
                <w:szCs w:val="24"/>
                <w:u w:val="none"/>
                <w:lang w:val="en-US" w:eastAsia="zh-CN"/>
              </w:rPr>
              <w:t>-</w:t>
            </w:r>
            <w:r>
              <w:rPr>
                <w:rFonts w:hint="default" w:ascii="Times New Roman" w:hAnsi="Times New Roman" w:cs="Times New Roman"/>
                <w:color w:val="000000"/>
                <w:kern w:val="0"/>
                <w:sz w:val="24"/>
                <w:szCs w:val="24"/>
                <w:u w:val="none"/>
              </w:rPr>
              <w:t>2035年）环境影响报告书》</w:t>
            </w:r>
          </w:p>
          <w:p w14:paraId="31513EAD">
            <w:pPr>
              <w:autoSpaceDE w:val="0"/>
              <w:autoSpaceDN w:val="0"/>
              <w:adjustRightInd w:val="0"/>
              <w:spacing w:line="360" w:lineRule="auto"/>
              <w:ind w:firstLine="480" w:firstLineChars="200"/>
              <w:jc w:val="both"/>
              <w:rPr>
                <w:rFonts w:hint="default" w:ascii="Times New Roman" w:hAnsi="Times New Roman" w:cs="Times New Roman"/>
                <w:color w:val="000000"/>
                <w:kern w:val="0"/>
                <w:sz w:val="24"/>
                <w:szCs w:val="24"/>
                <w:u w:val="none"/>
              </w:rPr>
            </w:pPr>
            <w:r>
              <w:rPr>
                <w:rFonts w:hint="default" w:ascii="Times New Roman" w:hAnsi="Times New Roman" w:cs="Times New Roman"/>
                <w:color w:val="000000"/>
                <w:kern w:val="0"/>
                <w:sz w:val="24"/>
                <w:szCs w:val="24"/>
                <w:u w:val="none"/>
              </w:rPr>
              <w:t>召集审查机关：河南省环境保护厅</w:t>
            </w:r>
          </w:p>
          <w:p w14:paraId="6E7EEE33">
            <w:pPr>
              <w:autoSpaceDE w:val="0"/>
              <w:autoSpaceDN w:val="0"/>
              <w:adjustRightInd w:val="0"/>
              <w:spacing w:line="360" w:lineRule="auto"/>
              <w:ind w:firstLine="480" w:firstLineChars="200"/>
              <w:jc w:val="both"/>
              <w:rPr>
                <w:rFonts w:hint="eastAsia" w:ascii="宋体" w:hAnsi="宋体" w:cs="宋体"/>
                <w:color w:val="000000"/>
                <w:kern w:val="0"/>
                <w:sz w:val="24"/>
                <w:szCs w:val="24"/>
              </w:rPr>
            </w:pPr>
            <w:r>
              <w:rPr>
                <w:rFonts w:hint="default" w:ascii="Times New Roman" w:hAnsi="Times New Roman" w:cs="Times New Roman"/>
                <w:color w:val="000000"/>
                <w:kern w:val="0"/>
                <w:sz w:val="24"/>
                <w:szCs w:val="24"/>
                <w:u w:val="none"/>
              </w:rPr>
              <w:t>审查文号：豫环函</w:t>
            </w:r>
            <w:r>
              <w:rPr>
                <w:rFonts w:hint="eastAsia" w:ascii="Times New Roman" w:hAnsi="Times New Roman" w:cs="Times New Roman"/>
                <w:color w:val="000000"/>
                <w:kern w:val="0"/>
                <w:sz w:val="24"/>
                <w:szCs w:val="24"/>
                <w:u w:val="none"/>
                <w:lang w:eastAsia="zh-CN"/>
              </w:rPr>
              <w:t>〔2023〕103号</w:t>
            </w:r>
          </w:p>
        </w:tc>
      </w:tr>
      <w:tr w14:paraId="62B0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262" w:hRule="atLeast"/>
        </w:trPr>
        <w:tc>
          <w:tcPr>
            <w:tcW w:w="362" w:type="pct"/>
            <w:noWrap w:val="0"/>
            <w:vAlign w:val="center"/>
          </w:tcPr>
          <w:p w14:paraId="4EEB3165">
            <w:pPr>
              <w:autoSpaceDE w:val="0"/>
              <w:autoSpaceDN w:val="0"/>
              <w:adjustRightInd w:val="0"/>
              <w:spacing w:line="360" w:lineRule="auto"/>
              <w:jc w:val="center"/>
              <w:rPr>
                <w:rFonts w:hint="eastAsia" w:ascii="宋体" w:hAnsi="宋体" w:cs="宋体"/>
                <w:color w:val="000000"/>
                <w:sz w:val="24"/>
                <w:szCs w:val="24"/>
              </w:rPr>
            </w:pPr>
            <w:r>
              <w:rPr>
                <w:color w:val="000000"/>
                <w:kern w:val="0"/>
                <w:sz w:val="24"/>
                <w:szCs w:val="24"/>
              </w:rPr>
              <w:t>规划及规划环境影响评价符合性分析</w:t>
            </w:r>
          </w:p>
        </w:tc>
        <w:tc>
          <w:tcPr>
            <w:tcW w:w="4637" w:type="pct"/>
            <w:gridSpan w:val="4"/>
            <w:noWrap w:val="0"/>
            <w:vAlign w:val="center"/>
          </w:tcPr>
          <w:p w14:paraId="280D2756">
            <w:pPr>
              <w:autoSpaceDE w:val="0"/>
              <w:autoSpaceDN w:val="0"/>
              <w:adjustRightInd w:val="0"/>
              <w:spacing w:line="360" w:lineRule="auto"/>
              <w:jc w:val="both"/>
              <w:rPr>
                <w:rFonts w:hint="default" w:ascii="Times New Roman" w:hAnsi="Times New Roman" w:cs="Times New Roman"/>
                <w:b/>
                <w:bCs/>
                <w:color w:val="000000"/>
                <w:kern w:val="0"/>
                <w:sz w:val="24"/>
                <w:szCs w:val="24"/>
                <w:u w:val="none"/>
              </w:rPr>
            </w:pPr>
            <w:r>
              <w:rPr>
                <w:rFonts w:hint="default" w:ascii="Times New Roman" w:hAnsi="Times New Roman" w:cs="Times New Roman"/>
                <w:b/>
                <w:bCs/>
                <w:color w:val="000000"/>
                <w:kern w:val="0"/>
                <w:sz w:val="24"/>
                <w:szCs w:val="24"/>
                <w:u w:val="none"/>
              </w:rPr>
              <w:t>1</w:t>
            </w:r>
            <w:r>
              <w:rPr>
                <w:rFonts w:hint="eastAsia" w:ascii="Times New Roman" w:hAnsi="Times New Roman" w:cs="Times New Roman"/>
                <w:b/>
                <w:bCs/>
                <w:color w:val="000000"/>
                <w:kern w:val="0"/>
                <w:sz w:val="24"/>
                <w:szCs w:val="24"/>
                <w:u w:val="none"/>
                <w:lang w:val="en-US" w:eastAsia="zh-CN"/>
              </w:rPr>
              <w:t>.</w:t>
            </w:r>
            <w:r>
              <w:rPr>
                <w:rFonts w:hint="default" w:ascii="Times New Roman" w:hAnsi="Times New Roman" w:cs="Times New Roman"/>
                <w:b/>
                <w:bCs/>
                <w:color w:val="000000"/>
                <w:kern w:val="0"/>
                <w:sz w:val="24"/>
                <w:szCs w:val="24"/>
                <w:u w:val="none"/>
              </w:rPr>
              <w:t>《洛阳偃师区先进制造业开发区发展规划（2022</w:t>
            </w:r>
            <w:r>
              <w:rPr>
                <w:rFonts w:hint="eastAsia" w:ascii="Times New Roman" w:hAnsi="Times New Roman" w:cs="Times New Roman"/>
                <w:b/>
                <w:bCs/>
                <w:color w:val="000000"/>
                <w:kern w:val="0"/>
                <w:sz w:val="24"/>
                <w:szCs w:val="24"/>
                <w:u w:val="none"/>
                <w:lang w:val="en-US" w:eastAsia="zh-CN"/>
              </w:rPr>
              <w:t>-</w:t>
            </w:r>
            <w:r>
              <w:rPr>
                <w:rFonts w:hint="default" w:ascii="Times New Roman" w:hAnsi="Times New Roman" w:cs="Times New Roman"/>
                <w:b/>
                <w:bCs/>
                <w:color w:val="000000"/>
                <w:kern w:val="0"/>
                <w:sz w:val="24"/>
                <w:szCs w:val="24"/>
                <w:u w:val="none"/>
              </w:rPr>
              <w:t>2035年）》及其规划环评</w:t>
            </w:r>
          </w:p>
          <w:p w14:paraId="59FA0E89">
            <w:pPr>
              <w:autoSpaceDE w:val="0"/>
              <w:autoSpaceDN w:val="0"/>
              <w:adjustRightInd w:val="0"/>
              <w:spacing w:line="360" w:lineRule="auto"/>
              <w:jc w:val="both"/>
              <w:rPr>
                <w:rFonts w:hint="default" w:ascii="Times New Roman" w:hAnsi="Times New Roman" w:cs="Times New Roman"/>
                <w:b w:val="0"/>
                <w:bCs w:val="0"/>
                <w:color w:val="000000"/>
                <w:kern w:val="0"/>
                <w:sz w:val="24"/>
                <w:szCs w:val="24"/>
                <w:u w:val="none"/>
              </w:rPr>
            </w:pPr>
            <w:r>
              <w:rPr>
                <w:rFonts w:hint="default" w:ascii="Times New Roman" w:hAnsi="Times New Roman" w:cs="Times New Roman"/>
                <w:b w:val="0"/>
                <w:bCs w:val="0"/>
                <w:color w:val="000000"/>
                <w:kern w:val="0"/>
                <w:sz w:val="24"/>
                <w:szCs w:val="24"/>
                <w:u w:val="none"/>
              </w:rPr>
              <w:t>1.1规划时间</w:t>
            </w:r>
          </w:p>
          <w:p w14:paraId="7DED548B">
            <w:pPr>
              <w:autoSpaceDE w:val="0"/>
              <w:autoSpaceDN w:val="0"/>
              <w:adjustRightInd w:val="0"/>
              <w:spacing w:line="360" w:lineRule="auto"/>
              <w:ind w:firstLine="480" w:firstLineChars="200"/>
              <w:jc w:val="both"/>
              <w:rPr>
                <w:rFonts w:hint="default" w:ascii="Times New Roman" w:hAnsi="Times New Roman" w:cs="Times New Roman"/>
                <w:b w:val="0"/>
                <w:bCs w:val="0"/>
                <w:color w:val="000000"/>
                <w:kern w:val="0"/>
                <w:sz w:val="24"/>
                <w:szCs w:val="24"/>
                <w:u w:val="none"/>
              </w:rPr>
            </w:pPr>
            <w:r>
              <w:rPr>
                <w:rFonts w:hint="default" w:ascii="Times New Roman" w:hAnsi="Times New Roman" w:cs="Times New Roman"/>
                <w:b w:val="0"/>
                <w:bCs w:val="0"/>
                <w:color w:val="000000"/>
                <w:kern w:val="0"/>
                <w:sz w:val="24"/>
                <w:szCs w:val="24"/>
                <w:u w:val="none"/>
              </w:rPr>
              <w:t>近期2022-2025年，远期2026-2035。</w:t>
            </w:r>
          </w:p>
          <w:p w14:paraId="1A9D406F">
            <w:pPr>
              <w:autoSpaceDE w:val="0"/>
              <w:autoSpaceDN w:val="0"/>
              <w:adjustRightInd w:val="0"/>
              <w:spacing w:line="360" w:lineRule="auto"/>
              <w:jc w:val="both"/>
              <w:rPr>
                <w:rFonts w:hint="default" w:ascii="Times New Roman" w:hAnsi="Times New Roman" w:cs="Times New Roman"/>
                <w:b w:val="0"/>
                <w:bCs w:val="0"/>
                <w:color w:val="000000"/>
                <w:kern w:val="0"/>
                <w:sz w:val="24"/>
                <w:szCs w:val="24"/>
                <w:u w:val="none"/>
              </w:rPr>
            </w:pPr>
            <w:r>
              <w:rPr>
                <w:rFonts w:hint="default" w:ascii="Times New Roman" w:hAnsi="Times New Roman" w:cs="Times New Roman"/>
                <w:b w:val="0"/>
                <w:bCs w:val="0"/>
                <w:color w:val="000000"/>
                <w:kern w:val="0"/>
                <w:sz w:val="24"/>
                <w:szCs w:val="24"/>
                <w:u w:val="none"/>
              </w:rPr>
              <w:t>1.2规划范围</w:t>
            </w:r>
          </w:p>
          <w:p w14:paraId="08F43F5C">
            <w:pPr>
              <w:autoSpaceDE w:val="0"/>
              <w:autoSpaceDN w:val="0"/>
              <w:adjustRightInd w:val="0"/>
              <w:spacing w:line="360" w:lineRule="auto"/>
              <w:ind w:firstLine="480" w:firstLineChars="200"/>
              <w:jc w:val="both"/>
              <w:rPr>
                <w:rFonts w:hint="default" w:ascii="Times New Roman" w:hAnsi="Times New Roman" w:cs="Times New Roman"/>
                <w:b w:val="0"/>
                <w:bCs w:val="0"/>
                <w:color w:val="000000"/>
                <w:kern w:val="0"/>
                <w:sz w:val="24"/>
                <w:szCs w:val="24"/>
                <w:u w:val="none"/>
              </w:rPr>
            </w:pPr>
            <w:r>
              <w:rPr>
                <w:rFonts w:hint="default" w:ascii="Times New Roman" w:hAnsi="Times New Roman" w:cs="Times New Roman"/>
                <w:b w:val="0"/>
                <w:bCs w:val="0"/>
                <w:color w:val="000000"/>
                <w:kern w:val="0"/>
                <w:sz w:val="24"/>
                <w:szCs w:val="24"/>
                <w:u w:val="none"/>
              </w:rPr>
              <w:t>洛阳偃师区先进制造业开发区整体空间发展布局结</w:t>
            </w:r>
            <w:r>
              <w:rPr>
                <w:rFonts w:hint="eastAsia" w:ascii="宋体" w:hAnsi="宋体" w:eastAsia="宋体" w:cs="宋体"/>
                <w:b w:val="0"/>
                <w:bCs w:val="0"/>
                <w:color w:val="000000"/>
                <w:kern w:val="0"/>
                <w:sz w:val="24"/>
                <w:szCs w:val="24"/>
                <w:u w:val="none"/>
              </w:rPr>
              <w:t>构为“一园区三板块”，“三板块”分别为北环板块、岳滩板块、东南板块，本次</w:t>
            </w:r>
            <w:r>
              <w:rPr>
                <w:rFonts w:hint="default" w:ascii="Times New Roman" w:hAnsi="Times New Roman" w:cs="Times New Roman"/>
                <w:b w:val="0"/>
                <w:bCs w:val="0"/>
                <w:color w:val="000000"/>
                <w:kern w:val="0"/>
                <w:sz w:val="24"/>
                <w:szCs w:val="24"/>
                <w:u w:val="none"/>
              </w:rPr>
              <w:t>规划各板块结合洛阳市国土空间规划开发边界和现状产业发展态势，对板块边界进行优化，规划总用地面积约21.44平方公里。</w:t>
            </w:r>
          </w:p>
          <w:p w14:paraId="397C9C6B">
            <w:pPr>
              <w:autoSpaceDE w:val="0"/>
              <w:autoSpaceDN w:val="0"/>
              <w:adjustRightInd w:val="0"/>
              <w:spacing w:line="360" w:lineRule="auto"/>
              <w:ind w:firstLine="480" w:firstLineChars="200"/>
              <w:jc w:val="both"/>
              <w:rPr>
                <w:rFonts w:hint="default" w:ascii="Times New Roman" w:hAnsi="Times New Roman" w:cs="Times New Roman"/>
                <w:b w:val="0"/>
                <w:bCs w:val="0"/>
                <w:color w:val="000000"/>
                <w:kern w:val="0"/>
                <w:sz w:val="24"/>
                <w:szCs w:val="24"/>
                <w:u w:val="none"/>
              </w:rPr>
            </w:pPr>
            <w:r>
              <w:rPr>
                <w:rFonts w:hint="default" w:ascii="Times New Roman" w:hAnsi="Times New Roman" w:cs="Times New Roman"/>
                <w:b w:val="0"/>
                <w:bCs w:val="0"/>
                <w:color w:val="000000"/>
                <w:kern w:val="0"/>
                <w:sz w:val="24"/>
                <w:szCs w:val="24"/>
                <w:u w:val="none"/>
              </w:rPr>
              <w:t>北环板块：位于偃师中心城区西北区域，空间范围为东至华润热电，西至龙海玻璃，南至陇海铁路，北至邙山大道、招商大道北侧300米，片区范围面积约5.09平方公里。</w:t>
            </w:r>
          </w:p>
          <w:p w14:paraId="23EC6E25">
            <w:pPr>
              <w:autoSpaceDE w:val="0"/>
              <w:autoSpaceDN w:val="0"/>
              <w:adjustRightInd w:val="0"/>
              <w:spacing w:line="360" w:lineRule="auto"/>
              <w:ind w:firstLine="480" w:firstLineChars="200"/>
              <w:jc w:val="both"/>
              <w:rPr>
                <w:rFonts w:hint="default" w:ascii="Times New Roman" w:hAnsi="Times New Roman" w:cs="Times New Roman"/>
                <w:b w:val="0"/>
                <w:bCs w:val="0"/>
                <w:color w:val="000000"/>
                <w:kern w:val="0"/>
                <w:sz w:val="24"/>
                <w:szCs w:val="24"/>
                <w:u w:val="none"/>
              </w:rPr>
            </w:pPr>
            <w:r>
              <w:rPr>
                <w:rFonts w:hint="default" w:ascii="Times New Roman" w:hAnsi="Times New Roman" w:cs="Times New Roman"/>
                <w:b w:val="0"/>
                <w:bCs w:val="0"/>
                <w:color w:val="000000"/>
                <w:kern w:val="0"/>
                <w:sz w:val="24"/>
                <w:szCs w:val="24"/>
                <w:u w:val="none"/>
              </w:rPr>
              <w:t>岳滩板块：位于偃师中心城区西南部区域，空间范围为东至杜甫大道，西至恒东新能源，南起规划创业路，北至规划科创路，片区范围面积约3.75平方公里。</w:t>
            </w:r>
          </w:p>
          <w:p w14:paraId="493CF1D7">
            <w:pPr>
              <w:autoSpaceDE w:val="0"/>
              <w:autoSpaceDN w:val="0"/>
              <w:adjustRightInd w:val="0"/>
              <w:spacing w:line="360" w:lineRule="auto"/>
              <w:ind w:firstLine="480" w:firstLineChars="200"/>
              <w:jc w:val="both"/>
              <w:rPr>
                <w:rFonts w:hint="default" w:ascii="Times New Roman" w:hAnsi="Times New Roman" w:cs="Times New Roman"/>
                <w:b w:val="0"/>
                <w:bCs w:val="0"/>
                <w:color w:val="000000"/>
                <w:kern w:val="0"/>
                <w:sz w:val="24"/>
                <w:szCs w:val="24"/>
                <w:u w:val="none"/>
              </w:rPr>
            </w:pPr>
            <w:r>
              <w:rPr>
                <w:rFonts w:hint="default" w:ascii="Times New Roman" w:hAnsi="Times New Roman" w:cs="Times New Roman"/>
                <w:b w:val="0"/>
                <w:bCs w:val="0"/>
                <w:color w:val="000000"/>
                <w:kern w:val="0"/>
                <w:sz w:val="24"/>
                <w:szCs w:val="24"/>
                <w:u w:val="none"/>
              </w:rPr>
              <w:t>东南板块：位于偃师中心城区东南区域，空间范围为西起S539、商汤大道、规划岭西路，东至洛河堤、干沟河堤、规划岭东路，北至陇海铁路、滨河南路、郑西高铁，南至规划岭南路，片区范围面积约12.60平方公里。</w:t>
            </w:r>
          </w:p>
          <w:p w14:paraId="2DC7E831">
            <w:pPr>
              <w:autoSpaceDE w:val="0"/>
              <w:autoSpaceDN w:val="0"/>
              <w:adjustRightInd w:val="0"/>
              <w:spacing w:line="360" w:lineRule="auto"/>
              <w:jc w:val="both"/>
              <w:rPr>
                <w:rFonts w:hint="default" w:ascii="Times New Roman" w:hAnsi="Times New Roman" w:cs="Times New Roman"/>
                <w:b w:val="0"/>
                <w:bCs w:val="0"/>
                <w:color w:val="000000"/>
                <w:kern w:val="0"/>
                <w:sz w:val="24"/>
                <w:szCs w:val="24"/>
                <w:u w:val="none"/>
              </w:rPr>
            </w:pPr>
            <w:r>
              <w:rPr>
                <w:rFonts w:hint="default" w:ascii="Times New Roman" w:hAnsi="Times New Roman" w:cs="Times New Roman"/>
                <w:b w:val="0"/>
                <w:bCs w:val="0"/>
                <w:color w:val="000000"/>
                <w:kern w:val="0"/>
                <w:sz w:val="24"/>
                <w:szCs w:val="24"/>
                <w:u w:val="none"/>
              </w:rPr>
              <w:t>1.</w:t>
            </w:r>
            <w:r>
              <w:rPr>
                <w:rFonts w:hint="eastAsia" w:ascii="Times New Roman" w:hAnsi="Times New Roman" w:cs="Times New Roman"/>
                <w:b w:val="0"/>
                <w:bCs w:val="0"/>
                <w:color w:val="000000"/>
                <w:kern w:val="0"/>
                <w:sz w:val="24"/>
                <w:szCs w:val="24"/>
                <w:u w:val="none"/>
                <w:lang w:val="en-US" w:eastAsia="zh-CN"/>
              </w:rPr>
              <w:t>3</w:t>
            </w:r>
            <w:r>
              <w:rPr>
                <w:rFonts w:hint="default" w:ascii="Times New Roman" w:hAnsi="Times New Roman" w:cs="Times New Roman"/>
                <w:b w:val="0"/>
                <w:bCs w:val="0"/>
                <w:color w:val="000000"/>
                <w:kern w:val="0"/>
                <w:sz w:val="24"/>
                <w:szCs w:val="24"/>
                <w:u w:val="none"/>
              </w:rPr>
              <w:t>产业定位</w:t>
            </w:r>
          </w:p>
          <w:p w14:paraId="00518983">
            <w:pPr>
              <w:autoSpaceDE w:val="0"/>
              <w:autoSpaceDN w:val="0"/>
              <w:adjustRightInd w:val="0"/>
              <w:spacing w:line="360" w:lineRule="auto"/>
              <w:ind w:firstLine="480" w:firstLineChars="200"/>
              <w:jc w:val="both"/>
              <w:rPr>
                <w:rFonts w:hint="default" w:ascii="Times New Roman" w:hAnsi="Times New Roman" w:cs="Times New Roman"/>
                <w:b w:val="0"/>
                <w:bCs w:val="0"/>
                <w:color w:val="000000"/>
                <w:kern w:val="0"/>
                <w:sz w:val="24"/>
                <w:szCs w:val="24"/>
                <w:u w:val="none"/>
              </w:rPr>
            </w:pPr>
            <w:r>
              <w:rPr>
                <w:rFonts w:hint="default" w:ascii="Times New Roman" w:hAnsi="Times New Roman" w:cs="Times New Roman"/>
                <w:b w:val="0"/>
                <w:bCs w:val="0"/>
                <w:color w:val="000000"/>
                <w:kern w:val="0"/>
                <w:sz w:val="24"/>
                <w:szCs w:val="24"/>
                <w:u w:val="none"/>
              </w:rPr>
              <w:t>以无机及有色金属新材料、装备制造、节能环保产业作为洛阳偃师区先进制造业开发区的主导产业。</w:t>
            </w:r>
          </w:p>
          <w:p w14:paraId="4F1AFDCD">
            <w:pPr>
              <w:autoSpaceDE w:val="0"/>
              <w:autoSpaceDN w:val="0"/>
              <w:adjustRightInd w:val="0"/>
              <w:spacing w:line="360" w:lineRule="auto"/>
              <w:jc w:val="both"/>
              <w:rPr>
                <w:rFonts w:hint="eastAsia" w:ascii="Times New Roman" w:hAnsi="Times New Roman" w:cs="Times New Roman"/>
                <w:b w:val="0"/>
                <w:bCs w:val="0"/>
                <w:color w:val="000000"/>
                <w:kern w:val="0"/>
                <w:sz w:val="24"/>
                <w:szCs w:val="24"/>
                <w:u w:val="none"/>
                <w:lang w:val="en-US" w:eastAsia="zh-CN"/>
              </w:rPr>
            </w:pPr>
            <w:r>
              <w:rPr>
                <w:rFonts w:hint="eastAsia" w:ascii="Times New Roman" w:hAnsi="Times New Roman" w:cs="Times New Roman"/>
                <w:b w:val="0"/>
                <w:bCs w:val="0"/>
                <w:color w:val="000000"/>
                <w:kern w:val="0"/>
                <w:sz w:val="24"/>
                <w:szCs w:val="24"/>
                <w:u w:val="none"/>
                <w:lang w:val="en-US" w:eastAsia="zh-CN"/>
              </w:rPr>
              <w:t>1.4产业布局</w:t>
            </w:r>
          </w:p>
          <w:p w14:paraId="4BF98834">
            <w:pPr>
              <w:autoSpaceDE w:val="0"/>
              <w:autoSpaceDN w:val="0"/>
              <w:adjustRightInd w:val="0"/>
              <w:spacing w:line="360" w:lineRule="auto"/>
              <w:ind w:firstLine="480" w:firstLineChars="200"/>
              <w:jc w:val="both"/>
              <w:rPr>
                <w:rFonts w:hint="eastAsia" w:ascii="Times New Roman" w:hAnsi="Times New Roman" w:cs="Times New Roman"/>
                <w:b w:val="0"/>
                <w:bCs w:val="0"/>
                <w:color w:val="000000"/>
                <w:kern w:val="0"/>
                <w:sz w:val="24"/>
                <w:szCs w:val="24"/>
                <w:u w:val="none"/>
                <w:lang w:val="en-US" w:eastAsia="zh-CN"/>
              </w:rPr>
            </w:pPr>
            <w:r>
              <w:rPr>
                <w:rFonts w:hint="eastAsia" w:ascii="Times New Roman" w:hAnsi="Times New Roman" w:cs="Times New Roman"/>
                <w:b w:val="0"/>
                <w:bCs w:val="0"/>
                <w:color w:val="000000"/>
                <w:kern w:val="0"/>
                <w:sz w:val="24"/>
                <w:szCs w:val="24"/>
                <w:u w:val="none"/>
                <w:lang w:val="en-US" w:eastAsia="zh-CN"/>
              </w:rPr>
              <w:t>洛阳偃师区先进制造业开发区以无机及有色金属新材料、装备制造、节能环保产业为三大主导产业，综合考量开发区现有产业基础与未来发展趋势，合理布局产业开发区产业门类，形成“一区三板块”的产业布局结构，“一区”为洛阳偃师区先进制造业开发区；“三板块”分别北环板块、岳滩板块、东南板块。</w:t>
            </w:r>
          </w:p>
          <w:p w14:paraId="11346F3A">
            <w:pPr>
              <w:autoSpaceDE w:val="0"/>
              <w:autoSpaceDN w:val="0"/>
              <w:adjustRightInd w:val="0"/>
              <w:spacing w:line="360" w:lineRule="auto"/>
              <w:jc w:val="both"/>
              <w:rPr>
                <w:rFonts w:hint="default"/>
                <w:color w:val="000000"/>
                <w:sz w:val="24"/>
                <w:szCs w:val="24"/>
                <w:lang w:val="en-US" w:eastAsia="zh-CN"/>
              </w:rPr>
            </w:pPr>
            <w:r>
              <w:rPr>
                <w:rFonts w:hint="eastAsia"/>
                <w:color w:val="000000"/>
                <w:sz w:val="24"/>
                <w:szCs w:val="24"/>
                <w:lang w:val="en-US" w:eastAsia="zh-CN"/>
              </w:rPr>
              <w:t>1.5本项目相符性分析</w:t>
            </w:r>
          </w:p>
          <w:p w14:paraId="7DDF3D25">
            <w:pPr>
              <w:autoSpaceDE w:val="0"/>
              <w:autoSpaceDN w:val="0"/>
              <w:adjustRightInd w:val="0"/>
              <w:spacing w:line="360" w:lineRule="auto"/>
              <w:ind w:firstLine="480" w:firstLineChars="200"/>
              <w:jc w:val="both"/>
              <w:rPr>
                <w:rFonts w:hint="default" w:ascii="Times New Roman" w:hAnsi="Times New Roman" w:cs="Times New Roman"/>
                <w:b w:val="0"/>
                <w:bCs w:val="0"/>
                <w:color w:val="000000"/>
                <w:kern w:val="0"/>
                <w:sz w:val="24"/>
                <w:szCs w:val="24"/>
                <w:u w:val="none"/>
                <w:lang w:val="en-US" w:eastAsia="zh-CN"/>
              </w:rPr>
            </w:pPr>
            <w:r>
              <w:rPr>
                <w:rFonts w:hint="eastAsia"/>
                <w:color w:val="000000"/>
                <w:sz w:val="24"/>
                <w:szCs w:val="24"/>
                <w:lang w:val="en-US" w:eastAsia="zh-CN"/>
              </w:rPr>
              <w:t>洛阳豫容鑫鞋业有限公司年产50万双PVC鞋底及300吨PVC颗粒料项目</w:t>
            </w:r>
            <w:r>
              <w:rPr>
                <w:rFonts w:hint="default" w:ascii="Times New Roman" w:hAnsi="Times New Roman" w:cs="Times New Roman"/>
                <w:b w:val="0"/>
                <w:bCs w:val="0"/>
                <w:color w:val="000000"/>
                <w:kern w:val="0"/>
                <w:sz w:val="24"/>
                <w:szCs w:val="24"/>
                <w:u w:val="none"/>
                <w:lang w:val="en-US" w:eastAsia="zh-CN"/>
              </w:rPr>
              <w:t>位于洛阳偃师区先进制造业开发区东南板块，</w:t>
            </w:r>
            <w:r>
              <w:rPr>
                <w:rFonts w:hint="eastAsia" w:ascii="Times New Roman" w:hAnsi="Times New Roman" w:cs="Times New Roman"/>
                <w:b w:val="0"/>
                <w:bCs w:val="0"/>
                <w:color w:val="000000"/>
                <w:kern w:val="0"/>
                <w:sz w:val="24"/>
                <w:szCs w:val="24"/>
                <w:u w:val="none"/>
                <w:lang w:val="en-US" w:eastAsia="zh-CN"/>
              </w:rPr>
              <w:t>根据租赁厂区土地证（偃集用（2010）第2010074号），</w:t>
            </w:r>
            <w:r>
              <w:rPr>
                <w:rFonts w:hint="default" w:ascii="Times New Roman" w:hAnsi="Times New Roman" w:cs="Times New Roman"/>
                <w:b w:val="0"/>
                <w:bCs w:val="0"/>
                <w:color w:val="000000"/>
                <w:kern w:val="0"/>
                <w:sz w:val="24"/>
                <w:szCs w:val="24"/>
                <w:u w:val="none"/>
                <w:lang w:val="en-US" w:eastAsia="zh-CN"/>
              </w:rPr>
              <w:t>项目</w:t>
            </w:r>
            <w:r>
              <w:rPr>
                <w:rFonts w:hint="eastAsia" w:ascii="Times New Roman" w:hAnsi="Times New Roman" w:cs="Times New Roman"/>
                <w:b w:val="0"/>
                <w:bCs w:val="0"/>
                <w:color w:val="000000"/>
                <w:kern w:val="0"/>
                <w:sz w:val="24"/>
                <w:szCs w:val="24"/>
                <w:u w:val="none"/>
                <w:lang w:val="en-US" w:eastAsia="zh-CN"/>
              </w:rPr>
              <w:t>所在地块用地性质为工业用地。本项目所属行业为塑料鞋制造、其他塑料制品制造，主要产品为塑料鞋底、塑料颗粒料，与开发区主导产业具有一定的相关性，不违背开发区产业定位。项目与洛阳偃师先进制造业开发区用地规划及产业布局位置关系见附图4、附图5。</w:t>
            </w:r>
          </w:p>
          <w:p w14:paraId="23560A92">
            <w:pPr>
              <w:autoSpaceDE w:val="0"/>
              <w:autoSpaceDN w:val="0"/>
              <w:adjustRightInd w:val="0"/>
              <w:spacing w:line="360" w:lineRule="auto"/>
              <w:jc w:val="both"/>
              <w:rPr>
                <w:rFonts w:hint="default" w:ascii="Times New Roman" w:hAnsi="Times New Roman" w:eastAsia="宋体" w:cs="Times New Roman"/>
                <w:b w:val="0"/>
                <w:bCs w:val="0"/>
                <w:color w:val="000000"/>
                <w:kern w:val="0"/>
                <w:sz w:val="24"/>
                <w:szCs w:val="24"/>
                <w:u w:val="none"/>
                <w:lang w:val="en-US" w:eastAsia="zh-CN"/>
              </w:rPr>
            </w:pPr>
            <w:r>
              <w:rPr>
                <w:rFonts w:hint="eastAsia" w:ascii="Times New Roman" w:hAnsi="Times New Roman" w:cs="Times New Roman"/>
                <w:b w:val="0"/>
                <w:bCs w:val="0"/>
                <w:color w:val="000000"/>
                <w:kern w:val="0"/>
                <w:sz w:val="24"/>
                <w:szCs w:val="24"/>
                <w:u w:val="none"/>
                <w:lang w:val="en-US" w:eastAsia="zh-CN"/>
              </w:rPr>
              <w:t>1.6生态环境准入条件</w:t>
            </w:r>
          </w:p>
          <w:p w14:paraId="6B74DF7F">
            <w:pPr>
              <w:autoSpaceDE w:val="0"/>
              <w:autoSpaceDN w:val="0"/>
              <w:adjustRightInd w:val="0"/>
              <w:spacing w:line="360" w:lineRule="auto"/>
              <w:ind w:firstLine="480" w:firstLineChars="200"/>
              <w:jc w:val="both"/>
              <w:rPr>
                <w:rFonts w:hint="eastAsia" w:ascii="Times New Roman" w:hAnsi="Times New Roman" w:cs="Times New Roman"/>
                <w:color w:val="000000"/>
                <w:kern w:val="0"/>
                <w:sz w:val="24"/>
                <w:szCs w:val="24"/>
                <w:u w:val="none"/>
                <w:lang w:val="en-US" w:eastAsia="zh-CN"/>
              </w:rPr>
            </w:pPr>
            <w:r>
              <w:rPr>
                <w:rFonts w:hint="eastAsia" w:ascii="Times New Roman" w:hAnsi="Times New Roman" w:cs="Times New Roman"/>
                <w:color w:val="000000"/>
                <w:kern w:val="0"/>
                <w:sz w:val="24"/>
                <w:szCs w:val="24"/>
                <w:u w:val="none"/>
                <w:lang w:val="en-US" w:eastAsia="zh-CN"/>
              </w:rPr>
              <w:t>洛阳偃师区先进制造业开发区生态环境准入清单见下表。</w:t>
            </w:r>
          </w:p>
          <w:p w14:paraId="3F29F14D">
            <w:pPr>
              <w:pStyle w:val="47"/>
              <w:keepNext w:val="0"/>
              <w:keepLines w:val="0"/>
              <w:pageBreakBefore w:val="0"/>
              <w:widowControl w:val="0"/>
              <w:kinsoku/>
              <w:wordWrap/>
              <w:overflowPunct/>
              <w:topLinePunct w:val="0"/>
              <w:autoSpaceDE/>
              <w:autoSpaceDN/>
              <w:bidi w:val="0"/>
              <w:adjustRightInd/>
              <w:snapToGrid w:val="0"/>
              <w:textAlignment w:val="auto"/>
              <w:rPr>
                <w:rFonts w:hint="eastAsia"/>
                <w:color w:val="000000"/>
                <w:sz w:val="24"/>
                <w:szCs w:val="24"/>
                <w:u w:val="none"/>
                <w:lang w:val="en-US" w:eastAsia="zh-CN"/>
              </w:rPr>
            </w:pPr>
            <w:r>
              <w:rPr>
                <w:rFonts w:hint="eastAsia"/>
                <w:color w:val="000000"/>
                <w:sz w:val="24"/>
                <w:szCs w:val="24"/>
                <w:u w:val="none"/>
              </w:rPr>
              <w:t xml:space="preserve">表1   </w:t>
            </w:r>
            <w:r>
              <w:rPr>
                <w:rFonts w:hint="eastAsia"/>
                <w:color w:val="000000"/>
                <w:sz w:val="24"/>
                <w:szCs w:val="24"/>
                <w:u w:val="none"/>
                <w:lang w:val="en-US" w:eastAsia="zh-CN"/>
              </w:rPr>
              <w:t xml:space="preserve"> </w:t>
            </w:r>
            <w:r>
              <w:rPr>
                <w:rFonts w:hint="eastAsia"/>
                <w:color w:val="000000"/>
                <w:sz w:val="24"/>
                <w:szCs w:val="24"/>
                <w:u w:val="none"/>
              </w:rPr>
              <w:t>生态环境准入清单</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96"/>
              <w:gridCol w:w="4465"/>
              <w:gridCol w:w="3117"/>
            </w:tblGrid>
            <w:tr w14:paraId="0087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5" w:type="pct"/>
                  <w:noWrap w:val="0"/>
                  <w:vAlign w:val="center"/>
                </w:tcPr>
                <w:p w14:paraId="1E72BA6F">
                  <w:pPr>
                    <w:pStyle w:val="7"/>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000000"/>
                      <w:spacing w:val="0"/>
                      <w:sz w:val="21"/>
                      <w:szCs w:val="21"/>
                      <w:u w:val="none"/>
                      <w:vertAlign w:val="baseline"/>
                      <w:lang w:val="en-US" w:eastAsia="zh-CN"/>
                    </w:rPr>
                  </w:pPr>
                  <w:r>
                    <w:rPr>
                      <w:rFonts w:hint="eastAsia" w:ascii="Times New Roman" w:hAnsi="Times New Roman" w:cs="Times New Roman"/>
                      <w:color w:val="000000"/>
                      <w:spacing w:val="0"/>
                      <w:sz w:val="21"/>
                      <w:szCs w:val="21"/>
                      <w:u w:val="none"/>
                      <w:vertAlign w:val="baseline"/>
                      <w:lang w:val="en-US" w:eastAsia="zh-CN"/>
                    </w:rPr>
                    <w:t>类别</w:t>
                  </w:r>
                </w:p>
              </w:tc>
              <w:tc>
                <w:tcPr>
                  <w:tcW w:w="2729" w:type="pct"/>
                  <w:noWrap w:val="0"/>
                  <w:vAlign w:val="center"/>
                </w:tcPr>
                <w:p w14:paraId="25E5BBDB">
                  <w:pPr>
                    <w:pStyle w:val="7"/>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000000"/>
                      <w:spacing w:val="0"/>
                      <w:sz w:val="21"/>
                      <w:szCs w:val="21"/>
                      <w:u w:val="none"/>
                      <w:vertAlign w:val="baseline"/>
                      <w:lang w:val="en-US" w:eastAsia="zh-CN"/>
                    </w:rPr>
                  </w:pPr>
                  <w:r>
                    <w:rPr>
                      <w:rFonts w:hint="eastAsia" w:ascii="Times New Roman" w:hAnsi="Times New Roman" w:cs="Times New Roman"/>
                      <w:color w:val="000000"/>
                      <w:spacing w:val="0"/>
                      <w:sz w:val="21"/>
                      <w:szCs w:val="21"/>
                      <w:u w:val="none"/>
                      <w:vertAlign w:val="baseline"/>
                      <w:lang w:val="en-US" w:eastAsia="zh-CN"/>
                    </w:rPr>
                    <w:t>要求</w:t>
                  </w:r>
                </w:p>
              </w:tc>
              <w:tc>
                <w:tcPr>
                  <w:tcW w:w="1905" w:type="pct"/>
                  <w:noWrap w:val="0"/>
                  <w:vAlign w:val="center"/>
                </w:tcPr>
                <w:p w14:paraId="484A0DE1">
                  <w:pPr>
                    <w:pStyle w:val="7"/>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000000"/>
                      <w:spacing w:val="0"/>
                      <w:sz w:val="21"/>
                      <w:szCs w:val="21"/>
                      <w:u w:val="none"/>
                      <w:vertAlign w:val="baseline"/>
                      <w:lang w:val="en-US" w:eastAsia="zh-CN"/>
                    </w:rPr>
                  </w:pPr>
                  <w:r>
                    <w:rPr>
                      <w:rFonts w:hint="default" w:ascii="Times New Roman" w:hAnsi="Times New Roman" w:cs="Times New Roman"/>
                      <w:color w:val="000000"/>
                      <w:spacing w:val="0"/>
                      <w:sz w:val="21"/>
                      <w:szCs w:val="21"/>
                      <w:u w:val="none"/>
                      <w:vertAlign w:val="baseline"/>
                      <w:lang w:val="en-US" w:eastAsia="zh-CN"/>
                    </w:rPr>
                    <w:t>本项目</w:t>
                  </w:r>
                  <w:r>
                    <w:rPr>
                      <w:rFonts w:hint="eastAsia" w:ascii="Times New Roman" w:hAnsi="Times New Roman" w:cs="Times New Roman"/>
                      <w:color w:val="000000"/>
                      <w:spacing w:val="0"/>
                      <w:sz w:val="21"/>
                      <w:szCs w:val="21"/>
                      <w:u w:val="none"/>
                      <w:vertAlign w:val="baseline"/>
                      <w:lang w:val="en-US" w:eastAsia="zh-CN"/>
                    </w:rPr>
                    <w:t>相符性</w:t>
                  </w:r>
                </w:p>
              </w:tc>
            </w:tr>
            <w:tr w14:paraId="6B23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65" w:type="pct"/>
                  <w:vMerge w:val="restart"/>
                  <w:noWrap w:val="0"/>
                  <w:vAlign w:val="center"/>
                </w:tcPr>
                <w:p w14:paraId="292F7E50">
                  <w:pPr>
                    <w:pStyle w:val="7"/>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000000"/>
                      <w:spacing w:val="0"/>
                      <w:sz w:val="21"/>
                      <w:szCs w:val="21"/>
                      <w:u w:val="none"/>
                      <w:vertAlign w:val="baseline"/>
                      <w:lang w:val="en-US" w:eastAsia="zh-CN"/>
                    </w:rPr>
                  </w:pPr>
                  <w:r>
                    <w:rPr>
                      <w:rFonts w:hint="eastAsia" w:ascii="Times New Roman" w:hAnsi="Times New Roman" w:cs="Times New Roman"/>
                      <w:color w:val="000000"/>
                      <w:spacing w:val="0"/>
                      <w:sz w:val="21"/>
                      <w:szCs w:val="21"/>
                      <w:u w:val="none"/>
                      <w:vertAlign w:val="baseline"/>
                      <w:lang w:val="en-US" w:eastAsia="zh-CN"/>
                    </w:rPr>
                    <w:t>产业发展</w:t>
                  </w:r>
                </w:p>
              </w:tc>
              <w:tc>
                <w:tcPr>
                  <w:tcW w:w="2729" w:type="pct"/>
                  <w:noWrap w:val="0"/>
                  <w:vAlign w:val="center"/>
                </w:tcPr>
                <w:p w14:paraId="2C59A9F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color w:val="000000"/>
                      <w:spacing w:val="0"/>
                      <w:sz w:val="21"/>
                      <w:szCs w:val="21"/>
                      <w:lang w:eastAsia="zh-CN"/>
                    </w:rPr>
                  </w:pPr>
                  <w:r>
                    <w:rPr>
                      <w:rFonts w:ascii="宋体" w:hAnsi="宋体" w:eastAsia="宋体" w:cs="宋体"/>
                      <w:color w:val="000000"/>
                      <w:spacing w:val="0"/>
                      <w:sz w:val="21"/>
                      <w:szCs w:val="21"/>
                    </w:rPr>
                    <w:t>禁止《产业结构调整指导目录》淘汰类项目入驻。</w:t>
                  </w:r>
                </w:p>
              </w:tc>
              <w:tc>
                <w:tcPr>
                  <w:tcW w:w="1905" w:type="pct"/>
                  <w:noWrap w:val="0"/>
                  <w:vAlign w:val="center"/>
                </w:tcPr>
                <w:p w14:paraId="17BC1B96">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cs="Times New Roman"/>
                      <w:color w:val="000000"/>
                      <w:spacing w:val="0"/>
                      <w:sz w:val="21"/>
                      <w:szCs w:val="21"/>
                      <w:u w:val="none"/>
                      <w:vertAlign w:val="baseline"/>
                      <w:lang w:eastAsia="zh-CN"/>
                    </w:rPr>
                  </w:pPr>
                  <w:r>
                    <w:rPr>
                      <w:rFonts w:ascii="宋体" w:hAnsi="宋体" w:eastAsia="宋体" w:cs="宋体"/>
                      <w:color w:val="000000"/>
                      <w:spacing w:val="0"/>
                      <w:sz w:val="21"/>
                      <w:szCs w:val="21"/>
                    </w:rPr>
                    <w:t>本项目不属于《产业结构调整指导目录》（</w:t>
                  </w:r>
                  <w:r>
                    <w:rPr>
                      <w:rFonts w:ascii="Times New Roman" w:hAnsi="Times New Roman" w:eastAsia="Times New Roman" w:cs="Times New Roman"/>
                      <w:color w:val="000000"/>
                      <w:spacing w:val="0"/>
                      <w:sz w:val="21"/>
                      <w:szCs w:val="21"/>
                    </w:rPr>
                    <w:t>2024</w:t>
                  </w:r>
                  <w:r>
                    <w:rPr>
                      <w:rFonts w:ascii="宋体" w:hAnsi="宋体" w:eastAsia="宋体" w:cs="宋体"/>
                      <w:color w:val="000000"/>
                      <w:spacing w:val="0"/>
                      <w:sz w:val="21"/>
                      <w:szCs w:val="21"/>
                    </w:rPr>
                    <w:t>）淘汰、限制类项目，属于允许类项目。</w:t>
                  </w:r>
                </w:p>
              </w:tc>
            </w:tr>
            <w:tr w14:paraId="4ECC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65" w:type="pct"/>
                  <w:vMerge w:val="continue"/>
                  <w:noWrap w:val="0"/>
                  <w:vAlign w:val="center"/>
                </w:tcPr>
                <w:p w14:paraId="46179B52">
                  <w:pPr>
                    <w:pStyle w:val="7"/>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000000"/>
                      <w:spacing w:val="0"/>
                      <w:sz w:val="21"/>
                      <w:szCs w:val="21"/>
                      <w:u w:val="none"/>
                      <w:vertAlign w:val="baseline"/>
                      <w:lang w:eastAsia="zh-CN"/>
                    </w:rPr>
                  </w:pPr>
                </w:p>
              </w:tc>
              <w:tc>
                <w:tcPr>
                  <w:tcW w:w="2729" w:type="pct"/>
                  <w:noWrap w:val="0"/>
                  <w:vAlign w:val="center"/>
                </w:tcPr>
                <w:p w14:paraId="207E278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color w:val="000000"/>
                      <w:spacing w:val="0"/>
                      <w:sz w:val="21"/>
                      <w:szCs w:val="21"/>
                      <w:lang w:eastAsia="zh-CN"/>
                    </w:rPr>
                  </w:pPr>
                  <w:r>
                    <w:rPr>
                      <w:rFonts w:ascii="宋体" w:hAnsi="宋体" w:eastAsia="宋体" w:cs="宋体"/>
                      <w:color w:val="000000"/>
                      <w:spacing w:val="0"/>
                      <w:sz w:val="21"/>
                      <w:szCs w:val="21"/>
                    </w:rPr>
                    <w:t>原则上入驻项目应符合开发区规划主导产业或与主导产业具备一定的相关性，属于主导产业上下游产业延伸链项目。</w:t>
                  </w:r>
                </w:p>
              </w:tc>
              <w:tc>
                <w:tcPr>
                  <w:tcW w:w="1905" w:type="pct"/>
                  <w:noWrap w:val="0"/>
                  <w:vAlign w:val="center"/>
                </w:tcPr>
                <w:p w14:paraId="195F4BB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color w:val="000000"/>
                      <w:spacing w:val="0"/>
                      <w:sz w:val="21"/>
                      <w:szCs w:val="21"/>
                      <w:lang w:eastAsia="zh-CN"/>
                    </w:rPr>
                  </w:pPr>
                  <w:r>
                    <w:rPr>
                      <w:rFonts w:hint="default" w:ascii="宋体" w:hAnsi="宋体" w:eastAsia="宋体" w:cs="宋体"/>
                      <w:color w:val="000000"/>
                      <w:spacing w:val="0"/>
                      <w:sz w:val="21"/>
                      <w:szCs w:val="21"/>
                      <w:lang w:eastAsia="zh-CN"/>
                    </w:rPr>
                    <w:t>本项目所属行业为塑料鞋制造、其他塑料制品制造，主要产品为塑料鞋底、塑料颗粒料，与开发区主导产业具有一定的相关性，不违背开发区产业定位。</w:t>
                  </w:r>
                </w:p>
              </w:tc>
            </w:tr>
            <w:tr w14:paraId="421B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65" w:type="pct"/>
                  <w:vMerge w:val="continue"/>
                  <w:noWrap w:val="0"/>
                  <w:vAlign w:val="center"/>
                </w:tcPr>
                <w:p w14:paraId="23B357A2">
                  <w:pPr>
                    <w:pStyle w:val="7"/>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000000"/>
                      <w:spacing w:val="0"/>
                      <w:sz w:val="21"/>
                      <w:szCs w:val="21"/>
                      <w:u w:val="none"/>
                      <w:vertAlign w:val="baseline"/>
                      <w:lang w:eastAsia="zh-CN"/>
                    </w:rPr>
                  </w:pPr>
                </w:p>
              </w:tc>
              <w:tc>
                <w:tcPr>
                  <w:tcW w:w="2729" w:type="pct"/>
                  <w:noWrap w:val="0"/>
                  <w:vAlign w:val="center"/>
                </w:tcPr>
                <w:p w14:paraId="394CF1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宋体" w:hAnsi="宋体" w:eastAsia="宋体" w:cs="宋体"/>
                      <w:color w:val="000000"/>
                      <w:spacing w:val="0"/>
                      <w:sz w:val="21"/>
                      <w:szCs w:val="21"/>
                      <w:lang w:eastAsia="zh-CN"/>
                    </w:rPr>
                  </w:pPr>
                  <w:r>
                    <w:rPr>
                      <w:rFonts w:ascii="宋体" w:hAnsi="宋体" w:eastAsia="宋体" w:cs="宋体"/>
                      <w:color w:val="000000"/>
                      <w:spacing w:val="0"/>
                      <w:sz w:val="21"/>
                      <w:szCs w:val="21"/>
                    </w:rPr>
                    <w:t>从严控制新增高污染、高耗能、高排放、高耗水项目建设，开发区入区两高项目应符合有关产业规划，应满足有关产能置换及环境管理文件要求（豫环文〔2021〕100号文等）。原则上禁止新改扩建有色金属冶炼项目（再生有色金属项目除外）、普通平板玻璃项目（电子玻璃、光伏玻璃等特种玻璃项目除外）入驻开发区。</w:t>
                  </w:r>
                </w:p>
              </w:tc>
              <w:tc>
                <w:tcPr>
                  <w:tcW w:w="1905" w:type="pct"/>
                  <w:noWrap w:val="0"/>
                  <w:vAlign w:val="center"/>
                </w:tcPr>
                <w:p w14:paraId="49D759DD">
                  <w:pPr>
                    <w:keepNext w:val="0"/>
                    <w:keepLines w:val="0"/>
                    <w:pageBreakBefore w:val="0"/>
                    <w:widowControl w:val="0"/>
                    <w:kinsoku/>
                    <w:wordWrap/>
                    <w:overflowPunct/>
                    <w:topLinePunct w:val="0"/>
                    <w:autoSpaceDE/>
                    <w:autoSpaceDN/>
                    <w:bidi w:val="0"/>
                    <w:adjustRightInd/>
                    <w:snapToGrid/>
                    <w:spacing w:line="240" w:lineRule="auto"/>
                    <w:ind w:left="0" w:leftChars="0" w:hanging="2" w:firstLineChars="0"/>
                    <w:jc w:val="both"/>
                    <w:textAlignment w:val="auto"/>
                    <w:rPr>
                      <w:rFonts w:hint="default" w:ascii="Times New Roman" w:hAnsi="Times New Roman" w:cs="Times New Roman"/>
                      <w:color w:val="000000"/>
                      <w:spacing w:val="0"/>
                      <w:sz w:val="21"/>
                      <w:szCs w:val="21"/>
                      <w:u w:val="none"/>
                      <w:vertAlign w:val="baseline"/>
                      <w:lang w:eastAsia="zh-CN"/>
                    </w:rPr>
                  </w:pPr>
                  <w:r>
                    <w:rPr>
                      <w:rFonts w:ascii="宋体" w:hAnsi="宋体" w:eastAsia="宋体" w:cs="宋体"/>
                      <w:color w:val="000000"/>
                      <w:spacing w:val="0"/>
                      <w:sz w:val="21"/>
                      <w:szCs w:val="21"/>
                    </w:rPr>
                    <w:t>本项目为</w:t>
                  </w:r>
                  <w:r>
                    <w:rPr>
                      <w:rFonts w:hint="eastAsia" w:ascii="宋体" w:hAnsi="宋体" w:eastAsia="宋体" w:cs="宋体"/>
                      <w:color w:val="000000"/>
                      <w:spacing w:val="0"/>
                      <w:sz w:val="21"/>
                      <w:szCs w:val="21"/>
                      <w:lang w:val="en-US" w:eastAsia="zh-CN"/>
                    </w:rPr>
                    <w:t>改建项目，属于</w:t>
                  </w:r>
                  <w:r>
                    <w:rPr>
                      <w:rFonts w:hint="default" w:ascii="Times New Roman" w:hAnsi="Times New Roman" w:cs="Times New Roman"/>
                      <w:color w:val="000000"/>
                      <w:spacing w:val="0"/>
                      <w:sz w:val="21"/>
                      <w:szCs w:val="21"/>
                      <w:u w:val="none"/>
                      <w:vertAlign w:val="baseline"/>
                      <w:lang w:eastAsia="zh-CN"/>
                    </w:rPr>
                    <w:t>塑料鞋制造、其他塑料制品制造</w:t>
                  </w:r>
                  <w:r>
                    <w:rPr>
                      <w:rFonts w:hint="eastAsia" w:ascii="Times New Roman" w:hAnsi="Times New Roman" w:cs="Times New Roman"/>
                      <w:color w:val="000000"/>
                      <w:spacing w:val="0"/>
                      <w:sz w:val="21"/>
                      <w:szCs w:val="21"/>
                      <w:u w:val="none"/>
                      <w:vertAlign w:val="baseline"/>
                      <w:lang w:val="en-US" w:eastAsia="zh-CN"/>
                    </w:rPr>
                    <w:t>行业，</w:t>
                  </w:r>
                  <w:r>
                    <w:rPr>
                      <w:rFonts w:ascii="宋体" w:hAnsi="宋体" w:eastAsia="宋体" w:cs="宋体"/>
                      <w:color w:val="000000"/>
                      <w:spacing w:val="0"/>
                      <w:sz w:val="21"/>
                      <w:szCs w:val="21"/>
                    </w:rPr>
                    <w:t>不属于高污染、高耗能、高排放、高耗水项目。</w:t>
                  </w:r>
                </w:p>
              </w:tc>
            </w:tr>
            <w:tr w14:paraId="622B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65" w:type="pct"/>
                  <w:vMerge w:val="continue"/>
                  <w:noWrap w:val="0"/>
                  <w:vAlign w:val="center"/>
                </w:tcPr>
                <w:p w14:paraId="6E4E8C90">
                  <w:pPr>
                    <w:pStyle w:val="7"/>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000000"/>
                      <w:spacing w:val="0"/>
                      <w:sz w:val="21"/>
                      <w:szCs w:val="21"/>
                      <w:u w:val="none"/>
                      <w:vertAlign w:val="baseline"/>
                      <w:lang w:eastAsia="zh-CN"/>
                    </w:rPr>
                  </w:pPr>
                </w:p>
              </w:tc>
              <w:tc>
                <w:tcPr>
                  <w:tcW w:w="2729" w:type="pct"/>
                  <w:noWrap w:val="0"/>
                  <w:vAlign w:val="center"/>
                </w:tcPr>
                <w:p w14:paraId="6DC95C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hint="default" w:ascii="Times New Roman" w:hAnsi="Times New Roman" w:cs="Times New Roman"/>
                      <w:color w:val="000000"/>
                      <w:spacing w:val="0"/>
                      <w:sz w:val="21"/>
                      <w:szCs w:val="21"/>
                      <w:u w:val="none"/>
                      <w:vertAlign w:val="baseline"/>
                      <w:lang w:eastAsia="zh-CN"/>
                    </w:rPr>
                  </w:pPr>
                  <w:r>
                    <w:rPr>
                      <w:rFonts w:ascii="宋体" w:hAnsi="宋体" w:eastAsia="宋体" w:cs="宋体"/>
                      <w:color w:val="000000"/>
                      <w:spacing w:val="0"/>
                      <w:sz w:val="21"/>
                      <w:szCs w:val="21"/>
                    </w:rPr>
                    <w:t>禁止涉及炼化、硫化工艺项目和有毒材料的人造革、发泡胶等项目入驻。</w:t>
                  </w:r>
                </w:p>
              </w:tc>
              <w:tc>
                <w:tcPr>
                  <w:tcW w:w="1905" w:type="pct"/>
                  <w:noWrap w:val="0"/>
                  <w:vAlign w:val="center"/>
                </w:tcPr>
                <w:p w14:paraId="46F1B685">
                  <w:pPr>
                    <w:keepNext w:val="0"/>
                    <w:keepLines w:val="0"/>
                    <w:pageBreakBefore w:val="0"/>
                    <w:widowControl w:val="0"/>
                    <w:kinsoku/>
                    <w:wordWrap/>
                    <w:overflowPunct/>
                    <w:topLinePunct w:val="0"/>
                    <w:autoSpaceDE/>
                    <w:autoSpaceDN/>
                    <w:bidi w:val="0"/>
                    <w:adjustRightInd/>
                    <w:snapToGrid/>
                    <w:spacing w:line="240" w:lineRule="auto"/>
                    <w:ind w:left="0" w:leftChars="0" w:right="0"/>
                    <w:jc w:val="both"/>
                    <w:textAlignment w:val="auto"/>
                    <w:rPr>
                      <w:rFonts w:hint="default" w:ascii="Times New Roman" w:hAnsi="Times New Roman" w:cs="Times New Roman"/>
                      <w:color w:val="000000"/>
                      <w:spacing w:val="0"/>
                      <w:sz w:val="21"/>
                      <w:szCs w:val="21"/>
                      <w:u w:val="none"/>
                      <w:vertAlign w:val="baseline"/>
                      <w:lang w:eastAsia="zh-CN"/>
                    </w:rPr>
                  </w:pPr>
                  <w:r>
                    <w:rPr>
                      <w:rFonts w:hint="eastAsia" w:ascii="宋体" w:hAnsi="宋体" w:eastAsia="宋体" w:cs="宋体"/>
                      <w:color w:val="000000"/>
                      <w:spacing w:val="0"/>
                      <w:sz w:val="21"/>
                      <w:szCs w:val="21"/>
                      <w:lang w:val="en-US" w:eastAsia="zh-CN"/>
                    </w:rPr>
                    <w:t>本项目</w:t>
                  </w:r>
                  <w:r>
                    <w:rPr>
                      <w:rFonts w:ascii="宋体" w:hAnsi="宋体" w:eastAsia="宋体" w:cs="宋体"/>
                      <w:color w:val="000000"/>
                      <w:spacing w:val="0"/>
                      <w:sz w:val="21"/>
                      <w:szCs w:val="21"/>
                    </w:rPr>
                    <w:t>不涉及。</w:t>
                  </w:r>
                </w:p>
              </w:tc>
            </w:tr>
            <w:tr w14:paraId="21AD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65" w:type="pct"/>
                  <w:vMerge w:val="continue"/>
                  <w:noWrap w:val="0"/>
                  <w:vAlign w:val="center"/>
                </w:tcPr>
                <w:p w14:paraId="73D9F3B6">
                  <w:pPr>
                    <w:pStyle w:val="7"/>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000000"/>
                      <w:spacing w:val="0"/>
                      <w:sz w:val="21"/>
                      <w:szCs w:val="21"/>
                      <w:u w:val="none"/>
                      <w:vertAlign w:val="baseline"/>
                      <w:lang w:eastAsia="zh-CN"/>
                    </w:rPr>
                  </w:pPr>
                </w:p>
              </w:tc>
              <w:tc>
                <w:tcPr>
                  <w:tcW w:w="2729" w:type="pct"/>
                  <w:noWrap w:val="0"/>
                  <w:vAlign w:val="center"/>
                </w:tcPr>
                <w:p w14:paraId="18D876B6">
                  <w:pPr>
                    <w:keepNext w:val="0"/>
                    <w:keepLines w:val="0"/>
                    <w:pageBreakBefore w:val="0"/>
                    <w:widowControl w:val="0"/>
                    <w:kinsoku/>
                    <w:wordWrap/>
                    <w:overflowPunct/>
                    <w:topLinePunct w:val="0"/>
                    <w:autoSpaceDE/>
                    <w:autoSpaceDN/>
                    <w:bidi w:val="0"/>
                    <w:adjustRightInd/>
                    <w:snapToGrid/>
                    <w:spacing w:line="240" w:lineRule="auto"/>
                    <w:ind w:left="0" w:leftChars="0" w:right="0"/>
                    <w:jc w:val="both"/>
                    <w:textAlignment w:val="auto"/>
                    <w:rPr>
                      <w:rFonts w:hint="default" w:ascii="Times New Roman" w:hAnsi="Times New Roman" w:cs="Times New Roman"/>
                      <w:color w:val="000000"/>
                      <w:spacing w:val="0"/>
                      <w:sz w:val="21"/>
                      <w:szCs w:val="21"/>
                      <w:u w:val="none"/>
                      <w:vertAlign w:val="baseline"/>
                      <w:lang w:eastAsia="zh-CN"/>
                    </w:rPr>
                  </w:pPr>
                  <w:r>
                    <w:rPr>
                      <w:rFonts w:ascii="宋体" w:hAnsi="宋体" w:eastAsia="宋体" w:cs="宋体"/>
                      <w:color w:val="000000"/>
                      <w:spacing w:val="0"/>
                      <w:sz w:val="21"/>
                      <w:szCs w:val="21"/>
                    </w:rPr>
                    <w:t>原则上禁止独立电镀项目入驻。</w:t>
                  </w:r>
                </w:p>
              </w:tc>
              <w:tc>
                <w:tcPr>
                  <w:tcW w:w="1905" w:type="pct"/>
                  <w:noWrap w:val="0"/>
                  <w:vAlign w:val="center"/>
                </w:tcPr>
                <w:p w14:paraId="0F039126">
                  <w:pPr>
                    <w:keepNext w:val="0"/>
                    <w:keepLines w:val="0"/>
                    <w:pageBreakBefore w:val="0"/>
                    <w:widowControl w:val="0"/>
                    <w:kinsoku/>
                    <w:wordWrap/>
                    <w:overflowPunct/>
                    <w:topLinePunct w:val="0"/>
                    <w:autoSpaceDE/>
                    <w:autoSpaceDN/>
                    <w:bidi w:val="0"/>
                    <w:adjustRightInd/>
                    <w:snapToGrid/>
                    <w:spacing w:line="240" w:lineRule="auto"/>
                    <w:ind w:left="0" w:leftChars="0" w:right="0"/>
                    <w:jc w:val="both"/>
                    <w:textAlignment w:val="auto"/>
                    <w:rPr>
                      <w:rFonts w:hint="default" w:ascii="Times New Roman" w:hAnsi="Times New Roman" w:cs="Times New Roman"/>
                      <w:color w:val="000000"/>
                      <w:spacing w:val="0"/>
                      <w:sz w:val="21"/>
                      <w:szCs w:val="21"/>
                      <w:u w:val="none"/>
                      <w:vertAlign w:val="baseline"/>
                      <w:lang w:eastAsia="zh-CN"/>
                    </w:rPr>
                  </w:pPr>
                  <w:r>
                    <w:rPr>
                      <w:rFonts w:hint="eastAsia" w:ascii="宋体" w:hAnsi="宋体" w:eastAsia="宋体" w:cs="宋体"/>
                      <w:color w:val="000000"/>
                      <w:spacing w:val="0"/>
                      <w:sz w:val="21"/>
                      <w:szCs w:val="21"/>
                      <w:lang w:val="en-US" w:eastAsia="zh-CN"/>
                    </w:rPr>
                    <w:t>本项目</w:t>
                  </w:r>
                  <w:r>
                    <w:rPr>
                      <w:rFonts w:ascii="宋体" w:hAnsi="宋体" w:eastAsia="宋体" w:cs="宋体"/>
                      <w:color w:val="000000"/>
                      <w:spacing w:val="0"/>
                      <w:sz w:val="21"/>
                      <w:szCs w:val="21"/>
                    </w:rPr>
                    <w:t>不涉及。</w:t>
                  </w:r>
                </w:p>
              </w:tc>
            </w:tr>
            <w:tr w14:paraId="4240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65" w:type="pct"/>
                  <w:vMerge w:val="continue"/>
                  <w:noWrap w:val="0"/>
                  <w:vAlign w:val="center"/>
                </w:tcPr>
                <w:p w14:paraId="44104A74">
                  <w:pPr>
                    <w:pStyle w:val="7"/>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000000"/>
                      <w:spacing w:val="0"/>
                      <w:sz w:val="21"/>
                      <w:szCs w:val="21"/>
                      <w:u w:val="none"/>
                      <w:vertAlign w:val="baseline"/>
                      <w:lang w:eastAsia="zh-CN"/>
                    </w:rPr>
                  </w:pPr>
                </w:p>
              </w:tc>
              <w:tc>
                <w:tcPr>
                  <w:tcW w:w="2729" w:type="pct"/>
                  <w:noWrap w:val="0"/>
                  <w:vAlign w:val="center"/>
                </w:tcPr>
                <w:p w14:paraId="182B5612">
                  <w:pPr>
                    <w:keepNext w:val="0"/>
                    <w:keepLines w:val="0"/>
                    <w:pageBreakBefore w:val="0"/>
                    <w:widowControl w:val="0"/>
                    <w:kinsoku/>
                    <w:wordWrap/>
                    <w:overflowPunct/>
                    <w:topLinePunct w:val="0"/>
                    <w:autoSpaceDE/>
                    <w:autoSpaceDN/>
                    <w:bidi w:val="0"/>
                    <w:adjustRightInd/>
                    <w:snapToGrid/>
                    <w:spacing w:line="240" w:lineRule="auto"/>
                    <w:ind w:left="0" w:leftChars="0" w:right="0"/>
                    <w:jc w:val="both"/>
                    <w:textAlignment w:val="auto"/>
                    <w:rPr>
                      <w:rFonts w:hint="default" w:ascii="Times New Roman" w:hAnsi="Times New Roman" w:cs="Times New Roman"/>
                      <w:color w:val="000000"/>
                      <w:spacing w:val="0"/>
                      <w:sz w:val="21"/>
                      <w:szCs w:val="21"/>
                      <w:u w:val="none"/>
                      <w:vertAlign w:val="baseline"/>
                      <w:lang w:eastAsia="zh-CN"/>
                    </w:rPr>
                  </w:pPr>
                  <w:r>
                    <w:rPr>
                      <w:rFonts w:ascii="宋体" w:hAnsi="宋体" w:eastAsia="宋体" w:cs="宋体"/>
                      <w:color w:val="000000"/>
                      <w:spacing w:val="0"/>
                      <w:sz w:val="21"/>
                      <w:szCs w:val="21"/>
                    </w:rPr>
                    <w:t>强化煤炭消费总量管控，严格控制新增燃煤项目，原则上不再新增非电行业耗煤项目，确因产业和民生需要新上的，需落实煤炭减量替代。</w:t>
                  </w:r>
                </w:p>
              </w:tc>
              <w:tc>
                <w:tcPr>
                  <w:tcW w:w="1905" w:type="pct"/>
                  <w:noWrap w:val="0"/>
                  <w:vAlign w:val="center"/>
                </w:tcPr>
                <w:p w14:paraId="620B09F4">
                  <w:pPr>
                    <w:keepNext w:val="0"/>
                    <w:keepLines w:val="0"/>
                    <w:pageBreakBefore w:val="0"/>
                    <w:widowControl w:val="0"/>
                    <w:kinsoku/>
                    <w:wordWrap/>
                    <w:overflowPunct/>
                    <w:topLinePunct w:val="0"/>
                    <w:autoSpaceDE/>
                    <w:autoSpaceDN/>
                    <w:bidi w:val="0"/>
                    <w:adjustRightInd/>
                    <w:snapToGrid/>
                    <w:spacing w:line="240" w:lineRule="auto"/>
                    <w:ind w:left="0" w:leftChars="0" w:right="0"/>
                    <w:jc w:val="both"/>
                    <w:textAlignment w:val="auto"/>
                    <w:rPr>
                      <w:rFonts w:hint="default" w:ascii="Times New Roman" w:hAnsi="Times New Roman" w:cs="Times New Roman"/>
                      <w:color w:val="000000"/>
                      <w:spacing w:val="0"/>
                      <w:sz w:val="21"/>
                      <w:szCs w:val="21"/>
                      <w:u w:val="none"/>
                      <w:vertAlign w:val="baseline"/>
                      <w:lang w:eastAsia="zh-CN"/>
                    </w:rPr>
                  </w:pPr>
                  <w:r>
                    <w:rPr>
                      <w:rFonts w:hint="eastAsia" w:ascii="宋体" w:hAnsi="宋体" w:eastAsia="宋体" w:cs="宋体"/>
                      <w:color w:val="000000"/>
                      <w:spacing w:val="0"/>
                      <w:sz w:val="21"/>
                      <w:szCs w:val="21"/>
                      <w:lang w:val="en-US" w:eastAsia="zh-CN"/>
                    </w:rPr>
                    <w:t>本项目</w:t>
                  </w:r>
                  <w:r>
                    <w:rPr>
                      <w:rFonts w:ascii="宋体" w:hAnsi="宋体" w:eastAsia="宋体" w:cs="宋体"/>
                      <w:color w:val="000000"/>
                      <w:spacing w:val="0"/>
                      <w:sz w:val="21"/>
                      <w:szCs w:val="21"/>
                    </w:rPr>
                    <w:t>不涉及。</w:t>
                  </w:r>
                </w:p>
              </w:tc>
            </w:tr>
            <w:tr w14:paraId="7CA3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65" w:type="pct"/>
                  <w:vMerge w:val="continue"/>
                  <w:noWrap w:val="0"/>
                  <w:vAlign w:val="center"/>
                </w:tcPr>
                <w:p w14:paraId="53E3CD85">
                  <w:pPr>
                    <w:pStyle w:val="7"/>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000000"/>
                      <w:spacing w:val="0"/>
                      <w:sz w:val="21"/>
                      <w:szCs w:val="21"/>
                      <w:u w:val="none"/>
                      <w:vertAlign w:val="baseline"/>
                      <w:lang w:eastAsia="zh-CN"/>
                    </w:rPr>
                  </w:pPr>
                </w:p>
              </w:tc>
              <w:tc>
                <w:tcPr>
                  <w:tcW w:w="2729" w:type="pct"/>
                  <w:noWrap w:val="0"/>
                  <w:vAlign w:val="center"/>
                </w:tcPr>
                <w:p w14:paraId="374C168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禁止新建燃煤、重油及高污染燃料的锅炉项目，锅炉应采用清洁能源。在开发区实现集中供热之后，在保障各企业工业用蒸汽的等级、压力及用汽的连续性的基础上，原则上不再新增分散式燃气锅炉项目。</w:t>
                  </w:r>
                </w:p>
              </w:tc>
              <w:tc>
                <w:tcPr>
                  <w:tcW w:w="1905" w:type="pct"/>
                  <w:noWrap w:val="0"/>
                  <w:vAlign w:val="center"/>
                </w:tcPr>
                <w:p w14:paraId="3679251D">
                  <w:pPr>
                    <w:keepNext w:val="0"/>
                    <w:keepLines w:val="0"/>
                    <w:pageBreakBefore w:val="0"/>
                    <w:widowControl w:val="0"/>
                    <w:kinsoku/>
                    <w:wordWrap/>
                    <w:overflowPunct/>
                    <w:topLinePunct w:val="0"/>
                    <w:autoSpaceDE/>
                    <w:autoSpaceDN/>
                    <w:bidi w:val="0"/>
                    <w:adjustRightInd/>
                    <w:snapToGrid/>
                    <w:spacing w:line="240" w:lineRule="auto"/>
                    <w:ind w:left="0" w:leftChars="0" w:right="0"/>
                    <w:jc w:val="both"/>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本项目</w:t>
                  </w:r>
                  <w:r>
                    <w:rPr>
                      <w:rFonts w:ascii="宋体" w:hAnsi="宋体" w:eastAsia="宋体" w:cs="宋体"/>
                      <w:color w:val="000000"/>
                      <w:spacing w:val="0"/>
                      <w:sz w:val="21"/>
                      <w:szCs w:val="21"/>
                    </w:rPr>
                    <w:t>不涉及。</w:t>
                  </w:r>
                </w:p>
              </w:tc>
            </w:tr>
            <w:tr w14:paraId="6973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65" w:type="pct"/>
                  <w:vMerge w:val="restart"/>
                  <w:noWrap w:val="0"/>
                  <w:vAlign w:val="center"/>
                </w:tcPr>
                <w:p w14:paraId="59D910BD">
                  <w:pPr>
                    <w:pStyle w:val="7"/>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000000"/>
                      <w:spacing w:val="0"/>
                      <w:sz w:val="21"/>
                      <w:szCs w:val="21"/>
                      <w:u w:val="none"/>
                      <w:vertAlign w:val="baseline"/>
                      <w:lang w:val="en-US" w:eastAsia="zh-CN"/>
                    </w:rPr>
                  </w:pPr>
                  <w:r>
                    <w:rPr>
                      <w:rFonts w:hint="default" w:ascii="Times New Roman" w:hAnsi="Times New Roman" w:cs="Times New Roman"/>
                      <w:color w:val="000000"/>
                      <w:spacing w:val="0"/>
                      <w:sz w:val="21"/>
                      <w:szCs w:val="21"/>
                      <w:u w:val="none"/>
                      <w:vertAlign w:val="baseline"/>
                      <w:lang w:val="en-US" w:eastAsia="zh-CN"/>
                    </w:rPr>
                    <w:t>生产工艺与装备水平</w:t>
                  </w:r>
                </w:p>
              </w:tc>
              <w:tc>
                <w:tcPr>
                  <w:tcW w:w="2729" w:type="pct"/>
                  <w:noWrap w:val="0"/>
                  <w:vAlign w:val="center"/>
                </w:tcPr>
                <w:p w14:paraId="325EA77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Times New Roman" w:hAnsi="Times New Roman" w:eastAsia="宋体" w:cs="Times New Roman"/>
                      <w:color w:val="000000"/>
                      <w:spacing w:val="0"/>
                      <w:kern w:val="0"/>
                      <w:sz w:val="21"/>
                      <w:szCs w:val="21"/>
                      <w:u w:val="none"/>
                      <w:lang w:val="en-US" w:eastAsia="zh-CN"/>
                    </w:rPr>
                  </w:pPr>
                  <w:r>
                    <w:rPr>
                      <w:rFonts w:hint="default" w:ascii="Times New Roman" w:hAnsi="Times New Roman" w:eastAsia="宋体" w:cs="Times New Roman"/>
                      <w:color w:val="000000"/>
                      <w:spacing w:val="0"/>
                      <w:kern w:val="21"/>
                      <w:sz w:val="21"/>
                      <w:szCs w:val="21"/>
                      <w:u w:val="none"/>
                    </w:rPr>
                    <w:t>新建、改建、扩</w:t>
                  </w:r>
                  <w:r>
                    <w:rPr>
                      <w:rFonts w:hint="default" w:ascii="宋体" w:hAnsi="宋体" w:eastAsia="宋体" w:cs="宋体"/>
                      <w:color w:val="000000"/>
                      <w:spacing w:val="0"/>
                      <w:kern w:val="21"/>
                      <w:sz w:val="21"/>
                      <w:szCs w:val="21"/>
                    </w:rPr>
                    <w:t>建“两高”项目</w:t>
                  </w:r>
                  <w:r>
                    <w:rPr>
                      <w:rFonts w:hint="default" w:ascii="Times New Roman" w:hAnsi="Times New Roman" w:eastAsia="宋体" w:cs="Times New Roman"/>
                      <w:color w:val="000000"/>
                      <w:spacing w:val="0"/>
                      <w:kern w:val="21"/>
                      <w:sz w:val="21"/>
                      <w:szCs w:val="21"/>
                      <w:u w:val="none"/>
                    </w:rPr>
                    <w:t>应采用先进的工艺技术和装备，单位产品能耗、物耗、水耗等清洁生产水平和污染物排放强度应达到清洁生产先进水平，国家、省绩效分级重点行业新建、扩建项目达到A级水平，改建项目达到B级以上水平。其他绩效分级重点行业新建、改建、扩建项目应达到B级及以上要求。</w:t>
                  </w:r>
                </w:p>
              </w:tc>
              <w:tc>
                <w:tcPr>
                  <w:tcW w:w="1905" w:type="pct"/>
                  <w:noWrap w:val="0"/>
                  <w:vAlign w:val="center"/>
                </w:tcPr>
                <w:p w14:paraId="493E13F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Times New Roman" w:hAnsi="Times New Roman" w:eastAsia="宋体" w:cs="Times New Roman"/>
                      <w:color w:val="000000"/>
                      <w:spacing w:val="0"/>
                      <w:kern w:val="0"/>
                      <w:sz w:val="21"/>
                      <w:szCs w:val="21"/>
                      <w:u w:val="none"/>
                      <w:lang w:val="en-US" w:eastAsia="zh-CN"/>
                    </w:rPr>
                  </w:pPr>
                  <w:r>
                    <w:rPr>
                      <w:rFonts w:ascii="宋体" w:hAnsi="宋体" w:eastAsia="宋体" w:cs="宋体"/>
                      <w:color w:val="000000"/>
                      <w:spacing w:val="0"/>
                      <w:sz w:val="21"/>
                      <w:szCs w:val="21"/>
                    </w:rPr>
                    <w:t>本项目为</w:t>
                  </w:r>
                  <w:r>
                    <w:rPr>
                      <w:rFonts w:hint="eastAsia" w:ascii="宋体" w:hAnsi="宋体" w:eastAsia="宋体" w:cs="宋体"/>
                      <w:color w:val="000000"/>
                      <w:spacing w:val="0"/>
                      <w:sz w:val="21"/>
                      <w:szCs w:val="21"/>
                      <w:lang w:val="en-US" w:eastAsia="zh-CN"/>
                    </w:rPr>
                    <w:t>改建项目，属于</w:t>
                  </w:r>
                  <w:r>
                    <w:rPr>
                      <w:rFonts w:hint="default" w:ascii="Times New Roman" w:hAnsi="Times New Roman" w:cs="Times New Roman"/>
                      <w:color w:val="000000"/>
                      <w:spacing w:val="0"/>
                      <w:sz w:val="21"/>
                      <w:szCs w:val="21"/>
                      <w:u w:val="none"/>
                      <w:vertAlign w:val="baseline"/>
                      <w:lang w:eastAsia="zh-CN"/>
                    </w:rPr>
                    <w:t>塑料鞋制造、其他塑料制品制造</w:t>
                  </w:r>
                  <w:r>
                    <w:rPr>
                      <w:rFonts w:hint="eastAsia" w:ascii="Times New Roman" w:hAnsi="Times New Roman" w:cs="Times New Roman"/>
                      <w:color w:val="000000"/>
                      <w:spacing w:val="0"/>
                      <w:sz w:val="21"/>
                      <w:szCs w:val="21"/>
                      <w:u w:val="none"/>
                      <w:vertAlign w:val="baseline"/>
                      <w:lang w:val="en-US" w:eastAsia="zh-CN"/>
                    </w:rPr>
                    <w:t>行业，</w:t>
                  </w:r>
                  <w:r>
                    <w:rPr>
                      <w:rFonts w:ascii="宋体" w:hAnsi="宋体" w:eastAsia="宋体" w:cs="宋体"/>
                      <w:color w:val="000000"/>
                      <w:spacing w:val="0"/>
                      <w:sz w:val="21"/>
                      <w:szCs w:val="21"/>
                    </w:rPr>
                    <w:t>不属于</w:t>
                  </w:r>
                  <w:r>
                    <w:rPr>
                      <w:rFonts w:hint="eastAsia" w:ascii="宋体" w:hAnsi="宋体" w:eastAsia="宋体" w:cs="宋体"/>
                      <w:color w:val="000000"/>
                      <w:spacing w:val="0"/>
                      <w:sz w:val="21"/>
                      <w:szCs w:val="21"/>
                    </w:rPr>
                    <w:t>“</w:t>
                  </w:r>
                  <w:r>
                    <w:rPr>
                      <w:rFonts w:hint="eastAsia" w:ascii="宋体" w:hAnsi="宋体" w:eastAsia="宋体" w:cs="宋体"/>
                      <w:color w:val="000000"/>
                      <w:spacing w:val="0"/>
                      <w:sz w:val="21"/>
                      <w:szCs w:val="21"/>
                      <w:u w:val="none"/>
                    </w:rPr>
                    <w:t>两高”项</w:t>
                  </w:r>
                  <w:r>
                    <w:rPr>
                      <w:rFonts w:hint="default" w:ascii="Times New Roman" w:hAnsi="Times New Roman" w:eastAsia="宋体" w:cs="Times New Roman"/>
                      <w:color w:val="000000"/>
                      <w:spacing w:val="0"/>
                      <w:sz w:val="21"/>
                      <w:szCs w:val="21"/>
                      <w:u w:val="none"/>
                    </w:rPr>
                    <w:t>目</w:t>
                  </w:r>
                  <w:r>
                    <w:rPr>
                      <w:rFonts w:hint="eastAsia" w:ascii="Times New Roman" w:hAnsi="Times New Roman" w:eastAsia="宋体" w:cs="Times New Roman"/>
                      <w:color w:val="000000"/>
                      <w:spacing w:val="0"/>
                      <w:sz w:val="21"/>
                      <w:szCs w:val="21"/>
                      <w:u w:val="none"/>
                      <w:lang w:eastAsia="zh-CN"/>
                    </w:rPr>
                    <w:t>；</w:t>
                  </w:r>
                  <w:r>
                    <w:rPr>
                      <w:rFonts w:hint="default" w:ascii="Times New Roman" w:hAnsi="Times New Roman" w:eastAsia="宋体" w:cs="Times New Roman"/>
                      <w:color w:val="000000"/>
                      <w:spacing w:val="0"/>
                      <w:sz w:val="21"/>
                      <w:szCs w:val="21"/>
                      <w:u w:val="none"/>
                      <w:lang w:eastAsia="zh-CN"/>
                    </w:rPr>
                    <w:t>本项目按照《河南省重污染天气重点行业应急减排措施制定技术指南（2024年修订版）》</w:t>
                  </w:r>
                  <w:r>
                    <w:rPr>
                      <w:rFonts w:hint="eastAsia" w:ascii="Times New Roman" w:hAnsi="Times New Roman" w:eastAsia="宋体" w:cs="Times New Roman"/>
                      <w:color w:val="000000"/>
                      <w:spacing w:val="0"/>
                      <w:sz w:val="21"/>
                      <w:szCs w:val="21"/>
                      <w:u w:val="none"/>
                      <w:lang w:val="en-US" w:eastAsia="zh-CN"/>
                    </w:rPr>
                    <w:t>相关行业</w:t>
                  </w:r>
                  <w:r>
                    <w:rPr>
                      <w:rFonts w:hint="eastAsia" w:cs="Times New Roman"/>
                      <w:color w:val="000000"/>
                      <w:spacing w:val="0"/>
                      <w:sz w:val="21"/>
                      <w:szCs w:val="21"/>
                      <w:u w:val="none"/>
                      <w:lang w:val="en-US" w:eastAsia="zh-CN"/>
                    </w:rPr>
                    <w:t>A</w:t>
                  </w:r>
                  <w:r>
                    <w:rPr>
                      <w:rFonts w:hint="default" w:ascii="Times New Roman" w:hAnsi="Times New Roman" w:eastAsia="宋体" w:cs="Times New Roman"/>
                      <w:color w:val="000000"/>
                      <w:spacing w:val="0"/>
                      <w:sz w:val="21"/>
                      <w:szCs w:val="21"/>
                      <w:u w:val="none"/>
                      <w:lang w:eastAsia="zh-CN"/>
                    </w:rPr>
                    <w:t>级指标的规定进行建设。</w:t>
                  </w:r>
                </w:p>
              </w:tc>
            </w:tr>
            <w:tr w14:paraId="1F24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65" w:type="pct"/>
                  <w:vMerge w:val="continue"/>
                  <w:noWrap w:val="0"/>
                  <w:vAlign w:val="center"/>
                </w:tcPr>
                <w:p w14:paraId="152BC562">
                  <w:pPr>
                    <w:pStyle w:val="7"/>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000000"/>
                      <w:spacing w:val="0"/>
                      <w:sz w:val="21"/>
                      <w:szCs w:val="21"/>
                      <w:u w:val="none"/>
                      <w:vertAlign w:val="baseline"/>
                      <w:lang w:eastAsia="zh-CN"/>
                    </w:rPr>
                  </w:pPr>
                </w:p>
              </w:tc>
              <w:tc>
                <w:tcPr>
                  <w:tcW w:w="2729" w:type="pct"/>
                  <w:noWrap w:val="0"/>
                  <w:vAlign w:val="center"/>
                </w:tcPr>
                <w:p w14:paraId="7EB5307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Times New Roman" w:hAnsi="Times New Roman" w:eastAsia="宋体" w:cs="Times New Roman"/>
                      <w:color w:val="000000"/>
                      <w:spacing w:val="0"/>
                      <w:kern w:val="0"/>
                      <w:sz w:val="21"/>
                      <w:szCs w:val="21"/>
                      <w:u w:val="none"/>
                      <w:lang w:val="en-US" w:eastAsia="zh-CN"/>
                    </w:rPr>
                  </w:pPr>
                  <w:r>
                    <w:rPr>
                      <w:rFonts w:hint="default" w:ascii="Times New Roman" w:hAnsi="Times New Roman" w:eastAsia="宋体" w:cs="Times New Roman"/>
                      <w:color w:val="000000"/>
                      <w:spacing w:val="0"/>
                      <w:kern w:val="0"/>
                      <w:sz w:val="21"/>
                      <w:szCs w:val="21"/>
                      <w:u w:val="none"/>
                    </w:rPr>
                    <w:t>禁止新建生产和使用高VOCs含量的溶剂型涂料、油墨、胶粘剂、清洁剂等项目。</w:t>
                  </w:r>
                </w:p>
              </w:tc>
              <w:tc>
                <w:tcPr>
                  <w:tcW w:w="1905" w:type="pct"/>
                  <w:noWrap w:val="0"/>
                  <w:vAlign w:val="center"/>
                </w:tcPr>
                <w:p w14:paraId="060749A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Times New Roman" w:hAnsi="Times New Roman" w:eastAsia="宋体" w:cs="Times New Roman"/>
                      <w:color w:val="000000"/>
                      <w:spacing w:val="0"/>
                      <w:kern w:val="0"/>
                      <w:sz w:val="21"/>
                      <w:szCs w:val="21"/>
                      <w:u w:val="none"/>
                      <w:lang w:eastAsia="zh-CN"/>
                    </w:rPr>
                  </w:pPr>
                  <w:r>
                    <w:rPr>
                      <w:rFonts w:hint="default" w:ascii="Times New Roman" w:hAnsi="Times New Roman" w:eastAsia="宋体" w:cs="Times New Roman"/>
                      <w:color w:val="000000"/>
                      <w:spacing w:val="0"/>
                      <w:kern w:val="0"/>
                      <w:sz w:val="21"/>
                      <w:szCs w:val="21"/>
                      <w:u w:val="none"/>
                    </w:rPr>
                    <w:t>本项目不涉及。</w:t>
                  </w:r>
                </w:p>
              </w:tc>
            </w:tr>
            <w:tr w14:paraId="4042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65" w:type="pct"/>
                  <w:vMerge w:val="continue"/>
                  <w:noWrap w:val="0"/>
                  <w:vAlign w:val="center"/>
                </w:tcPr>
                <w:p w14:paraId="630ABCCF">
                  <w:pPr>
                    <w:pStyle w:val="7"/>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000000"/>
                      <w:spacing w:val="0"/>
                      <w:sz w:val="21"/>
                      <w:szCs w:val="21"/>
                      <w:u w:val="none"/>
                      <w:vertAlign w:val="baseline"/>
                      <w:lang w:eastAsia="zh-CN"/>
                    </w:rPr>
                  </w:pPr>
                </w:p>
              </w:tc>
              <w:tc>
                <w:tcPr>
                  <w:tcW w:w="2729" w:type="pct"/>
                  <w:noWrap w:val="0"/>
                  <w:vAlign w:val="center"/>
                </w:tcPr>
                <w:p w14:paraId="12B9E001">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Times New Roman" w:hAnsi="Times New Roman" w:eastAsia="宋体" w:cs="Times New Roman"/>
                      <w:color w:val="000000"/>
                      <w:spacing w:val="0"/>
                      <w:kern w:val="0"/>
                      <w:sz w:val="21"/>
                      <w:szCs w:val="21"/>
                      <w:u w:val="none"/>
                      <w:lang w:val="en-US" w:eastAsia="zh-CN"/>
                    </w:rPr>
                  </w:pPr>
                  <w:r>
                    <w:rPr>
                      <w:rFonts w:hint="default" w:ascii="Times New Roman" w:hAnsi="Times New Roman" w:eastAsia="宋体" w:cs="Times New Roman"/>
                      <w:color w:val="000000"/>
                      <w:spacing w:val="0"/>
                      <w:kern w:val="0"/>
                      <w:sz w:val="21"/>
                      <w:szCs w:val="21"/>
                      <w:u w:val="none"/>
                    </w:rPr>
                    <w:t>禁止物料输送设备、生产车间非全密闭且未配置收尘设施；禁止露天喷漆项目。</w:t>
                  </w:r>
                </w:p>
              </w:tc>
              <w:tc>
                <w:tcPr>
                  <w:tcW w:w="1905" w:type="pct"/>
                  <w:noWrap w:val="0"/>
                  <w:vAlign w:val="center"/>
                </w:tcPr>
                <w:p w14:paraId="6C12E0A1">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Times New Roman" w:hAnsi="Times New Roman" w:eastAsia="宋体" w:cs="Times New Roman"/>
                      <w:color w:val="000000"/>
                      <w:spacing w:val="0"/>
                      <w:kern w:val="0"/>
                      <w:sz w:val="21"/>
                      <w:szCs w:val="21"/>
                      <w:u w:val="none"/>
                      <w:lang w:eastAsia="zh-CN"/>
                    </w:rPr>
                  </w:pPr>
                  <w:r>
                    <w:rPr>
                      <w:rFonts w:hint="default" w:ascii="Times New Roman" w:hAnsi="Times New Roman" w:eastAsia="宋体" w:cs="Times New Roman"/>
                      <w:color w:val="000000"/>
                      <w:spacing w:val="0"/>
                      <w:kern w:val="0"/>
                      <w:sz w:val="21"/>
                      <w:szCs w:val="21"/>
                      <w:u w:val="none"/>
                    </w:rPr>
                    <w:t>项目生产车间密闭，所有生产工序均在车间内</w:t>
                  </w:r>
                  <w:r>
                    <w:rPr>
                      <w:rFonts w:hint="eastAsia" w:ascii="Times New Roman" w:hAnsi="Times New Roman" w:eastAsia="宋体" w:cs="Times New Roman"/>
                      <w:color w:val="000000"/>
                      <w:spacing w:val="0"/>
                      <w:kern w:val="0"/>
                      <w:sz w:val="21"/>
                      <w:szCs w:val="21"/>
                      <w:u w:val="none"/>
                      <w:lang w:eastAsia="zh-CN"/>
                    </w:rPr>
                    <w:t>；</w:t>
                  </w:r>
                  <w:r>
                    <w:rPr>
                      <w:rFonts w:hint="default" w:ascii="Times New Roman" w:hAnsi="Times New Roman" w:eastAsia="宋体" w:cs="Times New Roman"/>
                      <w:color w:val="000000"/>
                      <w:spacing w:val="0"/>
                      <w:kern w:val="0"/>
                      <w:sz w:val="21"/>
                      <w:szCs w:val="21"/>
                      <w:u w:val="none"/>
                    </w:rPr>
                    <w:t>本项目不涉及露天喷漆。</w:t>
                  </w:r>
                </w:p>
              </w:tc>
            </w:tr>
            <w:tr w14:paraId="68AB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65" w:type="pct"/>
                  <w:vMerge w:val="restart"/>
                  <w:noWrap w:val="0"/>
                  <w:vAlign w:val="center"/>
                </w:tcPr>
                <w:p w14:paraId="18DBC579">
                  <w:pPr>
                    <w:pStyle w:val="7"/>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000000"/>
                      <w:spacing w:val="0"/>
                      <w:sz w:val="21"/>
                      <w:szCs w:val="21"/>
                      <w:u w:val="none"/>
                      <w:vertAlign w:val="baseline"/>
                      <w:lang w:val="en-US" w:eastAsia="zh-CN"/>
                    </w:rPr>
                  </w:pPr>
                  <w:r>
                    <w:rPr>
                      <w:rFonts w:hint="eastAsia" w:ascii="Times New Roman" w:hAnsi="Times New Roman" w:cs="Times New Roman"/>
                      <w:color w:val="000000"/>
                      <w:spacing w:val="0"/>
                      <w:sz w:val="21"/>
                      <w:szCs w:val="21"/>
                      <w:u w:val="none"/>
                      <w:vertAlign w:val="baseline"/>
                      <w:lang w:val="en-US" w:eastAsia="zh-CN"/>
                    </w:rPr>
                    <w:t>污染控制</w:t>
                  </w:r>
                </w:p>
              </w:tc>
              <w:tc>
                <w:tcPr>
                  <w:tcW w:w="2729" w:type="pct"/>
                  <w:noWrap w:val="0"/>
                  <w:vAlign w:val="center"/>
                </w:tcPr>
                <w:p w14:paraId="3B71411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Times New Roman" w:hAnsi="Times New Roman" w:eastAsia="宋体" w:cs="Times New Roman"/>
                      <w:color w:val="000000"/>
                      <w:spacing w:val="0"/>
                      <w:kern w:val="0"/>
                      <w:sz w:val="21"/>
                      <w:szCs w:val="21"/>
                      <w:u w:val="none"/>
                    </w:rPr>
                  </w:pPr>
                  <w:r>
                    <w:rPr>
                      <w:rFonts w:hint="default" w:ascii="Times New Roman" w:hAnsi="Times New Roman" w:eastAsia="宋体" w:cs="Times New Roman"/>
                      <w:color w:val="000000"/>
                      <w:spacing w:val="0"/>
                      <w:kern w:val="0"/>
                      <w:sz w:val="21"/>
                      <w:szCs w:val="21"/>
                      <w:u w:val="none"/>
                    </w:rPr>
                    <w:t>对于废水水量较大、水质浓度较高，对开发区污水处理厂易造成冲击，影响污水处理厂稳定运行达标排放的项目，禁止入驻。入驻开发区企业废水需通过污水管网排入开发区污水处理厂处理，生产废水不得直排外环境。</w:t>
                  </w:r>
                </w:p>
              </w:tc>
              <w:tc>
                <w:tcPr>
                  <w:tcW w:w="1905" w:type="pct"/>
                  <w:noWrap w:val="0"/>
                  <w:vAlign w:val="center"/>
                </w:tcPr>
                <w:p w14:paraId="7D8A59F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Times New Roman" w:hAnsi="Times New Roman" w:eastAsia="宋体" w:cs="Times New Roman"/>
                      <w:color w:val="000000"/>
                      <w:spacing w:val="0"/>
                      <w:kern w:val="0"/>
                      <w:sz w:val="21"/>
                      <w:szCs w:val="21"/>
                      <w:u w:val="none"/>
                    </w:rPr>
                  </w:pPr>
                  <w:r>
                    <w:rPr>
                      <w:rFonts w:hint="default" w:ascii="Times New Roman" w:hAnsi="Times New Roman" w:eastAsia="宋体" w:cs="Times New Roman"/>
                      <w:color w:val="000000"/>
                      <w:spacing w:val="0"/>
                      <w:kern w:val="0"/>
                      <w:sz w:val="21"/>
                      <w:szCs w:val="21"/>
                      <w:u w:val="none"/>
                    </w:rPr>
                    <w:t>本项目</w:t>
                  </w:r>
                  <w:r>
                    <w:rPr>
                      <w:rFonts w:hint="eastAsia" w:ascii="Times New Roman" w:hAnsi="Times New Roman" w:eastAsia="宋体" w:cs="Times New Roman"/>
                      <w:color w:val="000000"/>
                      <w:spacing w:val="0"/>
                      <w:kern w:val="0"/>
                      <w:sz w:val="21"/>
                      <w:szCs w:val="21"/>
                      <w:u w:val="none"/>
                      <w:lang w:val="en-US" w:eastAsia="zh-CN"/>
                    </w:rPr>
                    <w:t>冷却水循环使用，冷却塔循环水池定期清理，可用于厂区洒水降尘；</w:t>
                  </w:r>
                  <w:r>
                    <w:rPr>
                      <w:rFonts w:hint="default" w:ascii="Times New Roman" w:hAnsi="Times New Roman" w:eastAsia="宋体" w:cs="Times New Roman"/>
                      <w:color w:val="000000"/>
                      <w:spacing w:val="0"/>
                      <w:kern w:val="0"/>
                      <w:sz w:val="21"/>
                      <w:szCs w:val="21"/>
                      <w:u w:val="none"/>
                    </w:rPr>
                    <w:t>生活污水经化粪池</w:t>
                  </w:r>
                  <w:r>
                    <w:rPr>
                      <w:rFonts w:hint="eastAsia" w:ascii="Times New Roman" w:hAnsi="Times New Roman" w:eastAsia="宋体" w:cs="Times New Roman"/>
                      <w:color w:val="000000"/>
                      <w:spacing w:val="0"/>
                      <w:kern w:val="0"/>
                      <w:sz w:val="21"/>
                      <w:szCs w:val="21"/>
                      <w:u w:val="none"/>
                      <w:lang w:val="en-US" w:eastAsia="zh-CN"/>
                    </w:rPr>
                    <w:t>处理后近期</w:t>
                  </w:r>
                  <w:r>
                    <w:rPr>
                      <w:rFonts w:hint="default" w:ascii="Times New Roman" w:hAnsi="Times New Roman" w:eastAsia="宋体" w:cs="Times New Roman"/>
                      <w:color w:val="000000"/>
                      <w:spacing w:val="0"/>
                      <w:kern w:val="0"/>
                      <w:sz w:val="21"/>
                      <w:szCs w:val="21"/>
                      <w:u w:val="none"/>
                    </w:rPr>
                    <w:t>定期清掏</w:t>
                  </w:r>
                  <w:r>
                    <w:rPr>
                      <w:rFonts w:hint="eastAsia" w:ascii="Times New Roman" w:hAnsi="Times New Roman" w:eastAsia="宋体" w:cs="Times New Roman"/>
                      <w:color w:val="000000"/>
                      <w:spacing w:val="0"/>
                      <w:kern w:val="0"/>
                      <w:sz w:val="21"/>
                      <w:szCs w:val="21"/>
                      <w:u w:val="none"/>
                      <w:lang w:val="en-US" w:eastAsia="zh-CN"/>
                    </w:rPr>
                    <w:t>肥田，远期排入偃师区第四污水处理厂</w:t>
                  </w:r>
                  <w:r>
                    <w:rPr>
                      <w:rFonts w:hint="default" w:ascii="Times New Roman" w:hAnsi="Times New Roman" w:eastAsia="宋体" w:cs="Times New Roman"/>
                      <w:color w:val="000000"/>
                      <w:spacing w:val="0"/>
                      <w:kern w:val="0"/>
                      <w:sz w:val="21"/>
                      <w:szCs w:val="21"/>
                      <w:u w:val="none"/>
                    </w:rPr>
                    <w:t>。</w:t>
                  </w:r>
                </w:p>
              </w:tc>
            </w:tr>
            <w:tr w14:paraId="7A86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65" w:type="pct"/>
                  <w:vMerge w:val="continue"/>
                  <w:noWrap w:val="0"/>
                  <w:vAlign w:val="center"/>
                </w:tcPr>
                <w:p w14:paraId="34EBC16A">
                  <w:pPr>
                    <w:pStyle w:val="7"/>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000000"/>
                      <w:spacing w:val="0"/>
                      <w:sz w:val="21"/>
                      <w:szCs w:val="21"/>
                      <w:u w:val="none"/>
                      <w:vertAlign w:val="baseline"/>
                      <w:lang w:eastAsia="zh-CN"/>
                    </w:rPr>
                  </w:pPr>
                </w:p>
              </w:tc>
              <w:tc>
                <w:tcPr>
                  <w:tcW w:w="2729" w:type="pct"/>
                  <w:noWrap w:val="0"/>
                  <w:vAlign w:val="center"/>
                </w:tcPr>
                <w:p w14:paraId="177C3A6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Times New Roman" w:hAnsi="Times New Roman" w:eastAsia="宋体" w:cs="Times New Roman"/>
                      <w:color w:val="000000"/>
                      <w:spacing w:val="0"/>
                      <w:kern w:val="0"/>
                      <w:sz w:val="21"/>
                      <w:szCs w:val="21"/>
                      <w:u w:val="none"/>
                    </w:rPr>
                  </w:pPr>
                  <w:r>
                    <w:rPr>
                      <w:rFonts w:hint="default" w:ascii="Times New Roman" w:hAnsi="Times New Roman" w:eastAsia="宋体" w:cs="Times New Roman"/>
                      <w:color w:val="000000"/>
                      <w:spacing w:val="0"/>
                      <w:kern w:val="0"/>
                      <w:sz w:val="21"/>
                      <w:szCs w:val="21"/>
                      <w:u w:val="none"/>
                    </w:rPr>
                    <w:t>重点行业二氧化硫、氮氧化物、颗粒物、VOCs全面执行大气污染物特别排放限值。</w:t>
                  </w:r>
                </w:p>
              </w:tc>
              <w:tc>
                <w:tcPr>
                  <w:tcW w:w="1905" w:type="pct"/>
                  <w:noWrap w:val="0"/>
                  <w:vAlign w:val="center"/>
                </w:tcPr>
                <w:p w14:paraId="51952687">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Times New Roman" w:hAnsi="Times New Roman" w:eastAsia="宋体" w:cs="Times New Roman"/>
                      <w:color w:val="000000"/>
                      <w:spacing w:val="0"/>
                      <w:kern w:val="0"/>
                      <w:sz w:val="21"/>
                      <w:szCs w:val="21"/>
                      <w:u w:val="none"/>
                    </w:rPr>
                  </w:pPr>
                  <w:r>
                    <w:rPr>
                      <w:rFonts w:hint="eastAsia" w:ascii="Times New Roman" w:hAnsi="Times New Roman" w:cs="Times New Roman"/>
                      <w:color w:val="000000"/>
                      <w:sz w:val="21"/>
                      <w:szCs w:val="21"/>
                      <w:lang w:eastAsia="zh-CN"/>
                    </w:rPr>
                    <w:t>本项目</w:t>
                  </w:r>
                  <w:r>
                    <w:rPr>
                      <w:rFonts w:hint="eastAsia" w:ascii="Times New Roman" w:hAnsi="Times New Roman" w:cs="Times New Roman"/>
                      <w:color w:val="000000"/>
                      <w:sz w:val="21"/>
                      <w:szCs w:val="21"/>
                      <w:lang w:val="en-US" w:eastAsia="zh-CN"/>
                    </w:rPr>
                    <w:t>排放颗粒物、</w:t>
                  </w:r>
                  <w:r>
                    <w:rPr>
                      <w:rFonts w:hint="eastAsia" w:ascii="Times New Roman" w:hAnsi="Times New Roman" w:cs="Times New Roman"/>
                      <w:color w:val="000000"/>
                      <w:sz w:val="21"/>
                      <w:szCs w:val="21"/>
                      <w:lang w:eastAsia="zh-CN"/>
                    </w:rPr>
                    <w:t>VOCs，</w:t>
                  </w:r>
                  <w:r>
                    <w:rPr>
                      <w:rFonts w:hint="eastAsia" w:ascii="Times New Roman" w:hAnsi="Times New Roman" w:cs="Times New Roman"/>
                      <w:color w:val="000000"/>
                      <w:sz w:val="21"/>
                      <w:szCs w:val="21"/>
                      <w:lang w:val="en-US" w:eastAsia="zh-CN"/>
                    </w:rPr>
                    <w:t>执行</w:t>
                  </w:r>
                  <w:r>
                    <w:rPr>
                      <w:rFonts w:hint="eastAsia" w:ascii="Times New Roman" w:hAnsi="Times New Roman" w:cs="Times New Roman"/>
                      <w:color w:val="000000"/>
                      <w:sz w:val="21"/>
                      <w:szCs w:val="21"/>
                      <w:lang w:eastAsia="zh-CN"/>
                    </w:rPr>
                    <w:t>大气污染物特别排放限值。</w:t>
                  </w:r>
                </w:p>
              </w:tc>
            </w:tr>
            <w:tr w14:paraId="0740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65" w:type="pct"/>
                  <w:vMerge w:val="continue"/>
                  <w:noWrap w:val="0"/>
                  <w:vAlign w:val="center"/>
                </w:tcPr>
                <w:p w14:paraId="453ECED0">
                  <w:pPr>
                    <w:pStyle w:val="7"/>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000000"/>
                      <w:spacing w:val="0"/>
                      <w:sz w:val="21"/>
                      <w:szCs w:val="21"/>
                      <w:u w:val="none"/>
                      <w:vertAlign w:val="baseline"/>
                      <w:lang w:eastAsia="zh-CN"/>
                    </w:rPr>
                  </w:pPr>
                </w:p>
              </w:tc>
              <w:tc>
                <w:tcPr>
                  <w:tcW w:w="2729" w:type="pct"/>
                  <w:noWrap w:val="0"/>
                  <w:vAlign w:val="center"/>
                </w:tcPr>
                <w:p w14:paraId="34DE27F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Times New Roman" w:hAnsi="Times New Roman" w:eastAsia="宋体" w:cs="Times New Roman"/>
                      <w:color w:val="000000"/>
                      <w:spacing w:val="0"/>
                      <w:kern w:val="0"/>
                      <w:sz w:val="21"/>
                      <w:szCs w:val="21"/>
                      <w:u w:val="none"/>
                    </w:rPr>
                  </w:pPr>
                  <w:r>
                    <w:rPr>
                      <w:rFonts w:hint="default" w:ascii="Times New Roman" w:hAnsi="Times New Roman" w:eastAsia="宋体" w:cs="Times New Roman"/>
                      <w:color w:val="000000"/>
                      <w:spacing w:val="0"/>
                      <w:kern w:val="0"/>
                      <w:sz w:val="21"/>
                      <w:szCs w:val="21"/>
                      <w:u w:val="none"/>
                    </w:rPr>
                    <w:t>入区项目新增主要污染物总量指标需满足区域或行业替代的有关要求。新、改、扩建重点行业涉重点重金属（铅、汞、镉、铬、砷）项目需实行排放等量置换或减量置换，禁止入驻不满足重金属排放控制要求的建设项目。</w:t>
                  </w:r>
                </w:p>
              </w:tc>
              <w:tc>
                <w:tcPr>
                  <w:tcW w:w="1905" w:type="pct"/>
                  <w:noWrap w:val="0"/>
                  <w:vAlign w:val="center"/>
                </w:tcPr>
                <w:p w14:paraId="07783AE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Times New Roman" w:hAnsi="Times New Roman" w:eastAsia="宋体" w:cs="Times New Roman"/>
                      <w:color w:val="000000"/>
                      <w:spacing w:val="0"/>
                      <w:kern w:val="0"/>
                      <w:sz w:val="21"/>
                      <w:szCs w:val="21"/>
                      <w:u w:val="none"/>
                    </w:rPr>
                  </w:pPr>
                  <w:r>
                    <w:rPr>
                      <w:rFonts w:hint="eastAsia" w:ascii="Times New Roman" w:hAnsi="Times New Roman" w:cs="Times New Roman"/>
                      <w:color w:val="000000"/>
                      <w:sz w:val="21"/>
                      <w:szCs w:val="21"/>
                      <w:lang w:eastAsia="zh-CN"/>
                    </w:rPr>
                    <w:t>本项目新增污染物总量可通过区域替代，详见“总量</w:t>
                  </w:r>
                  <w:r>
                    <w:rPr>
                      <w:rFonts w:hint="eastAsia" w:ascii="Times New Roman" w:hAnsi="Times New Roman" w:cs="Times New Roman"/>
                      <w:color w:val="000000"/>
                      <w:sz w:val="21"/>
                      <w:szCs w:val="21"/>
                      <w:lang w:val="en-US" w:eastAsia="zh-CN"/>
                    </w:rPr>
                    <w:t>控制指标”小节；项目不涉及重金属排放。</w:t>
                  </w:r>
                </w:p>
              </w:tc>
            </w:tr>
            <w:tr w14:paraId="15A7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65" w:type="pct"/>
                  <w:vMerge w:val="continue"/>
                  <w:noWrap w:val="0"/>
                  <w:vAlign w:val="center"/>
                </w:tcPr>
                <w:p w14:paraId="1342DBE9">
                  <w:pPr>
                    <w:pStyle w:val="7"/>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000000"/>
                      <w:spacing w:val="0"/>
                      <w:sz w:val="21"/>
                      <w:szCs w:val="21"/>
                      <w:u w:val="none"/>
                      <w:vertAlign w:val="baseline"/>
                      <w:lang w:eastAsia="zh-CN"/>
                    </w:rPr>
                  </w:pPr>
                </w:p>
              </w:tc>
              <w:tc>
                <w:tcPr>
                  <w:tcW w:w="2729" w:type="pct"/>
                  <w:noWrap w:val="0"/>
                  <w:vAlign w:val="center"/>
                </w:tcPr>
                <w:p w14:paraId="28606137">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Times New Roman" w:hAnsi="Times New Roman" w:eastAsia="宋体" w:cs="Times New Roman"/>
                      <w:color w:val="000000"/>
                      <w:spacing w:val="0"/>
                      <w:kern w:val="0"/>
                      <w:sz w:val="21"/>
                      <w:szCs w:val="21"/>
                      <w:u w:val="none"/>
                    </w:rPr>
                  </w:pPr>
                  <w:r>
                    <w:rPr>
                      <w:rFonts w:hint="default" w:ascii="Times New Roman" w:hAnsi="Times New Roman" w:eastAsia="宋体" w:cs="Times New Roman"/>
                      <w:color w:val="000000"/>
                      <w:spacing w:val="0"/>
                      <w:kern w:val="0"/>
                      <w:sz w:val="21"/>
                      <w:szCs w:val="21"/>
                      <w:u w:val="none"/>
                    </w:rPr>
                    <w:t>涉及VOCs废气排放的项目应根据废气产生情况，选择合理处理工艺，对于VOCs产生浓度高、气量大的涉VOCs重点行业项目，应采用RTO或催化燃烧等高效处理工艺，其他涉VOCs项目应采用低温等离子体技术、UV光催化氧化技术、活性炭吸附技术等两种或两种以上组合工艺，禁止使用单一吸附、催化氧化等处理技术。</w:t>
                  </w:r>
                </w:p>
              </w:tc>
              <w:tc>
                <w:tcPr>
                  <w:tcW w:w="1905" w:type="pct"/>
                  <w:noWrap w:val="0"/>
                  <w:vAlign w:val="center"/>
                </w:tcPr>
                <w:p w14:paraId="23247B9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Times New Roman" w:hAnsi="Times New Roman" w:eastAsia="宋体" w:cs="Times New Roman"/>
                      <w:color w:val="000000"/>
                      <w:spacing w:val="0"/>
                      <w:kern w:val="0"/>
                      <w:sz w:val="21"/>
                      <w:szCs w:val="21"/>
                      <w:u w:val="none"/>
                    </w:rPr>
                  </w:pPr>
                  <w:r>
                    <w:rPr>
                      <w:rFonts w:hint="eastAsia" w:ascii="Times New Roman" w:hAnsi="Times New Roman" w:eastAsia="宋体" w:cs="Times New Roman"/>
                      <w:color w:val="000000"/>
                      <w:spacing w:val="0"/>
                      <w:kern w:val="0"/>
                      <w:sz w:val="21"/>
                      <w:szCs w:val="21"/>
                      <w:u w:val="none"/>
                      <w:lang w:val="en-US" w:eastAsia="zh-CN"/>
                    </w:rPr>
                    <w:t>本项目采用二级活性炭处理</w:t>
                  </w:r>
                  <w:r>
                    <w:rPr>
                      <w:rFonts w:hint="default" w:ascii="Times New Roman" w:hAnsi="Times New Roman" w:eastAsia="宋体" w:cs="Times New Roman"/>
                      <w:color w:val="000000"/>
                      <w:spacing w:val="0"/>
                      <w:kern w:val="0"/>
                      <w:sz w:val="21"/>
                      <w:szCs w:val="21"/>
                      <w:u w:val="none"/>
                    </w:rPr>
                    <w:t>VOCs废气</w:t>
                  </w:r>
                  <w:r>
                    <w:rPr>
                      <w:rFonts w:hint="eastAsia" w:ascii="Times New Roman" w:hAnsi="Times New Roman" w:eastAsia="宋体" w:cs="Times New Roman"/>
                      <w:color w:val="000000"/>
                      <w:spacing w:val="0"/>
                      <w:kern w:val="0"/>
                      <w:sz w:val="21"/>
                      <w:szCs w:val="21"/>
                      <w:u w:val="none"/>
                      <w:lang w:eastAsia="zh-CN"/>
                    </w:rPr>
                    <w:t>，</w:t>
                  </w:r>
                  <w:r>
                    <w:rPr>
                      <w:rFonts w:hint="default" w:ascii="Times New Roman" w:hAnsi="Times New Roman" w:eastAsia="宋体" w:cs="Times New Roman"/>
                      <w:color w:val="000000"/>
                      <w:spacing w:val="0"/>
                      <w:kern w:val="0"/>
                      <w:sz w:val="21"/>
                      <w:szCs w:val="21"/>
                      <w:u w:val="none"/>
                    </w:rPr>
                    <w:t>不属于</w:t>
                  </w:r>
                  <w:r>
                    <w:rPr>
                      <w:rFonts w:hint="eastAsia" w:ascii="Times New Roman" w:hAnsi="Times New Roman" w:eastAsia="宋体" w:cs="Times New Roman"/>
                      <w:color w:val="000000"/>
                      <w:spacing w:val="0"/>
                      <w:kern w:val="0"/>
                      <w:sz w:val="21"/>
                      <w:szCs w:val="21"/>
                      <w:u w:val="none"/>
                      <w:lang w:val="en-US" w:eastAsia="zh-CN"/>
                    </w:rPr>
                    <w:t>左侧</w:t>
                  </w:r>
                  <w:r>
                    <w:rPr>
                      <w:rFonts w:hint="default" w:ascii="Times New Roman" w:hAnsi="Times New Roman" w:eastAsia="宋体" w:cs="Times New Roman"/>
                      <w:color w:val="000000"/>
                      <w:spacing w:val="0"/>
                      <w:kern w:val="0"/>
                      <w:sz w:val="21"/>
                      <w:szCs w:val="21"/>
                      <w:u w:val="none"/>
                    </w:rPr>
                    <w:t>禁止</w:t>
                  </w:r>
                  <w:r>
                    <w:rPr>
                      <w:rFonts w:hint="eastAsia" w:ascii="Times New Roman" w:hAnsi="Times New Roman" w:eastAsia="宋体" w:cs="Times New Roman"/>
                      <w:color w:val="000000"/>
                      <w:spacing w:val="0"/>
                      <w:kern w:val="0"/>
                      <w:sz w:val="21"/>
                      <w:szCs w:val="21"/>
                      <w:u w:val="none"/>
                      <w:lang w:val="en-US" w:eastAsia="zh-CN"/>
                    </w:rPr>
                    <w:t>类</w:t>
                  </w:r>
                  <w:r>
                    <w:rPr>
                      <w:rFonts w:hint="default" w:ascii="Times New Roman" w:hAnsi="Times New Roman" w:eastAsia="宋体" w:cs="Times New Roman"/>
                      <w:color w:val="000000"/>
                      <w:spacing w:val="0"/>
                      <w:kern w:val="0"/>
                      <w:sz w:val="21"/>
                      <w:szCs w:val="21"/>
                      <w:u w:val="none"/>
                    </w:rPr>
                    <w:t>处理技术。</w:t>
                  </w:r>
                </w:p>
              </w:tc>
            </w:tr>
            <w:tr w14:paraId="5F1C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65" w:type="pct"/>
                  <w:vMerge w:val="restart"/>
                  <w:noWrap w:val="0"/>
                  <w:vAlign w:val="center"/>
                </w:tcPr>
                <w:p w14:paraId="174A9630">
                  <w:pPr>
                    <w:pStyle w:val="7"/>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000000"/>
                      <w:spacing w:val="0"/>
                      <w:sz w:val="21"/>
                      <w:szCs w:val="21"/>
                      <w:u w:val="none"/>
                      <w:vertAlign w:val="baseline"/>
                      <w:lang w:val="en-US" w:eastAsia="zh-CN"/>
                    </w:rPr>
                  </w:pPr>
                  <w:r>
                    <w:rPr>
                      <w:rFonts w:hint="eastAsia" w:ascii="Times New Roman" w:hAnsi="Times New Roman" w:cs="Times New Roman"/>
                      <w:color w:val="000000"/>
                      <w:spacing w:val="0"/>
                      <w:sz w:val="21"/>
                      <w:szCs w:val="21"/>
                      <w:u w:val="none"/>
                      <w:vertAlign w:val="baseline"/>
                      <w:lang w:val="en-US" w:eastAsia="zh-CN"/>
                    </w:rPr>
                    <w:t>环境风险</w:t>
                  </w:r>
                </w:p>
              </w:tc>
              <w:tc>
                <w:tcPr>
                  <w:tcW w:w="2729" w:type="pct"/>
                  <w:noWrap w:val="0"/>
                  <w:vAlign w:val="center"/>
                </w:tcPr>
                <w:p w14:paraId="1C04B30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Times New Roman" w:hAnsi="Times New Roman" w:eastAsia="宋体" w:cs="Times New Roman"/>
                      <w:color w:val="000000"/>
                      <w:spacing w:val="0"/>
                      <w:kern w:val="0"/>
                      <w:sz w:val="21"/>
                      <w:szCs w:val="21"/>
                      <w:u w:val="none"/>
                    </w:rPr>
                  </w:pPr>
                  <w:r>
                    <w:rPr>
                      <w:rFonts w:hint="default" w:ascii="Times New Roman" w:hAnsi="Times New Roman" w:eastAsia="宋体" w:cs="Times New Roman"/>
                      <w:color w:val="000000"/>
                      <w:spacing w:val="0"/>
                      <w:kern w:val="0"/>
                      <w:sz w:val="21"/>
                      <w:szCs w:val="21"/>
                      <w:u w:val="none"/>
                    </w:rPr>
                    <w:t>涉及危险化学品、危险废物及可能发生突发环境事件的污染物排放企业，应按照突发环境事件应急预案备案管理办法的要求，制定完善的环境应急预案，并报环境管理部门备案管理。未落实有关要求的，应停产整改。</w:t>
                  </w:r>
                </w:p>
              </w:tc>
              <w:tc>
                <w:tcPr>
                  <w:tcW w:w="1905" w:type="pct"/>
                  <w:noWrap w:val="0"/>
                  <w:vAlign w:val="center"/>
                </w:tcPr>
                <w:p w14:paraId="2C0D64F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Times New Roman" w:hAnsi="Times New Roman" w:eastAsia="宋体" w:cs="Times New Roman"/>
                      <w:color w:val="000000"/>
                      <w:spacing w:val="0"/>
                      <w:kern w:val="0"/>
                      <w:sz w:val="21"/>
                      <w:szCs w:val="21"/>
                      <w:u w:val="none"/>
                    </w:rPr>
                  </w:pPr>
                  <w:r>
                    <w:rPr>
                      <w:rFonts w:hint="default" w:ascii="Times New Roman" w:hAnsi="Times New Roman" w:eastAsia="宋体" w:cs="Times New Roman"/>
                      <w:color w:val="000000"/>
                      <w:spacing w:val="0"/>
                      <w:kern w:val="0"/>
                      <w:sz w:val="21"/>
                      <w:szCs w:val="21"/>
                      <w:u w:val="none"/>
                    </w:rPr>
                    <w:t>本项目环境风险等级为简单分析，按要求采取相应的风险防范措施，加强环境管理的情况下，发生风险事故的可能性较低，风险处于可接受水平。</w:t>
                  </w:r>
                </w:p>
              </w:tc>
            </w:tr>
            <w:tr w14:paraId="14C8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65" w:type="pct"/>
                  <w:vMerge w:val="continue"/>
                  <w:noWrap w:val="0"/>
                  <w:vAlign w:val="center"/>
                </w:tcPr>
                <w:p w14:paraId="6C88A934">
                  <w:pPr>
                    <w:pStyle w:val="7"/>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000000"/>
                      <w:spacing w:val="0"/>
                      <w:sz w:val="21"/>
                      <w:szCs w:val="21"/>
                      <w:u w:val="none"/>
                      <w:vertAlign w:val="baseline"/>
                      <w:lang w:eastAsia="zh-CN"/>
                    </w:rPr>
                  </w:pPr>
                </w:p>
              </w:tc>
              <w:tc>
                <w:tcPr>
                  <w:tcW w:w="2729" w:type="pct"/>
                  <w:noWrap w:val="0"/>
                  <w:vAlign w:val="center"/>
                </w:tcPr>
                <w:p w14:paraId="7CDD507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Times New Roman" w:hAnsi="Times New Roman" w:eastAsia="宋体" w:cs="Times New Roman"/>
                      <w:color w:val="000000"/>
                      <w:spacing w:val="0"/>
                      <w:kern w:val="0"/>
                      <w:sz w:val="21"/>
                      <w:szCs w:val="21"/>
                      <w:u w:val="none"/>
                    </w:rPr>
                  </w:pPr>
                  <w:r>
                    <w:rPr>
                      <w:rFonts w:hint="default" w:ascii="Times New Roman" w:hAnsi="Times New Roman" w:eastAsia="宋体" w:cs="Times New Roman"/>
                      <w:color w:val="000000"/>
                      <w:spacing w:val="0"/>
                      <w:kern w:val="0"/>
                      <w:sz w:val="21"/>
                      <w:szCs w:val="21"/>
                      <w:u w:val="none"/>
                    </w:rPr>
                    <w:t>入区项目应按照有关行业规范要求，建设初期雨水池和事故水池，做好事故风险管控联动，防止初期雨水及事故废水排入雨水管网或未经处理直接进入地表水体。</w:t>
                  </w:r>
                </w:p>
              </w:tc>
              <w:tc>
                <w:tcPr>
                  <w:tcW w:w="1905" w:type="pct"/>
                  <w:noWrap w:val="0"/>
                  <w:vAlign w:val="center"/>
                </w:tcPr>
                <w:p w14:paraId="37118F4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Times New Roman" w:hAnsi="Times New Roman" w:eastAsia="宋体" w:cs="Times New Roman"/>
                      <w:color w:val="000000"/>
                      <w:spacing w:val="0"/>
                      <w:kern w:val="0"/>
                      <w:sz w:val="21"/>
                      <w:szCs w:val="21"/>
                      <w:u w:val="none"/>
                    </w:rPr>
                  </w:pPr>
                  <w:r>
                    <w:rPr>
                      <w:rFonts w:hint="eastAsia" w:ascii="Times New Roman" w:hAnsi="Times New Roman" w:eastAsia="宋体" w:cs="Times New Roman"/>
                      <w:color w:val="000000"/>
                      <w:spacing w:val="0"/>
                      <w:kern w:val="0"/>
                      <w:sz w:val="21"/>
                      <w:szCs w:val="21"/>
                      <w:u w:val="none"/>
                      <w:lang w:val="en-US" w:eastAsia="zh-CN"/>
                    </w:rPr>
                    <w:t>本</w:t>
                  </w:r>
                  <w:r>
                    <w:rPr>
                      <w:rFonts w:hint="default" w:ascii="Times New Roman" w:hAnsi="Times New Roman" w:eastAsia="宋体" w:cs="Times New Roman"/>
                      <w:color w:val="000000"/>
                      <w:spacing w:val="0"/>
                      <w:kern w:val="0"/>
                      <w:sz w:val="21"/>
                      <w:szCs w:val="21"/>
                      <w:u w:val="none"/>
                    </w:rPr>
                    <w:t>项目属于</w:t>
                  </w:r>
                  <w:r>
                    <w:rPr>
                      <w:rFonts w:hint="eastAsia" w:ascii="Times New Roman" w:hAnsi="Times New Roman" w:cs="Times New Roman"/>
                      <w:color w:val="000000"/>
                      <w:sz w:val="21"/>
                      <w:szCs w:val="21"/>
                    </w:rPr>
                    <w:t>塑料鞋制造、其他塑料制品制造</w:t>
                  </w:r>
                  <w:r>
                    <w:rPr>
                      <w:rFonts w:hint="eastAsia" w:ascii="Times New Roman" w:hAnsi="Times New Roman" w:cs="Times New Roman"/>
                      <w:color w:val="000000"/>
                      <w:sz w:val="21"/>
                      <w:szCs w:val="21"/>
                      <w:lang w:val="en-US" w:eastAsia="zh-CN"/>
                    </w:rPr>
                    <w:t>行业，</w:t>
                  </w:r>
                  <w:r>
                    <w:rPr>
                      <w:rFonts w:hint="default" w:ascii="Times New Roman" w:hAnsi="Times New Roman" w:eastAsia="宋体" w:cs="Times New Roman"/>
                      <w:color w:val="000000"/>
                      <w:spacing w:val="0"/>
                      <w:kern w:val="0"/>
                      <w:sz w:val="21"/>
                      <w:szCs w:val="21"/>
                      <w:u w:val="none"/>
                    </w:rPr>
                    <w:t>原料、产品堆存以及生产过程均位于封闭车间内，初期雨水中不含有毒有害物质，随厂区雨水管网排入市政</w:t>
                  </w:r>
                  <w:r>
                    <w:rPr>
                      <w:rFonts w:hint="eastAsia" w:ascii="Times New Roman" w:hAnsi="Times New Roman" w:eastAsia="宋体" w:cs="Times New Roman"/>
                      <w:color w:val="000000"/>
                      <w:spacing w:val="0"/>
                      <w:kern w:val="0"/>
                      <w:sz w:val="21"/>
                      <w:szCs w:val="21"/>
                      <w:u w:val="none"/>
                      <w:lang w:val="en-US" w:eastAsia="zh-CN"/>
                    </w:rPr>
                    <w:t>雨水</w:t>
                  </w:r>
                  <w:r>
                    <w:rPr>
                      <w:rFonts w:hint="default" w:ascii="Times New Roman" w:hAnsi="Times New Roman" w:eastAsia="宋体" w:cs="Times New Roman"/>
                      <w:color w:val="000000"/>
                      <w:spacing w:val="0"/>
                      <w:kern w:val="0"/>
                      <w:sz w:val="21"/>
                      <w:szCs w:val="21"/>
                      <w:u w:val="none"/>
                    </w:rPr>
                    <w:t>管道。</w:t>
                  </w:r>
                </w:p>
              </w:tc>
            </w:tr>
            <w:tr w14:paraId="645D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65" w:type="pct"/>
                  <w:vMerge w:val="continue"/>
                  <w:noWrap w:val="0"/>
                  <w:vAlign w:val="center"/>
                </w:tcPr>
                <w:p w14:paraId="626376CD">
                  <w:pPr>
                    <w:pStyle w:val="7"/>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000000"/>
                      <w:spacing w:val="0"/>
                      <w:sz w:val="21"/>
                      <w:szCs w:val="21"/>
                      <w:u w:val="none"/>
                      <w:vertAlign w:val="baseline"/>
                      <w:lang w:eastAsia="zh-CN"/>
                    </w:rPr>
                  </w:pPr>
                </w:p>
              </w:tc>
              <w:tc>
                <w:tcPr>
                  <w:tcW w:w="2729" w:type="pct"/>
                  <w:noWrap w:val="0"/>
                  <w:vAlign w:val="center"/>
                </w:tcPr>
                <w:p w14:paraId="62A1578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Times New Roman" w:hAnsi="Times New Roman" w:eastAsia="宋体" w:cs="Times New Roman"/>
                      <w:color w:val="000000"/>
                      <w:spacing w:val="0"/>
                      <w:kern w:val="0"/>
                      <w:sz w:val="21"/>
                      <w:szCs w:val="21"/>
                      <w:u w:val="none"/>
                    </w:rPr>
                  </w:pPr>
                  <w:r>
                    <w:rPr>
                      <w:rFonts w:hint="default" w:ascii="Times New Roman" w:hAnsi="Times New Roman" w:eastAsia="宋体" w:cs="Times New Roman"/>
                      <w:color w:val="000000"/>
                      <w:spacing w:val="0"/>
                      <w:kern w:val="0"/>
                      <w:sz w:val="21"/>
                      <w:szCs w:val="21"/>
                      <w:u w:val="none"/>
                    </w:rPr>
                    <w:t>涉重金属及难降解类有机污染物的重点排污单位，应按照排污许可执行监测要求，对土壤、地下水进行监测，发现问题，及时采取有效防治措施，避免对土壤、地下水造成污染。</w:t>
                  </w:r>
                </w:p>
              </w:tc>
              <w:tc>
                <w:tcPr>
                  <w:tcW w:w="1905" w:type="pct"/>
                  <w:noWrap w:val="0"/>
                  <w:vAlign w:val="center"/>
                </w:tcPr>
                <w:p w14:paraId="237EE65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Times New Roman" w:hAnsi="Times New Roman" w:eastAsia="宋体" w:cs="Times New Roman"/>
                      <w:color w:val="000000"/>
                      <w:spacing w:val="0"/>
                      <w:kern w:val="0"/>
                      <w:sz w:val="21"/>
                      <w:szCs w:val="21"/>
                      <w:u w:val="none"/>
                    </w:rPr>
                  </w:pPr>
                  <w:r>
                    <w:rPr>
                      <w:rFonts w:hint="eastAsia" w:ascii="Times New Roman" w:hAnsi="Times New Roman" w:eastAsia="宋体" w:cs="Times New Roman"/>
                      <w:color w:val="000000"/>
                      <w:spacing w:val="0"/>
                      <w:kern w:val="0"/>
                      <w:sz w:val="21"/>
                      <w:szCs w:val="21"/>
                      <w:u w:val="none"/>
                      <w:lang w:val="en-US" w:eastAsia="zh-CN"/>
                    </w:rPr>
                    <w:t>本</w:t>
                  </w:r>
                  <w:r>
                    <w:rPr>
                      <w:rFonts w:hint="default" w:ascii="Times New Roman" w:hAnsi="Times New Roman" w:eastAsia="宋体" w:cs="Times New Roman"/>
                      <w:color w:val="000000"/>
                      <w:spacing w:val="0"/>
                      <w:kern w:val="0"/>
                      <w:sz w:val="21"/>
                      <w:szCs w:val="21"/>
                      <w:u w:val="none"/>
                    </w:rPr>
                    <w:t>项目不属于</w:t>
                  </w:r>
                  <w:r>
                    <w:rPr>
                      <w:rFonts w:hint="eastAsia" w:ascii="Times New Roman" w:hAnsi="Times New Roman" w:eastAsia="宋体" w:cs="Times New Roman"/>
                      <w:color w:val="000000"/>
                      <w:spacing w:val="0"/>
                      <w:kern w:val="0"/>
                      <w:sz w:val="21"/>
                      <w:szCs w:val="21"/>
                      <w:u w:val="none"/>
                      <w:lang w:val="en-US" w:eastAsia="zh-CN"/>
                    </w:rPr>
                    <w:t>左侧所列种地安排污染单位。</w:t>
                  </w:r>
                </w:p>
              </w:tc>
            </w:tr>
            <w:tr w14:paraId="3F2B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65" w:type="pct"/>
                  <w:vMerge w:val="restart"/>
                  <w:noWrap w:val="0"/>
                  <w:vAlign w:val="center"/>
                </w:tcPr>
                <w:p w14:paraId="27274CC6">
                  <w:pPr>
                    <w:pStyle w:val="7"/>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000000"/>
                      <w:spacing w:val="0"/>
                      <w:sz w:val="21"/>
                      <w:szCs w:val="21"/>
                      <w:u w:val="none"/>
                      <w:vertAlign w:val="baseline"/>
                      <w:lang w:val="en-US" w:eastAsia="zh-CN"/>
                    </w:rPr>
                  </w:pPr>
                  <w:r>
                    <w:rPr>
                      <w:rFonts w:hint="eastAsia" w:ascii="Times New Roman" w:hAnsi="Times New Roman" w:cs="Times New Roman"/>
                      <w:color w:val="000000"/>
                      <w:spacing w:val="0"/>
                      <w:sz w:val="21"/>
                      <w:szCs w:val="21"/>
                      <w:u w:val="none"/>
                      <w:vertAlign w:val="baseline"/>
                      <w:lang w:val="en-US" w:eastAsia="zh-CN"/>
                    </w:rPr>
                    <w:t>资源利用</w:t>
                  </w:r>
                </w:p>
              </w:tc>
              <w:tc>
                <w:tcPr>
                  <w:tcW w:w="2729" w:type="pct"/>
                  <w:noWrap w:val="0"/>
                  <w:vAlign w:val="center"/>
                </w:tcPr>
                <w:p w14:paraId="553C9D7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Times New Roman" w:hAnsi="Times New Roman" w:eastAsia="宋体" w:cs="Times New Roman"/>
                      <w:color w:val="000000"/>
                      <w:spacing w:val="0"/>
                      <w:kern w:val="0"/>
                      <w:sz w:val="21"/>
                      <w:szCs w:val="21"/>
                      <w:u w:val="none"/>
                    </w:rPr>
                  </w:pPr>
                  <w:r>
                    <w:rPr>
                      <w:rFonts w:hint="default" w:ascii="Times New Roman" w:hAnsi="Times New Roman" w:eastAsia="宋体" w:cs="Times New Roman"/>
                      <w:color w:val="000000"/>
                      <w:spacing w:val="0"/>
                      <w:kern w:val="0"/>
                      <w:sz w:val="21"/>
                      <w:szCs w:val="21"/>
                      <w:u w:val="none"/>
                    </w:rPr>
                    <w:t>入区项目在条件具备的情况下，应加大中水回用力度，建设再生水回用配套设施，提高再生水利用率。</w:t>
                  </w:r>
                </w:p>
              </w:tc>
              <w:tc>
                <w:tcPr>
                  <w:tcW w:w="1905" w:type="pct"/>
                  <w:noWrap w:val="0"/>
                  <w:vAlign w:val="center"/>
                </w:tcPr>
                <w:p w14:paraId="66A34471">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Times New Roman" w:hAnsi="Times New Roman" w:eastAsia="宋体" w:cs="Times New Roman"/>
                      <w:color w:val="000000"/>
                      <w:spacing w:val="0"/>
                      <w:kern w:val="0"/>
                      <w:sz w:val="21"/>
                      <w:szCs w:val="21"/>
                      <w:u w:val="none"/>
                    </w:rPr>
                  </w:pPr>
                  <w:r>
                    <w:rPr>
                      <w:rFonts w:hint="default" w:ascii="Times New Roman" w:hAnsi="Times New Roman" w:eastAsia="宋体" w:cs="Times New Roman"/>
                      <w:color w:val="000000"/>
                      <w:spacing w:val="0"/>
                      <w:kern w:val="0"/>
                      <w:sz w:val="21"/>
                      <w:szCs w:val="21"/>
                      <w:u w:val="none"/>
                    </w:rPr>
                    <w:t>本项目</w:t>
                  </w:r>
                  <w:r>
                    <w:rPr>
                      <w:rFonts w:hint="eastAsia" w:ascii="Times New Roman" w:hAnsi="Times New Roman" w:eastAsia="宋体" w:cs="Times New Roman"/>
                      <w:color w:val="000000"/>
                      <w:spacing w:val="0"/>
                      <w:kern w:val="0"/>
                      <w:sz w:val="21"/>
                      <w:szCs w:val="21"/>
                      <w:u w:val="none"/>
                      <w:lang w:val="en-US" w:eastAsia="zh-CN"/>
                    </w:rPr>
                    <w:t>冷却水循环使用，冷却塔循环水池定期清理，可用于厂区洒水降尘；</w:t>
                  </w:r>
                  <w:r>
                    <w:rPr>
                      <w:rFonts w:hint="default" w:ascii="Times New Roman" w:hAnsi="Times New Roman" w:eastAsia="宋体" w:cs="Times New Roman"/>
                      <w:color w:val="000000"/>
                      <w:spacing w:val="0"/>
                      <w:kern w:val="0"/>
                      <w:sz w:val="21"/>
                      <w:szCs w:val="21"/>
                      <w:u w:val="none"/>
                    </w:rPr>
                    <w:t>生活污水经化粪池</w:t>
                  </w:r>
                  <w:r>
                    <w:rPr>
                      <w:rFonts w:hint="eastAsia" w:ascii="Times New Roman" w:hAnsi="Times New Roman" w:eastAsia="宋体" w:cs="Times New Roman"/>
                      <w:color w:val="000000"/>
                      <w:spacing w:val="0"/>
                      <w:kern w:val="0"/>
                      <w:sz w:val="21"/>
                      <w:szCs w:val="21"/>
                      <w:u w:val="none"/>
                      <w:lang w:val="en-US" w:eastAsia="zh-CN"/>
                    </w:rPr>
                    <w:t>处理后近期</w:t>
                  </w:r>
                  <w:r>
                    <w:rPr>
                      <w:rFonts w:hint="default" w:ascii="Times New Roman" w:hAnsi="Times New Roman" w:eastAsia="宋体" w:cs="Times New Roman"/>
                      <w:color w:val="000000"/>
                      <w:spacing w:val="0"/>
                      <w:kern w:val="0"/>
                      <w:sz w:val="21"/>
                      <w:szCs w:val="21"/>
                      <w:u w:val="none"/>
                    </w:rPr>
                    <w:t>定期清掏</w:t>
                  </w:r>
                  <w:r>
                    <w:rPr>
                      <w:rFonts w:hint="eastAsia" w:ascii="Times New Roman" w:hAnsi="Times New Roman" w:eastAsia="宋体" w:cs="Times New Roman"/>
                      <w:color w:val="000000"/>
                      <w:spacing w:val="0"/>
                      <w:kern w:val="0"/>
                      <w:sz w:val="21"/>
                      <w:szCs w:val="21"/>
                      <w:u w:val="none"/>
                      <w:lang w:val="en-US" w:eastAsia="zh-CN"/>
                    </w:rPr>
                    <w:t>肥田，远期排入偃师区第四污水处理厂</w:t>
                  </w:r>
                  <w:r>
                    <w:rPr>
                      <w:rFonts w:hint="default" w:ascii="Times New Roman" w:hAnsi="Times New Roman" w:eastAsia="宋体" w:cs="Times New Roman"/>
                      <w:color w:val="000000"/>
                      <w:spacing w:val="0"/>
                      <w:kern w:val="0"/>
                      <w:sz w:val="21"/>
                      <w:szCs w:val="21"/>
                      <w:u w:val="none"/>
                    </w:rPr>
                    <w:t>。</w:t>
                  </w:r>
                </w:p>
              </w:tc>
            </w:tr>
            <w:tr w14:paraId="5119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65" w:type="pct"/>
                  <w:vMerge w:val="continue"/>
                  <w:noWrap w:val="0"/>
                  <w:vAlign w:val="center"/>
                </w:tcPr>
                <w:p w14:paraId="40195B22">
                  <w:pPr>
                    <w:pStyle w:val="7"/>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Times New Roman" w:hAnsi="Times New Roman" w:cs="Times New Roman"/>
                      <w:color w:val="000000"/>
                      <w:spacing w:val="0"/>
                      <w:sz w:val="21"/>
                      <w:szCs w:val="21"/>
                      <w:u w:val="none"/>
                      <w:vertAlign w:val="baseline"/>
                      <w:lang w:eastAsia="zh-CN"/>
                    </w:rPr>
                  </w:pPr>
                </w:p>
              </w:tc>
              <w:tc>
                <w:tcPr>
                  <w:tcW w:w="2729" w:type="pct"/>
                  <w:noWrap w:val="0"/>
                  <w:vAlign w:val="center"/>
                </w:tcPr>
                <w:p w14:paraId="07C44D31">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Times New Roman" w:hAnsi="Times New Roman" w:eastAsia="宋体" w:cs="Times New Roman"/>
                      <w:color w:val="000000"/>
                      <w:spacing w:val="0"/>
                      <w:kern w:val="0"/>
                      <w:sz w:val="21"/>
                      <w:szCs w:val="21"/>
                      <w:u w:val="none"/>
                    </w:rPr>
                  </w:pPr>
                  <w:r>
                    <w:rPr>
                      <w:rFonts w:hint="default" w:ascii="Times New Roman" w:hAnsi="Times New Roman" w:eastAsia="宋体" w:cs="Times New Roman"/>
                      <w:color w:val="000000"/>
                      <w:spacing w:val="0"/>
                      <w:kern w:val="0"/>
                      <w:sz w:val="21"/>
                      <w:szCs w:val="21"/>
                      <w:u w:val="none"/>
                    </w:rPr>
                    <w:t>入区新改扩建设项目的清洁生产水平应达到国内先进水平。</w:t>
                  </w:r>
                </w:p>
              </w:tc>
              <w:tc>
                <w:tcPr>
                  <w:tcW w:w="1905" w:type="pct"/>
                  <w:noWrap w:val="0"/>
                  <w:vAlign w:val="center"/>
                </w:tcPr>
                <w:p w14:paraId="1018A7C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ascii="Times New Roman" w:hAnsi="Times New Roman" w:eastAsia="宋体" w:cs="Times New Roman"/>
                      <w:color w:val="000000"/>
                      <w:spacing w:val="0"/>
                      <w:kern w:val="0"/>
                      <w:sz w:val="21"/>
                      <w:szCs w:val="21"/>
                      <w:u w:val="none"/>
                    </w:rPr>
                  </w:pPr>
                  <w:r>
                    <w:rPr>
                      <w:rFonts w:hint="eastAsia" w:ascii="Times New Roman" w:hAnsi="Times New Roman" w:eastAsia="宋体" w:cs="Times New Roman"/>
                      <w:color w:val="000000"/>
                      <w:spacing w:val="0"/>
                      <w:kern w:val="0"/>
                      <w:sz w:val="21"/>
                      <w:szCs w:val="21"/>
                      <w:u w:val="none"/>
                      <w:lang w:val="en-US" w:eastAsia="zh-CN"/>
                    </w:rPr>
                    <w:t>本</w:t>
                  </w:r>
                  <w:r>
                    <w:rPr>
                      <w:rFonts w:hint="default" w:ascii="Times New Roman" w:hAnsi="Times New Roman" w:eastAsia="宋体" w:cs="Times New Roman"/>
                      <w:color w:val="000000"/>
                      <w:spacing w:val="0"/>
                      <w:kern w:val="0"/>
                      <w:sz w:val="21"/>
                      <w:szCs w:val="21"/>
                      <w:u w:val="none"/>
                    </w:rPr>
                    <w:t>项目生产工艺、设备、污染治理技术等符合国家和行业环境保护标准要求，按照</w:t>
                  </w:r>
                  <w:r>
                    <w:rPr>
                      <w:rFonts w:hint="eastAsia" w:ascii="Times New Roman" w:hAnsi="Times New Roman" w:eastAsia="宋体" w:cs="Times New Roman"/>
                      <w:color w:val="000000"/>
                      <w:spacing w:val="0"/>
                      <w:kern w:val="0"/>
                      <w:sz w:val="21"/>
                      <w:szCs w:val="21"/>
                      <w:u w:val="none"/>
                      <w:lang w:val="en-US" w:eastAsia="zh-CN"/>
                    </w:rPr>
                    <w:t>清洁生产</w:t>
                  </w:r>
                  <w:r>
                    <w:rPr>
                      <w:rFonts w:hint="default" w:ascii="Times New Roman" w:hAnsi="Times New Roman" w:eastAsia="宋体" w:cs="Times New Roman"/>
                      <w:color w:val="000000"/>
                      <w:spacing w:val="0"/>
                      <w:kern w:val="0"/>
                      <w:sz w:val="21"/>
                      <w:szCs w:val="21"/>
                      <w:u w:val="none"/>
                    </w:rPr>
                    <w:t>国内先进水平进行建设。</w:t>
                  </w:r>
                </w:p>
              </w:tc>
            </w:tr>
          </w:tbl>
          <w:p w14:paraId="20F222A7">
            <w:pPr>
              <w:pStyle w:val="7"/>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ascii="Times New Roman" w:hAnsi="Times New Roman" w:cs="Times New Roman"/>
                <w:b/>
                <w:bCs/>
                <w:color w:val="000000"/>
                <w:sz w:val="24"/>
                <w:szCs w:val="24"/>
                <w:u w:val="none"/>
                <w:lang w:eastAsia="zh-CN"/>
              </w:rPr>
            </w:pPr>
            <w:r>
              <w:rPr>
                <w:rFonts w:hint="default" w:ascii="Times New Roman" w:hAnsi="Times New Roman" w:cs="Times New Roman"/>
                <w:b/>
                <w:bCs/>
                <w:color w:val="000000"/>
                <w:kern w:val="2"/>
                <w:sz w:val="24"/>
                <w:szCs w:val="24"/>
                <w:u w:val="none"/>
                <w:lang w:val="en-US" w:eastAsia="zh-CN" w:bidi="ar-SA"/>
              </w:rPr>
              <w:t>2.</w:t>
            </w:r>
            <w:r>
              <w:rPr>
                <w:rFonts w:hint="default" w:ascii="Times New Roman" w:hAnsi="Times New Roman" w:cs="Times New Roman"/>
                <w:b/>
                <w:bCs/>
                <w:color w:val="000000"/>
                <w:sz w:val="24"/>
                <w:szCs w:val="24"/>
                <w:u w:val="none"/>
                <w:lang w:eastAsia="zh-CN"/>
              </w:rPr>
              <w:t>河南省生态环境厅关于《洛阳偃师区先进制造业开发区发展规划（2022</w:t>
            </w:r>
            <w:r>
              <w:rPr>
                <w:rFonts w:hint="eastAsia" w:ascii="Times New Roman" w:hAnsi="Times New Roman" w:cs="Times New Roman"/>
                <w:b/>
                <w:bCs/>
                <w:color w:val="000000"/>
                <w:sz w:val="24"/>
                <w:szCs w:val="24"/>
                <w:u w:val="none"/>
                <w:lang w:val="en-US" w:eastAsia="zh-CN"/>
              </w:rPr>
              <w:t>-</w:t>
            </w:r>
            <w:r>
              <w:rPr>
                <w:rFonts w:hint="default" w:ascii="Times New Roman" w:hAnsi="Times New Roman" w:cs="Times New Roman"/>
                <w:b/>
                <w:bCs/>
                <w:color w:val="000000"/>
                <w:sz w:val="24"/>
                <w:szCs w:val="24"/>
                <w:u w:val="none"/>
                <w:lang w:eastAsia="zh-CN"/>
              </w:rPr>
              <w:t>2035年）环境影响报告书》的审查意见（豫环函</w:t>
            </w:r>
            <w:r>
              <w:rPr>
                <w:rFonts w:hint="eastAsia" w:ascii="Times New Roman" w:hAnsi="Times New Roman" w:cs="Times New Roman"/>
                <w:b/>
                <w:bCs/>
                <w:color w:val="000000"/>
                <w:sz w:val="24"/>
                <w:szCs w:val="24"/>
                <w:u w:val="none"/>
                <w:lang w:eastAsia="zh-CN"/>
              </w:rPr>
              <w:t>〔2023〕103号</w:t>
            </w:r>
            <w:r>
              <w:rPr>
                <w:rFonts w:hint="default" w:ascii="Times New Roman" w:hAnsi="Times New Roman" w:cs="Times New Roman"/>
                <w:b/>
                <w:bCs/>
                <w:color w:val="000000"/>
                <w:sz w:val="24"/>
                <w:szCs w:val="24"/>
                <w:u w:val="none"/>
                <w:lang w:eastAsia="zh-CN"/>
              </w:rPr>
              <w:t>）</w:t>
            </w:r>
          </w:p>
          <w:p w14:paraId="7C7CF2BA">
            <w:pPr>
              <w:pStyle w:val="47"/>
              <w:keepNext w:val="0"/>
              <w:keepLines w:val="0"/>
              <w:pageBreakBefore w:val="0"/>
              <w:widowControl w:val="0"/>
              <w:kinsoku/>
              <w:wordWrap/>
              <w:overflowPunct/>
              <w:topLinePunct w:val="0"/>
              <w:autoSpaceDE/>
              <w:autoSpaceDN/>
              <w:bidi w:val="0"/>
              <w:adjustRightInd/>
              <w:snapToGrid w:val="0"/>
              <w:textAlignment w:val="auto"/>
              <w:rPr>
                <w:rFonts w:hint="eastAsia" w:cs="Times New Roman"/>
                <w:color w:val="000000"/>
                <w:sz w:val="24"/>
                <w:szCs w:val="24"/>
                <w:u w:val="none"/>
              </w:rPr>
            </w:pPr>
            <w:r>
              <w:rPr>
                <w:rFonts w:hint="eastAsia" w:cs="Times New Roman"/>
                <w:color w:val="000000"/>
                <w:sz w:val="24"/>
                <w:szCs w:val="24"/>
                <w:u w:val="none"/>
              </w:rPr>
              <w:t xml:space="preserve">表2 </w:t>
            </w:r>
            <w:r>
              <w:rPr>
                <w:rFonts w:hint="eastAsia" w:cs="Times New Roman"/>
                <w:color w:val="000000"/>
                <w:sz w:val="24"/>
                <w:szCs w:val="24"/>
                <w:u w:val="none"/>
                <w:lang w:val="en-US" w:eastAsia="zh-CN"/>
              </w:rPr>
              <w:t xml:space="preserve"> </w:t>
            </w:r>
            <w:r>
              <w:rPr>
                <w:rFonts w:hint="eastAsia" w:cs="Times New Roman"/>
                <w:color w:val="000000"/>
                <w:sz w:val="24"/>
                <w:szCs w:val="24"/>
                <w:u w:val="none"/>
              </w:rPr>
              <w:t xml:space="preserve">  豫环函</w:t>
            </w:r>
            <w:r>
              <w:rPr>
                <w:rFonts w:hint="eastAsia" w:cs="Times New Roman"/>
                <w:color w:val="000000"/>
                <w:sz w:val="24"/>
                <w:szCs w:val="24"/>
                <w:u w:val="none"/>
                <w:lang w:eastAsia="zh-CN"/>
              </w:rPr>
              <w:t>〔2023〕</w:t>
            </w:r>
            <w:r>
              <w:rPr>
                <w:rFonts w:hint="eastAsia" w:cs="Times New Roman"/>
                <w:color w:val="000000"/>
                <w:sz w:val="24"/>
                <w:szCs w:val="24"/>
                <w:u w:val="none"/>
              </w:rPr>
              <w:t>103相符性分析</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05"/>
              <w:gridCol w:w="4225"/>
              <w:gridCol w:w="3251"/>
            </w:tblGrid>
            <w:tr w14:paraId="7056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noWrap w:val="0"/>
                  <w:vAlign w:val="center"/>
                </w:tcPr>
                <w:p w14:paraId="230E509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cs="Times New Roman"/>
                      <w:bCs/>
                      <w:color w:val="000000"/>
                      <w:sz w:val="21"/>
                      <w:szCs w:val="21"/>
                      <w:u w:val="none"/>
                    </w:rPr>
                  </w:pPr>
                  <w:r>
                    <w:rPr>
                      <w:rFonts w:hint="default" w:ascii="Times New Roman" w:hAnsi="Times New Roman" w:cs="Times New Roman"/>
                      <w:bCs/>
                      <w:color w:val="000000"/>
                      <w:sz w:val="21"/>
                      <w:szCs w:val="21"/>
                      <w:u w:val="none"/>
                    </w:rPr>
                    <w:t>相关内容</w:t>
                  </w:r>
                </w:p>
              </w:tc>
              <w:tc>
                <w:tcPr>
                  <w:tcW w:w="4225" w:type="dxa"/>
                  <w:noWrap w:val="0"/>
                  <w:vAlign w:val="center"/>
                </w:tcPr>
                <w:p w14:paraId="3F3DC5ED">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cs="Times New Roman"/>
                      <w:bCs/>
                      <w:color w:val="000000"/>
                      <w:sz w:val="21"/>
                      <w:szCs w:val="21"/>
                      <w:u w:val="none"/>
                    </w:rPr>
                  </w:pPr>
                  <w:r>
                    <w:rPr>
                      <w:rFonts w:hint="default" w:ascii="Times New Roman" w:hAnsi="Times New Roman" w:cs="Times New Roman"/>
                      <w:bCs/>
                      <w:color w:val="000000"/>
                      <w:sz w:val="21"/>
                      <w:szCs w:val="21"/>
                      <w:u w:val="none"/>
                    </w:rPr>
                    <w:t>具体内容</w:t>
                  </w:r>
                </w:p>
              </w:tc>
              <w:tc>
                <w:tcPr>
                  <w:tcW w:w="3251" w:type="dxa"/>
                  <w:noWrap w:val="0"/>
                  <w:vAlign w:val="center"/>
                </w:tcPr>
                <w:p w14:paraId="1D50A9C5">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cs="Times New Roman"/>
                      <w:bCs/>
                      <w:color w:val="000000"/>
                      <w:sz w:val="21"/>
                      <w:szCs w:val="21"/>
                      <w:u w:val="none"/>
                    </w:rPr>
                  </w:pPr>
                  <w:r>
                    <w:rPr>
                      <w:rFonts w:hint="default" w:ascii="Times New Roman" w:hAnsi="Times New Roman" w:cs="Times New Roman"/>
                      <w:bCs/>
                      <w:color w:val="000000"/>
                      <w:sz w:val="21"/>
                      <w:szCs w:val="21"/>
                      <w:u w:val="none"/>
                    </w:rPr>
                    <w:t>本工程相符性</w:t>
                  </w:r>
                </w:p>
              </w:tc>
            </w:tr>
            <w:tr w14:paraId="4890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vMerge w:val="restart"/>
                  <w:noWrap w:val="0"/>
                  <w:vAlign w:val="center"/>
                </w:tcPr>
                <w:p w14:paraId="12E292B1">
                  <w:pPr>
                    <w:keepNext w:val="0"/>
                    <w:keepLines w:val="0"/>
                    <w:pageBreakBefore w:val="0"/>
                    <w:widowControl w:val="0"/>
                    <w:kinsoku/>
                    <w:wordWrap/>
                    <w:overflowPunct/>
                    <w:topLinePunct w:val="0"/>
                    <w:autoSpaceDE/>
                    <w:autoSpaceDN/>
                    <w:bidi w:val="0"/>
                    <w:adjustRightInd w:val="0"/>
                    <w:snapToGrid/>
                    <w:spacing w:line="240" w:lineRule="auto"/>
                    <w:jc w:val="center"/>
                    <w:textAlignment w:val="auto"/>
                    <w:rPr>
                      <w:rFonts w:hint="default" w:ascii="Times New Roman" w:hAnsi="Times New Roman" w:cs="Times New Roman"/>
                      <w:bCs/>
                      <w:color w:val="000000"/>
                      <w:sz w:val="21"/>
                      <w:szCs w:val="21"/>
                      <w:u w:val="none"/>
                    </w:rPr>
                  </w:pPr>
                  <w:r>
                    <w:rPr>
                      <w:rFonts w:hint="default" w:ascii="Times New Roman" w:hAnsi="Times New Roman" w:cs="Times New Roman"/>
                      <w:bCs/>
                      <w:color w:val="000000"/>
                      <w:sz w:val="21"/>
                      <w:szCs w:val="21"/>
                      <w:u w:val="none"/>
                    </w:rPr>
                    <w:t>三、对规划优化调整和实施的意见</w:t>
                  </w:r>
                </w:p>
              </w:tc>
              <w:tc>
                <w:tcPr>
                  <w:tcW w:w="4225" w:type="dxa"/>
                  <w:noWrap w:val="0"/>
                  <w:vAlign w:val="center"/>
                </w:tcPr>
                <w:p w14:paraId="703D90E1">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default" w:ascii="Times New Roman" w:hAnsi="Times New Roman" w:cs="Times New Roman"/>
                      <w:bCs/>
                      <w:color w:val="000000"/>
                      <w:sz w:val="21"/>
                      <w:szCs w:val="21"/>
                      <w:u w:val="none"/>
                    </w:rPr>
                  </w:pPr>
                  <w:r>
                    <w:rPr>
                      <w:rFonts w:hint="default" w:ascii="Times New Roman" w:hAnsi="Times New Roman" w:cs="Times New Roman"/>
                      <w:bCs/>
                      <w:color w:val="000000"/>
                      <w:sz w:val="21"/>
                      <w:szCs w:val="21"/>
                      <w:u w:val="none"/>
                    </w:rPr>
                    <w:t>（二）加快推进产业转型。开发区应遵循循环经济理念，积极推进产业技术进步和园区循环化改造；入区新、改、扩建项目应实施清洁生产，生产工艺、设备、污染治理技术，以及单位产品能耗、物耗、污染物排放和资源利用率均需达到同行业国内先进水平，确保产业发展与生态环境保护相协调。</w:t>
                  </w:r>
                </w:p>
              </w:tc>
              <w:tc>
                <w:tcPr>
                  <w:tcW w:w="3251" w:type="dxa"/>
                  <w:noWrap w:val="0"/>
                  <w:vAlign w:val="center"/>
                </w:tcPr>
                <w:p w14:paraId="4FE9A082">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default" w:ascii="Times New Roman" w:hAnsi="Times New Roman" w:cs="Times New Roman"/>
                      <w:bCs/>
                      <w:color w:val="000000"/>
                      <w:sz w:val="21"/>
                      <w:szCs w:val="21"/>
                      <w:u w:val="none"/>
                    </w:rPr>
                  </w:pPr>
                  <w:r>
                    <w:rPr>
                      <w:rFonts w:hint="eastAsia" w:ascii="Times New Roman" w:hAnsi="Times New Roman" w:eastAsia="宋体" w:cs="Times New Roman"/>
                      <w:color w:val="000000"/>
                      <w:spacing w:val="0"/>
                      <w:kern w:val="0"/>
                      <w:sz w:val="21"/>
                      <w:szCs w:val="21"/>
                      <w:u w:val="none"/>
                      <w:lang w:val="en-US" w:eastAsia="zh-CN"/>
                    </w:rPr>
                    <w:t>本</w:t>
                  </w:r>
                  <w:r>
                    <w:rPr>
                      <w:rFonts w:hint="default" w:ascii="Times New Roman" w:hAnsi="Times New Roman" w:eastAsia="宋体" w:cs="Times New Roman"/>
                      <w:color w:val="000000"/>
                      <w:spacing w:val="0"/>
                      <w:kern w:val="0"/>
                      <w:sz w:val="21"/>
                      <w:szCs w:val="21"/>
                      <w:u w:val="none"/>
                    </w:rPr>
                    <w:t>项目生产工艺、设备、污染治理技术等符合国家和行业环境保护标准要求，按照</w:t>
                  </w:r>
                  <w:r>
                    <w:rPr>
                      <w:rFonts w:hint="eastAsia" w:ascii="Times New Roman" w:hAnsi="Times New Roman" w:eastAsia="宋体" w:cs="Times New Roman"/>
                      <w:color w:val="000000"/>
                      <w:spacing w:val="0"/>
                      <w:kern w:val="0"/>
                      <w:sz w:val="21"/>
                      <w:szCs w:val="21"/>
                      <w:u w:val="none"/>
                      <w:lang w:val="en-US" w:eastAsia="zh-CN"/>
                    </w:rPr>
                    <w:t>清洁生产</w:t>
                  </w:r>
                  <w:r>
                    <w:rPr>
                      <w:rFonts w:hint="default" w:ascii="Times New Roman" w:hAnsi="Times New Roman" w:eastAsia="宋体" w:cs="Times New Roman"/>
                      <w:color w:val="000000"/>
                      <w:spacing w:val="0"/>
                      <w:kern w:val="0"/>
                      <w:sz w:val="21"/>
                      <w:szCs w:val="21"/>
                      <w:u w:val="none"/>
                    </w:rPr>
                    <w:t>国内先进水平进行建设</w:t>
                  </w:r>
                  <w:r>
                    <w:rPr>
                      <w:rFonts w:hint="default" w:ascii="Times New Roman" w:hAnsi="Times New Roman" w:cs="Times New Roman"/>
                      <w:bCs/>
                      <w:color w:val="000000"/>
                      <w:sz w:val="21"/>
                      <w:szCs w:val="21"/>
                      <w:u w:val="none"/>
                    </w:rPr>
                    <w:t>，</w:t>
                  </w:r>
                  <w:r>
                    <w:rPr>
                      <w:rFonts w:hint="eastAsia" w:ascii="Times New Roman" w:hAnsi="Times New Roman" w:cs="Times New Roman"/>
                      <w:bCs/>
                      <w:color w:val="000000"/>
                      <w:sz w:val="21"/>
                      <w:szCs w:val="21"/>
                      <w:u w:val="none"/>
                      <w:lang w:val="en-US" w:eastAsia="zh-CN"/>
                    </w:rPr>
                    <w:t>确保</w:t>
                  </w:r>
                  <w:r>
                    <w:rPr>
                      <w:rFonts w:hint="default" w:ascii="Times New Roman" w:hAnsi="Times New Roman" w:cs="Times New Roman"/>
                      <w:bCs/>
                      <w:color w:val="000000"/>
                      <w:sz w:val="21"/>
                      <w:szCs w:val="21"/>
                      <w:u w:val="none"/>
                    </w:rPr>
                    <w:t>与生态环境保护相协调。</w:t>
                  </w:r>
                </w:p>
              </w:tc>
            </w:tr>
            <w:tr w14:paraId="648D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vMerge w:val="continue"/>
                  <w:noWrap w:val="0"/>
                  <w:vAlign w:val="center"/>
                </w:tcPr>
                <w:p w14:paraId="529F0035">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ascii="Times New Roman" w:hAnsi="Times New Roman" w:cs="Times New Roman"/>
                      <w:bCs/>
                      <w:color w:val="000000"/>
                      <w:sz w:val="21"/>
                      <w:szCs w:val="21"/>
                      <w:u w:val="none"/>
                    </w:rPr>
                  </w:pPr>
                </w:p>
              </w:tc>
              <w:tc>
                <w:tcPr>
                  <w:tcW w:w="4225" w:type="dxa"/>
                  <w:noWrap w:val="0"/>
                  <w:vAlign w:val="center"/>
                </w:tcPr>
                <w:p w14:paraId="65CDDD2D">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default" w:ascii="Times New Roman" w:hAnsi="Times New Roman" w:cs="Times New Roman"/>
                      <w:bCs/>
                      <w:color w:val="000000"/>
                      <w:sz w:val="21"/>
                      <w:szCs w:val="21"/>
                      <w:u w:val="none"/>
                    </w:rPr>
                  </w:pPr>
                  <w:r>
                    <w:rPr>
                      <w:rFonts w:hint="default" w:ascii="Times New Roman" w:hAnsi="Times New Roman" w:cs="Times New Roman"/>
                      <w:bCs/>
                      <w:color w:val="000000"/>
                      <w:sz w:val="21"/>
                      <w:szCs w:val="21"/>
                      <w:u w:val="none"/>
                    </w:rPr>
                    <w:t>（三）优化空间布局严格空间管控。进一步加强与国土空间规划的</w:t>
                  </w:r>
                  <w:r>
                    <w:rPr>
                      <w:rFonts w:hint="eastAsia" w:ascii="Times New Roman" w:hAnsi="Times New Roman" w:cs="Times New Roman"/>
                      <w:bCs/>
                      <w:color w:val="000000"/>
                      <w:sz w:val="21"/>
                      <w:szCs w:val="21"/>
                      <w:u w:val="none"/>
                      <w:lang w:val="en-US" w:eastAsia="zh-CN"/>
                    </w:rPr>
                    <w:t>衔接</w:t>
                  </w:r>
                  <w:r>
                    <w:rPr>
                      <w:rFonts w:hint="default" w:ascii="Times New Roman" w:hAnsi="Times New Roman" w:cs="Times New Roman"/>
                      <w:bCs/>
                      <w:color w:val="000000"/>
                      <w:sz w:val="21"/>
                      <w:szCs w:val="21"/>
                      <w:u w:val="none"/>
                    </w:rPr>
                    <w:t>，保持规划之间协调一致；做好规划控制和生态隔离带建设，加强对开发区及周边生活区的防护，确保开发区产业布局与生态环境保护、人居环境安全相协调，其中，开发区部分区域与邙山陵墓群重点保护区相重叠，应慎重开发布局项目，在文物保护单位的保护范围和建设控制地带内，不得建设污染文物保护单位及其环境的设施，相关开发建设活动应满足文物保护相关要求，避免对文物保护区产生不良影响。</w:t>
                  </w:r>
                </w:p>
              </w:tc>
              <w:tc>
                <w:tcPr>
                  <w:tcW w:w="3251" w:type="dxa"/>
                  <w:noWrap w:val="0"/>
                  <w:vAlign w:val="center"/>
                </w:tcPr>
                <w:p w14:paraId="1E5EA006">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default" w:ascii="Times New Roman" w:hAnsi="Times New Roman" w:cs="Times New Roman"/>
                      <w:bCs/>
                      <w:color w:val="000000"/>
                      <w:sz w:val="21"/>
                      <w:szCs w:val="21"/>
                      <w:u w:val="none"/>
                    </w:rPr>
                  </w:pPr>
                  <w:r>
                    <w:rPr>
                      <w:rFonts w:hint="eastAsia" w:ascii="Times New Roman" w:hAnsi="Times New Roman" w:cs="Times New Roman"/>
                      <w:bCs/>
                      <w:color w:val="000000"/>
                      <w:sz w:val="21"/>
                      <w:szCs w:val="21"/>
                      <w:u w:val="none"/>
                      <w:lang w:val="en-US" w:eastAsia="zh-CN"/>
                    </w:rPr>
                    <w:t>本</w:t>
                  </w:r>
                  <w:r>
                    <w:rPr>
                      <w:rFonts w:hint="default" w:ascii="Times New Roman" w:hAnsi="Times New Roman" w:cs="Times New Roman"/>
                      <w:bCs/>
                      <w:color w:val="000000"/>
                      <w:sz w:val="21"/>
                      <w:szCs w:val="21"/>
                      <w:u w:val="none"/>
                    </w:rPr>
                    <w:t>项目位于洛阳市偃师区顾县镇安滩村</w:t>
                  </w:r>
                  <w:r>
                    <w:rPr>
                      <w:rFonts w:hint="eastAsia" w:ascii="Times New Roman" w:hAnsi="Times New Roman" w:cs="Times New Roman"/>
                      <w:color w:val="000000"/>
                      <w:u w:val="none"/>
                      <w:vertAlign w:val="baseline"/>
                      <w:lang w:val="en-US" w:eastAsia="zh-CN"/>
                    </w:rPr>
                    <w:t>（偃师区先进制造业开发区内）</w:t>
                  </w:r>
                  <w:r>
                    <w:rPr>
                      <w:rFonts w:hint="default" w:ascii="Times New Roman" w:hAnsi="Times New Roman" w:cs="Times New Roman"/>
                      <w:bCs/>
                      <w:color w:val="000000"/>
                      <w:sz w:val="21"/>
                      <w:szCs w:val="21"/>
                      <w:u w:val="none"/>
                    </w:rPr>
                    <w:t>，项目用地为</w:t>
                  </w:r>
                  <w:r>
                    <w:rPr>
                      <w:rFonts w:hint="eastAsia" w:ascii="Times New Roman" w:hAnsi="Times New Roman" w:cs="Times New Roman"/>
                      <w:bCs/>
                      <w:color w:val="000000"/>
                      <w:sz w:val="21"/>
                      <w:szCs w:val="21"/>
                      <w:u w:val="none"/>
                      <w:lang w:val="en-US" w:eastAsia="zh-CN"/>
                    </w:rPr>
                    <w:t>工业用地</w:t>
                  </w:r>
                  <w:r>
                    <w:rPr>
                      <w:rFonts w:hint="default" w:ascii="Times New Roman" w:hAnsi="Times New Roman" w:cs="Times New Roman"/>
                      <w:bCs/>
                      <w:color w:val="000000"/>
                      <w:sz w:val="21"/>
                      <w:szCs w:val="21"/>
                      <w:u w:val="none"/>
                    </w:rPr>
                    <w:t>，符合相关规划要求；项目</w:t>
                  </w:r>
                  <w:r>
                    <w:rPr>
                      <w:rFonts w:hint="eastAsia" w:ascii="Times New Roman" w:hAnsi="Times New Roman" w:cs="Times New Roman"/>
                      <w:bCs/>
                      <w:color w:val="000000"/>
                      <w:sz w:val="21"/>
                      <w:szCs w:val="21"/>
                      <w:u w:val="none"/>
                      <w:lang w:val="en-US" w:eastAsia="zh-CN"/>
                    </w:rPr>
                    <w:t>不在文物保护单位保护区、控制地带范围内，不会对文物保护区产生不良影响。</w:t>
                  </w:r>
                </w:p>
              </w:tc>
            </w:tr>
            <w:tr w14:paraId="3A78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vMerge w:val="continue"/>
                  <w:noWrap w:val="0"/>
                  <w:vAlign w:val="center"/>
                </w:tcPr>
                <w:p w14:paraId="67C98A4D">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ascii="Times New Roman" w:hAnsi="Times New Roman" w:cs="Times New Roman"/>
                      <w:bCs/>
                      <w:color w:val="000000"/>
                      <w:sz w:val="21"/>
                      <w:szCs w:val="21"/>
                      <w:u w:val="none"/>
                    </w:rPr>
                  </w:pPr>
                </w:p>
              </w:tc>
              <w:tc>
                <w:tcPr>
                  <w:tcW w:w="4225" w:type="dxa"/>
                  <w:noWrap w:val="0"/>
                  <w:vAlign w:val="center"/>
                </w:tcPr>
                <w:p w14:paraId="512002F3">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四）强化减污降碳协同增效。根据国家和河南省关于挥发性有机物、工业炉窑等大气和水、土壤污染防治相关要求，严格执行相关行业污染物排放标准及特别排放限值；严格执行污染物排放总量控制制度，新增污染物排放指标应做</w:t>
                  </w:r>
                  <w:r>
                    <w:rPr>
                      <w:rFonts w:hint="eastAsia" w:ascii="宋体" w:hAnsi="宋体" w:eastAsia="宋体" w:cs="宋体"/>
                      <w:color w:val="000000"/>
                      <w:sz w:val="21"/>
                      <w:szCs w:val="21"/>
                      <w:u w:val="none"/>
                    </w:rPr>
                    <w:t>到“等量或倍量替代”，确保区域环境质量持</w:t>
                  </w:r>
                  <w:r>
                    <w:rPr>
                      <w:rFonts w:hint="default" w:ascii="Times New Roman" w:hAnsi="Times New Roman" w:cs="Times New Roman"/>
                      <w:color w:val="000000"/>
                      <w:sz w:val="21"/>
                      <w:szCs w:val="21"/>
                      <w:u w:val="none"/>
                    </w:rPr>
                    <w:t>续改善。</w:t>
                  </w:r>
                </w:p>
              </w:tc>
              <w:tc>
                <w:tcPr>
                  <w:tcW w:w="3251" w:type="dxa"/>
                  <w:noWrap w:val="0"/>
                  <w:vAlign w:val="center"/>
                </w:tcPr>
                <w:p w14:paraId="21352930">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default" w:ascii="Times New Roman" w:hAnsi="Times New Roman" w:cs="Times New Roman"/>
                      <w:bCs/>
                      <w:color w:val="000000"/>
                      <w:sz w:val="21"/>
                      <w:szCs w:val="21"/>
                      <w:u w:val="none"/>
                    </w:rPr>
                  </w:pPr>
                  <w:r>
                    <w:rPr>
                      <w:rFonts w:hint="default" w:ascii="Times New Roman" w:hAnsi="Times New Roman" w:cs="Times New Roman"/>
                      <w:bCs/>
                      <w:color w:val="000000"/>
                      <w:sz w:val="21"/>
                      <w:szCs w:val="21"/>
                      <w:u w:val="none"/>
                    </w:rPr>
                    <w:t>本项目建设符合国家和河南省</w:t>
                  </w:r>
                  <w:r>
                    <w:rPr>
                      <w:rFonts w:hint="eastAsia" w:ascii="Times New Roman" w:hAnsi="Times New Roman" w:cs="Times New Roman"/>
                      <w:bCs/>
                      <w:color w:val="000000"/>
                      <w:sz w:val="21"/>
                      <w:szCs w:val="21"/>
                      <w:u w:val="none"/>
                      <w:lang w:val="en-US" w:eastAsia="zh-CN"/>
                    </w:rPr>
                    <w:t>相关大气、水、</w:t>
                  </w:r>
                  <w:r>
                    <w:rPr>
                      <w:rFonts w:hint="default" w:ascii="Times New Roman" w:hAnsi="Times New Roman" w:cs="Times New Roman"/>
                      <w:color w:val="000000"/>
                      <w:sz w:val="21"/>
                      <w:szCs w:val="21"/>
                      <w:u w:val="none"/>
                    </w:rPr>
                    <w:t>土壤污染防治相关要求</w:t>
                  </w:r>
                  <w:r>
                    <w:rPr>
                      <w:rFonts w:hint="eastAsia" w:ascii="Times New Roman" w:hAnsi="Times New Roman" w:cs="Times New Roman"/>
                      <w:bCs/>
                      <w:color w:val="000000"/>
                      <w:sz w:val="21"/>
                      <w:szCs w:val="21"/>
                      <w:u w:val="none"/>
                      <w:lang w:eastAsia="zh-CN"/>
                    </w:rPr>
                    <w:t>，</w:t>
                  </w:r>
                  <w:r>
                    <w:rPr>
                      <w:rFonts w:hint="default" w:ascii="Times New Roman" w:hAnsi="Times New Roman" w:cs="Times New Roman"/>
                      <w:color w:val="000000"/>
                      <w:sz w:val="21"/>
                      <w:szCs w:val="21"/>
                      <w:u w:val="none"/>
                    </w:rPr>
                    <w:t>严格执行相关行业污染物排放标准及特别排放限值</w:t>
                  </w:r>
                  <w:r>
                    <w:rPr>
                      <w:rFonts w:hint="eastAsia" w:ascii="宋体" w:hAnsi="宋体" w:eastAsia="宋体" w:cs="宋体"/>
                      <w:bCs/>
                      <w:color w:val="000000"/>
                      <w:sz w:val="21"/>
                      <w:szCs w:val="21"/>
                      <w:u w:val="none"/>
                      <w:lang w:eastAsia="zh-CN"/>
                    </w:rPr>
                    <w:t>；</w:t>
                  </w:r>
                  <w:r>
                    <w:rPr>
                      <w:rFonts w:hint="eastAsia" w:ascii="Times New Roman" w:hAnsi="Times New Roman" w:cs="Times New Roman"/>
                      <w:color w:val="000000"/>
                      <w:sz w:val="21"/>
                      <w:szCs w:val="21"/>
                      <w:lang w:eastAsia="zh-CN"/>
                    </w:rPr>
                    <w:t>本项目新增污染物总量可通过区域替代，详见“总量</w:t>
                  </w:r>
                  <w:r>
                    <w:rPr>
                      <w:rFonts w:hint="eastAsia" w:ascii="Times New Roman" w:hAnsi="Times New Roman" w:cs="Times New Roman"/>
                      <w:color w:val="000000"/>
                      <w:sz w:val="21"/>
                      <w:szCs w:val="21"/>
                      <w:lang w:val="en-US" w:eastAsia="zh-CN"/>
                    </w:rPr>
                    <w:t>控制指标”小节</w:t>
                  </w:r>
                  <w:r>
                    <w:rPr>
                      <w:rFonts w:hint="eastAsia" w:ascii="宋体" w:hAnsi="宋体" w:eastAsia="宋体" w:cs="宋体"/>
                      <w:bCs/>
                      <w:color w:val="000000"/>
                      <w:sz w:val="21"/>
                      <w:szCs w:val="21"/>
                      <w:u w:val="none"/>
                    </w:rPr>
                    <w:t>。</w:t>
                  </w:r>
                </w:p>
              </w:tc>
            </w:tr>
            <w:tr w14:paraId="5F1F8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vMerge w:val="continue"/>
                  <w:noWrap w:val="0"/>
                  <w:vAlign w:val="center"/>
                </w:tcPr>
                <w:p w14:paraId="135C54CF">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ascii="Times New Roman" w:hAnsi="Times New Roman" w:cs="Times New Roman"/>
                      <w:bCs/>
                      <w:color w:val="000000"/>
                      <w:sz w:val="21"/>
                      <w:szCs w:val="21"/>
                      <w:u w:val="none"/>
                    </w:rPr>
                  </w:pPr>
                </w:p>
              </w:tc>
              <w:tc>
                <w:tcPr>
                  <w:tcW w:w="4225" w:type="dxa"/>
                  <w:noWrap w:val="0"/>
                  <w:vAlign w:val="center"/>
                </w:tcPr>
                <w:p w14:paraId="5516E843">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五）严格落实项目入驻要求。严格落实《报告书》生态环境准入要求，鼓励符合开发区功能定位、国家产业政策鼓励的项目入驻；从严控制新增高污染、高耗能、高耗水项目；禁止新建、扩建、改建有色金属冶炼项目（再生有色金属项目除外）、平板玻璃项目（电子玻璃、光伏玻璃等特种玻璃项目除外）、使用高污染燃料的项目（集中供热、热电联产设施除外）；禁止新建生产和使用高VOCs含量的溶剂型涂料、油墨、胶粘剂、清洗剂等项目、废水直接外排环境的项目。</w:t>
                  </w:r>
                </w:p>
              </w:tc>
              <w:tc>
                <w:tcPr>
                  <w:tcW w:w="3251" w:type="dxa"/>
                  <w:noWrap w:val="0"/>
                  <w:vAlign w:val="center"/>
                </w:tcPr>
                <w:p w14:paraId="2C1A79B9">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default" w:ascii="Times New Roman" w:hAnsi="Times New Roman" w:cs="Times New Roman"/>
                      <w:color w:val="000000"/>
                      <w:kern w:val="0"/>
                      <w:sz w:val="21"/>
                      <w:szCs w:val="21"/>
                      <w:u w:val="none"/>
                    </w:rPr>
                  </w:pPr>
                  <w:r>
                    <w:rPr>
                      <w:rFonts w:hint="eastAsia" w:ascii="Times New Roman" w:hAnsi="Times New Roman" w:cs="Times New Roman"/>
                      <w:color w:val="000000"/>
                      <w:sz w:val="21"/>
                      <w:szCs w:val="21"/>
                      <w:u w:val="none"/>
                      <w:lang w:val="en-US" w:eastAsia="zh-CN"/>
                    </w:rPr>
                    <w:t>本</w:t>
                  </w:r>
                  <w:r>
                    <w:rPr>
                      <w:rFonts w:hint="default" w:ascii="Times New Roman" w:hAnsi="Times New Roman" w:cs="Times New Roman"/>
                      <w:color w:val="000000"/>
                      <w:sz w:val="21"/>
                      <w:szCs w:val="21"/>
                      <w:u w:val="none"/>
                    </w:rPr>
                    <w:t>项目符合《报告书》生态环境准入要求，项目不属于高污染、高耗能、高耗水项目</w:t>
                  </w:r>
                  <w:r>
                    <w:rPr>
                      <w:rFonts w:hint="eastAsia" w:ascii="Times New Roman" w:hAnsi="Times New Roman" w:cs="Times New Roman"/>
                      <w:color w:val="000000"/>
                      <w:sz w:val="21"/>
                      <w:szCs w:val="21"/>
                      <w:u w:val="none"/>
                      <w:lang w:eastAsia="zh-CN"/>
                    </w:rPr>
                    <w:t>，</w:t>
                  </w:r>
                  <w:r>
                    <w:rPr>
                      <w:rFonts w:hint="default" w:ascii="Times New Roman" w:hAnsi="Times New Roman" w:cs="Times New Roman"/>
                      <w:color w:val="000000"/>
                      <w:sz w:val="21"/>
                      <w:szCs w:val="21"/>
                      <w:u w:val="none"/>
                    </w:rPr>
                    <w:t>不</w:t>
                  </w:r>
                  <w:r>
                    <w:rPr>
                      <w:rFonts w:hint="eastAsia" w:ascii="Times New Roman" w:hAnsi="Times New Roman" w:cs="Times New Roman"/>
                      <w:color w:val="000000"/>
                      <w:sz w:val="21"/>
                      <w:szCs w:val="21"/>
                      <w:u w:val="none"/>
                      <w:lang w:val="en-US" w:eastAsia="zh-CN"/>
                    </w:rPr>
                    <w:t>在</w:t>
                  </w:r>
                  <w:r>
                    <w:rPr>
                      <w:rFonts w:hint="default" w:ascii="Times New Roman" w:hAnsi="Times New Roman" w:cs="Times New Roman"/>
                      <w:color w:val="000000"/>
                      <w:sz w:val="21"/>
                      <w:szCs w:val="21"/>
                      <w:u w:val="none"/>
                    </w:rPr>
                    <w:t>左侧所列禁止建设项目</w:t>
                  </w:r>
                  <w:r>
                    <w:rPr>
                      <w:rFonts w:hint="eastAsia" w:ascii="Times New Roman" w:hAnsi="Times New Roman" w:cs="Times New Roman"/>
                      <w:color w:val="000000"/>
                      <w:sz w:val="21"/>
                      <w:szCs w:val="21"/>
                      <w:u w:val="none"/>
                      <w:lang w:val="en-US" w:eastAsia="zh-CN"/>
                    </w:rPr>
                    <w:t>范围内</w:t>
                  </w:r>
                  <w:r>
                    <w:rPr>
                      <w:rFonts w:hint="default" w:ascii="Times New Roman" w:hAnsi="Times New Roman" w:cs="Times New Roman"/>
                      <w:color w:val="000000"/>
                      <w:sz w:val="21"/>
                      <w:szCs w:val="21"/>
                      <w:u w:val="none"/>
                    </w:rPr>
                    <w:t>；项目不涉及生产和使用高VOCs含量的溶剂型涂料、油墨、胶粘剂、清洗剂</w:t>
                  </w:r>
                  <w:r>
                    <w:rPr>
                      <w:rFonts w:hint="eastAsia" w:ascii="Times New Roman" w:hAnsi="Times New Roman" w:cs="Times New Roman"/>
                      <w:color w:val="000000"/>
                      <w:sz w:val="21"/>
                      <w:szCs w:val="21"/>
                      <w:u w:val="none"/>
                      <w:lang w:val="en-US" w:eastAsia="zh-CN"/>
                    </w:rPr>
                    <w:t>；</w:t>
                  </w:r>
                  <w:r>
                    <w:rPr>
                      <w:rFonts w:hint="eastAsia" w:ascii="Times New Roman" w:hAnsi="Times New Roman" w:eastAsia="宋体" w:cs="Times New Roman"/>
                      <w:color w:val="000000"/>
                      <w:spacing w:val="0"/>
                      <w:kern w:val="0"/>
                      <w:sz w:val="21"/>
                      <w:szCs w:val="21"/>
                      <w:u w:val="none"/>
                      <w:lang w:val="en-US" w:eastAsia="zh-CN"/>
                    </w:rPr>
                    <w:t>生产所用冷却水循环使用，冷却塔循环水池定期清理，可用于厂区洒水降尘；</w:t>
                  </w:r>
                  <w:r>
                    <w:rPr>
                      <w:rFonts w:hint="default" w:ascii="Times New Roman" w:hAnsi="Times New Roman" w:eastAsia="宋体" w:cs="Times New Roman"/>
                      <w:color w:val="000000"/>
                      <w:spacing w:val="0"/>
                      <w:kern w:val="0"/>
                      <w:sz w:val="21"/>
                      <w:szCs w:val="21"/>
                      <w:u w:val="none"/>
                    </w:rPr>
                    <w:t>生活污水经化粪池</w:t>
                  </w:r>
                  <w:r>
                    <w:rPr>
                      <w:rFonts w:hint="eastAsia" w:ascii="Times New Roman" w:hAnsi="Times New Roman" w:eastAsia="宋体" w:cs="Times New Roman"/>
                      <w:color w:val="000000"/>
                      <w:spacing w:val="0"/>
                      <w:kern w:val="0"/>
                      <w:sz w:val="21"/>
                      <w:szCs w:val="21"/>
                      <w:u w:val="none"/>
                      <w:lang w:val="en-US" w:eastAsia="zh-CN"/>
                    </w:rPr>
                    <w:t>处理后近期</w:t>
                  </w:r>
                  <w:r>
                    <w:rPr>
                      <w:rFonts w:hint="default" w:ascii="Times New Roman" w:hAnsi="Times New Roman" w:eastAsia="宋体" w:cs="Times New Roman"/>
                      <w:color w:val="000000"/>
                      <w:spacing w:val="0"/>
                      <w:kern w:val="0"/>
                      <w:sz w:val="21"/>
                      <w:szCs w:val="21"/>
                      <w:u w:val="none"/>
                    </w:rPr>
                    <w:t>定期清掏</w:t>
                  </w:r>
                  <w:r>
                    <w:rPr>
                      <w:rFonts w:hint="eastAsia" w:ascii="Times New Roman" w:hAnsi="Times New Roman" w:eastAsia="宋体" w:cs="Times New Roman"/>
                      <w:color w:val="000000"/>
                      <w:spacing w:val="0"/>
                      <w:kern w:val="0"/>
                      <w:sz w:val="21"/>
                      <w:szCs w:val="21"/>
                      <w:u w:val="none"/>
                      <w:lang w:val="en-US" w:eastAsia="zh-CN"/>
                    </w:rPr>
                    <w:t>肥田，远期排入偃师区第四污水处理厂</w:t>
                  </w:r>
                  <w:r>
                    <w:rPr>
                      <w:rFonts w:hint="default" w:ascii="Times New Roman" w:hAnsi="Times New Roman" w:eastAsia="宋体" w:cs="Times New Roman"/>
                      <w:color w:val="000000"/>
                      <w:spacing w:val="0"/>
                      <w:kern w:val="0"/>
                      <w:sz w:val="21"/>
                      <w:szCs w:val="21"/>
                      <w:u w:val="none"/>
                    </w:rPr>
                    <w:t>。</w:t>
                  </w:r>
                </w:p>
              </w:tc>
            </w:tr>
            <w:tr w14:paraId="4B78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vMerge w:val="continue"/>
                  <w:noWrap w:val="0"/>
                  <w:vAlign w:val="center"/>
                </w:tcPr>
                <w:p w14:paraId="04FE059A">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default" w:ascii="Times New Roman" w:hAnsi="Times New Roman" w:cs="Times New Roman"/>
                      <w:bCs/>
                      <w:color w:val="000000"/>
                      <w:sz w:val="21"/>
                      <w:szCs w:val="21"/>
                      <w:u w:val="none"/>
                    </w:rPr>
                  </w:pPr>
                </w:p>
              </w:tc>
              <w:tc>
                <w:tcPr>
                  <w:tcW w:w="4225" w:type="dxa"/>
                  <w:noWrap w:val="0"/>
                  <w:vAlign w:val="center"/>
                </w:tcPr>
                <w:p w14:paraId="7D86FC60">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六）加快开发区环境基础设施建设。建设完善集中排水、供热、供水等基础设施，加快实施北环板块配套污水管网铺设工程，加快东南板块顾县片区依托的偃师区第四污水处理厂及配套污水管网的建设，根据开发时序适时建设东南板块山化片区污水处理厂，根据确保企业外排废水全部有效收集，开发区各污水处理厂出水满足《河南省黄河流域水污染物排放标准》（DB41/2087-2021）一级标准；不断提高水资源利用率，减少废水排放；园区固废应有安全可行的处理处置措施，不得随意弃置，危险固废严格按照有关规定收集、贮存、转运、处置，确保100%安全处置。</w:t>
                  </w:r>
                </w:p>
              </w:tc>
              <w:tc>
                <w:tcPr>
                  <w:tcW w:w="3251" w:type="dxa"/>
                  <w:noWrap w:val="0"/>
                  <w:vAlign w:val="center"/>
                </w:tcPr>
                <w:p w14:paraId="156D4531">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default" w:ascii="Times New Roman" w:hAnsi="Times New Roman" w:cs="Times New Roman"/>
                      <w:color w:val="000000"/>
                      <w:kern w:val="0"/>
                      <w:sz w:val="21"/>
                      <w:szCs w:val="21"/>
                      <w:u w:val="none"/>
                    </w:rPr>
                  </w:pPr>
                  <w:r>
                    <w:rPr>
                      <w:rFonts w:hint="eastAsia" w:ascii="Times New Roman" w:hAnsi="Times New Roman" w:eastAsia="宋体" w:cs="Times New Roman"/>
                      <w:color w:val="000000"/>
                      <w:spacing w:val="0"/>
                      <w:kern w:val="0"/>
                      <w:sz w:val="21"/>
                      <w:szCs w:val="21"/>
                      <w:u w:val="none"/>
                      <w:lang w:val="en-US" w:eastAsia="zh-CN"/>
                    </w:rPr>
                    <w:t>本项目生产所用冷却水循环使用，冷却塔循环水池定期清理，可用于厂区洒水降尘</w:t>
                  </w:r>
                  <w:r>
                    <w:rPr>
                      <w:rFonts w:hint="eastAsia" w:ascii="Times New Roman" w:hAnsi="Times New Roman" w:cs="Times New Roman"/>
                      <w:color w:val="000000"/>
                      <w:kern w:val="0"/>
                      <w:sz w:val="21"/>
                      <w:szCs w:val="21"/>
                      <w:u w:val="none"/>
                      <w:lang w:val="en-US" w:eastAsia="zh-CN"/>
                    </w:rPr>
                    <w:t>，</w:t>
                  </w:r>
                  <w:r>
                    <w:rPr>
                      <w:rFonts w:hint="default" w:ascii="Times New Roman" w:hAnsi="Times New Roman" w:eastAsia="宋体" w:cs="Times New Roman"/>
                      <w:color w:val="000000"/>
                      <w:spacing w:val="0"/>
                      <w:kern w:val="0"/>
                      <w:sz w:val="21"/>
                      <w:szCs w:val="21"/>
                      <w:u w:val="none"/>
                    </w:rPr>
                    <w:t>生活污水经化粪池</w:t>
                  </w:r>
                  <w:r>
                    <w:rPr>
                      <w:rFonts w:hint="eastAsia" w:ascii="Times New Roman" w:hAnsi="Times New Roman" w:eastAsia="宋体" w:cs="Times New Roman"/>
                      <w:color w:val="000000"/>
                      <w:spacing w:val="0"/>
                      <w:kern w:val="0"/>
                      <w:sz w:val="21"/>
                      <w:szCs w:val="21"/>
                      <w:u w:val="none"/>
                      <w:lang w:val="en-US" w:eastAsia="zh-CN"/>
                    </w:rPr>
                    <w:t>处理后近期</w:t>
                  </w:r>
                  <w:r>
                    <w:rPr>
                      <w:rFonts w:hint="default" w:ascii="Times New Roman" w:hAnsi="Times New Roman" w:eastAsia="宋体" w:cs="Times New Roman"/>
                      <w:color w:val="000000"/>
                      <w:spacing w:val="0"/>
                      <w:kern w:val="0"/>
                      <w:sz w:val="21"/>
                      <w:szCs w:val="21"/>
                      <w:u w:val="none"/>
                    </w:rPr>
                    <w:t>定期清掏</w:t>
                  </w:r>
                  <w:r>
                    <w:rPr>
                      <w:rFonts w:hint="eastAsia" w:ascii="Times New Roman" w:hAnsi="Times New Roman" w:eastAsia="宋体" w:cs="Times New Roman"/>
                      <w:color w:val="000000"/>
                      <w:spacing w:val="0"/>
                      <w:kern w:val="0"/>
                      <w:sz w:val="21"/>
                      <w:szCs w:val="21"/>
                      <w:u w:val="none"/>
                      <w:lang w:val="en-US" w:eastAsia="zh-CN"/>
                    </w:rPr>
                    <w:t>肥田，远期排入偃师区第四污水处理厂；</w:t>
                  </w:r>
                  <w:r>
                    <w:rPr>
                      <w:rFonts w:hint="eastAsia" w:ascii="Times New Roman" w:hAnsi="Times New Roman" w:cs="Times New Roman"/>
                      <w:color w:val="000000"/>
                      <w:sz w:val="21"/>
                      <w:szCs w:val="21"/>
                      <w:u w:val="none"/>
                      <w:lang w:val="en-US" w:eastAsia="zh-CN"/>
                    </w:rPr>
                    <w:t>危险废物</w:t>
                  </w:r>
                  <w:r>
                    <w:rPr>
                      <w:rFonts w:hint="default" w:ascii="Times New Roman" w:hAnsi="Times New Roman" w:cs="Times New Roman"/>
                      <w:color w:val="000000"/>
                      <w:sz w:val="21"/>
                      <w:szCs w:val="21"/>
                      <w:u w:val="none"/>
                    </w:rPr>
                    <w:t>分类收集经危废间暂存后交有资质单位进行处置，收集、贮存、转运等严格按照危废相关规定进行，确保100%安全处置。</w:t>
                  </w:r>
                </w:p>
              </w:tc>
            </w:tr>
          </w:tbl>
          <w:p w14:paraId="7E04FB32">
            <w:pPr>
              <w:autoSpaceDE w:val="0"/>
              <w:autoSpaceDN w:val="0"/>
              <w:adjustRightInd w:val="0"/>
              <w:spacing w:line="360" w:lineRule="auto"/>
              <w:ind w:firstLine="480" w:firstLineChars="200"/>
              <w:jc w:val="both"/>
              <w:rPr>
                <w:rFonts w:hint="default" w:ascii="宋体" w:hAnsi="宋体" w:cs="宋体"/>
                <w:color w:val="000000"/>
                <w:kern w:val="0"/>
                <w:sz w:val="24"/>
                <w:szCs w:val="24"/>
                <w:lang w:val="en-US"/>
              </w:rPr>
            </w:pPr>
            <w:r>
              <w:rPr>
                <w:rFonts w:hint="default" w:ascii="Times New Roman" w:hAnsi="Times New Roman" w:cs="Times New Roman"/>
                <w:color w:val="000000"/>
                <w:sz w:val="24"/>
                <w:szCs w:val="24"/>
                <w:u w:val="none"/>
                <w:lang w:eastAsia="zh-CN"/>
              </w:rPr>
              <w:t>综上分析，本项目建设符合洛阳偃师区先进制造业开发区生态环境准入清单要求条件，符合洛阳偃师区先进制造业开发区环境影响报告书审核意见中的要求。</w:t>
            </w:r>
          </w:p>
        </w:tc>
      </w:tr>
      <w:tr w14:paraId="2EDA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362" w:type="pct"/>
            <w:noWrap w:val="0"/>
            <w:vAlign w:val="center"/>
          </w:tcPr>
          <w:p w14:paraId="6A21FD93">
            <w:pPr>
              <w:snapToGrid w:val="0"/>
              <w:jc w:val="center"/>
              <w:rPr>
                <w:color w:val="000000"/>
                <w:sz w:val="24"/>
                <w:szCs w:val="24"/>
              </w:rPr>
            </w:pPr>
            <w:r>
              <w:rPr>
                <w:rFonts w:hint="eastAsia"/>
                <w:color w:val="000000"/>
                <w:kern w:val="0"/>
                <w:sz w:val="24"/>
                <w:szCs w:val="24"/>
                <w:lang w:val="en-US" w:eastAsia="zh-CN"/>
              </w:rPr>
              <w:t>其他</w:t>
            </w:r>
            <w:r>
              <w:rPr>
                <w:color w:val="000000"/>
                <w:kern w:val="0"/>
                <w:sz w:val="24"/>
                <w:szCs w:val="24"/>
              </w:rPr>
              <w:t>符合性分析</w:t>
            </w:r>
          </w:p>
        </w:tc>
        <w:tc>
          <w:tcPr>
            <w:tcW w:w="4637" w:type="pct"/>
            <w:gridSpan w:val="4"/>
            <w:noWrap w:val="0"/>
            <w:vAlign w:val="center"/>
          </w:tcPr>
          <w:p w14:paraId="06947C13">
            <w:pPr>
              <w:autoSpaceDE w:val="0"/>
              <w:autoSpaceDN w:val="0"/>
              <w:adjustRightInd w:val="0"/>
              <w:spacing w:line="360" w:lineRule="auto"/>
              <w:rPr>
                <w:rFonts w:hint="eastAsia"/>
                <w:b/>
                <w:color w:val="000000"/>
                <w:kern w:val="0"/>
                <w:sz w:val="24"/>
                <w:szCs w:val="24"/>
              </w:rPr>
            </w:pPr>
            <w:r>
              <w:rPr>
                <w:rFonts w:hint="eastAsia"/>
                <w:b/>
                <w:color w:val="000000"/>
                <w:kern w:val="0"/>
                <w:sz w:val="24"/>
                <w:szCs w:val="24"/>
              </w:rPr>
              <w:t>1.《产业结构调整指导目录（2024年本）》相符性分析</w:t>
            </w:r>
          </w:p>
          <w:p w14:paraId="3272BE9D">
            <w:pPr>
              <w:autoSpaceDE w:val="0"/>
              <w:autoSpaceDN w:val="0"/>
              <w:adjustRightInd w:val="0"/>
              <w:spacing w:line="360" w:lineRule="auto"/>
              <w:ind w:firstLine="480" w:firstLineChars="200"/>
              <w:rPr>
                <w:rFonts w:hint="eastAsia"/>
                <w:color w:val="000000"/>
                <w:kern w:val="0"/>
                <w:sz w:val="24"/>
                <w:szCs w:val="24"/>
              </w:rPr>
            </w:pPr>
            <w:r>
              <w:rPr>
                <w:rFonts w:hint="eastAsia"/>
                <w:color w:val="000000"/>
                <w:kern w:val="0"/>
                <w:sz w:val="24"/>
                <w:szCs w:val="24"/>
              </w:rPr>
              <w:t>根据国家发展和改革委员会发布的《产业结构调整指导目录（2024年本）》，本项目不属于鼓励类、限制类、淘汰类，属于允许建设项目。本项目已</w:t>
            </w:r>
            <w:r>
              <w:rPr>
                <w:rFonts w:hint="eastAsia"/>
                <w:color w:val="000000"/>
                <w:kern w:val="0"/>
                <w:sz w:val="24"/>
                <w:szCs w:val="24"/>
                <w:lang w:val="en-US" w:eastAsia="zh-CN"/>
              </w:rPr>
              <w:t>于2025年8月25日</w:t>
            </w:r>
            <w:r>
              <w:rPr>
                <w:rFonts w:hint="eastAsia"/>
                <w:color w:val="000000"/>
                <w:kern w:val="0"/>
                <w:sz w:val="24"/>
                <w:szCs w:val="24"/>
              </w:rPr>
              <w:t>在偃师区发展和改革委员会备案，项目代码为</w:t>
            </w:r>
            <w:r>
              <w:rPr>
                <w:rFonts w:hint="eastAsia"/>
                <w:color w:val="000000"/>
                <w:sz w:val="24"/>
                <w:szCs w:val="24"/>
                <w:lang w:val="en-US" w:eastAsia="zh-CN"/>
              </w:rPr>
              <w:t>2508</w:t>
            </w:r>
            <w:r>
              <w:rPr>
                <w:color w:val="000000"/>
                <w:sz w:val="24"/>
                <w:szCs w:val="24"/>
              </w:rPr>
              <w:t>-410381-04-0</w:t>
            </w:r>
            <w:r>
              <w:rPr>
                <w:rFonts w:hint="eastAsia"/>
                <w:color w:val="000000"/>
                <w:sz w:val="24"/>
                <w:szCs w:val="24"/>
                <w:lang w:val="en-US" w:eastAsia="zh-CN"/>
              </w:rPr>
              <w:t>1</w:t>
            </w:r>
            <w:r>
              <w:rPr>
                <w:color w:val="000000"/>
                <w:sz w:val="24"/>
                <w:szCs w:val="24"/>
              </w:rPr>
              <w:t>-</w:t>
            </w:r>
            <w:r>
              <w:rPr>
                <w:rFonts w:hint="eastAsia"/>
                <w:color w:val="000000"/>
                <w:sz w:val="24"/>
                <w:szCs w:val="24"/>
                <w:lang w:val="en-US" w:eastAsia="zh-CN"/>
              </w:rPr>
              <w:t>313494</w:t>
            </w:r>
            <w:r>
              <w:rPr>
                <w:rFonts w:hint="eastAsia"/>
                <w:color w:val="000000"/>
                <w:kern w:val="0"/>
                <w:sz w:val="24"/>
                <w:szCs w:val="24"/>
              </w:rPr>
              <w:t>，符合当前国家产业政策。</w:t>
            </w:r>
          </w:p>
          <w:p w14:paraId="7625D3B3">
            <w:pPr>
              <w:autoSpaceDE w:val="0"/>
              <w:autoSpaceDN w:val="0"/>
              <w:adjustRightInd w:val="0"/>
              <w:spacing w:line="360" w:lineRule="auto"/>
              <w:ind w:firstLine="480" w:firstLineChars="200"/>
              <w:rPr>
                <w:rFonts w:hint="eastAsia"/>
                <w:color w:val="000000"/>
                <w:kern w:val="0"/>
                <w:sz w:val="24"/>
                <w:szCs w:val="24"/>
              </w:rPr>
            </w:pPr>
          </w:p>
          <w:p w14:paraId="2E284008">
            <w:pPr>
              <w:autoSpaceDE w:val="0"/>
              <w:autoSpaceDN w:val="0"/>
              <w:adjustRightInd w:val="0"/>
              <w:spacing w:line="360" w:lineRule="auto"/>
              <w:rPr>
                <w:b/>
                <w:color w:val="000000"/>
                <w:kern w:val="0"/>
                <w:sz w:val="24"/>
                <w:szCs w:val="24"/>
                <w:u w:val="none"/>
              </w:rPr>
            </w:pPr>
            <w:r>
              <w:rPr>
                <w:rFonts w:hint="eastAsia"/>
                <w:b/>
                <w:color w:val="000000"/>
                <w:kern w:val="0"/>
                <w:sz w:val="24"/>
                <w:szCs w:val="24"/>
                <w:u w:val="none"/>
              </w:rPr>
              <w:t>2.“三线一单”相符性分析</w:t>
            </w:r>
          </w:p>
          <w:p w14:paraId="3E6C6D80">
            <w:pPr>
              <w:autoSpaceDE w:val="0"/>
              <w:autoSpaceDN w:val="0"/>
              <w:adjustRightInd w:val="0"/>
              <w:spacing w:line="360" w:lineRule="auto"/>
              <w:ind w:firstLine="480" w:firstLineChars="200"/>
              <w:rPr>
                <w:rFonts w:hint="eastAsia"/>
                <w:color w:val="000000"/>
                <w:kern w:val="0"/>
                <w:sz w:val="24"/>
                <w:szCs w:val="24"/>
                <w:u w:val="none"/>
              </w:rPr>
            </w:pPr>
            <w:r>
              <w:rPr>
                <w:rFonts w:hint="eastAsia"/>
                <w:color w:val="000000"/>
                <w:kern w:val="0"/>
                <w:sz w:val="24"/>
                <w:szCs w:val="24"/>
                <w:u w:val="none"/>
              </w:rPr>
              <w:t>（1）生态保护红线</w:t>
            </w:r>
          </w:p>
          <w:p w14:paraId="022D752B">
            <w:pPr>
              <w:autoSpaceDE w:val="0"/>
              <w:autoSpaceDN w:val="0"/>
              <w:adjustRightInd w:val="0"/>
              <w:spacing w:line="360" w:lineRule="auto"/>
              <w:ind w:firstLine="480" w:firstLineChars="200"/>
              <w:rPr>
                <w:rFonts w:hint="eastAsia"/>
                <w:color w:val="000000"/>
                <w:kern w:val="0"/>
                <w:sz w:val="24"/>
                <w:szCs w:val="24"/>
                <w:u w:val="none"/>
              </w:rPr>
            </w:pPr>
            <w:r>
              <w:rPr>
                <w:rFonts w:hint="eastAsia"/>
                <w:color w:val="000000"/>
                <w:kern w:val="0"/>
                <w:sz w:val="24"/>
                <w:szCs w:val="24"/>
                <w:u w:val="none"/>
              </w:rPr>
              <w:t>本项目厂址位于洛阳偃师区先进制造业开发区东南板块，经过现场踏勘，本项目不在自然保护区、风景名胜区、森林公园、地质公园、重要生态功能区、生态敏感区和脆弱区以及其他要求禁止建设的环境敏感区内。根据河南省生态保护红线划定方案，项目所在地不属于生态红线区域。</w:t>
            </w:r>
          </w:p>
          <w:p w14:paraId="58E32E59">
            <w:pPr>
              <w:autoSpaceDE w:val="0"/>
              <w:autoSpaceDN w:val="0"/>
              <w:adjustRightInd w:val="0"/>
              <w:spacing w:line="360" w:lineRule="auto"/>
              <w:ind w:firstLine="480" w:firstLineChars="200"/>
              <w:rPr>
                <w:rFonts w:hint="eastAsia"/>
                <w:color w:val="000000"/>
                <w:kern w:val="0"/>
                <w:sz w:val="24"/>
                <w:szCs w:val="24"/>
                <w:u w:val="none"/>
              </w:rPr>
            </w:pPr>
            <w:r>
              <w:rPr>
                <w:rFonts w:hint="eastAsia"/>
                <w:color w:val="000000"/>
                <w:kern w:val="0"/>
                <w:sz w:val="24"/>
                <w:szCs w:val="24"/>
                <w:u w:val="none"/>
              </w:rPr>
              <w:t>（2）环境质量底线</w:t>
            </w:r>
          </w:p>
          <w:p w14:paraId="701F5585">
            <w:pPr>
              <w:autoSpaceDE w:val="0"/>
              <w:autoSpaceDN w:val="0"/>
              <w:adjustRightInd w:val="0"/>
              <w:spacing w:line="360" w:lineRule="auto"/>
              <w:ind w:firstLine="480" w:firstLineChars="200"/>
              <w:rPr>
                <w:rFonts w:hint="eastAsia"/>
                <w:color w:val="000000"/>
                <w:kern w:val="0"/>
                <w:sz w:val="24"/>
                <w:szCs w:val="24"/>
                <w:u w:val="none"/>
              </w:rPr>
            </w:pPr>
            <w:r>
              <w:rPr>
                <w:rFonts w:hint="eastAsia"/>
                <w:color w:val="000000"/>
                <w:kern w:val="0"/>
                <w:sz w:val="24"/>
                <w:szCs w:val="24"/>
                <w:u w:val="none"/>
              </w:rPr>
              <w:t>①大气环境</w:t>
            </w:r>
          </w:p>
          <w:p w14:paraId="449DA1B4">
            <w:pPr>
              <w:autoSpaceDE w:val="0"/>
              <w:autoSpaceDN w:val="0"/>
              <w:adjustRightInd w:val="0"/>
              <w:spacing w:line="360" w:lineRule="auto"/>
              <w:ind w:firstLine="480" w:firstLineChars="200"/>
              <w:rPr>
                <w:rFonts w:hint="eastAsia"/>
                <w:color w:val="000000"/>
                <w:kern w:val="0"/>
                <w:sz w:val="24"/>
                <w:szCs w:val="24"/>
                <w:u w:val="none"/>
              </w:rPr>
            </w:pPr>
            <w:r>
              <w:rPr>
                <w:rFonts w:hint="eastAsia"/>
                <w:color w:val="000000"/>
                <w:kern w:val="0"/>
                <w:sz w:val="24"/>
                <w:szCs w:val="24"/>
                <w:u w:val="none"/>
              </w:rPr>
              <w:t>根据</w:t>
            </w:r>
            <w:r>
              <w:rPr>
                <w:color w:val="000000"/>
                <w:sz w:val="24"/>
                <w:szCs w:val="24"/>
                <w:u w:val="none"/>
              </w:rPr>
              <w:t>洛阳市生态环境主管部门公开发布的</w:t>
            </w:r>
            <w:r>
              <w:rPr>
                <w:rFonts w:hint="eastAsia"/>
                <w:color w:val="000000"/>
                <w:sz w:val="24"/>
                <w:szCs w:val="24"/>
                <w:u w:val="none"/>
                <w:lang w:val="en-US" w:eastAsia="zh-CN"/>
              </w:rPr>
              <w:t>环境质量月报（2024年第12期）中2024年1~12月全年统计数据</w:t>
            </w:r>
            <w:r>
              <w:rPr>
                <w:rFonts w:hint="eastAsia"/>
                <w:color w:val="000000"/>
                <w:kern w:val="0"/>
                <w:sz w:val="24"/>
                <w:szCs w:val="24"/>
                <w:u w:val="none"/>
              </w:rPr>
              <w:t>，项目区域SO</w:t>
            </w:r>
            <w:r>
              <w:rPr>
                <w:rFonts w:hint="eastAsia"/>
                <w:color w:val="000000"/>
                <w:kern w:val="0"/>
                <w:sz w:val="24"/>
                <w:szCs w:val="24"/>
                <w:u w:val="none"/>
                <w:vertAlign w:val="subscript"/>
              </w:rPr>
              <w:t>2</w:t>
            </w:r>
            <w:r>
              <w:rPr>
                <w:rFonts w:hint="eastAsia"/>
                <w:color w:val="000000"/>
                <w:kern w:val="0"/>
                <w:sz w:val="24"/>
                <w:szCs w:val="24"/>
                <w:u w:val="none"/>
              </w:rPr>
              <w:t>、NO</w:t>
            </w:r>
            <w:r>
              <w:rPr>
                <w:rFonts w:hint="eastAsia"/>
                <w:color w:val="000000"/>
                <w:kern w:val="0"/>
                <w:sz w:val="24"/>
                <w:szCs w:val="24"/>
                <w:u w:val="none"/>
                <w:vertAlign w:val="subscript"/>
              </w:rPr>
              <w:t>2</w:t>
            </w:r>
            <w:r>
              <w:rPr>
                <w:rFonts w:hint="eastAsia"/>
                <w:color w:val="000000"/>
                <w:kern w:val="0"/>
                <w:sz w:val="24"/>
                <w:szCs w:val="24"/>
                <w:u w:val="none"/>
              </w:rPr>
              <w:t>年平均浓度，CO 24小时平均第95百分位数浓度均满足《环境空气质量标准》（GB3095-2012）中二级标准要求，O</w:t>
            </w:r>
            <w:r>
              <w:rPr>
                <w:rFonts w:hint="eastAsia"/>
                <w:color w:val="000000"/>
                <w:kern w:val="0"/>
                <w:sz w:val="24"/>
                <w:szCs w:val="24"/>
                <w:u w:val="none"/>
                <w:vertAlign w:val="subscript"/>
              </w:rPr>
              <w:t>3</w:t>
            </w:r>
            <w:r>
              <w:rPr>
                <w:rFonts w:hint="eastAsia"/>
                <w:color w:val="000000"/>
                <w:kern w:val="0"/>
                <w:sz w:val="24"/>
                <w:szCs w:val="24"/>
                <w:u w:val="none"/>
              </w:rPr>
              <w:t>日最大8小时平均第90百分位数浓度、PM</w:t>
            </w:r>
            <w:r>
              <w:rPr>
                <w:rFonts w:hint="eastAsia"/>
                <w:color w:val="000000"/>
                <w:kern w:val="0"/>
                <w:sz w:val="24"/>
                <w:szCs w:val="24"/>
                <w:u w:val="none"/>
                <w:vertAlign w:val="subscript"/>
              </w:rPr>
              <w:t>10</w:t>
            </w:r>
            <w:r>
              <w:rPr>
                <w:rFonts w:hint="eastAsia"/>
                <w:color w:val="000000"/>
                <w:kern w:val="0"/>
                <w:sz w:val="24"/>
                <w:szCs w:val="24"/>
                <w:u w:val="none"/>
              </w:rPr>
              <w:t>、PM</w:t>
            </w:r>
            <w:r>
              <w:rPr>
                <w:rFonts w:hint="eastAsia"/>
                <w:color w:val="000000"/>
                <w:kern w:val="0"/>
                <w:sz w:val="24"/>
                <w:szCs w:val="24"/>
                <w:u w:val="none"/>
                <w:vertAlign w:val="subscript"/>
              </w:rPr>
              <w:t>2.5</w:t>
            </w:r>
            <w:r>
              <w:rPr>
                <w:rFonts w:hint="eastAsia"/>
                <w:color w:val="000000"/>
                <w:kern w:val="0"/>
                <w:sz w:val="24"/>
                <w:szCs w:val="24"/>
                <w:u w:val="none"/>
              </w:rPr>
              <w:t>年均浓度超标。针对区域环境质量现状超标的情况，根据洛阳市生态环境保护委员会办公室关于印发《洛阳市生态环境保护委员会办公室关于印发&lt;洛阳市2025年蓝天保卫战实施方案&gt;&lt;洛阳市2025年碧水保卫战实施方案&gt;&lt;洛阳市2025年净土保卫战实施方案&gt;&lt;洛阳市2025年柴油货车污染治理攻坚战实施方案&gt;的通知》（洛环委办</w:t>
            </w:r>
            <w:r>
              <w:rPr>
                <w:rFonts w:hint="eastAsia"/>
                <w:color w:val="000000"/>
                <w:kern w:val="0"/>
                <w:sz w:val="24"/>
                <w:szCs w:val="24"/>
                <w:u w:val="none"/>
                <w:lang w:eastAsia="zh-CN"/>
              </w:rPr>
              <w:t>〔2025〕21号</w:t>
            </w:r>
            <w:r>
              <w:rPr>
                <w:rFonts w:hint="eastAsia"/>
                <w:color w:val="000000"/>
                <w:kern w:val="0"/>
                <w:sz w:val="24"/>
                <w:szCs w:val="24"/>
                <w:u w:val="none"/>
              </w:rPr>
              <w:t>）等相关大气治理文件，提出了无组织排放治理、强化各类工地扬尘污染防治、工艺废气无组织排放通用控制措施，以及深化无组织排放治理等相关政策，通过治理，区域环境质量状况正在逐步好转。</w:t>
            </w:r>
          </w:p>
          <w:p w14:paraId="13BE53DA">
            <w:pPr>
              <w:autoSpaceDE w:val="0"/>
              <w:autoSpaceDN w:val="0"/>
              <w:adjustRightInd w:val="0"/>
              <w:spacing w:line="360" w:lineRule="auto"/>
              <w:ind w:firstLine="480" w:firstLineChars="200"/>
              <w:rPr>
                <w:rFonts w:hint="eastAsia"/>
                <w:color w:val="000000"/>
                <w:kern w:val="0"/>
                <w:sz w:val="24"/>
                <w:szCs w:val="24"/>
                <w:u w:val="none"/>
              </w:rPr>
            </w:pPr>
            <w:r>
              <w:rPr>
                <w:rFonts w:hint="eastAsia"/>
                <w:color w:val="000000"/>
                <w:kern w:val="0"/>
                <w:sz w:val="24"/>
                <w:szCs w:val="24"/>
                <w:u w:val="none"/>
              </w:rPr>
              <w:t>②地表水</w:t>
            </w:r>
          </w:p>
          <w:p w14:paraId="646FD1C0">
            <w:pPr>
              <w:autoSpaceDE w:val="0"/>
              <w:autoSpaceDN w:val="0"/>
              <w:adjustRightInd w:val="0"/>
              <w:spacing w:line="360" w:lineRule="auto"/>
              <w:ind w:firstLine="480" w:firstLineChars="200"/>
              <w:rPr>
                <w:rFonts w:hint="eastAsia"/>
                <w:color w:val="000000"/>
                <w:kern w:val="0"/>
                <w:sz w:val="24"/>
                <w:szCs w:val="24"/>
                <w:u w:val="none"/>
              </w:rPr>
            </w:pPr>
            <w:r>
              <w:rPr>
                <w:rFonts w:hint="eastAsia"/>
                <w:color w:val="000000"/>
                <w:kern w:val="0"/>
                <w:sz w:val="24"/>
                <w:szCs w:val="24"/>
                <w:u w:val="none"/>
              </w:rPr>
              <w:t>地表水：为了解该项目所在区域的地表水环境质量现状，本次评价引用洛阳市生态环境局发布的</w:t>
            </w:r>
            <w:r>
              <w:rPr>
                <w:rFonts w:hint="eastAsia"/>
                <w:color w:val="000000"/>
                <w:kern w:val="0"/>
                <w:sz w:val="24"/>
                <w:szCs w:val="24"/>
                <w:u w:val="none"/>
                <w:lang w:eastAsia="zh-CN"/>
              </w:rPr>
              <w:t>《</w:t>
            </w:r>
            <w:r>
              <w:rPr>
                <w:rFonts w:hint="eastAsia"/>
                <w:color w:val="000000"/>
                <w:kern w:val="0"/>
                <w:sz w:val="24"/>
                <w:szCs w:val="24"/>
                <w:u w:val="none"/>
              </w:rPr>
              <w:t>202</w:t>
            </w:r>
            <w:r>
              <w:rPr>
                <w:rFonts w:hint="eastAsia"/>
                <w:color w:val="000000"/>
                <w:kern w:val="0"/>
                <w:sz w:val="24"/>
                <w:szCs w:val="24"/>
                <w:u w:val="none"/>
                <w:lang w:val="en-US" w:eastAsia="zh-CN"/>
              </w:rPr>
              <w:t>4</w:t>
            </w:r>
            <w:r>
              <w:rPr>
                <w:rFonts w:hint="eastAsia"/>
                <w:color w:val="000000"/>
                <w:kern w:val="0"/>
                <w:sz w:val="24"/>
                <w:szCs w:val="24"/>
                <w:u w:val="none"/>
              </w:rPr>
              <w:t>年洛阳市生态环境状况公报</w:t>
            </w:r>
            <w:r>
              <w:rPr>
                <w:rFonts w:hint="eastAsia"/>
                <w:color w:val="000000"/>
                <w:kern w:val="0"/>
                <w:sz w:val="24"/>
                <w:szCs w:val="24"/>
                <w:u w:val="none"/>
                <w:lang w:eastAsia="zh-CN"/>
              </w:rPr>
              <w:t>》</w:t>
            </w:r>
            <w:r>
              <w:rPr>
                <w:rFonts w:hint="eastAsia"/>
                <w:color w:val="000000"/>
                <w:kern w:val="0"/>
                <w:sz w:val="24"/>
                <w:szCs w:val="24"/>
                <w:u w:val="none"/>
              </w:rPr>
              <w:t>中地表水环境现状评价结论。</w:t>
            </w:r>
          </w:p>
          <w:p w14:paraId="177E7D4F">
            <w:pPr>
              <w:spacing w:line="360" w:lineRule="auto"/>
              <w:ind w:firstLine="480" w:firstLineChars="200"/>
              <w:rPr>
                <w:rFonts w:hint="eastAsia"/>
                <w:color w:val="000000"/>
                <w:kern w:val="0"/>
                <w:sz w:val="24"/>
                <w:szCs w:val="24"/>
                <w:u w:val="none"/>
                <w:lang w:val="en-US" w:eastAsia="zh-CN"/>
              </w:rPr>
            </w:pPr>
            <w:r>
              <w:rPr>
                <w:rFonts w:hint="eastAsia"/>
                <w:color w:val="000000"/>
                <w:kern w:val="0"/>
                <w:sz w:val="24"/>
                <w:szCs w:val="24"/>
                <w:u w:val="none"/>
                <w:lang w:val="en-US" w:eastAsia="zh-CN"/>
              </w:rPr>
              <w:t>2024年，洛阳市地表水整体水质状况为“优”。全市共设置有20个地表水监测断面。其中：黄河流域分布监测断面19个，淮河流域北汝河设置监测断面1个。所监测断面中水质类别符合I～III类断面18个（占90.0%）。</w:t>
            </w:r>
          </w:p>
          <w:p w14:paraId="17344EBD">
            <w:pPr>
              <w:autoSpaceDE w:val="0"/>
              <w:autoSpaceDN w:val="0"/>
              <w:adjustRightInd w:val="0"/>
              <w:spacing w:line="360" w:lineRule="auto"/>
              <w:ind w:firstLine="480" w:firstLineChars="200"/>
              <w:rPr>
                <w:rFonts w:hint="eastAsia"/>
                <w:color w:val="000000"/>
                <w:kern w:val="0"/>
                <w:sz w:val="24"/>
                <w:szCs w:val="24"/>
                <w:u w:val="single"/>
              </w:rPr>
            </w:pPr>
            <w:r>
              <w:rPr>
                <w:rFonts w:hint="eastAsia"/>
                <w:color w:val="000000"/>
                <w:kern w:val="0"/>
                <w:sz w:val="24"/>
                <w:szCs w:val="24"/>
                <w:u w:val="none"/>
                <w:lang w:val="en-US" w:eastAsia="zh-CN"/>
              </w:rPr>
              <w:t>2024年所监测的8条主要河流中，水质状况“优”的河流为黄河洛阳段、伊河、洛河、伊洛河、北汝河，水质状况“良好”的河流为涧河，水质状况“轻度污染”的为二道河和瀍河。与2023年相比，伊河、洛河、伊洛河、北汝河、黄河洛阳段、涧河、瀍河、二道河水质无明显变化。</w:t>
            </w:r>
          </w:p>
          <w:p w14:paraId="160D507E">
            <w:pPr>
              <w:autoSpaceDE w:val="0"/>
              <w:autoSpaceDN w:val="0"/>
              <w:adjustRightInd w:val="0"/>
              <w:spacing w:line="360" w:lineRule="auto"/>
              <w:ind w:firstLine="480" w:firstLineChars="200"/>
              <w:rPr>
                <w:rFonts w:hint="eastAsia"/>
                <w:color w:val="000000"/>
                <w:kern w:val="0"/>
                <w:sz w:val="24"/>
                <w:szCs w:val="24"/>
                <w:u w:val="none"/>
              </w:rPr>
            </w:pPr>
            <w:r>
              <w:rPr>
                <w:rFonts w:hint="eastAsia"/>
                <w:color w:val="000000"/>
                <w:kern w:val="0"/>
                <w:sz w:val="24"/>
                <w:szCs w:val="24"/>
                <w:u w:val="none"/>
                <w:lang w:val="en-US" w:eastAsia="zh-CN"/>
              </w:rPr>
              <w:t>本项目冷却水循环使用，冷却塔循环水池定期清理，可用于厂区洒水降尘；生活污水经化粪池处理后近期定期清掏肥田，远期排入偃师</w:t>
            </w:r>
            <w:r>
              <w:rPr>
                <w:rFonts w:hint="eastAsia" w:ascii="Times New Roman" w:hAnsi="Times New Roman" w:eastAsia="宋体" w:cs="Times New Roman"/>
                <w:color w:val="000000"/>
                <w:sz w:val="24"/>
                <w:lang w:val="en-US" w:eastAsia="zh-CN"/>
              </w:rPr>
              <w:t>区</w:t>
            </w:r>
            <w:r>
              <w:rPr>
                <w:rFonts w:hint="eastAsia"/>
                <w:color w:val="000000"/>
                <w:kern w:val="0"/>
                <w:sz w:val="24"/>
                <w:szCs w:val="24"/>
                <w:u w:val="none"/>
                <w:lang w:val="en-US" w:eastAsia="zh-CN"/>
              </w:rPr>
              <w:t>第四污水处理厂，</w:t>
            </w:r>
            <w:r>
              <w:rPr>
                <w:rFonts w:hint="eastAsia"/>
                <w:color w:val="000000"/>
                <w:kern w:val="0"/>
                <w:sz w:val="24"/>
                <w:szCs w:val="24"/>
                <w:u w:val="none"/>
              </w:rPr>
              <w:t>不会影响地表水</w:t>
            </w:r>
            <w:r>
              <w:rPr>
                <w:rFonts w:hint="eastAsia"/>
                <w:color w:val="000000"/>
                <w:kern w:val="0"/>
                <w:sz w:val="24"/>
                <w:szCs w:val="24"/>
                <w:u w:val="none"/>
                <w:lang w:val="en-US" w:eastAsia="zh-CN"/>
              </w:rPr>
              <w:t>环境</w:t>
            </w:r>
            <w:r>
              <w:rPr>
                <w:rFonts w:hint="eastAsia"/>
                <w:color w:val="000000"/>
                <w:kern w:val="0"/>
                <w:sz w:val="24"/>
                <w:szCs w:val="24"/>
                <w:u w:val="none"/>
              </w:rPr>
              <w:t>质量。</w:t>
            </w:r>
          </w:p>
          <w:p w14:paraId="517BFDB9">
            <w:pPr>
              <w:autoSpaceDE w:val="0"/>
              <w:autoSpaceDN w:val="0"/>
              <w:adjustRightInd w:val="0"/>
              <w:spacing w:line="360" w:lineRule="auto"/>
              <w:ind w:firstLine="480" w:firstLineChars="200"/>
              <w:rPr>
                <w:color w:val="000000"/>
                <w:kern w:val="0"/>
                <w:sz w:val="24"/>
                <w:szCs w:val="24"/>
              </w:rPr>
            </w:pPr>
            <w:r>
              <w:rPr>
                <w:rFonts w:hint="eastAsia"/>
                <w:color w:val="000000"/>
                <w:kern w:val="0"/>
                <w:sz w:val="24"/>
                <w:szCs w:val="24"/>
              </w:rPr>
              <w:t>③声环境</w:t>
            </w:r>
          </w:p>
          <w:p w14:paraId="52F0AFEE">
            <w:pPr>
              <w:autoSpaceDE w:val="0"/>
              <w:autoSpaceDN w:val="0"/>
              <w:adjustRightInd w:val="0"/>
              <w:spacing w:line="360" w:lineRule="auto"/>
              <w:ind w:firstLine="480" w:firstLineChars="200"/>
              <w:rPr>
                <w:rFonts w:hint="eastAsia"/>
                <w:color w:val="000000"/>
                <w:kern w:val="0"/>
                <w:sz w:val="24"/>
                <w:szCs w:val="24"/>
              </w:rPr>
            </w:pPr>
            <w:r>
              <w:rPr>
                <w:rFonts w:hint="eastAsia"/>
                <w:color w:val="000000"/>
                <w:kern w:val="0"/>
                <w:sz w:val="24"/>
                <w:szCs w:val="24"/>
              </w:rPr>
              <w:t>本项目生产设备均在密闭车间内，经建筑隔声、距离衰减后，厂界贡献值能够满足《工业企业厂界环境噪声排放标准》（GB12348-2008）</w:t>
            </w:r>
            <w:r>
              <w:rPr>
                <w:rFonts w:hint="eastAsia"/>
                <w:color w:val="000000"/>
                <w:kern w:val="0"/>
                <w:sz w:val="24"/>
                <w:szCs w:val="24"/>
                <w:lang w:val="en-US" w:eastAsia="zh-CN"/>
              </w:rPr>
              <w:t>3</w:t>
            </w:r>
            <w:r>
              <w:rPr>
                <w:rFonts w:hint="eastAsia"/>
                <w:color w:val="000000"/>
                <w:kern w:val="0"/>
                <w:sz w:val="24"/>
                <w:szCs w:val="24"/>
              </w:rPr>
              <w:t>类标准要求</w:t>
            </w:r>
            <w:r>
              <w:rPr>
                <w:rFonts w:hint="eastAsia"/>
                <w:b w:val="0"/>
                <w:bCs/>
                <w:color w:val="000000"/>
                <w:kern w:val="0"/>
                <w:sz w:val="24"/>
                <w:szCs w:val="24"/>
                <w:lang w:eastAsia="zh-CN"/>
              </w:rPr>
              <w:t>。</w:t>
            </w:r>
          </w:p>
          <w:p w14:paraId="326D8977">
            <w:pPr>
              <w:autoSpaceDE w:val="0"/>
              <w:autoSpaceDN w:val="0"/>
              <w:adjustRightInd w:val="0"/>
              <w:spacing w:line="360" w:lineRule="auto"/>
              <w:ind w:firstLine="480" w:firstLineChars="200"/>
              <w:rPr>
                <w:color w:val="000000"/>
                <w:kern w:val="0"/>
                <w:sz w:val="24"/>
                <w:szCs w:val="24"/>
              </w:rPr>
            </w:pPr>
            <w:r>
              <w:rPr>
                <w:rFonts w:hint="eastAsia"/>
                <w:color w:val="000000"/>
                <w:kern w:val="0"/>
                <w:sz w:val="24"/>
                <w:szCs w:val="24"/>
              </w:rPr>
              <w:t>④固体废物</w:t>
            </w:r>
          </w:p>
          <w:p w14:paraId="42470E1C">
            <w:pPr>
              <w:autoSpaceDE w:val="0"/>
              <w:autoSpaceDN w:val="0"/>
              <w:adjustRightInd w:val="0"/>
              <w:spacing w:line="360" w:lineRule="auto"/>
              <w:ind w:firstLine="480" w:firstLineChars="200"/>
              <w:rPr>
                <w:color w:val="000000"/>
                <w:kern w:val="0"/>
                <w:sz w:val="24"/>
                <w:szCs w:val="24"/>
              </w:rPr>
            </w:pPr>
            <w:r>
              <w:rPr>
                <w:rFonts w:hint="eastAsia"/>
                <w:color w:val="000000"/>
                <w:kern w:val="0"/>
                <w:sz w:val="24"/>
                <w:szCs w:val="24"/>
              </w:rPr>
              <w:t>本项目危险废物采用专用包装容器暂存于危废暂存间，委托有资质单位处置，不会对环境造成不良影响。</w:t>
            </w:r>
          </w:p>
          <w:p w14:paraId="487FE589">
            <w:pPr>
              <w:autoSpaceDE w:val="0"/>
              <w:autoSpaceDN w:val="0"/>
              <w:adjustRightInd w:val="0"/>
              <w:spacing w:line="360" w:lineRule="auto"/>
              <w:ind w:firstLine="480" w:firstLineChars="200"/>
              <w:rPr>
                <w:rFonts w:hint="eastAsia"/>
                <w:color w:val="000000"/>
                <w:kern w:val="0"/>
                <w:sz w:val="24"/>
                <w:szCs w:val="24"/>
              </w:rPr>
            </w:pPr>
            <w:r>
              <w:rPr>
                <w:rFonts w:hint="eastAsia"/>
                <w:color w:val="000000"/>
                <w:kern w:val="0"/>
                <w:sz w:val="24"/>
                <w:szCs w:val="24"/>
              </w:rPr>
              <w:t>（3）资源利用上线</w:t>
            </w:r>
          </w:p>
          <w:p w14:paraId="39D7B317">
            <w:pPr>
              <w:autoSpaceDE w:val="0"/>
              <w:autoSpaceDN w:val="0"/>
              <w:adjustRightInd w:val="0"/>
              <w:spacing w:line="360" w:lineRule="auto"/>
              <w:ind w:firstLine="480" w:firstLineChars="200"/>
              <w:rPr>
                <w:rFonts w:hint="eastAsia"/>
                <w:color w:val="000000"/>
                <w:kern w:val="0"/>
                <w:sz w:val="24"/>
                <w:szCs w:val="24"/>
              </w:rPr>
            </w:pPr>
            <w:r>
              <w:rPr>
                <w:rFonts w:hint="eastAsia"/>
                <w:color w:val="000000"/>
                <w:kern w:val="0"/>
                <w:sz w:val="24"/>
                <w:szCs w:val="24"/>
              </w:rPr>
              <w:t>本项目生产过程所用能源为电能，属于清洁能源，运营期用水主要为</w:t>
            </w:r>
            <w:r>
              <w:rPr>
                <w:rFonts w:hint="eastAsia"/>
                <w:color w:val="000000"/>
                <w:kern w:val="0"/>
                <w:sz w:val="24"/>
                <w:szCs w:val="24"/>
                <w:lang w:val="en-US" w:eastAsia="zh-CN"/>
              </w:rPr>
              <w:t>冷却用水及</w:t>
            </w:r>
            <w:r>
              <w:rPr>
                <w:rFonts w:hint="eastAsia"/>
                <w:color w:val="000000"/>
                <w:kern w:val="0"/>
                <w:sz w:val="24"/>
                <w:szCs w:val="24"/>
              </w:rPr>
              <w:t>生活用水，不属于高耗能和资源消耗型企业，资源利用不会突破区域的资源利用上线。项目建设符合资源利用上线要求。</w:t>
            </w:r>
          </w:p>
          <w:p w14:paraId="418F69B0">
            <w:pPr>
              <w:autoSpaceDE w:val="0"/>
              <w:autoSpaceDN w:val="0"/>
              <w:adjustRightInd w:val="0"/>
              <w:spacing w:line="360" w:lineRule="auto"/>
              <w:ind w:firstLine="480" w:firstLineChars="200"/>
              <w:rPr>
                <w:color w:val="000000"/>
                <w:kern w:val="44"/>
                <w:sz w:val="24"/>
              </w:rPr>
            </w:pPr>
            <w:r>
              <w:rPr>
                <w:rFonts w:hint="eastAsia"/>
                <w:color w:val="000000"/>
                <w:kern w:val="44"/>
                <w:sz w:val="24"/>
              </w:rPr>
              <w:t>（4）生态环境准入清单</w:t>
            </w:r>
          </w:p>
          <w:p w14:paraId="2564E6C9">
            <w:pPr>
              <w:autoSpaceDE w:val="0"/>
              <w:autoSpaceDN w:val="0"/>
              <w:adjustRightInd w:val="0"/>
              <w:spacing w:line="360" w:lineRule="auto"/>
              <w:ind w:firstLine="480" w:firstLineChars="200"/>
              <w:rPr>
                <w:rFonts w:hint="eastAsia" w:eastAsia="宋体"/>
                <w:color w:val="000000"/>
                <w:kern w:val="0"/>
                <w:sz w:val="24"/>
                <w:lang w:eastAsia="zh-CN"/>
              </w:rPr>
            </w:pPr>
            <w:r>
              <w:rPr>
                <w:rFonts w:hint="eastAsia"/>
                <w:color w:val="000000"/>
                <w:kern w:val="0"/>
                <w:sz w:val="24"/>
              </w:rPr>
              <w:t>2024年2月1日河南省生态环境厅发布了《关于发布河南省“三线一单”生态环境分区管控更新成果（2023版）》。根据河南省三线一单综合信息应用平台查询结果，经研判，该项目无空间冲突</w:t>
            </w:r>
            <w:r>
              <w:rPr>
                <w:rFonts w:hint="eastAsia"/>
                <w:color w:val="000000"/>
                <w:kern w:val="0"/>
                <w:sz w:val="24"/>
                <w:lang w:eastAsia="zh-CN"/>
              </w:rPr>
              <w:t>。</w:t>
            </w:r>
          </w:p>
          <w:p w14:paraId="7070A741">
            <w:pPr>
              <w:autoSpaceDE w:val="0"/>
              <w:autoSpaceDN w:val="0"/>
              <w:adjustRightInd w:val="0"/>
              <w:spacing w:line="360" w:lineRule="auto"/>
              <w:ind w:firstLine="480" w:firstLineChars="200"/>
              <w:rPr>
                <w:rFonts w:hint="eastAsia"/>
                <w:color w:val="000000"/>
                <w:sz w:val="24"/>
                <w:szCs w:val="24"/>
              </w:rPr>
            </w:pPr>
            <w:r>
              <w:rPr>
                <w:rFonts w:hint="eastAsia"/>
                <w:color w:val="000000"/>
                <w:sz w:val="24"/>
                <w:szCs w:val="24"/>
              </w:rPr>
              <w:t>本项目</w:t>
            </w:r>
            <w:r>
              <w:rPr>
                <w:rFonts w:hint="eastAsia"/>
                <w:color w:val="000000"/>
                <w:sz w:val="24"/>
                <w:szCs w:val="24"/>
                <w:lang w:val="en-US" w:eastAsia="zh-CN"/>
              </w:rPr>
              <w:t>与相关</w:t>
            </w:r>
            <w:r>
              <w:rPr>
                <w:rFonts w:hint="eastAsia"/>
                <w:color w:val="000000"/>
                <w:sz w:val="24"/>
                <w:szCs w:val="24"/>
              </w:rPr>
              <w:t>生态环境准入要求相符性分析见下表。</w:t>
            </w:r>
          </w:p>
          <w:p w14:paraId="28E78307">
            <w:pPr>
              <w:autoSpaceDE w:val="0"/>
              <w:autoSpaceDN w:val="0"/>
              <w:adjustRightInd w:val="0"/>
              <w:spacing w:line="360" w:lineRule="auto"/>
              <w:ind w:firstLine="480" w:firstLineChars="200"/>
              <w:rPr>
                <w:rFonts w:hint="eastAsia"/>
                <w:color w:val="000000"/>
                <w:kern w:val="0"/>
                <w:sz w:val="24"/>
                <w:szCs w:val="24"/>
              </w:rPr>
            </w:pPr>
          </w:p>
          <w:p w14:paraId="0B31DD51">
            <w:pPr>
              <w:autoSpaceDE w:val="0"/>
              <w:autoSpaceDN w:val="0"/>
              <w:adjustRightInd w:val="0"/>
              <w:spacing w:line="360" w:lineRule="auto"/>
              <w:ind w:firstLine="480" w:firstLineChars="200"/>
              <w:rPr>
                <w:rFonts w:hint="eastAsia"/>
                <w:color w:val="000000"/>
                <w:kern w:val="0"/>
                <w:sz w:val="24"/>
                <w:szCs w:val="24"/>
              </w:rPr>
            </w:pPr>
          </w:p>
          <w:p w14:paraId="6E0470C9">
            <w:pPr>
              <w:autoSpaceDE w:val="0"/>
              <w:autoSpaceDN w:val="0"/>
              <w:adjustRightInd w:val="0"/>
              <w:spacing w:line="360" w:lineRule="auto"/>
              <w:ind w:firstLine="480" w:firstLineChars="200"/>
              <w:rPr>
                <w:rFonts w:hint="eastAsia"/>
                <w:color w:val="000000"/>
                <w:kern w:val="0"/>
                <w:sz w:val="24"/>
                <w:szCs w:val="24"/>
              </w:rPr>
            </w:pPr>
          </w:p>
          <w:p w14:paraId="3FDBA3A8">
            <w:pPr>
              <w:autoSpaceDE w:val="0"/>
              <w:autoSpaceDN w:val="0"/>
              <w:adjustRightInd w:val="0"/>
              <w:spacing w:line="360" w:lineRule="auto"/>
              <w:ind w:firstLine="480" w:firstLineChars="200"/>
              <w:rPr>
                <w:rFonts w:hint="eastAsia"/>
                <w:color w:val="000000"/>
                <w:kern w:val="0"/>
                <w:sz w:val="24"/>
                <w:szCs w:val="24"/>
              </w:rPr>
            </w:pPr>
          </w:p>
          <w:p w14:paraId="0FB15709">
            <w:pPr>
              <w:autoSpaceDE w:val="0"/>
              <w:autoSpaceDN w:val="0"/>
              <w:adjustRightInd w:val="0"/>
              <w:spacing w:line="360" w:lineRule="auto"/>
              <w:ind w:firstLine="480" w:firstLineChars="200"/>
              <w:rPr>
                <w:rFonts w:hint="eastAsia"/>
                <w:color w:val="000000"/>
                <w:kern w:val="0"/>
                <w:sz w:val="24"/>
                <w:szCs w:val="24"/>
              </w:rPr>
            </w:pPr>
          </w:p>
          <w:p w14:paraId="4E4C2616">
            <w:pPr>
              <w:autoSpaceDE w:val="0"/>
              <w:autoSpaceDN w:val="0"/>
              <w:adjustRightInd w:val="0"/>
              <w:spacing w:line="360" w:lineRule="auto"/>
              <w:ind w:firstLine="480" w:firstLineChars="200"/>
              <w:rPr>
                <w:rFonts w:hint="eastAsia"/>
                <w:color w:val="000000"/>
                <w:kern w:val="0"/>
                <w:sz w:val="24"/>
                <w:szCs w:val="24"/>
              </w:rPr>
            </w:pPr>
          </w:p>
          <w:p w14:paraId="39DF5EA9">
            <w:pPr>
              <w:autoSpaceDE w:val="0"/>
              <w:autoSpaceDN w:val="0"/>
              <w:adjustRightInd w:val="0"/>
              <w:spacing w:line="360" w:lineRule="auto"/>
              <w:ind w:firstLine="480" w:firstLineChars="200"/>
              <w:rPr>
                <w:rFonts w:hint="eastAsia"/>
                <w:color w:val="000000"/>
                <w:kern w:val="0"/>
                <w:sz w:val="24"/>
                <w:szCs w:val="24"/>
              </w:rPr>
            </w:pPr>
          </w:p>
          <w:p w14:paraId="1C40EECA">
            <w:pPr>
              <w:pStyle w:val="5"/>
              <w:ind w:firstLine="561"/>
              <w:rPr>
                <w:rFonts w:hint="eastAsia"/>
                <w:color w:val="000000"/>
              </w:rPr>
            </w:pPr>
          </w:p>
        </w:tc>
      </w:tr>
    </w:tbl>
    <w:p w14:paraId="6783B243">
      <w:pPr>
        <w:snapToGrid w:val="0"/>
        <w:jc w:val="center"/>
        <w:rPr>
          <w:rFonts w:hint="eastAsia" w:ascii="黑体" w:hAnsi="黑体" w:eastAsia="黑体"/>
          <w:snapToGrid w:val="0"/>
          <w:color w:val="000000"/>
          <w:sz w:val="10"/>
          <w:szCs w:val="10"/>
        </w:rPr>
      </w:pPr>
    </w:p>
    <w:p w14:paraId="2E9BE829">
      <w:pPr>
        <w:snapToGrid w:val="0"/>
        <w:jc w:val="center"/>
        <w:rPr>
          <w:rFonts w:hint="eastAsia" w:ascii="黑体" w:hAnsi="黑体" w:eastAsia="黑体"/>
          <w:snapToGrid w:val="0"/>
          <w:color w:val="000000"/>
          <w:sz w:val="10"/>
          <w:szCs w:val="10"/>
        </w:rPr>
        <w:sectPr>
          <w:footerReference r:id="rId3" w:type="default"/>
          <w:pgSz w:w="11906" w:h="16838"/>
          <w:pgMar w:top="1701" w:right="1531" w:bottom="1701" w:left="1531" w:header="851" w:footer="992" w:gutter="0"/>
          <w:pgBorders>
            <w:top w:val="none" w:sz="0" w:space="0"/>
            <w:left w:val="none" w:sz="0" w:space="0"/>
            <w:bottom w:val="none" w:sz="0" w:space="0"/>
            <w:right w:val="none" w:sz="0" w:space="0"/>
          </w:pgBorders>
          <w:cols w:space="720" w:num="1"/>
          <w:docGrid w:type="linesAndChars" w:linePitch="312" w:charSpace="117"/>
        </w:sect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673"/>
        <w:gridCol w:w="12933"/>
      </w:tblGrid>
      <w:tr w14:paraId="018A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673" w:type="dxa"/>
            <w:noWrap w:val="0"/>
            <w:vAlign w:val="center"/>
          </w:tcPr>
          <w:p w14:paraId="0743F471">
            <w:pPr>
              <w:spacing w:line="360" w:lineRule="auto"/>
              <w:jc w:val="center"/>
              <w:rPr>
                <w:snapToGrid w:val="0"/>
                <w:color w:val="000000"/>
                <w:sz w:val="24"/>
                <w:szCs w:val="24"/>
              </w:rPr>
            </w:pPr>
            <w:r>
              <w:rPr>
                <w:color w:val="000000"/>
                <w:kern w:val="0"/>
                <w:sz w:val="24"/>
                <w:szCs w:val="24"/>
              </w:rPr>
              <w:t>其他符合性分析</w:t>
            </w:r>
          </w:p>
        </w:tc>
        <w:tc>
          <w:tcPr>
            <w:tcW w:w="12933" w:type="dxa"/>
            <w:noWrap w:val="0"/>
            <w:vAlign w:val="top"/>
          </w:tcPr>
          <w:p w14:paraId="2AFDF808">
            <w:pPr>
              <w:spacing w:before="93" w:beforeLines="30"/>
              <w:jc w:val="center"/>
              <w:rPr>
                <w:rFonts w:hint="eastAsia" w:ascii="黑体" w:hAnsi="黑体" w:eastAsia="黑体"/>
                <w:color w:val="000000"/>
                <w:sz w:val="24"/>
                <w:szCs w:val="24"/>
              </w:rPr>
            </w:pPr>
            <w:r>
              <w:rPr>
                <w:rFonts w:hint="eastAsia" w:ascii="黑体" w:hAnsi="黑体" w:eastAsia="黑体"/>
                <w:color w:val="000000"/>
                <w:sz w:val="24"/>
                <w:szCs w:val="24"/>
              </w:rPr>
              <w:t>表</w:t>
            </w:r>
            <w:r>
              <w:rPr>
                <w:rFonts w:hint="eastAsia" w:ascii="黑体" w:hAnsi="黑体" w:eastAsia="黑体"/>
                <w:color w:val="000000"/>
                <w:sz w:val="24"/>
                <w:szCs w:val="24"/>
                <w:lang w:val="en-US" w:eastAsia="zh-CN"/>
              </w:rPr>
              <w:t>3</w:t>
            </w:r>
            <w:r>
              <w:rPr>
                <w:rFonts w:hint="eastAsia" w:ascii="黑体" w:hAnsi="黑体" w:eastAsia="黑体"/>
                <w:color w:val="000000"/>
                <w:sz w:val="24"/>
                <w:szCs w:val="24"/>
              </w:rPr>
              <w:t xml:space="preserve">    项目</w:t>
            </w:r>
            <w:r>
              <w:rPr>
                <w:rFonts w:ascii="黑体" w:hAnsi="黑体" w:eastAsia="黑体"/>
                <w:color w:val="000000"/>
                <w:sz w:val="24"/>
                <w:szCs w:val="24"/>
              </w:rPr>
              <w:t>与</w:t>
            </w:r>
            <w:r>
              <w:rPr>
                <w:rFonts w:hint="eastAsia" w:ascii="黑体" w:hAnsi="黑体" w:eastAsia="黑体"/>
                <w:color w:val="000000"/>
                <w:sz w:val="24"/>
                <w:szCs w:val="24"/>
              </w:rPr>
              <w:t>河南省环境管控单元</w:t>
            </w:r>
            <w:r>
              <w:rPr>
                <w:rFonts w:ascii="黑体" w:hAnsi="黑体" w:eastAsia="黑体"/>
                <w:color w:val="000000"/>
                <w:sz w:val="24"/>
                <w:szCs w:val="24"/>
              </w:rPr>
              <w:t>相符性</w:t>
            </w:r>
            <w:r>
              <w:rPr>
                <w:rFonts w:hint="eastAsia" w:ascii="黑体" w:hAnsi="黑体" w:eastAsia="黑体"/>
                <w:color w:val="000000"/>
                <w:sz w:val="24"/>
                <w:szCs w:val="24"/>
              </w:rPr>
              <w:t>分析一览表</w:t>
            </w:r>
          </w:p>
          <w:tbl>
            <w:tblPr>
              <w:tblStyle w:val="18"/>
              <w:tblW w:w="497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
            <w:tblGrid>
              <w:gridCol w:w="785"/>
              <w:gridCol w:w="740"/>
              <w:gridCol w:w="550"/>
              <w:gridCol w:w="475"/>
              <w:gridCol w:w="512"/>
              <w:gridCol w:w="589"/>
              <w:gridCol w:w="5460"/>
              <w:gridCol w:w="3264"/>
              <w:gridCol w:w="324"/>
            </w:tblGrid>
            <w:tr w14:paraId="7BD9C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309" w:type="pct"/>
                  <w:vMerge w:val="restart"/>
                  <w:noWrap w:val="0"/>
                  <w:vAlign w:val="center"/>
                </w:tcPr>
                <w:p w14:paraId="50D1AFAC">
                  <w:pPr>
                    <w:pStyle w:val="54"/>
                    <w:widowControl/>
                    <w:kinsoku w:val="0"/>
                    <w:autoSpaceDE w:val="0"/>
                    <w:autoSpaceDN w:val="0"/>
                    <w:adjustRightInd w:val="0"/>
                    <w:jc w:val="center"/>
                    <w:textAlignment w:val="baseline"/>
                    <w:rPr>
                      <w:rFonts w:ascii="Times New Roman" w:hAnsi="Times New Roman" w:cs="Times New Roman"/>
                      <w:snapToGrid w:val="0"/>
                      <w:color w:val="000000"/>
                      <w:kern w:val="0"/>
                      <w:sz w:val="21"/>
                      <w:szCs w:val="21"/>
                      <w:u w:val="single"/>
                    </w:rPr>
                  </w:pPr>
                  <w:r>
                    <w:rPr>
                      <w:rFonts w:ascii="Times New Roman" w:hAnsi="Times New Roman" w:cs="Times New Roman"/>
                      <w:color w:val="000000"/>
                      <w:spacing w:val="-5"/>
                      <w:sz w:val="21"/>
                      <w:szCs w:val="21"/>
                      <w:u w:val="single"/>
                    </w:rPr>
                    <w:t>环境管控单元</w:t>
                  </w:r>
                  <w:r>
                    <w:rPr>
                      <w:rFonts w:ascii="Times New Roman" w:hAnsi="Times New Roman" w:cs="Times New Roman"/>
                      <w:color w:val="000000"/>
                      <w:spacing w:val="-9"/>
                      <w:sz w:val="21"/>
                      <w:szCs w:val="21"/>
                      <w:u w:val="single"/>
                    </w:rPr>
                    <w:t>编码</w:t>
                  </w:r>
                </w:p>
              </w:tc>
              <w:tc>
                <w:tcPr>
                  <w:tcW w:w="291" w:type="pct"/>
                  <w:vMerge w:val="restart"/>
                  <w:noWrap w:val="0"/>
                  <w:vAlign w:val="center"/>
                </w:tcPr>
                <w:p w14:paraId="3D4B510D">
                  <w:pPr>
                    <w:pStyle w:val="54"/>
                    <w:widowControl/>
                    <w:kinsoku w:val="0"/>
                    <w:autoSpaceDE w:val="0"/>
                    <w:autoSpaceDN w:val="0"/>
                    <w:adjustRightInd w:val="0"/>
                    <w:jc w:val="center"/>
                    <w:textAlignment w:val="baseline"/>
                    <w:rPr>
                      <w:rFonts w:ascii="Times New Roman" w:hAnsi="Times New Roman" w:cs="Times New Roman"/>
                      <w:snapToGrid w:val="0"/>
                      <w:color w:val="000000"/>
                      <w:kern w:val="0"/>
                      <w:sz w:val="21"/>
                      <w:szCs w:val="21"/>
                      <w:u w:val="single"/>
                    </w:rPr>
                  </w:pPr>
                  <w:r>
                    <w:rPr>
                      <w:rFonts w:ascii="Times New Roman" w:hAnsi="Times New Roman" w:cs="Times New Roman"/>
                      <w:color w:val="000000"/>
                      <w:spacing w:val="-5"/>
                      <w:sz w:val="21"/>
                      <w:szCs w:val="21"/>
                      <w:u w:val="single"/>
                    </w:rPr>
                    <w:t>环境管控单元</w:t>
                  </w:r>
                  <w:r>
                    <w:rPr>
                      <w:rFonts w:ascii="Times New Roman" w:hAnsi="Times New Roman" w:cs="Times New Roman"/>
                      <w:color w:val="000000"/>
                      <w:spacing w:val="-9"/>
                      <w:sz w:val="21"/>
                      <w:szCs w:val="21"/>
                      <w:u w:val="single"/>
                    </w:rPr>
                    <w:t>名称</w:t>
                  </w:r>
                </w:p>
              </w:tc>
              <w:tc>
                <w:tcPr>
                  <w:tcW w:w="216" w:type="pct"/>
                  <w:vMerge w:val="restart"/>
                  <w:noWrap w:val="0"/>
                  <w:vAlign w:val="center"/>
                </w:tcPr>
                <w:p w14:paraId="602ABD2F">
                  <w:pPr>
                    <w:pStyle w:val="54"/>
                    <w:widowControl/>
                    <w:kinsoku w:val="0"/>
                    <w:autoSpaceDE w:val="0"/>
                    <w:autoSpaceDN w:val="0"/>
                    <w:adjustRightInd w:val="0"/>
                    <w:jc w:val="center"/>
                    <w:textAlignment w:val="baseline"/>
                    <w:rPr>
                      <w:rFonts w:ascii="Times New Roman" w:hAnsi="Times New Roman" w:cs="Times New Roman"/>
                      <w:snapToGrid w:val="0"/>
                      <w:color w:val="000000"/>
                      <w:kern w:val="0"/>
                      <w:sz w:val="21"/>
                      <w:szCs w:val="21"/>
                      <w:u w:val="single"/>
                    </w:rPr>
                  </w:pPr>
                  <w:r>
                    <w:rPr>
                      <w:rFonts w:ascii="Times New Roman" w:hAnsi="Times New Roman" w:cs="Times New Roman"/>
                      <w:color w:val="000000"/>
                      <w:spacing w:val="-7"/>
                      <w:sz w:val="21"/>
                      <w:szCs w:val="21"/>
                      <w:u w:val="single"/>
                    </w:rPr>
                    <w:t>管控分</w:t>
                  </w:r>
                  <w:r>
                    <w:rPr>
                      <w:rFonts w:ascii="Times New Roman" w:hAnsi="Times New Roman" w:cs="Times New Roman"/>
                      <w:color w:val="000000"/>
                      <w:spacing w:val="-3"/>
                      <w:sz w:val="21"/>
                      <w:szCs w:val="21"/>
                      <w:u w:val="single"/>
                    </w:rPr>
                    <w:t>类</w:t>
                  </w:r>
                </w:p>
              </w:tc>
              <w:tc>
                <w:tcPr>
                  <w:tcW w:w="388" w:type="pct"/>
                  <w:gridSpan w:val="2"/>
                  <w:noWrap w:val="0"/>
                  <w:vAlign w:val="center"/>
                </w:tcPr>
                <w:p w14:paraId="582D8759">
                  <w:pPr>
                    <w:pStyle w:val="54"/>
                    <w:widowControl/>
                    <w:kinsoku w:val="0"/>
                    <w:autoSpaceDE w:val="0"/>
                    <w:autoSpaceDN w:val="0"/>
                    <w:adjustRightInd w:val="0"/>
                    <w:jc w:val="center"/>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行政区划</w:t>
                  </w:r>
                </w:p>
              </w:tc>
              <w:tc>
                <w:tcPr>
                  <w:tcW w:w="2381" w:type="pct"/>
                  <w:gridSpan w:val="2"/>
                  <w:vMerge w:val="restart"/>
                  <w:noWrap w:val="0"/>
                  <w:vAlign w:val="center"/>
                </w:tcPr>
                <w:p w14:paraId="2D8DFD04">
                  <w:pPr>
                    <w:pStyle w:val="54"/>
                    <w:widowControl/>
                    <w:kinsoku w:val="0"/>
                    <w:autoSpaceDE w:val="0"/>
                    <w:autoSpaceDN w:val="0"/>
                    <w:adjustRightInd w:val="0"/>
                    <w:jc w:val="center"/>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管控要求</w:t>
                  </w:r>
                </w:p>
              </w:tc>
              <w:tc>
                <w:tcPr>
                  <w:tcW w:w="1285" w:type="pct"/>
                  <w:vMerge w:val="restart"/>
                  <w:noWrap w:val="0"/>
                  <w:vAlign w:val="center"/>
                </w:tcPr>
                <w:p w14:paraId="7C80C4CB">
                  <w:pPr>
                    <w:pStyle w:val="54"/>
                    <w:widowControl/>
                    <w:kinsoku w:val="0"/>
                    <w:autoSpaceDE w:val="0"/>
                    <w:autoSpaceDN w:val="0"/>
                    <w:adjustRightInd w:val="0"/>
                    <w:jc w:val="center"/>
                    <w:textAlignment w:val="baseline"/>
                    <w:rPr>
                      <w:rFonts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本项目情况</w:t>
                  </w:r>
                </w:p>
              </w:tc>
              <w:tc>
                <w:tcPr>
                  <w:tcW w:w="127" w:type="pct"/>
                  <w:vMerge w:val="restart"/>
                  <w:noWrap w:val="0"/>
                  <w:vAlign w:val="center"/>
                </w:tcPr>
                <w:p w14:paraId="1EF7F663">
                  <w:pPr>
                    <w:pStyle w:val="54"/>
                    <w:widowControl/>
                    <w:kinsoku w:val="0"/>
                    <w:autoSpaceDE w:val="0"/>
                    <w:autoSpaceDN w:val="0"/>
                    <w:adjustRightInd w:val="0"/>
                    <w:jc w:val="center"/>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相符性</w:t>
                  </w:r>
                </w:p>
              </w:tc>
            </w:tr>
            <w:tr w14:paraId="4CAF3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309" w:type="pct"/>
                  <w:vMerge w:val="continue"/>
                  <w:noWrap w:val="0"/>
                  <w:vAlign w:val="center"/>
                </w:tcPr>
                <w:p w14:paraId="5DF73561">
                  <w:pPr>
                    <w:pStyle w:val="54"/>
                    <w:widowControl/>
                    <w:kinsoku w:val="0"/>
                    <w:autoSpaceDE w:val="0"/>
                    <w:autoSpaceDN w:val="0"/>
                    <w:adjustRightInd w:val="0"/>
                    <w:jc w:val="center"/>
                    <w:textAlignment w:val="baseline"/>
                    <w:rPr>
                      <w:rFonts w:ascii="Times New Roman" w:hAnsi="Times New Roman" w:cs="Times New Roman"/>
                      <w:snapToGrid w:val="0"/>
                      <w:color w:val="000000"/>
                      <w:kern w:val="0"/>
                      <w:sz w:val="21"/>
                      <w:szCs w:val="21"/>
                      <w:u w:val="single"/>
                    </w:rPr>
                  </w:pPr>
                </w:p>
              </w:tc>
              <w:tc>
                <w:tcPr>
                  <w:tcW w:w="291" w:type="pct"/>
                  <w:vMerge w:val="continue"/>
                  <w:noWrap w:val="0"/>
                  <w:vAlign w:val="center"/>
                </w:tcPr>
                <w:p w14:paraId="3C3F69CD">
                  <w:pPr>
                    <w:pStyle w:val="54"/>
                    <w:widowControl/>
                    <w:kinsoku w:val="0"/>
                    <w:autoSpaceDE w:val="0"/>
                    <w:autoSpaceDN w:val="0"/>
                    <w:adjustRightInd w:val="0"/>
                    <w:jc w:val="center"/>
                    <w:textAlignment w:val="baseline"/>
                    <w:rPr>
                      <w:rFonts w:ascii="Times New Roman" w:hAnsi="Times New Roman" w:cs="Times New Roman"/>
                      <w:snapToGrid w:val="0"/>
                      <w:color w:val="000000"/>
                      <w:kern w:val="0"/>
                      <w:sz w:val="21"/>
                      <w:szCs w:val="21"/>
                      <w:u w:val="single"/>
                    </w:rPr>
                  </w:pPr>
                </w:p>
              </w:tc>
              <w:tc>
                <w:tcPr>
                  <w:tcW w:w="216" w:type="pct"/>
                  <w:vMerge w:val="continue"/>
                  <w:noWrap w:val="0"/>
                  <w:vAlign w:val="center"/>
                </w:tcPr>
                <w:p w14:paraId="74C8368A">
                  <w:pPr>
                    <w:pStyle w:val="54"/>
                    <w:widowControl/>
                    <w:kinsoku w:val="0"/>
                    <w:autoSpaceDE w:val="0"/>
                    <w:autoSpaceDN w:val="0"/>
                    <w:adjustRightInd w:val="0"/>
                    <w:jc w:val="center"/>
                    <w:textAlignment w:val="baseline"/>
                    <w:rPr>
                      <w:rFonts w:ascii="Times New Roman" w:hAnsi="Times New Roman" w:cs="Times New Roman"/>
                      <w:snapToGrid w:val="0"/>
                      <w:color w:val="000000"/>
                      <w:kern w:val="0"/>
                      <w:sz w:val="21"/>
                      <w:szCs w:val="21"/>
                      <w:u w:val="single"/>
                    </w:rPr>
                  </w:pPr>
                </w:p>
              </w:tc>
              <w:tc>
                <w:tcPr>
                  <w:tcW w:w="186" w:type="pct"/>
                  <w:noWrap w:val="0"/>
                  <w:vAlign w:val="center"/>
                </w:tcPr>
                <w:p w14:paraId="21339E20">
                  <w:pPr>
                    <w:pStyle w:val="54"/>
                    <w:widowControl/>
                    <w:kinsoku w:val="0"/>
                    <w:autoSpaceDE w:val="0"/>
                    <w:autoSpaceDN w:val="0"/>
                    <w:adjustRightInd w:val="0"/>
                    <w:jc w:val="center"/>
                    <w:textAlignment w:val="baseline"/>
                    <w:rPr>
                      <w:rFonts w:ascii="Times New Roman" w:hAnsi="Times New Roman" w:cs="Times New Roman"/>
                      <w:snapToGrid w:val="0"/>
                      <w:color w:val="000000"/>
                      <w:kern w:val="0"/>
                      <w:sz w:val="21"/>
                      <w:szCs w:val="21"/>
                      <w:u w:val="single"/>
                    </w:rPr>
                  </w:pPr>
                  <w:r>
                    <w:rPr>
                      <w:rFonts w:ascii="Times New Roman" w:hAnsi="Times New Roman" w:cs="Times New Roman"/>
                      <w:color w:val="000000"/>
                      <w:spacing w:val="-3"/>
                      <w:sz w:val="21"/>
                      <w:szCs w:val="21"/>
                      <w:u w:val="single"/>
                    </w:rPr>
                    <w:t>市</w:t>
                  </w:r>
                </w:p>
              </w:tc>
              <w:tc>
                <w:tcPr>
                  <w:tcW w:w="201" w:type="pct"/>
                  <w:noWrap w:val="0"/>
                  <w:vAlign w:val="center"/>
                </w:tcPr>
                <w:p w14:paraId="7D29479E">
                  <w:pPr>
                    <w:pStyle w:val="54"/>
                    <w:widowControl/>
                    <w:kinsoku w:val="0"/>
                    <w:autoSpaceDE w:val="0"/>
                    <w:autoSpaceDN w:val="0"/>
                    <w:adjustRightInd w:val="0"/>
                    <w:jc w:val="center"/>
                    <w:textAlignment w:val="baseline"/>
                    <w:rPr>
                      <w:rFonts w:ascii="Times New Roman" w:hAnsi="Times New Roman" w:cs="Times New Roman"/>
                      <w:snapToGrid w:val="0"/>
                      <w:color w:val="000000"/>
                      <w:kern w:val="0"/>
                      <w:sz w:val="21"/>
                      <w:szCs w:val="21"/>
                      <w:u w:val="single"/>
                    </w:rPr>
                  </w:pPr>
                  <w:r>
                    <w:rPr>
                      <w:rFonts w:ascii="Times New Roman" w:hAnsi="Times New Roman" w:cs="Times New Roman"/>
                      <w:color w:val="000000"/>
                      <w:spacing w:val="-17"/>
                      <w:sz w:val="21"/>
                      <w:szCs w:val="21"/>
                      <w:u w:val="single"/>
                    </w:rPr>
                    <w:t>区县</w:t>
                  </w:r>
                </w:p>
              </w:tc>
              <w:tc>
                <w:tcPr>
                  <w:tcW w:w="2381" w:type="pct"/>
                  <w:gridSpan w:val="2"/>
                  <w:vMerge w:val="continue"/>
                  <w:noWrap w:val="0"/>
                  <w:vAlign w:val="center"/>
                </w:tcPr>
                <w:p w14:paraId="23A1D020">
                  <w:pPr>
                    <w:pStyle w:val="54"/>
                    <w:widowControl/>
                    <w:kinsoku w:val="0"/>
                    <w:autoSpaceDE w:val="0"/>
                    <w:autoSpaceDN w:val="0"/>
                    <w:adjustRightInd w:val="0"/>
                    <w:jc w:val="center"/>
                    <w:textAlignment w:val="baseline"/>
                    <w:rPr>
                      <w:rFonts w:ascii="Times New Roman" w:hAnsi="Times New Roman" w:cs="Times New Roman"/>
                      <w:color w:val="000000"/>
                      <w:sz w:val="21"/>
                      <w:szCs w:val="21"/>
                      <w:u w:val="single"/>
                    </w:rPr>
                  </w:pPr>
                </w:p>
              </w:tc>
              <w:tc>
                <w:tcPr>
                  <w:tcW w:w="1285" w:type="pct"/>
                  <w:vMerge w:val="continue"/>
                  <w:noWrap w:val="0"/>
                  <w:vAlign w:val="center"/>
                </w:tcPr>
                <w:p w14:paraId="402B77F8">
                  <w:pPr>
                    <w:pStyle w:val="54"/>
                    <w:widowControl/>
                    <w:kinsoku w:val="0"/>
                    <w:autoSpaceDE w:val="0"/>
                    <w:autoSpaceDN w:val="0"/>
                    <w:adjustRightInd w:val="0"/>
                    <w:jc w:val="center"/>
                    <w:textAlignment w:val="baseline"/>
                    <w:rPr>
                      <w:rFonts w:ascii="Times New Roman" w:hAnsi="Times New Roman" w:cs="Times New Roman"/>
                      <w:color w:val="000000"/>
                      <w:sz w:val="21"/>
                      <w:szCs w:val="21"/>
                      <w:u w:val="single"/>
                    </w:rPr>
                  </w:pPr>
                </w:p>
              </w:tc>
              <w:tc>
                <w:tcPr>
                  <w:tcW w:w="127" w:type="pct"/>
                  <w:vMerge w:val="continue"/>
                  <w:noWrap w:val="0"/>
                  <w:vAlign w:val="center"/>
                </w:tcPr>
                <w:p w14:paraId="3E2643D9">
                  <w:pPr>
                    <w:pStyle w:val="54"/>
                    <w:widowControl/>
                    <w:kinsoku w:val="0"/>
                    <w:autoSpaceDE w:val="0"/>
                    <w:autoSpaceDN w:val="0"/>
                    <w:adjustRightInd w:val="0"/>
                    <w:jc w:val="center"/>
                    <w:textAlignment w:val="baseline"/>
                    <w:rPr>
                      <w:rFonts w:ascii="Times New Roman" w:hAnsi="Times New Roman" w:cs="Times New Roman"/>
                      <w:color w:val="000000"/>
                      <w:sz w:val="21"/>
                      <w:szCs w:val="21"/>
                      <w:u w:val="single"/>
                    </w:rPr>
                  </w:pPr>
                </w:p>
              </w:tc>
            </w:tr>
            <w:tr w14:paraId="0731C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309" w:type="pct"/>
                  <w:vMerge w:val="restart"/>
                  <w:noWrap w:val="0"/>
                  <w:vAlign w:val="center"/>
                </w:tcPr>
                <w:p w14:paraId="05130D75">
                  <w:pPr>
                    <w:pStyle w:val="54"/>
                    <w:widowControl/>
                    <w:autoSpaceDE w:val="0"/>
                    <w:autoSpaceDN w:val="0"/>
                    <w:adjustRightInd w:val="0"/>
                    <w:jc w:val="center"/>
                    <w:textAlignment w:val="baseline"/>
                    <w:rPr>
                      <w:rFonts w:ascii="Times New Roman" w:hAnsi="Times New Roman" w:eastAsia="宋体" w:cs="Times New Roman"/>
                      <w:color w:val="000000"/>
                      <w:sz w:val="21"/>
                      <w:szCs w:val="21"/>
                      <w:u w:val="single"/>
                    </w:rPr>
                  </w:pPr>
                  <w:r>
                    <w:rPr>
                      <w:rFonts w:ascii="Times New Roman" w:hAnsi="Times New Roman" w:eastAsia="宋体" w:cs="Times New Roman"/>
                      <w:color w:val="000000"/>
                      <w:sz w:val="21"/>
                      <w:szCs w:val="21"/>
                      <w:u w:val="single"/>
                    </w:rPr>
                    <w:t>ZH41030720001</w:t>
                  </w:r>
                </w:p>
              </w:tc>
              <w:tc>
                <w:tcPr>
                  <w:tcW w:w="291" w:type="pct"/>
                  <w:vMerge w:val="restart"/>
                  <w:noWrap w:val="0"/>
                  <w:vAlign w:val="center"/>
                </w:tcPr>
                <w:p w14:paraId="1972FBA7">
                  <w:pPr>
                    <w:pStyle w:val="54"/>
                    <w:widowControl/>
                    <w:autoSpaceDE w:val="0"/>
                    <w:autoSpaceDN w:val="0"/>
                    <w:adjustRightInd w:val="0"/>
                    <w:jc w:val="center"/>
                    <w:textAlignment w:val="baseline"/>
                    <w:rPr>
                      <w:rFonts w:ascii="Times New Roman" w:hAnsi="Times New Roman" w:eastAsia="宋体" w:cs="Times New Roman"/>
                      <w:color w:val="000000"/>
                      <w:sz w:val="21"/>
                      <w:szCs w:val="21"/>
                      <w:u w:val="single"/>
                    </w:rPr>
                  </w:pPr>
                  <w:r>
                    <w:rPr>
                      <w:rFonts w:ascii="Times New Roman" w:hAnsi="Times New Roman" w:eastAsia="宋体" w:cs="Times New Roman"/>
                      <w:color w:val="000000"/>
                      <w:sz w:val="21"/>
                      <w:szCs w:val="21"/>
                      <w:u w:val="single"/>
                    </w:rPr>
                    <w:t>洛阳偃师区先进制造业开发区</w:t>
                  </w:r>
                </w:p>
              </w:tc>
              <w:tc>
                <w:tcPr>
                  <w:tcW w:w="216" w:type="pct"/>
                  <w:vMerge w:val="restart"/>
                  <w:noWrap w:val="0"/>
                  <w:vAlign w:val="center"/>
                </w:tcPr>
                <w:p w14:paraId="62962232">
                  <w:pPr>
                    <w:pStyle w:val="54"/>
                    <w:widowControl/>
                    <w:autoSpaceDE w:val="0"/>
                    <w:autoSpaceDN w:val="0"/>
                    <w:adjustRightInd w:val="0"/>
                    <w:jc w:val="center"/>
                    <w:textAlignment w:val="baseline"/>
                    <w:rPr>
                      <w:rFonts w:hint="eastAsia" w:ascii="Times New Roman" w:hAnsi="Times New Roman" w:cs="Times New Roman"/>
                      <w:color w:val="000000"/>
                      <w:sz w:val="21"/>
                      <w:szCs w:val="21"/>
                      <w:u w:val="single"/>
                      <w:lang w:eastAsia="zh-CN"/>
                    </w:rPr>
                  </w:pPr>
                  <w:r>
                    <w:rPr>
                      <w:rFonts w:ascii="Times New Roman" w:hAnsi="Times New Roman" w:cs="Times New Roman"/>
                      <w:color w:val="000000"/>
                      <w:sz w:val="21"/>
                      <w:szCs w:val="21"/>
                      <w:u w:val="single"/>
                    </w:rPr>
                    <w:t>重点</w:t>
                  </w:r>
                </w:p>
              </w:tc>
              <w:tc>
                <w:tcPr>
                  <w:tcW w:w="186" w:type="pct"/>
                  <w:vMerge w:val="restart"/>
                  <w:noWrap w:val="0"/>
                  <w:vAlign w:val="center"/>
                </w:tcPr>
                <w:p w14:paraId="7EAB09CC">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r>
                    <w:rPr>
                      <w:rFonts w:ascii="Times New Roman" w:hAnsi="Times New Roman" w:cs="Times New Roman"/>
                      <w:color w:val="000000"/>
                      <w:sz w:val="21"/>
                      <w:szCs w:val="21"/>
                      <w:u w:val="single"/>
                    </w:rPr>
                    <w:t>洛阳市</w:t>
                  </w:r>
                </w:p>
              </w:tc>
              <w:tc>
                <w:tcPr>
                  <w:tcW w:w="201" w:type="pct"/>
                  <w:vMerge w:val="restart"/>
                  <w:noWrap w:val="0"/>
                  <w:vAlign w:val="center"/>
                </w:tcPr>
                <w:p w14:paraId="78C0D366">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r>
                    <w:rPr>
                      <w:rFonts w:ascii="Times New Roman" w:hAnsi="Times New Roman" w:cs="Times New Roman"/>
                      <w:color w:val="000000"/>
                      <w:sz w:val="21"/>
                      <w:szCs w:val="21"/>
                      <w:u w:val="single"/>
                    </w:rPr>
                    <w:t>偃师区</w:t>
                  </w:r>
                </w:p>
              </w:tc>
              <w:tc>
                <w:tcPr>
                  <w:tcW w:w="231" w:type="pct"/>
                  <w:noWrap w:val="0"/>
                  <w:vAlign w:val="center"/>
                </w:tcPr>
                <w:p w14:paraId="0B26436E">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r>
                    <w:rPr>
                      <w:rFonts w:ascii="Times New Roman" w:hAnsi="Times New Roman" w:cs="Times New Roman"/>
                      <w:color w:val="000000"/>
                      <w:spacing w:val="-7"/>
                      <w:sz w:val="21"/>
                      <w:szCs w:val="21"/>
                      <w:u w:val="single"/>
                    </w:rPr>
                    <w:t>空间布局</w:t>
                  </w:r>
                  <w:r>
                    <w:rPr>
                      <w:rFonts w:ascii="Times New Roman" w:hAnsi="Times New Roman" w:cs="Times New Roman"/>
                      <w:color w:val="000000"/>
                      <w:spacing w:val="-11"/>
                      <w:sz w:val="21"/>
                      <w:szCs w:val="21"/>
                      <w:u w:val="single"/>
                    </w:rPr>
                    <w:t>约束</w:t>
                  </w:r>
                </w:p>
              </w:tc>
              <w:tc>
                <w:tcPr>
                  <w:tcW w:w="2150" w:type="pct"/>
                  <w:noWrap w:val="0"/>
                  <w:vAlign w:val="center"/>
                </w:tcPr>
                <w:p w14:paraId="687867E9">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eastAsia="宋体" w:cs="Times New Roman"/>
                      <w:color w:val="000000"/>
                      <w:kern w:val="2"/>
                      <w:sz w:val="21"/>
                      <w:szCs w:val="21"/>
                      <w:u w:val="single"/>
                      <w:lang w:val="en-US" w:eastAsia="zh-CN" w:bidi="ar-SA"/>
                    </w:rPr>
                    <w:t>1、</w:t>
                  </w:r>
                  <w:r>
                    <w:rPr>
                      <w:rFonts w:hint="eastAsia" w:ascii="Times New Roman" w:hAnsi="Times New Roman" w:cs="Times New Roman"/>
                      <w:color w:val="000000"/>
                      <w:sz w:val="21"/>
                      <w:szCs w:val="21"/>
                      <w:u w:val="single"/>
                      <w:lang w:eastAsia="zh-CN"/>
                    </w:rPr>
                    <w:t>入驻项目应符合园区规划或规划环评的要求。</w:t>
                  </w:r>
                </w:p>
                <w:p w14:paraId="58D0B356">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2、重点发展节能环保装备制造、新能源、新材料（含化工）等产业，建设高新技术示范基地和科技成果转化示范区。</w:t>
                  </w:r>
                </w:p>
                <w:p w14:paraId="3F937624">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3、禁止《产业结构调整指导目录》淘汰类项目入驻。</w:t>
                  </w:r>
                </w:p>
                <w:p w14:paraId="323797AF">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4、禁止新建燃煤、重油及高污染燃料的锅炉项目，锅炉应采用清洁能源。</w:t>
                  </w:r>
                </w:p>
                <w:p w14:paraId="21436E0E">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5、在开发区实现集中供热之后，在保障各企业工业用蒸汽的等级、压力及用汽的连续性的基础上，原则上不再新增分散式燃气锅炉项目。</w:t>
                  </w:r>
                </w:p>
                <w:p w14:paraId="3E61E425">
                  <w:pPr>
                    <w:pStyle w:val="54"/>
                    <w:widowControl/>
                    <w:numPr>
                      <w:ilvl w:val="0"/>
                      <w:numId w:val="0"/>
                    </w:numPr>
                    <w:autoSpaceDE w:val="0"/>
                    <w:autoSpaceDN w:val="0"/>
                    <w:adjustRightInd w:val="0"/>
                    <w:textAlignment w:val="baseline"/>
                    <w:rPr>
                      <w:rFonts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6、新建、改建、扩建“两高”项目应采用先进的工艺技术和装备，符合国家、省、市“两高”项目相关管理要求。</w:t>
                  </w:r>
                </w:p>
              </w:tc>
              <w:tc>
                <w:tcPr>
                  <w:tcW w:w="1285" w:type="pct"/>
                  <w:noWrap w:val="0"/>
                  <w:vAlign w:val="center"/>
                </w:tcPr>
                <w:p w14:paraId="331AB8F4">
                  <w:pPr>
                    <w:pStyle w:val="54"/>
                    <w:widowControl/>
                    <w:autoSpaceDE w:val="0"/>
                    <w:autoSpaceDN w:val="0"/>
                    <w:adjustRightInd w:val="0"/>
                    <w:textAlignment w:val="baseline"/>
                    <w:rPr>
                      <w:rFonts w:hint="eastAsia" w:ascii="Times New Roman" w:hAnsi="Times New Roman" w:eastAsia="宋体" w:cs="Times New Roman"/>
                      <w:color w:val="000000"/>
                      <w:sz w:val="21"/>
                      <w:szCs w:val="21"/>
                      <w:u w:val="single"/>
                      <w:lang w:eastAsia="zh-CN"/>
                    </w:rPr>
                  </w:pPr>
                  <w:r>
                    <w:rPr>
                      <w:rFonts w:hint="eastAsia" w:ascii="Times New Roman" w:hAnsi="Times New Roman" w:cs="Times New Roman"/>
                      <w:color w:val="000000"/>
                      <w:sz w:val="21"/>
                      <w:szCs w:val="21"/>
                      <w:u w:val="single"/>
                      <w:lang w:val="en-US" w:eastAsia="zh-CN"/>
                    </w:rPr>
                    <w:t>1、</w:t>
                  </w:r>
                  <w:r>
                    <w:rPr>
                      <w:rFonts w:hint="eastAsia" w:ascii="Times New Roman" w:hAnsi="Times New Roman" w:cs="Times New Roman"/>
                      <w:color w:val="000000"/>
                      <w:sz w:val="21"/>
                      <w:szCs w:val="21"/>
                      <w:u w:val="single"/>
                    </w:rPr>
                    <w:t>本项目符合园区规划和规划环评的相关内容要求</w:t>
                  </w:r>
                  <w:r>
                    <w:rPr>
                      <w:rFonts w:hint="eastAsia" w:ascii="Times New Roman" w:hAnsi="Times New Roman" w:cs="Times New Roman"/>
                      <w:color w:val="000000"/>
                      <w:sz w:val="21"/>
                      <w:szCs w:val="21"/>
                      <w:u w:val="single"/>
                      <w:lang w:eastAsia="zh-CN"/>
                    </w:rPr>
                    <w:t>。</w:t>
                  </w:r>
                </w:p>
                <w:p w14:paraId="332F165D">
                  <w:pPr>
                    <w:pStyle w:val="54"/>
                    <w:widowControl/>
                    <w:autoSpaceDE w:val="0"/>
                    <w:autoSpaceDN w:val="0"/>
                    <w:adjustRightInd w:val="0"/>
                    <w:textAlignment w:val="baseline"/>
                    <w:rPr>
                      <w:rFonts w:hint="eastAsia"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2、本项目所属行业为塑料鞋制造、其他塑料制品制造，主要产品为塑料鞋底、塑料颗粒料，与开发区主导产业具有一定的相关性，不违背开发区产业定位。</w:t>
                  </w:r>
                </w:p>
                <w:p w14:paraId="6EBA5AD5">
                  <w:pPr>
                    <w:pStyle w:val="54"/>
                    <w:widowControl/>
                    <w:autoSpaceDE w:val="0"/>
                    <w:autoSpaceDN w:val="0"/>
                    <w:adjustRightInd w:val="0"/>
                    <w:textAlignment w:val="baseline"/>
                    <w:rPr>
                      <w:rFonts w:hint="eastAsia"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3、本项目不属于《产业结构调整指导目录》（2024版）淘汰类项目。</w:t>
                  </w:r>
                </w:p>
                <w:p w14:paraId="20CD17E7">
                  <w:pPr>
                    <w:pStyle w:val="54"/>
                    <w:widowControl/>
                    <w:autoSpaceDE w:val="0"/>
                    <w:autoSpaceDN w:val="0"/>
                    <w:adjustRightInd w:val="0"/>
                    <w:textAlignment w:val="baseline"/>
                    <w:rPr>
                      <w:rFonts w:hint="eastAsia"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4、本项目不涉及锅炉</w:t>
                  </w:r>
                </w:p>
                <w:p w14:paraId="47A549FC">
                  <w:pPr>
                    <w:pStyle w:val="54"/>
                    <w:widowControl/>
                    <w:autoSpaceDE w:val="0"/>
                    <w:autoSpaceDN w:val="0"/>
                    <w:adjustRightInd w:val="0"/>
                    <w:textAlignment w:val="baseline"/>
                    <w:rPr>
                      <w:rFonts w:hint="eastAsia"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5、本项目不涉及锅炉；</w:t>
                  </w:r>
                </w:p>
                <w:p w14:paraId="1C1957E9">
                  <w:pPr>
                    <w:pStyle w:val="54"/>
                    <w:widowControl/>
                    <w:autoSpaceDE w:val="0"/>
                    <w:autoSpaceDN w:val="0"/>
                    <w:adjustRightInd w:val="0"/>
                    <w:textAlignment w:val="baseline"/>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6、本项目不属于“两高”项目。</w:t>
                  </w:r>
                </w:p>
              </w:tc>
              <w:tc>
                <w:tcPr>
                  <w:tcW w:w="127" w:type="pct"/>
                  <w:noWrap w:val="0"/>
                  <w:vAlign w:val="center"/>
                </w:tcPr>
                <w:p w14:paraId="71B12ECC">
                  <w:pPr>
                    <w:pStyle w:val="54"/>
                    <w:widowControl/>
                    <w:autoSpaceDE w:val="0"/>
                    <w:autoSpaceDN w:val="0"/>
                    <w:adjustRightInd w:val="0"/>
                    <w:jc w:val="center"/>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相符</w:t>
                  </w:r>
                </w:p>
              </w:tc>
            </w:tr>
            <w:tr w14:paraId="6AEF7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309" w:type="pct"/>
                  <w:vMerge w:val="continue"/>
                  <w:noWrap w:val="0"/>
                  <w:vAlign w:val="center"/>
                </w:tcPr>
                <w:p w14:paraId="6430BE76">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91" w:type="pct"/>
                  <w:vMerge w:val="continue"/>
                  <w:noWrap w:val="0"/>
                  <w:vAlign w:val="center"/>
                </w:tcPr>
                <w:p w14:paraId="031580C2">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16" w:type="pct"/>
                  <w:vMerge w:val="continue"/>
                  <w:noWrap w:val="0"/>
                  <w:vAlign w:val="center"/>
                </w:tcPr>
                <w:p w14:paraId="6419EDAB">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186" w:type="pct"/>
                  <w:vMerge w:val="continue"/>
                  <w:noWrap w:val="0"/>
                  <w:vAlign w:val="center"/>
                </w:tcPr>
                <w:p w14:paraId="408F2CF7">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01" w:type="pct"/>
                  <w:vMerge w:val="continue"/>
                  <w:noWrap w:val="0"/>
                  <w:vAlign w:val="center"/>
                </w:tcPr>
                <w:p w14:paraId="25158576">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31" w:type="pct"/>
                  <w:noWrap w:val="0"/>
                  <w:vAlign w:val="center"/>
                </w:tcPr>
                <w:p w14:paraId="1F549EAE">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r>
                    <w:rPr>
                      <w:rFonts w:ascii="Times New Roman" w:hAnsi="Times New Roman" w:cs="Times New Roman"/>
                      <w:color w:val="000000"/>
                      <w:spacing w:val="-5"/>
                      <w:sz w:val="21"/>
                      <w:szCs w:val="21"/>
                      <w:u w:val="single"/>
                    </w:rPr>
                    <w:t>污染物排放管控</w:t>
                  </w:r>
                </w:p>
              </w:tc>
              <w:tc>
                <w:tcPr>
                  <w:tcW w:w="2150" w:type="pct"/>
                  <w:noWrap w:val="0"/>
                  <w:vAlign w:val="center"/>
                </w:tcPr>
                <w:p w14:paraId="267593AA">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eastAsia="宋体" w:cs="Times New Roman"/>
                      <w:color w:val="000000"/>
                      <w:kern w:val="2"/>
                      <w:sz w:val="21"/>
                      <w:szCs w:val="21"/>
                      <w:u w:val="single"/>
                      <w:lang w:val="en-US" w:eastAsia="zh-CN" w:bidi="ar-SA"/>
                    </w:rPr>
                    <w:t>1、</w:t>
                  </w:r>
                  <w:r>
                    <w:rPr>
                      <w:rFonts w:hint="eastAsia" w:ascii="Times New Roman" w:hAnsi="Times New Roman" w:cs="Times New Roman"/>
                      <w:color w:val="000000"/>
                      <w:sz w:val="21"/>
                      <w:szCs w:val="21"/>
                      <w:u w:val="single"/>
                      <w:lang w:eastAsia="zh-CN"/>
                    </w:rPr>
                    <w:t>重点行业二氧化硫、氮氧化物、颗粒物、VOCs全面执行大气污染物特别排放限值。</w:t>
                  </w:r>
                </w:p>
                <w:p w14:paraId="63DE7AB5">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2、涉及VOCs废气排放的项目应根据废气产生情况，选择合理处理工艺。</w:t>
                  </w:r>
                </w:p>
                <w:p w14:paraId="2D0C1F27">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3、入驻开发区企业废水排放应满足污水处理厂纳管标准，需通过污水管网排入集中污水处理厂处理，出水执行《河南省黄河流域水污染物排放标准》（DB41/2087-2021）中的相关标准；生产废水不得直排外环境。</w:t>
                  </w:r>
                </w:p>
                <w:p w14:paraId="4750F4E4">
                  <w:pPr>
                    <w:pStyle w:val="54"/>
                    <w:widowControl/>
                    <w:numPr>
                      <w:ilvl w:val="0"/>
                      <w:numId w:val="0"/>
                    </w:numPr>
                    <w:autoSpaceDE w:val="0"/>
                    <w:autoSpaceDN w:val="0"/>
                    <w:adjustRightInd w:val="0"/>
                    <w:textAlignment w:val="baseline"/>
                    <w:rPr>
                      <w:rFonts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4、入区项目新增主要污染物总量指标需满足区域或行业替代的有关要求。新、改、扩建重点行业涉重点重金属（铅、汞、镉、铬、砷）项目需实行排放等量置换或减量置换，禁止入驻不满足重金属排放控制要求的建设项目。</w:t>
                  </w:r>
                </w:p>
              </w:tc>
              <w:tc>
                <w:tcPr>
                  <w:tcW w:w="1285" w:type="pct"/>
                  <w:noWrap w:val="0"/>
                  <w:vAlign w:val="center"/>
                </w:tcPr>
                <w:p w14:paraId="06485717">
                  <w:pPr>
                    <w:pStyle w:val="54"/>
                    <w:widowControl/>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1、本项目</w:t>
                  </w:r>
                  <w:r>
                    <w:rPr>
                      <w:rFonts w:hint="eastAsia" w:ascii="Times New Roman" w:hAnsi="Times New Roman" w:cs="Times New Roman"/>
                      <w:color w:val="000000"/>
                      <w:sz w:val="21"/>
                      <w:szCs w:val="21"/>
                      <w:u w:val="single"/>
                      <w:lang w:val="en-US" w:eastAsia="zh-CN"/>
                    </w:rPr>
                    <w:t>排放颗粒物、</w:t>
                  </w:r>
                  <w:r>
                    <w:rPr>
                      <w:rFonts w:hint="eastAsia" w:ascii="Times New Roman" w:hAnsi="Times New Roman" w:cs="Times New Roman"/>
                      <w:color w:val="000000"/>
                      <w:sz w:val="21"/>
                      <w:szCs w:val="21"/>
                      <w:u w:val="single"/>
                      <w:lang w:eastAsia="zh-CN"/>
                    </w:rPr>
                    <w:t>VOCs，</w:t>
                  </w:r>
                  <w:r>
                    <w:rPr>
                      <w:rFonts w:hint="eastAsia" w:ascii="Times New Roman" w:hAnsi="Times New Roman" w:cs="Times New Roman"/>
                      <w:color w:val="000000"/>
                      <w:sz w:val="21"/>
                      <w:szCs w:val="21"/>
                      <w:u w:val="single"/>
                      <w:lang w:val="en-US" w:eastAsia="zh-CN"/>
                    </w:rPr>
                    <w:t>执行</w:t>
                  </w:r>
                  <w:r>
                    <w:rPr>
                      <w:rFonts w:hint="eastAsia" w:ascii="Times New Roman" w:hAnsi="Times New Roman" w:cs="Times New Roman"/>
                      <w:color w:val="000000"/>
                      <w:sz w:val="21"/>
                      <w:szCs w:val="21"/>
                      <w:u w:val="single"/>
                      <w:lang w:eastAsia="zh-CN"/>
                    </w:rPr>
                    <w:t>大气污染物特别排放限值。</w:t>
                  </w:r>
                </w:p>
                <w:p w14:paraId="361E5514">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eastAsia="宋体" w:cs="Times New Roman"/>
                      <w:color w:val="000000"/>
                      <w:kern w:val="2"/>
                      <w:sz w:val="21"/>
                      <w:szCs w:val="21"/>
                      <w:u w:val="single"/>
                      <w:lang w:val="en-US" w:eastAsia="zh-CN" w:bidi="ar-SA"/>
                    </w:rPr>
                    <w:t>2、</w:t>
                  </w:r>
                  <w:r>
                    <w:rPr>
                      <w:rFonts w:hint="eastAsia" w:ascii="Times New Roman" w:hAnsi="Times New Roman" w:cs="Times New Roman"/>
                      <w:color w:val="000000"/>
                      <w:sz w:val="21"/>
                      <w:szCs w:val="21"/>
                      <w:u w:val="single"/>
                      <w:lang w:eastAsia="zh-CN"/>
                    </w:rPr>
                    <w:t>本项目VOCs采用两级活性炭吸附装置处理。</w:t>
                  </w:r>
                </w:p>
                <w:p w14:paraId="1DCD45A0">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3、</w:t>
                  </w:r>
                  <w:r>
                    <w:rPr>
                      <w:rFonts w:hint="default" w:ascii="Times New Roman" w:hAnsi="Times New Roman" w:eastAsia="宋体" w:cs="Times New Roman"/>
                      <w:color w:val="000000"/>
                      <w:spacing w:val="0"/>
                      <w:kern w:val="0"/>
                      <w:sz w:val="21"/>
                      <w:szCs w:val="21"/>
                      <w:u w:val="single"/>
                    </w:rPr>
                    <w:t>本项目</w:t>
                  </w:r>
                  <w:r>
                    <w:rPr>
                      <w:rFonts w:hint="eastAsia" w:ascii="Times New Roman" w:hAnsi="Times New Roman" w:eastAsia="宋体" w:cs="Times New Roman"/>
                      <w:color w:val="000000"/>
                      <w:spacing w:val="0"/>
                      <w:kern w:val="0"/>
                      <w:sz w:val="21"/>
                      <w:szCs w:val="21"/>
                      <w:u w:val="single"/>
                      <w:lang w:val="en-US" w:eastAsia="zh-CN"/>
                    </w:rPr>
                    <w:t>冷却水循环使用，冷却塔循环水池定期清理，可用于厂区洒水降尘；</w:t>
                  </w:r>
                  <w:r>
                    <w:rPr>
                      <w:rFonts w:hint="default" w:ascii="Times New Roman" w:hAnsi="Times New Roman" w:eastAsia="宋体" w:cs="Times New Roman"/>
                      <w:color w:val="000000"/>
                      <w:spacing w:val="0"/>
                      <w:kern w:val="0"/>
                      <w:sz w:val="21"/>
                      <w:szCs w:val="21"/>
                      <w:u w:val="single"/>
                    </w:rPr>
                    <w:t>生活污水经化粪池</w:t>
                  </w:r>
                  <w:r>
                    <w:rPr>
                      <w:rFonts w:hint="eastAsia" w:ascii="Times New Roman" w:hAnsi="Times New Roman" w:eastAsia="宋体" w:cs="Times New Roman"/>
                      <w:color w:val="000000"/>
                      <w:spacing w:val="0"/>
                      <w:kern w:val="0"/>
                      <w:sz w:val="21"/>
                      <w:szCs w:val="21"/>
                      <w:u w:val="single"/>
                      <w:lang w:val="en-US" w:eastAsia="zh-CN"/>
                    </w:rPr>
                    <w:t>处理后近期</w:t>
                  </w:r>
                  <w:r>
                    <w:rPr>
                      <w:rFonts w:hint="default" w:ascii="Times New Roman" w:hAnsi="Times New Roman" w:eastAsia="宋体" w:cs="Times New Roman"/>
                      <w:color w:val="000000"/>
                      <w:spacing w:val="0"/>
                      <w:kern w:val="0"/>
                      <w:sz w:val="21"/>
                      <w:szCs w:val="21"/>
                      <w:u w:val="single"/>
                    </w:rPr>
                    <w:t>定期清掏</w:t>
                  </w:r>
                  <w:r>
                    <w:rPr>
                      <w:rFonts w:hint="eastAsia" w:ascii="Times New Roman" w:hAnsi="Times New Roman" w:eastAsia="宋体" w:cs="Times New Roman"/>
                      <w:color w:val="000000"/>
                      <w:spacing w:val="0"/>
                      <w:kern w:val="0"/>
                      <w:sz w:val="21"/>
                      <w:szCs w:val="21"/>
                      <w:u w:val="single"/>
                      <w:lang w:val="en-US" w:eastAsia="zh-CN"/>
                    </w:rPr>
                    <w:t>肥田，远期排入偃师区第四污水处理厂</w:t>
                  </w:r>
                  <w:r>
                    <w:rPr>
                      <w:rFonts w:hint="default" w:ascii="Times New Roman" w:hAnsi="Times New Roman" w:eastAsia="宋体" w:cs="Times New Roman"/>
                      <w:color w:val="000000"/>
                      <w:spacing w:val="0"/>
                      <w:kern w:val="0"/>
                      <w:sz w:val="21"/>
                      <w:szCs w:val="21"/>
                      <w:u w:val="single"/>
                    </w:rPr>
                    <w:t>。</w:t>
                  </w:r>
                </w:p>
                <w:p w14:paraId="2437714F">
                  <w:pPr>
                    <w:pStyle w:val="54"/>
                    <w:widowControl/>
                    <w:numPr>
                      <w:ilvl w:val="0"/>
                      <w:numId w:val="0"/>
                    </w:numPr>
                    <w:autoSpaceDE w:val="0"/>
                    <w:autoSpaceDN w:val="0"/>
                    <w:adjustRightInd w:val="0"/>
                    <w:textAlignment w:val="baseline"/>
                    <w:rPr>
                      <w:rFonts w:hint="default" w:ascii="Times New Roman" w:hAnsi="Times New Roman" w:cs="Times New Roman"/>
                      <w:color w:val="000000"/>
                      <w:sz w:val="21"/>
                      <w:szCs w:val="21"/>
                      <w:u w:val="single"/>
                      <w:lang w:val="en-US" w:eastAsia="zh-CN"/>
                    </w:rPr>
                  </w:pPr>
                  <w:r>
                    <w:rPr>
                      <w:rFonts w:hint="eastAsia" w:ascii="Times New Roman" w:hAnsi="Times New Roman" w:cs="Times New Roman"/>
                      <w:color w:val="000000"/>
                      <w:sz w:val="21"/>
                      <w:szCs w:val="21"/>
                      <w:u w:val="single"/>
                      <w:lang w:eastAsia="zh-CN"/>
                    </w:rPr>
                    <w:t>4、本项目各污染物新增总量可通过区域替代，详见“总量</w:t>
                  </w:r>
                  <w:r>
                    <w:rPr>
                      <w:rFonts w:hint="eastAsia" w:ascii="Times New Roman" w:hAnsi="Times New Roman" w:cs="Times New Roman"/>
                      <w:color w:val="000000"/>
                      <w:sz w:val="21"/>
                      <w:szCs w:val="21"/>
                      <w:u w:val="single"/>
                      <w:lang w:val="en-US" w:eastAsia="zh-CN"/>
                    </w:rPr>
                    <w:t>控制指标”小节；项目不涉及重金属排放。</w:t>
                  </w:r>
                </w:p>
              </w:tc>
              <w:tc>
                <w:tcPr>
                  <w:tcW w:w="127" w:type="pct"/>
                  <w:noWrap w:val="0"/>
                  <w:vAlign w:val="center"/>
                </w:tcPr>
                <w:p w14:paraId="2FD0174B">
                  <w:pPr>
                    <w:pStyle w:val="54"/>
                    <w:widowControl/>
                    <w:autoSpaceDE w:val="0"/>
                    <w:autoSpaceDN w:val="0"/>
                    <w:adjustRightInd w:val="0"/>
                    <w:jc w:val="center"/>
                    <w:textAlignment w:val="baseline"/>
                    <w:rPr>
                      <w:rFonts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相符</w:t>
                  </w:r>
                </w:p>
              </w:tc>
            </w:tr>
            <w:tr w14:paraId="1C77E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309" w:type="pct"/>
                  <w:vMerge w:val="continue"/>
                  <w:noWrap w:val="0"/>
                  <w:vAlign w:val="center"/>
                </w:tcPr>
                <w:p w14:paraId="6C3719CE">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91" w:type="pct"/>
                  <w:vMerge w:val="continue"/>
                  <w:noWrap w:val="0"/>
                  <w:vAlign w:val="center"/>
                </w:tcPr>
                <w:p w14:paraId="7F0B455B">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16" w:type="pct"/>
                  <w:vMerge w:val="continue"/>
                  <w:noWrap w:val="0"/>
                  <w:vAlign w:val="center"/>
                </w:tcPr>
                <w:p w14:paraId="75051663">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186" w:type="pct"/>
                  <w:vMerge w:val="continue"/>
                  <w:noWrap w:val="0"/>
                  <w:vAlign w:val="center"/>
                </w:tcPr>
                <w:p w14:paraId="667527FD">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01" w:type="pct"/>
                  <w:vMerge w:val="continue"/>
                  <w:noWrap w:val="0"/>
                  <w:vAlign w:val="center"/>
                </w:tcPr>
                <w:p w14:paraId="1FC19B06">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31" w:type="pct"/>
                  <w:noWrap w:val="0"/>
                  <w:vAlign w:val="center"/>
                </w:tcPr>
                <w:p w14:paraId="02EB5BF2">
                  <w:pPr>
                    <w:pStyle w:val="54"/>
                    <w:widowControl/>
                    <w:autoSpaceDE w:val="0"/>
                    <w:autoSpaceDN w:val="0"/>
                    <w:adjustRightInd w:val="0"/>
                    <w:jc w:val="center"/>
                    <w:textAlignment w:val="baseline"/>
                    <w:rPr>
                      <w:rFonts w:ascii="Times New Roman" w:hAnsi="Times New Roman" w:cs="Times New Roman"/>
                      <w:color w:val="000000"/>
                      <w:spacing w:val="-5"/>
                      <w:sz w:val="21"/>
                      <w:szCs w:val="21"/>
                      <w:u w:val="single"/>
                    </w:rPr>
                  </w:pPr>
                  <w:r>
                    <w:rPr>
                      <w:rFonts w:hint="eastAsia" w:ascii="Times New Roman" w:hAnsi="Times New Roman" w:cs="Times New Roman"/>
                      <w:color w:val="000000"/>
                      <w:spacing w:val="-5"/>
                      <w:sz w:val="21"/>
                      <w:szCs w:val="21"/>
                      <w:u w:val="single"/>
                    </w:rPr>
                    <w:t>环境风险防控</w:t>
                  </w:r>
                </w:p>
              </w:tc>
              <w:tc>
                <w:tcPr>
                  <w:tcW w:w="2150" w:type="pct"/>
                  <w:noWrap w:val="0"/>
                  <w:vAlign w:val="center"/>
                </w:tcPr>
                <w:p w14:paraId="34A3ECD1">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eastAsia="宋体" w:cs="Times New Roman"/>
                      <w:color w:val="000000"/>
                      <w:kern w:val="2"/>
                      <w:sz w:val="21"/>
                      <w:szCs w:val="21"/>
                      <w:u w:val="single"/>
                      <w:lang w:val="en-US" w:eastAsia="zh-CN" w:bidi="ar-SA"/>
                    </w:rPr>
                    <w:t>1、</w:t>
                  </w:r>
                  <w:r>
                    <w:rPr>
                      <w:rFonts w:hint="eastAsia" w:ascii="Times New Roman" w:hAnsi="Times New Roman" w:cs="Times New Roman"/>
                      <w:color w:val="000000"/>
                      <w:sz w:val="21"/>
                      <w:szCs w:val="21"/>
                      <w:u w:val="single"/>
                      <w:lang w:eastAsia="zh-CN"/>
                    </w:rPr>
                    <w:t>加强开发区环境安全管理工作，严格危险化学品管理，减少环境风险。</w:t>
                  </w:r>
                </w:p>
                <w:p w14:paraId="73043F6E">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2、建立开发区风险防范体系以及风险防范应急预案；基础设施和企业内部生产运营管理中，认真落实环境风险防范措施，减少环境风险事故发生。</w:t>
                  </w:r>
                </w:p>
                <w:p w14:paraId="064E3E21">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3、做好事故废水的风险管控联动，防止事故废水排入雨水管网或未经处理直接进入地表水体。</w:t>
                  </w:r>
                </w:p>
                <w:p w14:paraId="39C5B203">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4、重点排污单位，应按照排污许可执行监测要求，对土壤、地下水进行监测，发现问题，及时采取有效防治措施，避免对土壤、地下水造成污染。</w:t>
                  </w:r>
                </w:p>
              </w:tc>
              <w:tc>
                <w:tcPr>
                  <w:tcW w:w="1285" w:type="pct"/>
                  <w:noWrap w:val="0"/>
                  <w:vAlign w:val="center"/>
                </w:tcPr>
                <w:p w14:paraId="6E6F1F48">
                  <w:pPr>
                    <w:pStyle w:val="54"/>
                    <w:widowControl/>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1、本项目不涉及危险化学品。</w:t>
                  </w:r>
                </w:p>
                <w:p w14:paraId="5D4467F4">
                  <w:pPr>
                    <w:pStyle w:val="54"/>
                    <w:widowControl/>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2、本项目认真落实环境风险防范措施，减少环境风险事故发生。</w:t>
                  </w:r>
                </w:p>
                <w:p w14:paraId="6D3A1B98">
                  <w:pPr>
                    <w:pStyle w:val="54"/>
                    <w:widowControl/>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3、本项目不涉及废水外排。</w:t>
                  </w:r>
                </w:p>
                <w:p w14:paraId="3F818CC8">
                  <w:pPr>
                    <w:pStyle w:val="54"/>
                    <w:widowControl/>
                    <w:autoSpaceDE w:val="0"/>
                    <w:autoSpaceDN w:val="0"/>
                    <w:adjustRightInd w:val="0"/>
                    <w:textAlignment w:val="baseline"/>
                    <w:rPr>
                      <w:rFonts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4、本项目不属于重点排污单位，建成后按照排污许可执行监测要求。</w:t>
                  </w:r>
                </w:p>
              </w:tc>
              <w:tc>
                <w:tcPr>
                  <w:tcW w:w="127" w:type="pct"/>
                  <w:noWrap w:val="0"/>
                  <w:vAlign w:val="center"/>
                </w:tcPr>
                <w:p w14:paraId="51D1E5E8">
                  <w:pPr>
                    <w:pStyle w:val="54"/>
                    <w:widowControl/>
                    <w:autoSpaceDE w:val="0"/>
                    <w:autoSpaceDN w:val="0"/>
                    <w:adjustRightInd w:val="0"/>
                    <w:jc w:val="center"/>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相符</w:t>
                  </w:r>
                </w:p>
              </w:tc>
            </w:tr>
            <w:tr w14:paraId="3B46D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309" w:type="pct"/>
                  <w:vMerge w:val="continue"/>
                  <w:noWrap w:val="0"/>
                  <w:vAlign w:val="center"/>
                </w:tcPr>
                <w:p w14:paraId="017223DD">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91" w:type="pct"/>
                  <w:vMerge w:val="continue"/>
                  <w:noWrap w:val="0"/>
                  <w:vAlign w:val="center"/>
                </w:tcPr>
                <w:p w14:paraId="74492287">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16" w:type="pct"/>
                  <w:vMerge w:val="continue"/>
                  <w:noWrap w:val="0"/>
                  <w:vAlign w:val="center"/>
                </w:tcPr>
                <w:p w14:paraId="71B1F64C">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186" w:type="pct"/>
                  <w:vMerge w:val="continue"/>
                  <w:noWrap w:val="0"/>
                  <w:vAlign w:val="center"/>
                </w:tcPr>
                <w:p w14:paraId="0EFB97A2">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01" w:type="pct"/>
                  <w:vMerge w:val="continue"/>
                  <w:noWrap w:val="0"/>
                  <w:vAlign w:val="center"/>
                </w:tcPr>
                <w:p w14:paraId="640BB705">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31" w:type="pct"/>
                  <w:noWrap w:val="0"/>
                  <w:vAlign w:val="center"/>
                </w:tcPr>
                <w:p w14:paraId="49B128A4">
                  <w:pPr>
                    <w:pStyle w:val="54"/>
                    <w:widowControl/>
                    <w:autoSpaceDE w:val="0"/>
                    <w:autoSpaceDN w:val="0"/>
                    <w:adjustRightInd w:val="0"/>
                    <w:jc w:val="center"/>
                    <w:textAlignment w:val="baseline"/>
                    <w:rPr>
                      <w:rFonts w:ascii="Times New Roman" w:hAnsi="Times New Roman" w:cs="Times New Roman"/>
                      <w:color w:val="000000"/>
                      <w:spacing w:val="-5"/>
                      <w:sz w:val="21"/>
                      <w:szCs w:val="21"/>
                      <w:u w:val="single"/>
                    </w:rPr>
                  </w:pPr>
                  <w:r>
                    <w:rPr>
                      <w:rFonts w:hint="eastAsia" w:ascii="Times New Roman" w:hAnsi="Times New Roman" w:cs="Times New Roman"/>
                      <w:color w:val="000000"/>
                      <w:spacing w:val="-5"/>
                      <w:sz w:val="21"/>
                      <w:szCs w:val="21"/>
                      <w:u w:val="single"/>
                    </w:rPr>
                    <w:t>资源开发效率要求</w:t>
                  </w:r>
                </w:p>
              </w:tc>
              <w:tc>
                <w:tcPr>
                  <w:tcW w:w="2150" w:type="pct"/>
                  <w:noWrap w:val="0"/>
                  <w:vAlign w:val="center"/>
                </w:tcPr>
                <w:p w14:paraId="177AC082">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eastAsia="宋体" w:cs="Times New Roman"/>
                      <w:color w:val="000000"/>
                      <w:kern w:val="2"/>
                      <w:sz w:val="21"/>
                      <w:szCs w:val="21"/>
                      <w:u w:val="single"/>
                      <w:lang w:val="en-US" w:eastAsia="zh-CN" w:bidi="ar-SA"/>
                    </w:rPr>
                    <w:t>1、</w:t>
                  </w:r>
                  <w:r>
                    <w:rPr>
                      <w:rFonts w:hint="eastAsia" w:ascii="Times New Roman" w:hAnsi="Times New Roman" w:cs="Times New Roman"/>
                      <w:color w:val="000000"/>
                      <w:sz w:val="21"/>
                      <w:szCs w:val="21"/>
                      <w:u w:val="single"/>
                      <w:lang w:eastAsia="zh-CN"/>
                    </w:rPr>
                    <w:t>入区新改扩建设项目的清洁生产水平应达到国内先进水平。</w:t>
                  </w:r>
                </w:p>
                <w:p w14:paraId="6A70B992">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2、入区项目在条件具备的情况下，应加大中水回用力度，建设再生水回用配套设施，提高再生水利用率。</w:t>
                  </w:r>
                </w:p>
              </w:tc>
              <w:tc>
                <w:tcPr>
                  <w:tcW w:w="1285" w:type="pct"/>
                  <w:noWrap w:val="0"/>
                  <w:vAlign w:val="center"/>
                </w:tcPr>
                <w:p w14:paraId="504F4514">
                  <w:pPr>
                    <w:pStyle w:val="54"/>
                    <w:widowControl/>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1、</w:t>
                  </w:r>
                  <w:r>
                    <w:rPr>
                      <w:rFonts w:hint="eastAsia" w:ascii="Times New Roman" w:hAnsi="Times New Roman" w:eastAsia="宋体" w:cs="Times New Roman"/>
                      <w:color w:val="000000"/>
                      <w:spacing w:val="0"/>
                      <w:kern w:val="0"/>
                      <w:sz w:val="21"/>
                      <w:szCs w:val="21"/>
                      <w:u w:val="single"/>
                      <w:lang w:val="en-US" w:eastAsia="zh-CN"/>
                    </w:rPr>
                    <w:t>本</w:t>
                  </w:r>
                  <w:r>
                    <w:rPr>
                      <w:rFonts w:hint="default" w:ascii="Times New Roman" w:hAnsi="Times New Roman" w:eastAsia="宋体" w:cs="Times New Roman"/>
                      <w:color w:val="000000"/>
                      <w:spacing w:val="0"/>
                      <w:kern w:val="0"/>
                      <w:sz w:val="21"/>
                      <w:szCs w:val="21"/>
                      <w:u w:val="single"/>
                    </w:rPr>
                    <w:t>项目生产工艺、设备、污染治理技术等符合国家和行业环境保护标准要求，按照</w:t>
                  </w:r>
                  <w:r>
                    <w:rPr>
                      <w:rFonts w:hint="eastAsia" w:ascii="Times New Roman" w:hAnsi="Times New Roman" w:eastAsia="宋体" w:cs="Times New Roman"/>
                      <w:color w:val="000000"/>
                      <w:spacing w:val="0"/>
                      <w:kern w:val="0"/>
                      <w:sz w:val="21"/>
                      <w:szCs w:val="21"/>
                      <w:u w:val="single"/>
                      <w:lang w:val="en-US" w:eastAsia="zh-CN"/>
                    </w:rPr>
                    <w:t>清洁生产</w:t>
                  </w:r>
                  <w:r>
                    <w:rPr>
                      <w:rFonts w:hint="default" w:ascii="Times New Roman" w:hAnsi="Times New Roman" w:eastAsia="宋体" w:cs="Times New Roman"/>
                      <w:color w:val="000000"/>
                      <w:spacing w:val="0"/>
                      <w:kern w:val="0"/>
                      <w:sz w:val="21"/>
                      <w:szCs w:val="21"/>
                      <w:u w:val="single"/>
                    </w:rPr>
                    <w:t>国内先进水平进行建设。</w:t>
                  </w:r>
                </w:p>
                <w:p w14:paraId="1C38E1BF">
                  <w:pPr>
                    <w:pStyle w:val="54"/>
                    <w:widowControl/>
                    <w:autoSpaceDE w:val="0"/>
                    <w:autoSpaceDN w:val="0"/>
                    <w:adjustRightInd w:val="0"/>
                    <w:textAlignment w:val="baseline"/>
                    <w:rPr>
                      <w:rFonts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2、</w:t>
                  </w:r>
                  <w:r>
                    <w:rPr>
                      <w:rFonts w:hint="default" w:ascii="Times New Roman" w:hAnsi="Times New Roman" w:eastAsia="宋体" w:cs="Times New Roman"/>
                      <w:color w:val="000000"/>
                      <w:spacing w:val="0"/>
                      <w:kern w:val="0"/>
                      <w:sz w:val="21"/>
                      <w:szCs w:val="21"/>
                      <w:u w:val="single"/>
                    </w:rPr>
                    <w:t>本项目</w:t>
                  </w:r>
                  <w:r>
                    <w:rPr>
                      <w:rFonts w:hint="eastAsia" w:ascii="Times New Roman" w:hAnsi="Times New Roman" w:eastAsia="宋体" w:cs="Times New Roman"/>
                      <w:color w:val="000000"/>
                      <w:spacing w:val="0"/>
                      <w:kern w:val="0"/>
                      <w:sz w:val="21"/>
                      <w:szCs w:val="21"/>
                      <w:u w:val="single"/>
                      <w:lang w:val="en-US" w:eastAsia="zh-CN"/>
                    </w:rPr>
                    <w:t>冷却水循环使用，冷却塔循环水池定期清理，可用于厂区洒水降尘；</w:t>
                  </w:r>
                  <w:r>
                    <w:rPr>
                      <w:rFonts w:hint="default" w:ascii="Times New Roman" w:hAnsi="Times New Roman" w:eastAsia="宋体" w:cs="Times New Roman"/>
                      <w:color w:val="000000"/>
                      <w:spacing w:val="0"/>
                      <w:kern w:val="0"/>
                      <w:sz w:val="21"/>
                      <w:szCs w:val="21"/>
                      <w:u w:val="single"/>
                    </w:rPr>
                    <w:t>生活污水经化粪池</w:t>
                  </w:r>
                  <w:r>
                    <w:rPr>
                      <w:rFonts w:hint="eastAsia" w:ascii="Times New Roman" w:hAnsi="Times New Roman" w:eastAsia="宋体" w:cs="Times New Roman"/>
                      <w:color w:val="000000"/>
                      <w:spacing w:val="0"/>
                      <w:kern w:val="0"/>
                      <w:sz w:val="21"/>
                      <w:szCs w:val="21"/>
                      <w:u w:val="single"/>
                      <w:lang w:val="en-US" w:eastAsia="zh-CN"/>
                    </w:rPr>
                    <w:t>处理后近期</w:t>
                  </w:r>
                  <w:r>
                    <w:rPr>
                      <w:rFonts w:hint="default" w:ascii="Times New Roman" w:hAnsi="Times New Roman" w:eastAsia="宋体" w:cs="Times New Roman"/>
                      <w:color w:val="000000"/>
                      <w:spacing w:val="0"/>
                      <w:kern w:val="0"/>
                      <w:sz w:val="21"/>
                      <w:szCs w:val="21"/>
                      <w:u w:val="single"/>
                    </w:rPr>
                    <w:t>定期清掏</w:t>
                  </w:r>
                  <w:r>
                    <w:rPr>
                      <w:rFonts w:hint="eastAsia" w:ascii="Times New Roman" w:hAnsi="Times New Roman" w:eastAsia="宋体" w:cs="Times New Roman"/>
                      <w:color w:val="000000"/>
                      <w:spacing w:val="0"/>
                      <w:kern w:val="0"/>
                      <w:sz w:val="21"/>
                      <w:szCs w:val="21"/>
                      <w:u w:val="single"/>
                      <w:lang w:val="en-US" w:eastAsia="zh-CN"/>
                    </w:rPr>
                    <w:t>肥田，远期排入偃师区第四污水处理厂</w:t>
                  </w:r>
                  <w:r>
                    <w:rPr>
                      <w:rFonts w:hint="eastAsia" w:ascii="Times New Roman" w:hAnsi="Times New Roman" w:cs="Times New Roman"/>
                      <w:color w:val="000000"/>
                      <w:sz w:val="21"/>
                      <w:szCs w:val="21"/>
                      <w:u w:val="single"/>
                      <w:lang w:eastAsia="zh-CN"/>
                    </w:rPr>
                    <w:t>。</w:t>
                  </w:r>
                </w:p>
              </w:tc>
              <w:tc>
                <w:tcPr>
                  <w:tcW w:w="127" w:type="pct"/>
                  <w:noWrap w:val="0"/>
                  <w:vAlign w:val="center"/>
                </w:tcPr>
                <w:p w14:paraId="2822D723">
                  <w:pPr>
                    <w:pStyle w:val="54"/>
                    <w:widowControl/>
                    <w:autoSpaceDE w:val="0"/>
                    <w:autoSpaceDN w:val="0"/>
                    <w:adjustRightInd w:val="0"/>
                    <w:jc w:val="center"/>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相符</w:t>
                  </w:r>
                </w:p>
              </w:tc>
            </w:tr>
          </w:tbl>
          <w:p w14:paraId="1415B123">
            <w:pPr>
              <w:spacing w:before="93" w:beforeLines="30"/>
              <w:jc w:val="center"/>
              <w:rPr>
                <w:rFonts w:hint="eastAsia" w:ascii="黑体" w:hAnsi="黑体" w:eastAsia="黑体"/>
                <w:color w:val="000000"/>
                <w:sz w:val="24"/>
                <w:szCs w:val="24"/>
              </w:rPr>
            </w:pPr>
          </w:p>
          <w:p w14:paraId="72FB9899">
            <w:pPr>
              <w:spacing w:before="93" w:beforeLines="30"/>
              <w:jc w:val="center"/>
              <w:rPr>
                <w:rFonts w:hint="eastAsia" w:ascii="黑体" w:hAnsi="黑体" w:eastAsia="黑体"/>
                <w:color w:val="000000"/>
                <w:sz w:val="24"/>
                <w:szCs w:val="24"/>
              </w:rPr>
            </w:pPr>
          </w:p>
          <w:p w14:paraId="118D3CE2">
            <w:pPr>
              <w:spacing w:before="93" w:beforeLines="30"/>
              <w:jc w:val="center"/>
              <w:rPr>
                <w:rFonts w:hint="eastAsia" w:ascii="黑体" w:hAnsi="黑体" w:eastAsia="黑体"/>
                <w:color w:val="000000"/>
                <w:sz w:val="24"/>
                <w:szCs w:val="24"/>
              </w:rPr>
            </w:pPr>
          </w:p>
          <w:p w14:paraId="3D8A602D">
            <w:pPr>
              <w:spacing w:before="93" w:beforeLines="30"/>
              <w:jc w:val="center"/>
              <w:rPr>
                <w:rFonts w:hint="eastAsia" w:ascii="黑体" w:hAnsi="黑体" w:eastAsia="黑体"/>
                <w:color w:val="000000"/>
                <w:sz w:val="24"/>
                <w:szCs w:val="24"/>
              </w:rPr>
            </w:pPr>
          </w:p>
          <w:p w14:paraId="75B674A4">
            <w:pPr>
              <w:spacing w:before="93" w:beforeLines="30"/>
              <w:jc w:val="center"/>
              <w:rPr>
                <w:rFonts w:hint="eastAsia" w:ascii="黑体" w:hAnsi="黑体" w:eastAsia="黑体"/>
                <w:color w:val="000000"/>
                <w:sz w:val="24"/>
                <w:szCs w:val="24"/>
              </w:rPr>
            </w:pPr>
          </w:p>
          <w:p w14:paraId="258D18F8">
            <w:pPr>
              <w:spacing w:before="93" w:beforeLines="30"/>
              <w:jc w:val="center"/>
              <w:rPr>
                <w:rFonts w:hint="eastAsia" w:ascii="黑体" w:hAnsi="黑体" w:eastAsia="黑体"/>
                <w:color w:val="000000"/>
                <w:sz w:val="24"/>
                <w:szCs w:val="24"/>
              </w:rPr>
            </w:pPr>
          </w:p>
          <w:p w14:paraId="304FD5FB">
            <w:pPr>
              <w:spacing w:before="93" w:beforeLines="30"/>
              <w:jc w:val="center"/>
              <w:rPr>
                <w:rFonts w:hint="eastAsia" w:ascii="黑体" w:hAnsi="黑体" w:eastAsia="黑体"/>
                <w:color w:val="000000"/>
                <w:sz w:val="24"/>
                <w:szCs w:val="24"/>
              </w:rPr>
            </w:pPr>
            <w:r>
              <w:rPr>
                <w:rFonts w:hint="eastAsia" w:ascii="黑体" w:hAnsi="黑体" w:eastAsia="黑体"/>
                <w:color w:val="000000"/>
                <w:sz w:val="24"/>
                <w:szCs w:val="24"/>
              </w:rPr>
              <w:t>表</w:t>
            </w:r>
            <w:r>
              <w:rPr>
                <w:rFonts w:hint="eastAsia" w:ascii="黑体" w:hAnsi="黑体" w:eastAsia="黑体"/>
                <w:color w:val="000000"/>
                <w:sz w:val="24"/>
                <w:szCs w:val="24"/>
                <w:lang w:val="en-US" w:eastAsia="zh-CN"/>
              </w:rPr>
              <w:t>4</w:t>
            </w:r>
            <w:r>
              <w:rPr>
                <w:rFonts w:hint="eastAsia" w:ascii="黑体" w:hAnsi="黑体" w:eastAsia="黑体"/>
                <w:color w:val="000000"/>
                <w:sz w:val="24"/>
                <w:szCs w:val="24"/>
              </w:rPr>
              <w:t xml:space="preserve">    项目</w:t>
            </w:r>
            <w:r>
              <w:rPr>
                <w:rFonts w:ascii="黑体" w:hAnsi="黑体" w:eastAsia="黑体"/>
                <w:color w:val="000000"/>
                <w:sz w:val="24"/>
                <w:szCs w:val="24"/>
              </w:rPr>
              <w:t>与</w:t>
            </w:r>
            <w:r>
              <w:rPr>
                <w:rFonts w:hint="eastAsia" w:ascii="黑体" w:hAnsi="黑体" w:eastAsia="黑体"/>
                <w:color w:val="000000"/>
                <w:sz w:val="24"/>
                <w:szCs w:val="24"/>
              </w:rPr>
              <w:t>河南省水环境管控</w:t>
            </w:r>
            <w:r>
              <w:rPr>
                <w:rFonts w:ascii="黑体" w:hAnsi="黑体" w:eastAsia="黑体"/>
                <w:color w:val="000000"/>
                <w:sz w:val="24"/>
                <w:szCs w:val="24"/>
              </w:rPr>
              <w:t>相符性</w:t>
            </w:r>
            <w:r>
              <w:rPr>
                <w:rFonts w:hint="eastAsia" w:ascii="黑体" w:hAnsi="黑体" w:eastAsia="黑体"/>
                <w:color w:val="000000"/>
                <w:sz w:val="24"/>
                <w:szCs w:val="24"/>
              </w:rPr>
              <w:t>分析</w:t>
            </w:r>
            <w:r>
              <w:rPr>
                <w:rFonts w:ascii="黑体" w:hAnsi="黑体" w:eastAsia="黑体"/>
                <w:color w:val="000000"/>
                <w:sz w:val="24"/>
                <w:szCs w:val="24"/>
              </w:rPr>
              <w:t>一览表</w:t>
            </w:r>
          </w:p>
          <w:tbl>
            <w:tblPr>
              <w:tblStyle w:val="18"/>
              <w:tblW w:w="497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
            <w:tblGrid>
              <w:gridCol w:w="785"/>
              <w:gridCol w:w="740"/>
              <w:gridCol w:w="550"/>
              <w:gridCol w:w="475"/>
              <w:gridCol w:w="512"/>
              <w:gridCol w:w="776"/>
              <w:gridCol w:w="5273"/>
              <w:gridCol w:w="3254"/>
              <w:gridCol w:w="324"/>
            </w:tblGrid>
            <w:tr w14:paraId="32CF7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309" w:type="pct"/>
                  <w:vMerge w:val="restart"/>
                  <w:noWrap w:val="0"/>
                  <w:vAlign w:val="center"/>
                </w:tcPr>
                <w:p w14:paraId="0A2333DB">
                  <w:pPr>
                    <w:pStyle w:val="54"/>
                    <w:widowControl/>
                    <w:kinsoku w:val="0"/>
                    <w:autoSpaceDE w:val="0"/>
                    <w:autoSpaceDN w:val="0"/>
                    <w:adjustRightInd w:val="0"/>
                    <w:jc w:val="center"/>
                    <w:textAlignment w:val="baseline"/>
                    <w:rPr>
                      <w:rFonts w:ascii="Times New Roman" w:hAnsi="Times New Roman" w:cs="Times New Roman"/>
                      <w:snapToGrid w:val="0"/>
                      <w:color w:val="000000"/>
                      <w:kern w:val="0"/>
                      <w:sz w:val="21"/>
                      <w:szCs w:val="21"/>
                      <w:u w:val="single"/>
                    </w:rPr>
                  </w:pPr>
                  <w:r>
                    <w:rPr>
                      <w:rFonts w:ascii="Times New Roman" w:hAnsi="Times New Roman" w:cs="Times New Roman"/>
                      <w:color w:val="000000"/>
                      <w:spacing w:val="-5"/>
                      <w:sz w:val="21"/>
                      <w:szCs w:val="21"/>
                      <w:u w:val="single"/>
                    </w:rPr>
                    <w:t>环境管控单元</w:t>
                  </w:r>
                  <w:r>
                    <w:rPr>
                      <w:rFonts w:ascii="Times New Roman" w:hAnsi="Times New Roman" w:cs="Times New Roman"/>
                      <w:color w:val="000000"/>
                      <w:spacing w:val="-9"/>
                      <w:sz w:val="21"/>
                      <w:szCs w:val="21"/>
                      <w:u w:val="single"/>
                    </w:rPr>
                    <w:t>编码</w:t>
                  </w:r>
                </w:p>
              </w:tc>
              <w:tc>
                <w:tcPr>
                  <w:tcW w:w="291" w:type="pct"/>
                  <w:vMerge w:val="restart"/>
                  <w:noWrap w:val="0"/>
                  <w:vAlign w:val="center"/>
                </w:tcPr>
                <w:p w14:paraId="6EE234E1">
                  <w:pPr>
                    <w:pStyle w:val="54"/>
                    <w:widowControl/>
                    <w:kinsoku w:val="0"/>
                    <w:autoSpaceDE w:val="0"/>
                    <w:autoSpaceDN w:val="0"/>
                    <w:adjustRightInd w:val="0"/>
                    <w:jc w:val="center"/>
                    <w:textAlignment w:val="baseline"/>
                    <w:rPr>
                      <w:rFonts w:ascii="Times New Roman" w:hAnsi="Times New Roman" w:cs="Times New Roman"/>
                      <w:snapToGrid w:val="0"/>
                      <w:color w:val="000000"/>
                      <w:kern w:val="0"/>
                      <w:sz w:val="21"/>
                      <w:szCs w:val="21"/>
                      <w:u w:val="single"/>
                    </w:rPr>
                  </w:pPr>
                  <w:r>
                    <w:rPr>
                      <w:rFonts w:ascii="Times New Roman" w:hAnsi="Times New Roman" w:cs="Times New Roman"/>
                      <w:color w:val="000000"/>
                      <w:spacing w:val="-5"/>
                      <w:sz w:val="21"/>
                      <w:szCs w:val="21"/>
                      <w:u w:val="single"/>
                    </w:rPr>
                    <w:t>环境管控单元</w:t>
                  </w:r>
                  <w:r>
                    <w:rPr>
                      <w:rFonts w:ascii="Times New Roman" w:hAnsi="Times New Roman" w:cs="Times New Roman"/>
                      <w:color w:val="000000"/>
                      <w:spacing w:val="-9"/>
                      <w:sz w:val="21"/>
                      <w:szCs w:val="21"/>
                      <w:u w:val="single"/>
                    </w:rPr>
                    <w:t>名称</w:t>
                  </w:r>
                </w:p>
              </w:tc>
              <w:tc>
                <w:tcPr>
                  <w:tcW w:w="216" w:type="pct"/>
                  <w:vMerge w:val="restart"/>
                  <w:noWrap w:val="0"/>
                  <w:vAlign w:val="center"/>
                </w:tcPr>
                <w:p w14:paraId="6AB14CD1">
                  <w:pPr>
                    <w:pStyle w:val="54"/>
                    <w:widowControl/>
                    <w:kinsoku w:val="0"/>
                    <w:autoSpaceDE w:val="0"/>
                    <w:autoSpaceDN w:val="0"/>
                    <w:adjustRightInd w:val="0"/>
                    <w:jc w:val="center"/>
                    <w:textAlignment w:val="baseline"/>
                    <w:rPr>
                      <w:rFonts w:ascii="Times New Roman" w:hAnsi="Times New Roman" w:cs="Times New Roman"/>
                      <w:snapToGrid w:val="0"/>
                      <w:color w:val="000000"/>
                      <w:kern w:val="0"/>
                      <w:sz w:val="21"/>
                      <w:szCs w:val="21"/>
                      <w:u w:val="single"/>
                    </w:rPr>
                  </w:pPr>
                  <w:r>
                    <w:rPr>
                      <w:rFonts w:ascii="Times New Roman" w:hAnsi="Times New Roman" w:cs="Times New Roman"/>
                      <w:color w:val="000000"/>
                      <w:spacing w:val="-7"/>
                      <w:sz w:val="21"/>
                      <w:szCs w:val="21"/>
                      <w:u w:val="single"/>
                    </w:rPr>
                    <w:t>管控分</w:t>
                  </w:r>
                  <w:r>
                    <w:rPr>
                      <w:rFonts w:ascii="Times New Roman" w:hAnsi="Times New Roman" w:cs="Times New Roman"/>
                      <w:color w:val="000000"/>
                      <w:spacing w:val="-3"/>
                      <w:sz w:val="21"/>
                      <w:szCs w:val="21"/>
                      <w:u w:val="single"/>
                    </w:rPr>
                    <w:t>类</w:t>
                  </w:r>
                </w:p>
              </w:tc>
              <w:tc>
                <w:tcPr>
                  <w:tcW w:w="388" w:type="pct"/>
                  <w:gridSpan w:val="2"/>
                  <w:noWrap w:val="0"/>
                  <w:vAlign w:val="center"/>
                </w:tcPr>
                <w:p w14:paraId="31EF7B68">
                  <w:pPr>
                    <w:pStyle w:val="54"/>
                    <w:widowControl/>
                    <w:kinsoku w:val="0"/>
                    <w:autoSpaceDE w:val="0"/>
                    <w:autoSpaceDN w:val="0"/>
                    <w:adjustRightInd w:val="0"/>
                    <w:jc w:val="center"/>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行政区划</w:t>
                  </w:r>
                </w:p>
              </w:tc>
              <w:tc>
                <w:tcPr>
                  <w:tcW w:w="2383" w:type="pct"/>
                  <w:gridSpan w:val="2"/>
                  <w:vMerge w:val="restart"/>
                  <w:noWrap w:val="0"/>
                  <w:vAlign w:val="center"/>
                </w:tcPr>
                <w:p w14:paraId="1B36CB11">
                  <w:pPr>
                    <w:pStyle w:val="54"/>
                    <w:widowControl/>
                    <w:kinsoku w:val="0"/>
                    <w:autoSpaceDE w:val="0"/>
                    <w:autoSpaceDN w:val="0"/>
                    <w:adjustRightInd w:val="0"/>
                    <w:jc w:val="center"/>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管控要求</w:t>
                  </w:r>
                </w:p>
              </w:tc>
              <w:tc>
                <w:tcPr>
                  <w:tcW w:w="1282" w:type="pct"/>
                  <w:vMerge w:val="restart"/>
                  <w:noWrap w:val="0"/>
                  <w:vAlign w:val="center"/>
                </w:tcPr>
                <w:p w14:paraId="66839AF6">
                  <w:pPr>
                    <w:pStyle w:val="54"/>
                    <w:widowControl/>
                    <w:kinsoku w:val="0"/>
                    <w:autoSpaceDE w:val="0"/>
                    <w:autoSpaceDN w:val="0"/>
                    <w:adjustRightInd w:val="0"/>
                    <w:jc w:val="center"/>
                    <w:textAlignment w:val="baseline"/>
                    <w:rPr>
                      <w:rFonts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本项目情况</w:t>
                  </w:r>
                </w:p>
              </w:tc>
              <w:tc>
                <w:tcPr>
                  <w:tcW w:w="127" w:type="pct"/>
                  <w:vMerge w:val="restart"/>
                  <w:noWrap w:val="0"/>
                  <w:vAlign w:val="center"/>
                </w:tcPr>
                <w:p w14:paraId="0D59E9CD">
                  <w:pPr>
                    <w:pStyle w:val="54"/>
                    <w:widowControl/>
                    <w:kinsoku w:val="0"/>
                    <w:autoSpaceDE w:val="0"/>
                    <w:autoSpaceDN w:val="0"/>
                    <w:adjustRightInd w:val="0"/>
                    <w:jc w:val="center"/>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相符性</w:t>
                  </w:r>
                </w:p>
              </w:tc>
            </w:tr>
            <w:tr w14:paraId="1BFD2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309" w:type="pct"/>
                  <w:vMerge w:val="continue"/>
                  <w:noWrap w:val="0"/>
                  <w:vAlign w:val="center"/>
                </w:tcPr>
                <w:p w14:paraId="3E94360C">
                  <w:pPr>
                    <w:pStyle w:val="54"/>
                    <w:widowControl/>
                    <w:kinsoku w:val="0"/>
                    <w:autoSpaceDE w:val="0"/>
                    <w:autoSpaceDN w:val="0"/>
                    <w:adjustRightInd w:val="0"/>
                    <w:jc w:val="center"/>
                    <w:textAlignment w:val="baseline"/>
                    <w:rPr>
                      <w:rFonts w:ascii="Times New Roman" w:hAnsi="Times New Roman" w:cs="Times New Roman"/>
                      <w:snapToGrid w:val="0"/>
                      <w:color w:val="000000"/>
                      <w:kern w:val="0"/>
                      <w:sz w:val="21"/>
                      <w:szCs w:val="21"/>
                      <w:u w:val="single"/>
                    </w:rPr>
                  </w:pPr>
                </w:p>
              </w:tc>
              <w:tc>
                <w:tcPr>
                  <w:tcW w:w="291" w:type="pct"/>
                  <w:vMerge w:val="continue"/>
                  <w:noWrap w:val="0"/>
                  <w:vAlign w:val="center"/>
                </w:tcPr>
                <w:p w14:paraId="207301EC">
                  <w:pPr>
                    <w:pStyle w:val="54"/>
                    <w:widowControl/>
                    <w:kinsoku w:val="0"/>
                    <w:autoSpaceDE w:val="0"/>
                    <w:autoSpaceDN w:val="0"/>
                    <w:adjustRightInd w:val="0"/>
                    <w:jc w:val="center"/>
                    <w:textAlignment w:val="baseline"/>
                    <w:rPr>
                      <w:rFonts w:ascii="Times New Roman" w:hAnsi="Times New Roman" w:cs="Times New Roman"/>
                      <w:snapToGrid w:val="0"/>
                      <w:color w:val="000000"/>
                      <w:kern w:val="0"/>
                      <w:sz w:val="21"/>
                      <w:szCs w:val="21"/>
                      <w:u w:val="single"/>
                    </w:rPr>
                  </w:pPr>
                </w:p>
              </w:tc>
              <w:tc>
                <w:tcPr>
                  <w:tcW w:w="216" w:type="pct"/>
                  <w:vMerge w:val="continue"/>
                  <w:noWrap w:val="0"/>
                  <w:vAlign w:val="center"/>
                </w:tcPr>
                <w:p w14:paraId="31A63FE3">
                  <w:pPr>
                    <w:pStyle w:val="54"/>
                    <w:widowControl/>
                    <w:kinsoku w:val="0"/>
                    <w:autoSpaceDE w:val="0"/>
                    <w:autoSpaceDN w:val="0"/>
                    <w:adjustRightInd w:val="0"/>
                    <w:jc w:val="center"/>
                    <w:textAlignment w:val="baseline"/>
                    <w:rPr>
                      <w:rFonts w:ascii="Times New Roman" w:hAnsi="Times New Roman" w:cs="Times New Roman"/>
                      <w:snapToGrid w:val="0"/>
                      <w:color w:val="000000"/>
                      <w:kern w:val="0"/>
                      <w:sz w:val="21"/>
                      <w:szCs w:val="21"/>
                      <w:u w:val="single"/>
                    </w:rPr>
                  </w:pPr>
                </w:p>
              </w:tc>
              <w:tc>
                <w:tcPr>
                  <w:tcW w:w="187" w:type="pct"/>
                  <w:noWrap w:val="0"/>
                  <w:vAlign w:val="center"/>
                </w:tcPr>
                <w:p w14:paraId="369E0924">
                  <w:pPr>
                    <w:pStyle w:val="54"/>
                    <w:widowControl/>
                    <w:kinsoku w:val="0"/>
                    <w:autoSpaceDE w:val="0"/>
                    <w:autoSpaceDN w:val="0"/>
                    <w:adjustRightInd w:val="0"/>
                    <w:jc w:val="center"/>
                    <w:textAlignment w:val="baseline"/>
                    <w:rPr>
                      <w:rFonts w:ascii="Times New Roman" w:hAnsi="Times New Roman" w:cs="Times New Roman"/>
                      <w:snapToGrid w:val="0"/>
                      <w:color w:val="000000"/>
                      <w:kern w:val="0"/>
                      <w:sz w:val="21"/>
                      <w:szCs w:val="21"/>
                      <w:u w:val="single"/>
                    </w:rPr>
                  </w:pPr>
                  <w:r>
                    <w:rPr>
                      <w:rFonts w:ascii="Times New Roman" w:hAnsi="Times New Roman" w:cs="Times New Roman"/>
                      <w:color w:val="000000"/>
                      <w:spacing w:val="-3"/>
                      <w:sz w:val="21"/>
                      <w:szCs w:val="21"/>
                      <w:u w:val="single"/>
                    </w:rPr>
                    <w:t>市</w:t>
                  </w:r>
                </w:p>
              </w:tc>
              <w:tc>
                <w:tcPr>
                  <w:tcW w:w="201" w:type="pct"/>
                  <w:noWrap w:val="0"/>
                  <w:vAlign w:val="center"/>
                </w:tcPr>
                <w:p w14:paraId="6B31F4D9">
                  <w:pPr>
                    <w:pStyle w:val="54"/>
                    <w:widowControl/>
                    <w:kinsoku w:val="0"/>
                    <w:autoSpaceDE w:val="0"/>
                    <w:autoSpaceDN w:val="0"/>
                    <w:adjustRightInd w:val="0"/>
                    <w:jc w:val="center"/>
                    <w:textAlignment w:val="baseline"/>
                    <w:rPr>
                      <w:rFonts w:ascii="Times New Roman" w:hAnsi="Times New Roman" w:cs="Times New Roman"/>
                      <w:snapToGrid w:val="0"/>
                      <w:color w:val="000000"/>
                      <w:kern w:val="0"/>
                      <w:sz w:val="21"/>
                      <w:szCs w:val="21"/>
                      <w:u w:val="single"/>
                    </w:rPr>
                  </w:pPr>
                  <w:r>
                    <w:rPr>
                      <w:rFonts w:ascii="Times New Roman" w:hAnsi="Times New Roman" w:cs="Times New Roman"/>
                      <w:color w:val="000000"/>
                      <w:spacing w:val="-17"/>
                      <w:sz w:val="21"/>
                      <w:szCs w:val="21"/>
                      <w:u w:val="single"/>
                    </w:rPr>
                    <w:t>区县</w:t>
                  </w:r>
                </w:p>
              </w:tc>
              <w:tc>
                <w:tcPr>
                  <w:tcW w:w="2383" w:type="pct"/>
                  <w:gridSpan w:val="2"/>
                  <w:vMerge w:val="continue"/>
                  <w:noWrap w:val="0"/>
                  <w:vAlign w:val="center"/>
                </w:tcPr>
                <w:p w14:paraId="7261FCE1">
                  <w:pPr>
                    <w:pStyle w:val="54"/>
                    <w:widowControl/>
                    <w:kinsoku w:val="0"/>
                    <w:autoSpaceDE w:val="0"/>
                    <w:autoSpaceDN w:val="0"/>
                    <w:adjustRightInd w:val="0"/>
                    <w:jc w:val="center"/>
                    <w:textAlignment w:val="baseline"/>
                    <w:rPr>
                      <w:rFonts w:ascii="Times New Roman" w:hAnsi="Times New Roman" w:cs="Times New Roman"/>
                      <w:color w:val="000000"/>
                      <w:sz w:val="21"/>
                      <w:szCs w:val="21"/>
                      <w:u w:val="single"/>
                    </w:rPr>
                  </w:pPr>
                </w:p>
              </w:tc>
              <w:tc>
                <w:tcPr>
                  <w:tcW w:w="1282" w:type="pct"/>
                  <w:vMerge w:val="continue"/>
                  <w:noWrap w:val="0"/>
                  <w:vAlign w:val="center"/>
                </w:tcPr>
                <w:p w14:paraId="4700D18E">
                  <w:pPr>
                    <w:pStyle w:val="54"/>
                    <w:widowControl/>
                    <w:kinsoku w:val="0"/>
                    <w:autoSpaceDE w:val="0"/>
                    <w:autoSpaceDN w:val="0"/>
                    <w:adjustRightInd w:val="0"/>
                    <w:jc w:val="center"/>
                    <w:textAlignment w:val="baseline"/>
                    <w:rPr>
                      <w:rFonts w:ascii="Times New Roman" w:hAnsi="Times New Roman" w:cs="Times New Roman"/>
                      <w:color w:val="000000"/>
                      <w:sz w:val="21"/>
                      <w:szCs w:val="21"/>
                      <w:u w:val="single"/>
                    </w:rPr>
                  </w:pPr>
                </w:p>
              </w:tc>
              <w:tc>
                <w:tcPr>
                  <w:tcW w:w="127" w:type="pct"/>
                  <w:vMerge w:val="continue"/>
                  <w:noWrap w:val="0"/>
                  <w:vAlign w:val="center"/>
                </w:tcPr>
                <w:p w14:paraId="5BAE3C31">
                  <w:pPr>
                    <w:pStyle w:val="54"/>
                    <w:widowControl/>
                    <w:kinsoku w:val="0"/>
                    <w:autoSpaceDE w:val="0"/>
                    <w:autoSpaceDN w:val="0"/>
                    <w:adjustRightInd w:val="0"/>
                    <w:jc w:val="center"/>
                    <w:textAlignment w:val="baseline"/>
                    <w:rPr>
                      <w:rFonts w:ascii="Times New Roman" w:hAnsi="Times New Roman" w:cs="Times New Roman"/>
                      <w:color w:val="000000"/>
                      <w:sz w:val="21"/>
                      <w:szCs w:val="21"/>
                      <w:u w:val="single"/>
                    </w:rPr>
                  </w:pPr>
                </w:p>
              </w:tc>
            </w:tr>
            <w:tr w14:paraId="16647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309" w:type="pct"/>
                  <w:vMerge w:val="restart"/>
                  <w:noWrap w:val="0"/>
                  <w:vAlign w:val="center"/>
                </w:tcPr>
                <w:p w14:paraId="686C36D6">
                  <w:pPr>
                    <w:pStyle w:val="54"/>
                    <w:widowControl/>
                    <w:autoSpaceDE w:val="0"/>
                    <w:autoSpaceDN w:val="0"/>
                    <w:adjustRightInd w:val="0"/>
                    <w:jc w:val="center"/>
                    <w:textAlignment w:val="baseline"/>
                    <w:rPr>
                      <w:rFonts w:ascii="Times New Roman" w:hAnsi="Times New Roman" w:eastAsia="宋体" w:cs="Times New Roman"/>
                      <w:color w:val="000000"/>
                      <w:sz w:val="21"/>
                      <w:szCs w:val="21"/>
                      <w:u w:val="single"/>
                    </w:rPr>
                  </w:pPr>
                  <w:r>
                    <w:rPr>
                      <w:rFonts w:hint="eastAsia" w:ascii="Times New Roman" w:hAnsi="Times New Roman" w:eastAsia="宋体" w:cs="Times New Roman"/>
                      <w:color w:val="000000"/>
                      <w:sz w:val="21"/>
                      <w:szCs w:val="21"/>
                      <w:u w:val="single"/>
                    </w:rPr>
                    <w:t>YS4103072210291</w:t>
                  </w:r>
                </w:p>
              </w:tc>
              <w:tc>
                <w:tcPr>
                  <w:tcW w:w="291" w:type="pct"/>
                  <w:vMerge w:val="restart"/>
                  <w:noWrap w:val="0"/>
                  <w:vAlign w:val="center"/>
                </w:tcPr>
                <w:p w14:paraId="4B8450FE">
                  <w:pPr>
                    <w:pStyle w:val="54"/>
                    <w:widowControl/>
                    <w:autoSpaceDE w:val="0"/>
                    <w:autoSpaceDN w:val="0"/>
                    <w:adjustRightInd w:val="0"/>
                    <w:jc w:val="center"/>
                    <w:textAlignment w:val="baseline"/>
                    <w:rPr>
                      <w:rFonts w:ascii="Times New Roman" w:hAnsi="Times New Roman" w:eastAsia="宋体" w:cs="Times New Roman"/>
                      <w:color w:val="000000"/>
                      <w:sz w:val="21"/>
                      <w:szCs w:val="21"/>
                      <w:u w:val="single"/>
                    </w:rPr>
                  </w:pPr>
                  <w:r>
                    <w:rPr>
                      <w:rFonts w:ascii="Times New Roman" w:hAnsi="Times New Roman" w:eastAsia="宋体" w:cs="Times New Roman"/>
                      <w:color w:val="000000"/>
                      <w:sz w:val="21"/>
                      <w:szCs w:val="21"/>
                      <w:u w:val="single"/>
                    </w:rPr>
                    <w:t>洛阳偃师区先进制造业开发区</w:t>
                  </w:r>
                </w:p>
              </w:tc>
              <w:tc>
                <w:tcPr>
                  <w:tcW w:w="216" w:type="pct"/>
                  <w:vMerge w:val="restart"/>
                  <w:noWrap w:val="0"/>
                  <w:vAlign w:val="center"/>
                </w:tcPr>
                <w:p w14:paraId="1CC7D4AF">
                  <w:pPr>
                    <w:pStyle w:val="54"/>
                    <w:widowControl/>
                    <w:autoSpaceDE w:val="0"/>
                    <w:autoSpaceDN w:val="0"/>
                    <w:adjustRightInd w:val="0"/>
                    <w:jc w:val="center"/>
                    <w:textAlignment w:val="baseline"/>
                    <w:rPr>
                      <w:rFonts w:hint="eastAsia" w:ascii="Times New Roman" w:hAnsi="Times New Roman" w:cs="Times New Roman"/>
                      <w:color w:val="000000"/>
                      <w:sz w:val="21"/>
                      <w:szCs w:val="21"/>
                      <w:u w:val="single"/>
                      <w:lang w:eastAsia="zh-CN"/>
                    </w:rPr>
                  </w:pPr>
                  <w:r>
                    <w:rPr>
                      <w:rFonts w:ascii="Times New Roman" w:hAnsi="Times New Roman" w:cs="Times New Roman"/>
                      <w:color w:val="000000"/>
                      <w:sz w:val="21"/>
                      <w:szCs w:val="21"/>
                      <w:u w:val="single"/>
                    </w:rPr>
                    <w:t>重点</w:t>
                  </w:r>
                </w:p>
              </w:tc>
              <w:tc>
                <w:tcPr>
                  <w:tcW w:w="187" w:type="pct"/>
                  <w:vMerge w:val="restart"/>
                  <w:noWrap w:val="0"/>
                  <w:vAlign w:val="center"/>
                </w:tcPr>
                <w:p w14:paraId="0500A5A0">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r>
                    <w:rPr>
                      <w:rFonts w:ascii="Times New Roman" w:hAnsi="Times New Roman" w:cs="Times New Roman"/>
                      <w:color w:val="000000"/>
                      <w:sz w:val="21"/>
                      <w:szCs w:val="21"/>
                      <w:u w:val="single"/>
                    </w:rPr>
                    <w:t>洛阳市</w:t>
                  </w:r>
                </w:p>
              </w:tc>
              <w:tc>
                <w:tcPr>
                  <w:tcW w:w="201" w:type="pct"/>
                  <w:vMerge w:val="restart"/>
                  <w:noWrap w:val="0"/>
                  <w:vAlign w:val="center"/>
                </w:tcPr>
                <w:p w14:paraId="1C4731D7">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r>
                    <w:rPr>
                      <w:rFonts w:ascii="Times New Roman" w:hAnsi="Times New Roman" w:cs="Times New Roman"/>
                      <w:color w:val="000000"/>
                      <w:sz w:val="21"/>
                      <w:szCs w:val="21"/>
                      <w:u w:val="single"/>
                    </w:rPr>
                    <w:t>偃师区</w:t>
                  </w:r>
                </w:p>
              </w:tc>
              <w:tc>
                <w:tcPr>
                  <w:tcW w:w="305" w:type="pct"/>
                  <w:noWrap w:val="0"/>
                  <w:vAlign w:val="center"/>
                </w:tcPr>
                <w:p w14:paraId="5EE84356">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r>
                    <w:rPr>
                      <w:rFonts w:ascii="Times New Roman" w:hAnsi="Times New Roman" w:cs="Times New Roman"/>
                      <w:color w:val="000000"/>
                      <w:spacing w:val="-7"/>
                      <w:sz w:val="21"/>
                      <w:szCs w:val="21"/>
                      <w:u w:val="single"/>
                    </w:rPr>
                    <w:t>空间布局</w:t>
                  </w:r>
                  <w:r>
                    <w:rPr>
                      <w:rFonts w:ascii="Times New Roman" w:hAnsi="Times New Roman" w:cs="Times New Roman"/>
                      <w:color w:val="000000"/>
                      <w:spacing w:val="-11"/>
                      <w:sz w:val="21"/>
                      <w:szCs w:val="21"/>
                      <w:u w:val="single"/>
                    </w:rPr>
                    <w:t>约束</w:t>
                  </w:r>
                </w:p>
              </w:tc>
              <w:tc>
                <w:tcPr>
                  <w:tcW w:w="2078" w:type="pct"/>
                  <w:noWrap w:val="0"/>
                  <w:vAlign w:val="center"/>
                </w:tcPr>
                <w:p w14:paraId="6862DCB2">
                  <w:pPr>
                    <w:pStyle w:val="54"/>
                    <w:widowControl/>
                    <w:numPr>
                      <w:ilvl w:val="0"/>
                      <w:numId w:val="0"/>
                    </w:numPr>
                    <w:autoSpaceDE w:val="0"/>
                    <w:autoSpaceDN w:val="0"/>
                    <w:adjustRightInd w:val="0"/>
                    <w:textAlignment w:val="baseline"/>
                    <w:rPr>
                      <w:rFonts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禁止不符合开发区规划或规划环评的项目入驻。</w:t>
                  </w:r>
                </w:p>
              </w:tc>
              <w:tc>
                <w:tcPr>
                  <w:tcW w:w="1282" w:type="pct"/>
                  <w:noWrap w:val="0"/>
                  <w:vAlign w:val="center"/>
                </w:tcPr>
                <w:p w14:paraId="1D216BE9">
                  <w:pPr>
                    <w:pStyle w:val="54"/>
                    <w:widowControl/>
                    <w:autoSpaceDE w:val="0"/>
                    <w:autoSpaceDN w:val="0"/>
                    <w:adjustRightInd w:val="0"/>
                    <w:textAlignment w:val="baseline"/>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本项目符合园区规划和规划环评的相关内容要求</w:t>
                  </w:r>
                  <w:r>
                    <w:rPr>
                      <w:rFonts w:hint="eastAsia" w:ascii="Times New Roman" w:hAnsi="Times New Roman" w:cs="Times New Roman"/>
                      <w:color w:val="000000"/>
                      <w:sz w:val="21"/>
                      <w:szCs w:val="21"/>
                      <w:u w:val="single"/>
                      <w:lang w:eastAsia="zh-CN"/>
                    </w:rPr>
                    <w:t>。</w:t>
                  </w:r>
                </w:p>
              </w:tc>
              <w:tc>
                <w:tcPr>
                  <w:tcW w:w="127" w:type="pct"/>
                  <w:noWrap w:val="0"/>
                  <w:vAlign w:val="center"/>
                </w:tcPr>
                <w:p w14:paraId="43FEF49F">
                  <w:pPr>
                    <w:pStyle w:val="54"/>
                    <w:widowControl/>
                    <w:autoSpaceDE w:val="0"/>
                    <w:autoSpaceDN w:val="0"/>
                    <w:adjustRightInd w:val="0"/>
                    <w:jc w:val="center"/>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相符</w:t>
                  </w:r>
                </w:p>
              </w:tc>
            </w:tr>
            <w:tr w14:paraId="6D4C0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309" w:type="pct"/>
                  <w:vMerge w:val="continue"/>
                  <w:noWrap w:val="0"/>
                  <w:vAlign w:val="center"/>
                </w:tcPr>
                <w:p w14:paraId="662D2422">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91" w:type="pct"/>
                  <w:vMerge w:val="continue"/>
                  <w:noWrap w:val="0"/>
                  <w:vAlign w:val="center"/>
                </w:tcPr>
                <w:p w14:paraId="4E480A1D">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16" w:type="pct"/>
                  <w:vMerge w:val="continue"/>
                  <w:noWrap w:val="0"/>
                  <w:vAlign w:val="center"/>
                </w:tcPr>
                <w:p w14:paraId="48897EDB">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187" w:type="pct"/>
                  <w:vMerge w:val="continue"/>
                  <w:noWrap w:val="0"/>
                  <w:vAlign w:val="center"/>
                </w:tcPr>
                <w:p w14:paraId="11BCACB2">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01" w:type="pct"/>
                  <w:vMerge w:val="continue"/>
                  <w:noWrap w:val="0"/>
                  <w:vAlign w:val="center"/>
                </w:tcPr>
                <w:p w14:paraId="06179471">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305" w:type="pct"/>
                  <w:noWrap w:val="0"/>
                  <w:vAlign w:val="center"/>
                </w:tcPr>
                <w:p w14:paraId="70D27CCB">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r>
                    <w:rPr>
                      <w:rFonts w:ascii="Times New Roman" w:hAnsi="Times New Roman" w:cs="Times New Roman"/>
                      <w:color w:val="000000"/>
                      <w:spacing w:val="-5"/>
                      <w:sz w:val="21"/>
                      <w:szCs w:val="21"/>
                      <w:u w:val="single"/>
                    </w:rPr>
                    <w:t>污染物排放管控</w:t>
                  </w:r>
                </w:p>
              </w:tc>
              <w:tc>
                <w:tcPr>
                  <w:tcW w:w="2078" w:type="pct"/>
                  <w:noWrap w:val="0"/>
                  <w:vAlign w:val="center"/>
                </w:tcPr>
                <w:p w14:paraId="33CB07CF">
                  <w:pPr>
                    <w:pStyle w:val="54"/>
                    <w:widowControl/>
                    <w:numPr>
                      <w:ilvl w:val="0"/>
                      <w:numId w:val="0"/>
                    </w:numPr>
                    <w:autoSpaceDE w:val="0"/>
                    <w:autoSpaceDN w:val="0"/>
                    <w:adjustRightInd w:val="0"/>
                    <w:textAlignment w:val="baseline"/>
                    <w:rPr>
                      <w:rFonts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入驻开发区企业废水排放应满足污水处理厂纳管标准，需通过污水管网排入集中污水处理厂处理，出水执行《河南省黄河流域水污染物排放标准》（DB41/2087-2021）中的相关标准；生产废水不得直排外环境。</w:t>
                  </w:r>
                </w:p>
              </w:tc>
              <w:tc>
                <w:tcPr>
                  <w:tcW w:w="1282" w:type="pct"/>
                  <w:noWrap w:val="0"/>
                  <w:vAlign w:val="center"/>
                </w:tcPr>
                <w:p w14:paraId="191A1066">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default" w:ascii="Times New Roman" w:hAnsi="Times New Roman" w:eastAsia="宋体" w:cs="Times New Roman"/>
                      <w:color w:val="000000"/>
                      <w:spacing w:val="0"/>
                      <w:kern w:val="0"/>
                      <w:sz w:val="21"/>
                      <w:szCs w:val="21"/>
                      <w:u w:val="single"/>
                    </w:rPr>
                    <w:t>本项目</w:t>
                  </w:r>
                  <w:r>
                    <w:rPr>
                      <w:rFonts w:hint="eastAsia" w:ascii="Times New Roman" w:hAnsi="Times New Roman" w:eastAsia="宋体" w:cs="Times New Roman"/>
                      <w:color w:val="000000"/>
                      <w:spacing w:val="0"/>
                      <w:kern w:val="0"/>
                      <w:sz w:val="21"/>
                      <w:szCs w:val="21"/>
                      <w:u w:val="single"/>
                      <w:lang w:val="en-US" w:eastAsia="zh-CN"/>
                    </w:rPr>
                    <w:t>冷却水循环使用，冷却塔循环水池定期清理，可用于厂区洒水降尘；</w:t>
                  </w:r>
                  <w:r>
                    <w:rPr>
                      <w:rFonts w:hint="default" w:ascii="Times New Roman" w:hAnsi="Times New Roman" w:eastAsia="宋体" w:cs="Times New Roman"/>
                      <w:color w:val="000000"/>
                      <w:spacing w:val="0"/>
                      <w:kern w:val="0"/>
                      <w:sz w:val="21"/>
                      <w:szCs w:val="21"/>
                      <w:u w:val="single"/>
                    </w:rPr>
                    <w:t>生活污水经化粪池</w:t>
                  </w:r>
                  <w:r>
                    <w:rPr>
                      <w:rFonts w:hint="eastAsia" w:ascii="Times New Roman" w:hAnsi="Times New Roman" w:eastAsia="宋体" w:cs="Times New Roman"/>
                      <w:color w:val="000000"/>
                      <w:spacing w:val="0"/>
                      <w:kern w:val="0"/>
                      <w:sz w:val="21"/>
                      <w:szCs w:val="21"/>
                      <w:u w:val="single"/>
                      <w:lang w:val="en-US" w:eastAsia="zh-CN"/>
                    </w:rPr>
                    <w:t>处理后近期</w:t>
                  </w:r>
                  <w:r>
                    <w:rPr>
                      <w:rFonts w:hint="default" w:ascii="Times New Roman" w:hAnsi="Times New Roman" w:eastAsia="宋体" w:cs="Times New Roman"/>
                      <w:color w:val="000000"/>
                      <w:spacing w:val="0"/>
                      <w:kern w:val="0"/>
                      <w:sz w:val="21"/>
                      <w:szCs w:val="21"/>
                      <w:u w:val="single"/>
                    </w:rPr>
                    <w:t>定期清掏</w:t>
                  </w:r>
                  <w:r>
                    <w:rPr>
                      <w:rFonts w:hint="eastAsia" w:ascii="Times New Roman" w:hAnsi="Times New Roman" w:eastAsia="宋体" w:cs="Times New Roman"/>
                      <w:color w:val="000000"/>
                      <w:spacing w:val="0"/>
                      <w:kern w:val="0"/>
                      <w:sz w:val="21"/>
                      <w:szCs w:val="21"/>
                      <w:u w:val="single"/>
                      <w:lang w:val="en-US" w:eastAsia="zh-CN"/>
                    </w:rPr>
                    <w:t>肥田，远期排入偃师区第四污水处理厂</w:t>
                  </w:r>
                  <w:r>
                    <w:rPr>
                      <w:rFonts w:hint="default" w:ascii="Times New Roman" w:hAnsi="Times New Roman" w:eastAsia="宋体" w:cs="Times New Roman"/>
                      <w:color w:val="000000"/>
                      <w:spacing w:val="0"/>
                      <w:kern w:val="0"/>
                      <w:sz w:val="21"/>
                      <w:szCs w:val="21"/>
                      <w:u w:val="single"/>
                    </w:rPr>
                    <w:t>。</w:t>
                  </w:r>
                </w:p>
              </w:tc>
              <w:tc>
                <w:tcPr>
                  <w:tcW w:w="127" w:type="pct"/>
                  <w:noWrap w:val="0"/>
                  <w:vAlign w:val="center"/>
                </w:tcPr>
                <w:p w14:paraId="6B106C49">
                  <w:pPr>
                    <w:pStyle w:val="54"/>
                    <w:widowControl/>
                    <w:autoSpaceDE w:val="0"/>
                    <w:autoSpaceDN w:val="0"/>
                    <w:adjustRightInd w:val="0"/>
                    <w:jc w:val="center"/>
                    <w:textAlignment w:val="baseline"/>
                    <w:rPr>
                      <w:rFonts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相符</w:t>
                  </w:r>
                </w:p>
              </w:tc>
            </w:tr>
            <w:tr w14:paraId="415E7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309" w:type="pct"/>
                  <w:vMerge w:val="continue"/>
                  <w:noWrap w:val="0"/>
                  <w:vAlign w:val="center"/>
                </w:tcPr>
                <w:p w14:paraId="7CED6068">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91" w:type="pct"/>
                  <w:vMerge w:val="continue"/>
                  <w:noWrap w:val="0"/>
                  <w:vAlign w:val="center"/>
                </w:tcPr>
                <w:p w14:paraId="27D82C0E">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16" w:type="pct"/>
                  <w:vMerge w:val="continue"/>
                  <w:noWrap w:val="0"/>
                  <w:vAlign w:val="center"/>
                </w:tcPr>
                <w:p w14:paraId="558C418E">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187" w:type="pct"/>
                  <w:vMerge w:val="continue"/>
                  <w:noWrap w:val="0"/>
                  <w:vAlign w:val="center"/>
                </w:tcPr>
                <w:p w14:paraId="72116504">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01" w:type="pct"/>
                  <w:vMerge w:val="continue"/>
                  <w:noWrap w:val="0"/>
                  <w:vAlign w:val="center"/>
                </w:tcPr>
                <w:p w14:paraId="235AA975">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305" w:type="pct"/>
                  <w:noWrap w:val="0"/>
                  <w:vAlign w:val="center"/>
                </w:tcPr>
                <w:p w14:paraId="3AF57F47">
                  <w:pPr>
                    <w:pStyle w:val="54"/>
                    <w:widowControl/>
                    <w:autoSpaceDE w:val="0"/>
                    <w:autoSpaceDN w:val="0"/>
                    <w:adjustRightInd w:val="0"/>
                    <w:jc w:val="center"/>
                    <w:textAlignment w:val="baseline"/>
                    <w:rPr>
                      <w:rFonts w:ascii="Times New Roman" w:hAnsi="Times New Roman" w:cs="Times New Roman"/>
                      <w:color w:val="000000"/>
                      <w:spacing w:val="-5"/>
                      <w:sz w:val="21"/>
                      <w:szCs w:val="21"/>
                      <w:u w:val="single"/>
                    </w:rPr>
                  </w:pPr>
                  <w:r>
                    <w:rPr>
                      <w:rFonts w:hint="eastAsia" w:ascii="Times New Roman" w:hAnsi="Times New Roman" w:cs="Times New Roman"/>
                      <w:color w:val="000000"/>
                      <w:spacing w:val="-5"/>
                      <w:sz w:val="21"/>
                      <w:szCs w:val="21"/>
                      <w:u w:val="single"/>
                    </w:rPr>
                    <w:t>环境风险防控</w:t>
                  </w:r>
                </w:p>
              </w:tc>
              <w:tc>
                <w:tcPr>
                  <w:tcW w:w="2078" w:type="pct"/>
                  <w:noWrap w:val="0"/>
                  <w:vAlign w:val="center"/>
                </w:tcPr>
                <w:p w14:paraId="09187715">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1、加强开发区环境安全管理工作，严格危险化学品管理，减少环境风险。</w:t>
                  </w:r>
                </w:p>
                <w:p w14:paraId="58640B5B">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2、建立开发区风险防范体系以及风险防范应急预案；基础设施和企业内部生产运营管理中，认真落实环境风险防范措施，减少环境风险事故发生。</w:t>
                  </w:r>
                </w:p>
                <w:p w14:paraId="54391058">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3、做好事故废水的风险管控联动，防止事故废水排入雨水管网或未经处理直接进入地表水体。</w:t>
                  </w:r>
                </w:p>
              </w:tc>
              <w:tc>
                <w:tcPr>
                  <w:tcW w:w="1282" w:type="pct"/>
                  <w:noWrap w:val="0"/>
                  <w:vAlign w:val="center"/>
                </w:tcPr>
                <w:p w14:paraId="3B10C0AB">
                  <w:pPr>
                    <w:pStyle w:val="54"/>
                    <w:widowControl/>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1、本项目不涉及危险化学品。</w:t>
                  </w:r>
                </w:p>
                <w:p w14:paraId="54A84807">
                  <w:pPr>
                    <w:pStyle w:val="54"/>
                    <w:widowControl/>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2、本项目认真落实环境风险防范措施，减少环境风险事故发生。</w:t>
                  </w:r>
                </w:p>
                <w:p w14:paraId="73B27C2E">
                  <w:pPr>
                    <w:pStyle w:val="54"/>
                    <w:widowControl/>
                    <w:autoSpaceDE w:val="0"/>
                    <w:autoSpaceDN w:val="0"/>
                    <w:adjustRightInd w:val="0"/>
                    <w:textAlignment w:val="baseline"/>
                    <w:rPr>
                      <w:rFonts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3、本项目不涉及废水外排。</w:t>
                  </w:r>
                </w:p>
              </w:tc>
              <w:tc>
                <w:tcPr>
                  <w:tcW w:w="127" w:type="pct"/>
                  <w:noWrap w:val="0"/>
                  <w:vAlign w:val="center"/>
                </w:tcPr>
                <w:p w14:paraId="3303AAD0">
                  <w:pPr>
                    <w:pStyle w:val="54"/>
                    <w:widowControl/>
                    <w:autoSpaceDE w:val="0"/>
                    <w:autoSpaceDN w:val="0"/>
                    <w:adjustRightInd w:val="0"/>
                    <w:jc w:val="center"/>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相符</w:t>
                  </w:r>
                </w:p>
              </w:tc>
            </w:tr>
            <w:tr w14:paraId="2B8F4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309" w:type="pct"/>
                  <w:vMerge w:val="continue"/>
                  <w:noWrap w:val="0"/>
                  <w:vAlign w:val="center"/>
                </w:tcPr>
                <w:p w14:paraId="4F6ED2D0">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91" w:type="pct"/>
                  <w:vMerge w:val="continue"/>
                  <w:noWrap w:val="0"/>
                  <w:vAlign w:val="center"/>
                </w:tcPr>
                <w:p w14:paraId="0B6B4F97">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16" w:type="pct"/>
                  <w:vMerge w:val="continue"/>
                  <w:noWrap w:val="0"/>
                  <w:vAlign w:val="center"/>
                </w:tcPr>
                <w:p w14:paraId="435ADEE3">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187" w:type="pct"/>
                  <w:vMerge w:val="continue"/>
                  <w:noWrap w:val="0"/>
                  <w:vAlign w:val="center"/>
                </w:tcPr>
                <w:p w14:paraId="51A2638F">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01" w:type="pct"/>
                  <w:vMerge w:val="continue"/>
                  <w:noWrap w:val="0"/>
                  <w:vAlign w:val="center"/>
                </w:tcPr>
                <w:p w14:paraId="3F4EFC1C">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305" w:type="pct"/>
                  <w:noWrap w:val="0"/>
                  <w:vAlign w:val="center"/>
                </w:tcPr>
                <w:p w14:paraId="4858C236">
                  <w:pPr>
                    <w:pStyle w:val="54"/>
                    <w:widowControl/>
                    <w:autoSpaceDE w:val="0"/>
                    <w:autoSpaceDN w:val="0"/>
                    <w:adjustRightInd w:val="0"/>
                    <w:jc w:val="center"/>
                    <w:textAlignment w:val="baseline"/>
                    <w:rPr>
                      <w:rFonts w:ascii="Times New Roman" w:hAnsi="Times New Roman" w:cs="Times New Roman"/>
                      <w:color w:val="000000"/>
                      <w:spacing w:val="-5"/>
                      <w:sz w:val="21"/>
                      <w:szCs w:val="21"/>
                      <w:u w:val="single"/>
                    </w:rPr>
                  </w:pPr>
                  <w:r>
                    <w:rPr>
                      <w:rFonts w:hint="eastAsia" w:ascii="Times New Roman" w:hAnsi="Times New Roman" w:cs="Times New Roman"/>
                      <w:color w:val="000000"/>
                      <w:spacing w:val="-5"/>
                      <w:sz w:val="21"/>
                      <w:szCs w:val="21"/>
                      <w:u w:val="single"/>
                    </w:rPr>
                    <w:t>资源开发效率要求</w:t>
                  </w:r>
                </w:p>
              </w:tc>
              <w:tc>
                <w:tcPr>
                  <w:tcW w:w="2078" w:type="pct"/>
                  <w:noWrap w:val="0"/>
                  <w:vAlign w:val="center"/>
                </w:tcPr>
                <w:p w14:paraId="0116976D">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入区项目在条件具备的情况下，应加大中水回用力度，建设再生水回用配套设施，提高再生水利用率。</w:t>
                  </w:r>
                </w:p>
              </w:tc>
              <w:tc>
                <w:tcPr>
                  <w:tcW w:w="1282" w:type="pct"/>
                  <w:noWrap w:val="0"/>
                  <w:vAlign w:val="center"/>
                </w:tcPr>
                <w:p w14:paraId="2689D26D">
                  <w:pPr>
                    <w:pStyle w:val="54"/>
                    <w:widowControl/>
                    <w:autoSpaceDE w:val="0"/>
                    <w:autoSpaceDN w:val="0"/>
                    <w:adjustRightInd w:val="0"/>
                    <w:textAlignment w:val="baseline"/>
                    <w:rPr>
                      <w:rFonts w:ascii="Times New Roman" w:hAnsi="Times New Roman" w:cs="Times New Roman"/>
                      <w:color w:val="000000"/>
                      <w:sz w:val="21"/>
                      <w:szCs w:val="21"/>
                      <w:u w:val="single"/>
                      <w:lang w:eastAsia="zh-CN"/>
                    </w:rPr>
                  </w:pPr>
                  <w:r>
                    <w:rPr>
                      <w:rFonts w:hint="default" w:ascii="Times New Roman" w:hAnsi="Times New Roman" w:eastAsia="宋体" w:cs="Times New Roman"/>
                      <w:color w:val="000000"/>
                      <w:spacing w:val="0"/>
                      <w:kern w:val="0"/>
                      <w:sz w:val="21"/>
                      <w:szCs w:val="21"/>
                      <w:u w:val="single"/>
                    </w:rPr>
                    <w:t>本项目</w:t>
                  </w:r>
                  <w:r>
                    <w:rPr>
                      <w:rFonts w:hint="eastAsia" w:ascii="Times New Roman" w:hAnsi="Times New Roman" w:eastAsia="宋体" w:cs="Times New Roman"/>
                      <w:color w:val="000000"/>
                      <w:spacing w:val="0"/>
                      <w:kern w:val="0"/>
                      <w:sz w:val="21"/>
                      <w:szCs w:val="21"/>
                      <w:u w:val="single"/>
                      <w:lang w:val="en-US" w:eastAsia="zh-CN"/>
                    </w:rPr>
                    <w:t>冷却水循环使用，冷却塔循环水池定期清理，可用于厂区洒水降尘；</w:t>
                  </w:r>
                  <w:r>
                    <w:rPr>
                      <w:rFonts w:hint="default" w:ascii="Times New Roman" w:hAnsi="Times New Roman" w:eastAsia="宋体" w:cs="Times New Roman"/>
                      <w:color w:val="000000"/>
                      <w:spacing w:val="0"/>
                      <w:kern w:val="0"/>
                      <w:sz w:val="21"/>
                      <w:szCs w:val="21"/>
                      <w:u w:val="single"/>
                    </w:rPr>
                    <w:t>生活污水经化粪池</w:t>
                  </w:r>
                  <w:r>
                    <w:rPr>
                      <w:rFonts w:hint="eastAsia" w:ascii="Times New Roman" w:hAnsi="Times New Roman" w:eastAsia="宋体" w:cs="Times New Roman"/>
                      <w:color w:val="000000"/>
                      <w:spacing w:val="0"/>
                      <w:kern w:val="0"/>
                      <w:sz w:val="21"/>
                      <w:szCs w:val="21"/>
                      <w:u w:val="single"/>
                      <w:lang w:val="en-US" w:eastAsia="zh-CN"/>
                    </w:rPr>
                    <w:t>处理后近期</w:t>
                  </w:r>
                  <w:r>
                    <w:rPr>
                      <w:rFonts w:hint="default" w:ascii="Times New Roman" w:hAnsi="Times New Roman" w:eastAsia="宋体" w:cs="Times New Roman"/>
                      <w:color w:val="000000"/>
                      <w:spacing w:val="0"/>
                      <w:kern w:val="0"/>
                      <w:sz w:val="21"/>
                      <w:szCs w:val="21"/>
                      <w:u w:val="single"/>
                    </w:rPr>
                    <w:t>定期清掏</w:t>
                  </w:r>
                  <w:r>
                    <w:rPr>
                      <w:rFonts w:hint="eastAsia" w:ascii="Times New Roman" w:hAnsi="Times New Roman" w:eastAsia="宋体" w:cs="Times New Roman"/>
                      <w:color w:val="000000"/>
                      <w:spacing w:val="0"/>
                      <w:kern w:val="0"/>
                      <w:sz w:val="21"/>
                      <w:szCs w:val="21"/>
                      <w:u w:val="single"/>
                      <w:lang w:val="en-US" w:eastAsia="zh-CN"/>
                    </w:rPr>
                    <w:t>肥田，远期排入偃师区第四污水处理厂</w:t>
                  </w:r>
                  <w:r>
                    <w:rPr>
                      <w:rFonts w:hint="default" w:ascii="Times New Roman" w:hAnsi="Times New Roman" w:eastAsia="宋体" w:cs="Times New Roman"/>
                      <w:color w:val="000000"/>
                      <w:spacing w:val="0"/>
                      <w:kern w:val="0"/>
                      <w:sz w:val="21"/>
                      <w:szCs w:val="21"/>
                      <w:u w:val="single"/>
                    </w:rPr>
                    <w:t>。</w:t>
                  </w:r>
                </w:p>
              </w:tc>
              <w:tc>
                <w:tcPr>
                  <w:tcW w:w="127" w:type="pct"/>
                  <w:noWrap w:val="0"/>
                  <w:vAlign w:val="center"/>
                </w:tcPr>
                <w:p w14:paraId="1776E29E">
                  <w:pPr>
                    <w:pStyle w:val="54"/>
                    <w:widowControl/>
                    <w:autoSpaceDE w:val="0"/>
                    <w:autoSpaceDN w:val="0"/>
                    <w:adjustRightInd w:val="0"/>
                    <w:jc w:val="center"/>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相符</w:t>
                  </w:r>
                </w:p>
              </w:tc>
            </w:tr>
          </w:tbl>
          <w:p w14:paraId="538FEFE0">
            <w:pPr>
              <w:spacing w:before="93" w:beforeLines="30"/>
              <w:jc w:val="center"/>
              <w:rPr>
                <w:rFonts w:hint="eastAsia" w:ascii="黑体" w:hAnsi="黑体" w:eastAsia="黑体"/>
                <w:color w:val="000000"/>
                <w:sz w:val="24"/>
                <w:szCs w:val="24"/>
              </w:rPr>
            </w:pPr>
          </w:p>
          <w:p w14:paraId="6313DED2">
            <w:pPr>
              <w:spacing w:before="93" w:beforeLines="30"/>
              <w:jc w:val="center"/>
              <w:rPr>
                <w:rFonts w:hint="eastAsia" w:ascii="黑体" w:hAnsi="黑体" w:eastAsia="黑体"/>
                <w:color w:val="000000"/>
                <w:sz w:val="24"/>
                <w:szCs w:val="24"/>
              </w:rPr>
            </w:pPr>
          </w:p>
          <w:p w14:paraId="5F5E5195">
            <w:pPr>
              <w:spacing w:before="93" w:beforeLines="30"/>
              <w:jc w:val="center"/>
              <w:rPr>
                <w:rFonts w:hint="eastAsia" w:ascii="黑体" w:hAnsi="黑体" w:eastAsia="黑体"/>
                <w:color w:val="000000"/>
                <w:sz w:val="24"/>
                <w:szCs w:val="24"/>
              </w:rPr>
            </w:pPr>
          </w:p>
          <w:p w14:paraId="43ACC151">
            <w:pPr>
              <w:spacing w:before="93" w:beforeLines="30"/>
              <w:jc w:val="center"/>
              <w:rPr>
                <w:rFonts w:hint="eastAsia" w:ascii="黑体" w:hAnsi="黑体" w:eastAsia="黑体"/>
                <w:color w:val="000000"/>
                <w:sz w:val="24"/>
                <w:szCs w:val="24"/>
              </w:rPr>
            </w:pPr>
            <w:r>
              <w:rPr>
                <w:rFonts w:hint="eastAsia" w:ascii="黑体" w:hAnsi="黑体" w:eastAsia="黑体"/>
                <w:color w:val="000000"/>
                <w:sz w:val="24"/>
                <w:szCs w:val="24"/>
              </w:rPr>
              <w:t>表</w:t>
            </w:r>
            <w:r>
              <w:rPr>
                <w:rFonts w:hint="eastAsia" w:ascii="黑体" w:hAnsi="黑体" w:eastAsia="黑体"/>
                <w:color w:val="000000"/>
                <w:sz w:val="24"/>
                <w:szCs w:val="24"/>
                <w:lang w:val="en-US" w:eastAsia="zh-CN"/>
              </w:rPr>
              <w:t>5</w:t>
            </w:r>
            <w:r>
              <w:rPr>
                <w:rFonts w:hint="eastAsia" w:ascii="黑体" w:hAnsi="黑体" w:eastAsia="黑体"/>
                <w:color w:val="000000"/>
                <w:sz w:val="24"/>
                <w:szCs w:val="24"/>
              </w:rPr>
              <w:t xml:space="preserve">    项目</w:t>
            </w:r>
            <w:r>
              <w:rPr>
                <w:rFonts w:ascii="黑体" w:hAnsi="黑体" w:eastAsia="黑体"/>
                <w:color w:val="000000"/>
                <w:sz w:val="24"/>
                <w:szCs w:val="24"/>
              </w:rPr>
              <w:t>与</w:t>
            </w:r>
            <w:r>
              <w:rPr>
                <w:rFonts w:hint="eastAsia" w:ascii="黑体" w:hAnsi="黑体" w:eastAsia="黑体"/>
                <w:color w:val="000000"/>
                <w:sz w:val="24"/>
                <w:szCs w:val="24"/>
              </w:rPr>
              <w:t>河南省</w:t>
            </w:r>
            <w:r>
              <w:rPr>
                <w:rFonts w:hint="eastAsia" w:ascii="黑体" w:hAnsi="黑体" w:eastAsia="黑体"/>
                <w:color w:val="000000"/>
                <w:sz w:val="24"/>
                <w:szCs w:val="24"/>
                <w:lang w:val="en-US" w:eastAsia="zh-CN"/>
              </w:rPr>
              <w:t>大气</w:t>
            </w:r>
            <w:r>
              <w:rPr>
                <w:rFonts w:hint="eastAsia" w:ascii="黑体" w:hAnsi="黑体" w:eastAsia="黑体"/>
                <w:color w:val="000000"/>
                <w:sz w:val="24"/>
                <w:szCs w:val="24"/>
              </w:rPr>
              <w:t>环境管控</w:t>
            </w:r>
            <w:r>
              <w:rPr>
                <w:rFonts w:ascii="黑体" w:hAnsi="黑体" w:eastAsia="黑体"/>
                <w:color w:val="000000"/>
                <w:sz w:val="24"/>
                <w:szCs w:val="24"/>
              </w:rPr>
              <w:t>相符性</w:t>
            </w:r>
            <w:r>
              <w:rPr>
                <w:rFonts w:hint="eastAsia" w:ascii="黑体" w:hAnsi="黑体" w:eastAsia="黑体"/>
                <w:color w:val="000000"/>
                <w:sz w:val="24"/>
                <w:szCs w:val="24"/>
              </w:rPr>
              <w:t>分析</w:t>
            </w:r>
            <w:r>
              <w:rPr>
                <w:rFonts w:ascii="黑体" w:hAnsi="黑体" w:eastAsia="黑体"/>
                <w:color w:val="000000"/>
                <w:sz w:val="24"/>
                <w:szCs w:val="24"/>
              </w:rPr>
              <w:t>一览表</w:t>
            </w:r>
          </w:p>
          <w:tbl>
            <w:tblPr>
              <w:tblStyle w:val="18"/>
              <w:tblW w:w="497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
            <w:tblGrid>
              <w:gridCol w:w="785"/>
              <w:gridCol w:w="740"/>
              <w:gridCol w:w="550"/>
              <w:gridCol w:w="475"/>
              <w:gridCol w:w="512"/>
              <w:gridCol w:w="589"/>
              <w:gridCol w:w="5451"/>
              <w:gridCol w:w="3258"/>
              <w:gridCol w:w="324"/>
            </w:tblGrid>
            <w:tr w14:paraId="53607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309" w:type="pct"/>
                  <w:vMerge w:val="restart"/>
                  <w:noWrap w:val="0"/>
                  <w:vAlign w:val="center"/>
                </w:tcPr>
                <w:p w14:paraId="4D0292D8">
                  <w:pPr>
                    <w:pStyle w:val="54"/>
                    <w:widowControl/>
                    <w:kinsoku w:val="0"/>
                    <w:autoSpaceDE w:val="0"/>
                    <w:autoSpaceDN w:val="0"/>
                    <w:adjustRightInd w:val="0"/>
                    <w:jc w:val="center"/>
                    <w:textAlignment w:val="baseline"/>
                    <w:rPr>
                      <w:rFonts w:ascii="Times New Roman" w:hAnsi="Times New Roman" w:cs="Times New Roman"/>
                      <w:snapToGrid w:val="0"/>
                      <w:color w:val="000000"/>
                      <w:kern w:val="0"/>
                      <w:sz w:val="21"/>
                      <w:szCs w:val="21"/>
                      <w:u w:val="single"/>
                    </w:rPr>
                  </w:pPr>
                  <w:r>
                    <w:rPr>
                      <w:rFonts w:ascii="Times New Roman" w:hAnsi="Times New Roman" w:cs="Times New Roman"/>
                      <w:color w:val="000000"/>
                      <w:spacing w:val="-5"/>
                      <w:sz w:val="21"/>
                      <w:szCs w:val="21"/>
                      <w:u w:val="single"/>
                    </w:rPr>
                    <w:t>环境管控单元</w:t>
                  </w:r>
                  <w:r>
                    <w:rPr>
                      <w:rFonts w:ascii="Times New Roman" w:hAnsi="Times New Roman" w:cs="Times New Roman"/>
                      <w:color w:val="000000"/>
                      <w:spacing w:val="-9"/>
                      <w:sz w:val="21"/>
                      <w:szCs w:val="21"/>
                      <w:u w:val="single"/>
                    </w:rPr>
                    <w:t>编码</w:t>
                  </w:r>
                </w:p>
              </w:tc>
              <w:tc>
                <w:tcPr>
                  <w:tcW w:w="291" w:type="pct"/>
                  <w:vMerge w:val="restart"/>
                  <w:noWrap w:val="0"/>
                  <w:vAlign w:val="center"/>
                </w:tcPr>
                <w:p w14:paraId="6F233562">
                  <w:pPr>
                    <w:pStyle w:val="54"/>
                    <w:widowControl/>
                    <w:kinsoku w:val="0"/>
                    <w:autoSpaceDE w:val="0"/>
                    <w:autoSpaceDN w:val="0"/>
                    <w:adjustRightInd w:val="0"/>
                    <w:jc w:val="center"/>
                    <w:textAlignment w:val="baseline"/>
                    <w:rPr>
                      <w:rFonts w:ascii="Times New Roman" w:hAnsi="Times New Roman" w:cs="Times New Roman"/>
                      <w:snapToGrid w:val="0"/>
                      <w:color w:val="000000"/>
                      <w:kern w:val="0"/>
                      <w:sz w:val="21"/>
                      <w:szCs w:val="21"/>
                      <w:u w:val="single"/>
                    </w:rPr>
                  </w:pPr>
                  <w:r>
                    <w:rPr>
                      <w:rFonts w:ascii="Times New Roman" w:hAnsi="Times New Roman" w:cs="Times New Roman"/>
                      <w:color w:val="000000"/>
                      <w:spacing w:val="-5"/>
                      <w:sz w:val="21"/>
                      <w:szCs w:val="21"/>
                      <w:u w:val="single"/>
                    </w:rPr>
                    <w:t>环境管控单元</w:t>
                  </w:r>
                  <w:r>
                    <w:rPr>
                      <w:rFonts w:ascii="Times New Roman" w:hAnsi="Times New Roman" w:cs="Times New Roman"/>
                      <w:color w:val="000000"/>
                      <w:spacing w:val="-9"/>
                      <w:sz w:val="21"/>
                      <w:szCs w:val="21"/>
                      <w:u w:val="single"/>
                    </w:rPr>
                    <w:t>名称</w:t>
                  </w:r>
                </w:p>
              </w:tc>
              <w:tc>
                <w:tcPr>
                  <w:tcW w:w="216" w:type="pct"/>
                  <w:vMerge w:val="restart"/>
                  <w:noWrap w:val="0"/>
                  <w:vAlign w:val="center"/>
                </w:tcPr>
                <w:p w14:paraId="0440BE48">
                  <w:pPr>
                    <w:pStyle w:val="54"/>
                    <w:widowControl/>
                    <w:kinsoku w:val="0"/>
                    <w:autoSpaceDE w:val="0"/>
                    <w:autoSpaceDN w:val="0"/>
                    <w:adjustRightInd w:val="0"/>
                    <w:jc w:val="center"/>
                    <w:textAlignment w:val="baseline"/>
                    <w:rPr>
                      <w:rFonts w:ascii="Times New Roman" w:hAnsi="Times New Roman" w:cs="Times New Roman"/>
                      <w:snapToGrid w:val="0"/>
                      <w:color w:val="000000"/>
                      <w:kern w:val="0"/>
                      <w:sz w:val="21"/>
                      <w:szCs w:val="21"/>
                      <w:u w:val="single"/>
                    </w:rPr>
                  </w:pPr>
                  <w:r>
                    <w:rPr>
                      <w:rFonts w:ascii="Times New Roman" w:hAnsi="Times New Roman" w:cs="Times New Roman"/>
                      <w:color w:val="000000"/>
                      <w:spacing w:val="-7"/>
                      <w:sz w:val="21"/>
                      <w:szCs w:val="21"/>
                      <w:u w:val="single"/>
                    </w:rPr>
                    <w:t>管控分</w:t>
                  </w:r>
                  <w:r>
                    <w:rPr>
                      <w:rFonts w:ascii="Times New Roman" w:hAnsi="Times New Roman" w:cs="Times New Roman"/>
                      <w:color w:val="000000"/>
                      <w:spacing w:val="-3"/>
                      <w:sz w:val="21"/>
                      <w:szCs w:val="21"/>
                      <w:u w:val="single"/>
                    </w:rPr>
                    <w:t>类</w:t>
                  </w:r>
                </w:p>
              </w:tc>
              <w:tc>
                <w:tcPr>
                  <w:tcW w:w="388" w:type="pct"/>
                  <w:gridSpan w:val="2"/>
                  <w:noWrap w:val="0"/>
                  <w:vAlign w:val="center"/>
                </w:tcPr>
                <w:p w14:paraId="2D6D0AE5">
                  <w:pPr>
                    <w:pStyle w:val="54"/>
                    <w:widowControl/>
                    <w:kinsoku w:val="0"/>
                    <w:autoSpaceDE w:val="0"/>
                    <w:autoSpaceDN w:val="0"/>
                    <w:adjustRightInd w:val="0"/>
                    <w:jc w:val="center"/>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行政区划</w:t>
                  </w:r>
                </w:p>
              </w:tc>
              <w:tc>
                <w:tcPr>
                  <w:tcW w:w="2381" w:type="pct"/>
                  <w:gridSpan w:val="2"/>
                  <w:vMerge w:val="restart"/>
                  <w:noWrap w:val="0"/>
                  <w:vAlign w:val="center"/>
                </w:tcPr>
                <w:p w14:paraId="0D5E2D43">
                  <w:pPr>
                    <w:pStyle w:val="54"/>
                    <w:widowControl/>
                    <w:kinsoku w:val="0"/>
                    <w:autoSpaceDE w:val="0"/>
                    <w:autoSpaceDN w:val="0"/>
                    <w:adjustRightInd w:val="0"/>
                    <w:jc w:val="center"/>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管控要求</w:t>
                  </w:r>
                </w:p>
              </w:tc>
              <w:tc>
                <w:tcPr>
                  <w:tcW w:w="1284" w:type="pct"/>
                  <w:vMerge w:val="restart"/>
                  <w:noWrap w:val="0"/>
                  <w:vAlign w:val="center"/>
                </w:tcPr>
                <w:p w14:paraId="6C1DDA0E">
                  <w:pPr>
                    <w:pStyle w:val="54"/>
                    <w:widowControl/>
                    <w:kinsoku w:val="0"/>
                    <w:autoSpaceDE w:val="0"/>
                    <w:autoSpaceDN w:val="0"/>
                    <w:adjustRightInd w:val="0"/>
                    <w:jc w:val="center"/>
                    <w:textAlignment w:val="baseline"/>
                    <w:rPr>
                      <w:rFonts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本项目情况</w:t>
                  </w:r>
                </w:p>
              </w:tc>
              <w:tc>
                <w:tcPr>
                  <w:tcW w:w="127" w:type="pct"/>
                  <w:vMerge w:val="restart"/>
                  <w:noWrap w:val="0"/>
                  <w:vAlign w:val="center"/>
                </w:tcPr>
                <w:p w14:paraId="61A7A097">
                  <w:pPr>
                    <w:pStyle w:val="54"/>
                    <w:widowControl/>
                    <w:kinsoku w:val="0"/>
                    <w:autoSpaceDE w:val="0"/>
                    <w:autoSpaceDN w:val="0"/>
                    <w:adjustRightInd w:val="0"/>
                    <w:jc w:val="center"/>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相符性</w:t>
                  </w:r>
                </w:p>
              </w:tc>
            </w:tr>
            <w:tr w14:paraId="391CC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309" w:type="pct"/>
                  <w:vMerge w:val="continue"/>
                  <w:noWrap w:val="0"/>
                  <w:vAlign w:val="center"/>
                </w:tcPr>
                <w:p w14:paraId="5FA1EAD4">
                  <w:pPr>
                    <w:pStyle w:val="54"/>
                    <w:widowControl/>
                    <w:kinsoku w:val="0"/>
                    <w:autoSpaceDE w:val="0"/>
                    <w:autoSpaceDN w:val="0"/>
                    <w:adjustRightInd w:val="0"/>
                    <w:jc w:val="center"/>
                    <w:textAlignment w:val="baseline"/>
                    <w:rPr>
                      <w:rFonts w:ascii="Times New Roman" w:hAnsi="Times New Roman" w:cs="Times New Roman"/>
                      <w:snapToGrid w:val="0"/>
                      <w:color w:val="000000"/>
                      <w:kern w:val="0"/>
                      <w:sz w:val="21"/>
                      <w:szCs w:val="21"/>
                      <w:u w:val="single"/>
                    </w:rPr>
                  </w:pPr>
                </w:p>
              </w:tc>
              <w:tc>
                <w:tcPr>
                  <w:tcW w:w="291" w:type="pct"/>
                  <w:vMerge w:val="continue"/>
                  <w:noWrap w:val="0"/>
                  <w:vAlign w:val="center"/>
                </w:tcPr>
                <w:p w14:paraId="0C10EF48">
                  <w:pPr>
                    <w:pStyle w:val="54"/>
                    <w:widowControl/>
                    <w:kinsoku w:val="0"/>
                    <w:autoSpaceDE w:val="0"/>
                    <w:autoSpaceDN w:val="0"/>
                    <w:adjustRightInd w:val="0"/>
                    <w:jc w:val="center"/>
                    <w:textAlignment w:val="baseline"/>
                    <w:rPr>
                      <w:rFonts w:ascii="Times New Roman" w:hAnsi="Times New Roman" w:cs="Times New Roman"/>
                      <w:snapToGrid w:val="0"/>
                      <w:color w:val="000000"/>
                      <w:kern w:val="0"/>
                      <w:sz w:val="21"/>
                      <w:szCs w:val="21"/>
                      <w:u w:val="single"/>
                    </w:rPr>
                  </w:pPr>
                </w:p>
              </w:tc>
              <w:tc>
                <w:tcPr>
                  <w:tcW w:w="216" w:type="pct"/>
                  <w:vMerge w:val="continue"/>
                  <w:noWrap w:val="0"/>
                  <w:vAlign w:val="center"/>
                </w:tcPr>
                <w:p w14:paraId="125FC38A">
                  <w:pPr>
                    <w:pStyle w:val="54"/>
                    <w:widowControl/>
                    <w:kinsoku w:val="0"/>
                    <w:autoSpaceDE w:val="0"/>
                    <w:autoSpaceDN w:val="0"/>
                    <w:adjustRightInd w:val="0"/>
                    <w:jc w:val="center"/>
                    <w:textAlignment w:val="baseline"/>
                    <w:rPr>
                      <w:rFonts w:ascii="Times New Roman" w:hAnsi="Times New Roman" w:cs="Times New Roman"/>
                      <w:snapToGrid w:val="0"/>
                      <w:color w:val="000000"/>
                      <w:kern w:val="0"/>
                      <w:sz w:val="21"/>
                      <w:szCs w:val="21"/>
                      <w:u w:val="single"/>
                    </w:rPr>
                  </w:pPr>
                </w:p>
              </w:tc>
              <w:tc>
                <w:tcPr>
                  <w:tcW w:w="187" w:type="pct"/>
                  <w:noWrap w:val="0"/>
                  <w:vAlign w:val="center"/>
                </w:tcPr>
                <w:p w14:paraId="7AD67E2A">
                  <w:pPr>
                    <w:pStyle w:val="54"/>
                    <w:widowControl/>
                    <w:kinsoku w:val="0"/>
                    <w:autoSpaceDE w:val="0"/>
                    <w:autoSpaceDN w:val="0"/>
                    <w:adjustRightInd w:val="0"/>
                    <w:jc w:val="center"/>
                    <w:textAlignment w:val="baseline"/>
                    <w:rPr>
                      <w:rFonts w:ascii="Times New Roman" w:hAnsi="Times New Roman" w:cs="Times New Roman"/>
                      <w:snapToGrid w:val="0"/>
                      <w:color w:val="000000"/>
                      <w:kern w:val="0"/>
                      <w:sz w:val="21"/>
                      <w:szCs w:val="21"/>
                      <w:u w:val="single"/>
                    </w:rPr>
                  </w:pPr>
                  <w:r>
                    <w:rPr>
                      <w:rFonts w:ascii="Times New Roman" w:hAnsi="Times New Roman" w:cs="Times New Roman"/>
                      <w:color w:val="000000"/>
                      <w:spacing w:val="-3"/>
                      <w:sz w:val="21"/>
                      <w:szCs w:val="21"/>
                      <w:u w:val="single"/>
                    </w:rPr>
                    <w:t>市</w:t>
                  </w:r>
                </w:p>
              </w:tc>
              <w:tc>
                <w:tcPr>
                  <w:tcW w:w="201" w:type="pct"/>
                  <w:noWrap w:val="0"/>
                  <w:vAlign w:val="center"/>
                </w:tcPr>
                <w:p w14:paraId="09E6B1C8">
                  <w:pPr>
                    <w:pStyle w:val="54"/>
                    <w:widowControl/>
                    <w:kinsoku w:val="0"/>
                    <w:autoSpaceDE w:val="0"/>
                    <w:autoSpaceDN w:val="0"/>
                    <w:adjustRightInd w:val="0"/>
                    <w:jc w:val="center"/>
                    <w:textAlignment w:val="baseline"/>
                    <w:rPr>
                      <w:rFonts w:ascii="Times New Roman" w:hAnsi="Times New Roman" w:cs="Times New Roman"/>
                      <w:snapToGrid w:val="0"/>
                      <w:color w:val="000000"/>
                      <w:kern w:val="0"/>
                      <w:sz w:val="21"/>
                      <w:szCs w:val="21"/>
                      <w:u w:val="single"/>
                    </w:rPr>
                  </w:pPr>
                  <w:r>
                    <w:rPr>
                      <w:rFonts w:ascii="Times New Roman" w:hAnsi="Times New Roman" w:cs="Times New Roman"/>
                      <w:color w:val="000000"/>
                      <w:spacing w:val="-17"/>
                      <w:sz w:val="21"/>
                      <w:szCs w:val="21"/>
                      <w:u w:val="single"/>
                    </w:rPr>
                    <w:t>区县</w:t>
                  </w:r>
                </w:p>
              </w:tc>
              <w:tc>
                <w:tcPr>
                  <w:tcW w:w="2381" w:type="pct"/>
                  <w:gridSpan w:val="2"/>
                  <w:vMerge w:val="continue"/>
                  <w:noWrap w:val="0"/>
                  <w:vAlign w:val="center"/>
                </w:tcPr>
                <w:p w14:paraId="0C7A259A">
                  <w:pPr>
                    <w:pStyle w:val="54"/>
                    <w:widowControl/>
                    <w:kinsoku w:val="0"/>
                    <w:autoSpaceDE w:val="0"/>
                    <w:autoSpaceDN w:val="0"/>
                    <w:adjustRightInd w:val="0"/>
                    <w:jc w:val="center"/>
                    <w:textAlignment w:val="baseline"/>
                    <w:rPr>
                      <w:rFonts w:ascii="Times New Roman" w:hAnsi="Times New Roman" w:cs="Times New Roman"/>
                      <w:color w:val="000000"/>
                      <w:sz w:val="21"/>
                      <w:szCs w:val="21"/>
                      <w:u w:val="single"/>
                    </w:rPr>
                  </w:pPr>
                </w:p>
              </w:tc>
              <w:tc>
                <w:tcPr>
                  <w:tcW w:w="1284" w:type="pct"/>
                  <w:vMerge w:val="continue"/>
                  <w:noWrap w:val="0"/>
                  <w:vAlign w:val="center"/>
                </w:tcPr>
                <w:p w14:paraId="0FEA062A">
                  <w:pPr>
                    <w:pStyle w:val="54"/>
                    <w:widowControl/>
                    <w:kinsoku w:val="0"/>
                    <w:autoSpaceDE w:val="0"/>
                    <w:autoSpaceDN w:val="0"/>
                    <w:adjustRightInd w:val="0"/>
                    <w:jc w:val="center"/>
                    <w:textAlignment w:val="baseline"/>
                    <w:rPr>
                      <w:rFonts w:ascii="Times New Roman" w:hAnsi="Times New Roman" w:cs="Times New Roman"/>
                      <w:color w:val="000000"/>
                      <w:sz w:val="21"/>
                      <w:szCs w:val="21"/>
                      <w:u w:val="single"/>
                    </w:rPr>
                  </w:pPr>
                </w:p>
              </w:tc>
              <w:tc>
                <w:tcPr>
                  <w:tcW w:w="127" w:type="pct"/>
                  <w:vMerge w:val="continue"/>
                  <w:noWrap w:val="0"/>
                  <w:vAlign w:val="center"/>
                </w:tcPr>
                <w:p w14:paraId="37A24B9A">
                  <w:pPr>
                    <w:pStyle w:val="54"/>
                    <w:widowControl/>
                    <w:kinsoku w:val="0"/>
                    <w:autoSpaceDE w:val="0"/>
                    <w:autoSpaceDN w:val="0"/>
                    <w:adjustRightInd w:val="0"/>
                    <w:jc w:val="center"/>
                    <w:textAlignment w:val="baseline"/>
                    <w:rPr>
                      <w:rFonts w:ascii="Times New Roman" w:hAnsi="Times New Roman" w:cs="Times New Roman"/>
                      <w:color w:val="000000"/>
                      <w:sz w:val="21"/>
                      <w:szCs w:val="21"/>
                      <w:u w:val="single"/>
                    </w:rPr>
                  </w:pPr>
                </w:p>
              </w:tc>
            </w:tr>
            <w:tr w14:paraId="7E0CF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309" w:type="pct"/>
                  <w:vMerge w:val="restart"/>
                  <w:noWrap w:val="0"/>
                  <w:vAlign w:val="center"/>
                </w:tcPr>
                <w:p w14:paraId="1D666711">
                  <w:pPr>
                    <w:pStyle w:val="54"/>
                    <w:widowControl/>
                    <w:autoSpaceDE w:val="0"/>
                    <w:autoSpaceDN w:val="0"/>
                    <w:adjustRightInd w:val="0"/>
                    <w:jc w:val="center"/>
                    <w:textAlignment w:val="baseline"/>
                    <w:rPr>
                      <w:rFonts w:ascii="Times New Roman" w:hAnsi="Times New Roman" w:eastAsia="宋体" w:cs="Times New Roman"/>
                      <w:color w:val="000000"/>
                      <w:sz w:val="21"/>
                      <w:szCs w:val="21"/>
                      <w:u w:val="single"/>
                    </w:rPr>
                  </w:pPr>
                  <w:r>
                    <w:rPr>
                      <w:rFonts w:hint="eastAsia" w:ascii="Times New Roman" w:hAnsi="Times New Roman" w:eastAsia="宋体" w:cs="Times New Roman"/>
                      <w:color w:val="000000"/>
                      <w:sz w:val="21"/>
                      <w:szCs w:val="21"/>
                      <w:u w:val="single"/>
                    </w:rPr>
                    <w:t>YS4103072310003</w:t>
                  </w:r>
                </w:p>
              </w:tc>
              <w:tc>
                <w:tcPr>
                  <w:tcW w:w="291" w:type="pct"/>
                  <w:vMerge w:val="restart"/>
                  <w:noWrap w:val="0"/>
                  <w:vAlign w:val="center"/>
                </w:tcPr>
                <w:p w14:paraId="51782D4D">
                  <w:pPr>
                    <w:pStyle w:val="54"/>
                    <w:widowControl/>
                    <w:autoSpaceDE w:val="0"/>
                    <w:autoSpaceDN w:val="0"/>
                    <w:adjustRightInd w:val="0"/>
                    <w:jc w:val="center"/>
                    <w:textAlignment w:val="baseline"/>
                    <w:rPr>
                      <w:rFonts w:ascii="Times New Roman" w:hAnsi="Times New Roman" w:eastAsia="宋体" w:cs="Times New Roman"/>
                      <w:color w:val="000000"/>
                      <w:sz w:val="21"/>
                      <w:szCs w:val="21"/>
                      <w:u w:val="single"/>
                    </w:rPr>
                  </w:pPr>
                  <w:r>
                    <w:rPr>
                      <w:rFonts w:ascii="Times New Roman" w:hAnsi="Times New Roman" w:eastAsia="宋体" w:cs="Times New Roman"/>
                      <w:color w:val="000000"/>
                      <w:sz w:val="21"/>
                      <w:szCs w:val="21"/>
                      <w:u w:val="single"/>
                    </w:rPr>
                    <w:t>洛阳偃师区先进制造业开发区</w:t>
                  </w:r>
                </w:p>
              </w:tc>
              <w:tc>
                <w:tcPr>
                  <w:tcW w:w="216" w:type="pct"/>
                  <w:vMerge w:val="restart"/>
                  <w:noWrap w:val="0"/>
                  <w:vAlign w:val="center"/>
                </w:tcPr>
                <w:p w14:paraId="694C79BB">
                  <w:pPr>
                    <w:pStyle w:val="54"/>
                    <w:widowControl/>
                    <w:autoSpaceDE w:val="0"/>
                    <w:autoSpaceDN w:val="0"/>
                    <w:adjustRightInd w:val="0"/>
                    <w:jc w:val="center"/>
                    <w:textAlignment w:val="baseline"/>
                    <w:rPr>
                      <w:rFonts w:hint="eastAsia" w:ascii="Times New Roman" w:hAnsi="Times New Roman" w:cs="Times New Roman"/>
                      <w:color w:val="000000"/>
                      <w:sz w:val="21"/>
                      <w:szCs w:val="21"/>
                      <w:u w:val="single"/>
                      <w:lang w:eastAsia="zh-CN"/>
                    </w:rPr>
                  </w:pPr>
                  <w:r>
                    <w:rPr>
                      <w:rFonts w:ascii="Times New Roman" w:hAnsi="Times New Roman" w:cs="Times New Roman"/>
                      <w:color w:val="000000"/>
                      <w:sz w:val="21"/>
                      <w:szCs w:val="21"/>
                      <w:u w:val="single"/>
                    </w:rPr>
                    <w:t>重点</w:t>
                  </w:r>
                </w:p>
              </w:tc>
              <w:tc>
                <w:tcPr>
                  <w:tcW w:w="187" w:type="pct"/>
                  <w:vMerge w:val="restart"/>
                  <w:noWrap w:val="0"/>
                  <w:vAlign w:val="center"/>
                </w:tcPr>
                <w:p w14:paraId="07A55BFD">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r>
                    <w:rPr>
                      <w:rFonts w:ascii="Times New Roman" w:hAnsi="Times New Roman" w:cs="Times New Roman"/>
                      <w:color w:val="000000"/>
                      <w:sz w:val="21"/>
                      <w:szCs w:val="21"/>
                      <w:u w:val="single"/>
                    </w:rPr>
                    <w:t>洛阳市</w:t>
                  </w:r>
                </w:p>
              </w:tc>
              <w:tc>
                <w:tcPr>
                  <w:tcW w:w="201" w:type="pct"/>
                  <w:vMerge w:val="restart"/>
                  <w:noWrap w:val="0"/>
                  <w:vAlign w:val="center"/>
                </w:tcPr>
                <w:p w14:paraId="3E4A2BAC">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r>
                    <w:rPr>
                      <w:rFonts w:ascii="Times New Roman" w:hAnsi="Times New Roman" w:cs="Times New Roman"/>
                      <w:color w:val="000000"/>
                      <w:sz w:val="21"/>
                      <w:szCs w:val="21"/>
                      <w:u w:val="single"/>
                    </w:rPr>
                    <w:t>偃师区</w:t>
                  </w:r>
                </w:p>
              </w:tc>
              <w:tc>
                <w:tcPr>
                  <w:tcW w:w="232" w:type="pct"/>
                  <w:noWrap w:val="0"/>
                  <w:vAlign w:val="center"/>
                </w:tcPr>
                <w:p w14:paraId="165493FA">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r>
                    <w:rPr>
                      <w:rFonts w:ascii="Times New Roman" w:hAnsi="Times New Roman" w:cs="Times New Roman"/>
                      <w:color w:val="000000"/>
                      <w:spacing w:val="-7"/>
                      <w:sz w:val="21"/>
                      <w:szCs w:val="21"/>
                      <w:u w:val="single"/>
                    </w:rPr>
                    <w:t>空间布局</w:t>
                  </w:r>
                  <w:r>
                    <w:rPr>
                      <w:rFonts w:ascii="Times New Roman" w:hAnsi="Times New Roman" w:cs="Times New Roman"/>
                      <w:color w:val="000000"/>
                      <w:spacing w:val="-11"/>
                      <w:sz w:val="21"/>
                      <w:szCs w:val="21"/>
                      <w:u w:val="single"/>
                    </w:rPr>
                    <w:t>约束</w:t>
                  </w:r>
                </w:p>
              </w:tc>
              <w:tc>
                <w:tcPr>
                  <w:tcW w:w="2149" w:type="pct"/>
                  <w:noWrap w:val="0"/>
                  <w:vAlign w:val="center"/>
                </w:tcPr>
                <w:p w14:paraId="0B52EA5A">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val="en-US" w:eastAsia="zh-CN"/>
                    </w:rPr>
                    <w:t>1、</w:t>
                  </w:r>
                  <w:r>
                    <w:rPr>
                      <w:rFonts w:hint="eastAsia" w:ascii="Times New Roman" w:hAnsi="Times New Roman" w:cs="Times New Roman"/>
                      <w:color w:val="000000"/>
                      <w:sz w:val="21"/>
                      <w:szCs w:val="21"/>
                      <w:u w:val="single"/>
                      <w:lang w:eastAsia="zh-CN"/>
                    </w:rPr>
                    <w:t>入驻项目应符合园区规划或规划环评的要求。重点发展节能环保装备制造、新能源、新材料（含化工）等产业，建设高新技术示范基地和科技成果转化示范区。</w:t>
                  </w:r>
                </w:p>
                <w:p w14:paraId="3ADB4B1D">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val="en-US" w:eastAsia="zh-CN"/>
                    </w:rPr>
                    <w:t>2、</w:t>
                  </w:r>
                  <w:r>
                    <w:rPr>
                      <w:rFonts w:hint="eastAsia" w:ascii="Times New Roman" w:hAnsi="Times New Roman" w:cs="Times New Roman"/>
                      <w:color w:val="000000"/>
                      <w:sz w:val="21"/>
                      <w:szCs w:val="21"/>
                      <w:u w:val="single"/>
                      <w:lang w:eastAsia="zh-CN"/>
                    </w:rPr>
                    <w:t>禁止《产业结构调整指导目录》淘汰类项目入驻。</w:t>
                  </w:r>
                </w:p>
                <w:p w14:paraId="2D5A9346">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val="en-US" w:eastAsia="zh-CN"/>
                    </w:rPr>
                    <w:t>3、</w:t>
                  </w:r>
                  <w:r>
                    <w:rPr>
                      <w:rFonts w:hint="eastAsia" w:ascii="Times New Roman" w:hAnsi="Times New Roman" w:cs="Times New Roman"/>
                      <w:color w:val="000000"/>
                      <w:sz w:val="21"/>
                      <w:szCs w:val="21"/>
                      <w:u w:val="single"/>
                      <w:lang w:eastAsia="zh-CN"/>
                    </w:rPr>
                    <w:t>禁止新建燃煤、重油及高污染燃料的锅炉项目，锅炉应采用清洁能源。</w:t>
                  </w:r>
                </w:p>
                <w:p w14:paraId="24009F89">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val="en-US" w:eastAsia="zh-CN"/>
                    </w:rPr>
                    <w:t>4、</w:t>
                  </w:r>
                  <w:r>
                    <w:rPr>
                      <w:rFonts w:hint="eastAsia" w:ascii="Times New Roman" w:hAnsi="Times New Roman" w:cs="Times New Roman"/>
                      <w:color w:val="000000"/>
                      <w:sz w:val="21"/>
                      <w:szCs w:val="21"/>
                      <w:u w:val="single"/>
                      <w:lang w:eastAsia="zh-CN"/>
                    </w:rPr>
                    <w:t>在开发区实现集中供热之后，在保障各企业工业用蒸汽的等级、压力及用汽的连续性的基础上，原则上不再新增分散式燃气锅炉项目。</w:t>
                  </w:r>
                </w:p>
                <w:p w14:paraId="022F6550">
                  <w:pPr>
                    <w:pStyle w:val="54"/>
                    <w:widowControl/>
                    <w:numPr>
                      <w:ilvl w:val="0"/>
                      <w:numId w:val="0"/>
                    </w:numPr>
                    <w:autoSpaceDE w:val="0"/>
                    <w:autoSpaceDN w:val="0"/>
                    <w:adjustRightInd w:val="0"/>
                    <w:textAlignment w:val="baseline"/>
                    <w:rPr>
                      <w:rFonts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val="en-US" w:eastAsia="zh-CN"/>
                    </w:rPr>
                    <w:t>5、</w:t>
                  </w:r>
                  <w:r>
                    <w:rPr>
                      <w:rFonts w:hint="eastAsia" w:ascii="Times New Roman" w:hAnsi="Times New Roman" w:cs="Times New Roman"/>
                      <w:color w:val="000000"/>
                      <w:sz w:val="21"/>
                      <w:szCs w:val="21"/>
                      <w:u w:val="single"/>
                      <w:lang w:eastAsia="zh-CN"/>
                    </w:rPr>
                    <w:t>新建、改建、扩建“两高”项目应采用先进的工艺技术和装备，符合国家、省、市“两高”项目相关管理要求。</w:t>
                  </w:r>
                </w:p>
              </w:tc>
              <w:tc>
                <w:tcPr>
                  <w:tcW w:w="1284" w:type="pct"/>
                  <w:noWrap w:val="0"/>
                  <w:vAlign w:val="center"/>
                </w:tcPr>
                <w:p w14:paraId="0B7158B7">
                  <w:pPr>
                    <w:pStyle w:val="54"/>
                    <w:widowControl/>
                    <w:autoSpaceDE w:val="0"/>
                    <w:autoSpaceDN w:val="0"/>
                    <w:adjustRightInd w:val="0"/>
                    <w:textAlignment w:val="baseline"/>
                    <w:rPr>
                      <w:rFonts w:hint="eastAsia" w:ascii="Times New Roman" w:hAnsi="Times New Roman" w:eastAsia="宋体" w:cs="Times New Roman"/>
                      <w:color w:val="000000"/>
                      <w:sz w:val="21"/>
                      <w:szCs w:val="21"/>
                      <w:u w:val="single"/>
                      <w:lang w:eastAsia="zh-CN"/>
                    </w:rPr>
                  </w:pPr>
                  <w:r>
                    <w:rPr>
                      <w:rFonts w:hint="eastAsia" w:ascii="Times New Roman" w:hAnsi="Times New Roman" w:cs="Times New Roman"/>
                      <w:color w:val="000000"/>
                      <w:sz w:val="21"/>
                      <w:szCs w:val="21"/>
                      <w:u w:val="single"/>
                      <w:lang w:val="en-US" w:eastAsia="zh-CN"/>
                    </w:rPr>
                    <w:t>1、</w:t>
                  </w:r>
                  <w:r>
                    <w:rPr>
                      <w:rFonts w:hint="eastAsia" w:ascii="Times New Roman" w:hAnsi="Times New Roman" w:cs="Times New Roman"/>
                      <w:color w:val="000000"/>
                      <w:sz w:val="21"/>
                      <w:szCs w:val="21"/>
                      <w:u w:val="single"/>
                    </w:rPr>
                    <w:t>本项目符合园区规划和规划环评的相关内容要求</w:t>
                  </w:r>
                  <w:r>
                    <w:rPr>
                      <w:rFonts w:hint="eastAsia" w:ascii="Times New Roman" w:hAnsi="Times New Roman" w:cs="Times New Roman"/>
                      <w:color w:val="000000"/>
                      <w:sz w:val="21"/>
                      <w:szCs w:val="21"/>
                      <w:u w:val="single"/>
                      <w:lang w:eastAsia="zh-CN"/>
                    </w:rPr>
                    <w:t>。</w:t>
                  </w:r>
                </w:p>
                <w:p w14:paraId="605DBD7F">
                  <w:pPr>
                    <w:pStyle w:val="54"/>
                    <w:widowControl/>
                    <w:autoSpaceDE w:val="0"/>
                    <w:autoSpaceDN w:val="0"/>
                    <w:adjustRightInd w:val="0"/>
                    <w:textAlignment w:val="baseline"/>
                    <w:rPr>
                      <w:rFonts w:hint="eastAsia"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2、本项目所属行业为塑料鞋制造、其他塑料制品制造，主要产品为塑料鞋底、塑料颗粒料，与开发区主导产业具有一定的相关性，不违背开发区产业定位。</w:t>
                  </w:r>
                </w:p>
                <w:p w14:paraId="04D37A19">
                  <w:pPr>
                    <w:pStyle w:val="54"/>
                    <w:widowControl/>
                    <w:autoSpaceDE w:val="0"/>
                    <w:autoSpaceDN w:val="0"/>
                    <w:adjustRightInd w:val="0"/>
                    <w:textAlignment w:val="baseline"/>
                    <w:rPr>
                      <w:rFonts w:hint="eastAsia"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3、本项目不属于《产业结构调整指导目录》（2024版）淘汰类项目。</w:t>
                  </w:r>
                </w:p>
                <w:p w14:paraId="63F6098C">
                  <w:pPr>
                    <w:pStyle w:val="54"/>
                    <w:widowControl/>
                    <w:autoSpaceDE w:val="0"/>
                    <w:autoSpaceDN w:val="0"/>
                    <w:adjustRightInd w:val="0"/>
                    <w:textAlignment w:val="baseline"/>
                    <w:rPr>
                      <w:rFonts w:hint="eastAsia"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4、本项目不涉及锅炉</w:t>
                  </w:r>
                </w:p>
                <w:p w14:paraId="5C346388">
                  <w:pPr>
                    <w:pStyle w:val="54"/>
                    <w:widowControl/>
                    <w:autoSpaceDE w:val="0"/>
                    <w:autoSpaceDN w:val="0"/>
                    <w:adjustRightInd w:val="0"/>
                    <w:textAlignment w:val="baseline"/>
                    <w:rPr>
                      <w:rFonts w:hint="eastAsia"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5、本项目不涉及锅炉；</w:t>
                  </w:r>
                </w:p>
                <w:p w14:paraId="21FD04BC">
                  <w:pPr>
                    <w:pStyle w:val="54"/>
                    <w:widowControl/>
                    <w:autoSpaceDE w:val="0"/>
                    <w:autoSpaceDN w:val="0"/>
                    <w:adjustRightInd w:val="0"/>
                    <w:textAlignment w:val="baseline"/>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6、本项目不属于“两高”项目。</w:t>
                  </w:r>
                </w:p>
              </w:tc>
              <w:tc>
                <w:tcPr>
                  <w:tcW w:w="127" w:type="pct"/>
                  <w:noWrap w:val="0"/>
                  <w:vAlign w:val="center"/>
                </w:tcPr>
                <w:p w14:paraId="3FE9F96A">
                  <w:pPr>
                    <w:pStyle w:val="54"/>
                    <w:widowControl/>
                    <w:autoSpaceDE w:val="0"/>
                    <w:autoSpaceDN w:val="0"/>
                    <w:adjustRightInd w:val="0"/>
                    <w:jc w:val="center"/>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相符</w:t>
                  </w:r>
                </w:p>
              </w:tc>
            </w:tr>
            <w:tr w14:paraId="4FD7C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309" w:type="pct"/>
                  <w:vMerge w:val="continue"/>
                  <w:noWrap w:val="0"/>
                  <w:vAlign w:val="center"/>
                </w:tcPr>
                <w:p w14:paraId="67972923">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91" w:type="pct"/>
                  <w:vMerge w:val="continue"/>
                  <w:noWrap w:val="0"/>
                  <w:vAlign w:val="center"/>
                </w:tcPr>
                <w:p w14:paraId="067FC8B9">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16" w:type="pct"/>
                  <w:vMerge w:val="continue"/>
                  <w:noWrap w:val="0"/>
                  <w:vAlign w:val="center"/>
                </w:tcPr>
                <w:p w14:paraId="29596B85">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187" w:type="pct"/>
                  <w:vMerge w:val="continue"/>
                  <w:noWrap w:val="0"/>
                  <w:vAlign w:val="center"/>
                </w:tcPr>
                <w:p w14:paraId="058E5C22">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01" w:type="pct"/>
                  <w:vMerge w:val="continue"/>
                  <w:noWrap w:val="0"/>
                  <w:vAlign w:val="center"/>
                </w:tcPr>
                <w:p w14:paraId="135C1C3E">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32" w:type="pct"/>
                  <w:noWrap w:val="0"/>
                  <w:vAlign w:val="center"/>
                </w:tcPr>
                <w:p w14:paraId="2778F8F0">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r>
                    <w:rPr>
                      <w:rFonts w:ascii="Times New Roman" w:hAnsi="Times New Roman" w:cs="Times New Roman"/>
                      <w:color w:val="000000"/>
                      <w:spacing w:val="-5"/>
                      <w:sz w:val="21"/>
                      <w:szCs w:val="21"/>
                      <w:u w:val="single"/>
                    </w:rPr>
                    <w:t>污染物排放管控</w:t>
                  </w:r>
                </w:p>
              </w:tc>
              <w:tc>
                <w:tcPr>
                  <w:tcW w:w="2149" w:type="pct"/>
                  <w:noWrap w:val="0"/>
                  <w:vAlign w:val="center"/>
                </w:tcPr>
                <w:p w14:paraId="58BFC7A8">
                  <w:pPr>
                    <w:pStyle w:val="54"/>
                    <w:widowControl/>
                    <w:numPr>
                      <w:ilvl w:val="0"/>
                      <w:numId w:val="0"/>
                    </w:numPr>
                    <w:autoSpaceDE w:val="0"/>
                    <w:autoSpaceDN w:val="0"/>
                    <w:adjustRightInd w:val="0"/>
                    <w:textAlignment w:val="baseline"/>
                    <w:rPr>
                      <w:rFonts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1、严格执行污染物排放总量控制制度，区内现有企业改扩建工程应做到“增产不增污”，新建项目应实现区域“增产减污”，采取集中供热、集中供气、调整能源结构等措施，严格控制大气污染物的排放。</w:t>
                  </w:r>
                </w:p>
              </w:tc>
              <w:tc>
                <w:tcPr>
                  <w:tcW w:w="1284" w:type="pct"/>
                  <w:noWrap w:val="0"/>
                  <w:vAlign w:val="center"/>
                </w:tcPr>
                <w:p w14:paraId="1C07C920">
                  <w:pPr>
                    <w:pStyle w:val="54"/>
                    <w:widowControl/>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1、本项目</w:t>
                  </w:r>
                  <w:r>
                    <w:rPr>
                      <w:rFonts w:hint="eastAsia" w:ascii="Times New Roman" w:hAnsi="Times New Roman" w:cs="Times New Roman"/>
                      <w:color w:val="000000"/>
                      <w:sz w:val="21"/>
                      <w:szCs w:val="21"/>
                      <w:u w:val="single"/>
                      <w:lang w:val="en-US" w:eastAsia="zh-CN"/>
                    </w:rPr>
                    <w:t>排放颗粒物、</w:t>
                  </w:r>
                  <w:r>
                    <w:rPr>
                      <w:rFonts w:hint="eastAsia" w:ascii="Times New Roman" w:hAnsi="Times New Roman" w:cs="Times New Roman"/>
                      <w:color w:val="000000"/>
                      <w:sz w:val="21"/>
                      <w:szCs w:val="21"/>
                      <w:u w:val="single"/>
                      <w:lang w:eastAsia="zh-CN"/>
                    </w:rPr>
                    <w:t>VOCs，</w:t>
                  </w:r>
                  <w:r>
                    <w:rPr>
                      <w:rFonts w:hint="eastAsia" w:ascii="Times New Roman" w:hAnsi="Times New Roman" w:cs="Times New Roman"/>
                      <w:color w:val="000000"/>
                      <w:sz w:val="21"/>
                      <w:szCs w:val="21"/>
                      <w:u w:val="single"/>
                      <w:lang w:val="en-US" w:eastAsia="zh-CN"/>
                    </w:rPr>
                    <w:t>执行</w:t>
                  </w:r>
                  <w:r>
                    <w:rPr>
                      <w:rFonts w:hint="eastAsia" w:ascii="Times New Roman" w:hAnsi="Times New Roman" w:cs="Times New Roman"/>
                      <w:color w:val="000000"/>
                      <w:sz w:val="21"/>
                      <w:szCs w:val="21"/>
                      <w:u w:val="single"/>
                      <w:lang w:eastAsia="zh-CN"/>
                    </w:rPr>
                    <w:t>大气污染物特别排放限值。</w:t>
                  </w:r>
                </w:p>
                <w:p w14:paraId="0C473E4C">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eastAsia="宋体" w:cs="Times New Roman"/>
                      <w:color w:val="000000"/>
                      <w:kern w:val="2"/>
                      <w:sz w:val="21"/>
                      <w:szCs w:val="21"/>
                      <w:u w:val="single"/>
                      <w:lang w:val="en-US" w:eastAsia="zh-CN" w:bidi="ar-SA"/>
                    </w:rPr>
                    <w:t>2、</w:t>
                  </w:r>
                  <w:r>
                    <w:rPr>
                      <w:rFonts w:hint="eastAsia" w:ascii="Times New Roman" w:hAnsi="Times New Roman" w:cs="Times New Roman"/>
                      <w:color w:val="000000"/>
                      <w:sz w:val="21"/>
                      <w:szCs w:val="21"/>
                      <w:u w:val="single"/>
                      <w:lang w:eastAsia="zh-CN"/>
                    </w:rPr>
                    <w:t>本项目VOCs采用两级活性炭吸附装置处理。</w:t>
                  </w:r>
                </w:p>
                <w:p w14:paraId="4C258BAF">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3、</w:t>
                  </w:r>
                  <w:r>
                    <w:rPr>
                      <w:rFonts w:hint="default" w:ascii="Times New Roman" w:hAnsi="Times New Roman" w:eastAsia="宋体" w:cs="Times New Roman"/>
                      <w:color w:val="000000"/>
                      <w:spacing w:val="0"/>
                      <w:kern w:val="0"/>
                      <w:sz w:val="21"/>
                      <w:szCs w:val="21"/>
                      <w:u w:val="single"/>
                    </w:rPr>
                    <w:t>本项目</w:t>
                  </w:r>
                  <w:r>
                    <w:rPr>
                      <w:rFonts w:hint="eastAsia" w:ascii="Times New Roman" w:hAnsi="Times New Roman" w:eastAsia="宋体" w:cs="Times New Roman"/>
                      <w:color w:val="000000"/>
                      <w:spacing w:val="0"/>
                      <w:kern w:val="0"/>
                      <w:sz w:val="21"/>
                      <w:szCs w:val="21"/>
                      <w:u w:val="single"/>
                      <w:lang w:val="en-US" w:eastAsia="zh-CN"/>
                    </w:rPr>
                    <w:t>冷却水循环使用，冷却塔循环水池定期清理，可用于厂区洒水降尘；</w:t>
                  </w:r>
                  <w:r>
                    <w:rPr>
                      <w:rFonts w:hint="default" w:ascii="Times New Roman" w:hAnsi="Times New Roman" w:eastAsia="宋体" w:cs="Times New Roman"/>
                      <w:color w:val="000000"/>
                      <w:spacing w:val="0"/>
                      <w:kern w:val="0"/>
                      <w:sz w:val="21"/>
                      <w:szCs w:val="21"/>
                      <w:u w:val="single"/>
                    </w:rPr>
                    <w:t>生活污水经化粪池</w:t>
                  </w:r>
                  <w:r>
                    <w:rPr>
                      <w:rFonts w:hint="eastAsia" w:ascii="Times New Roman" w:hAnsi="Times New Roman" w:eastAsia="宋体" w:cs="Times New Roman"/>
                      <w:color w:val="000000"/>
                      <w:spacing w:val="0"/>
                      <w:kern w:val="0"/>
                      <w:sz w:val="21"/>
                      <w:szCs w:val="21"/>
                      <w:u w:val="single"/>
                      <w:lang w:val="en-US" w:eastAsia="zh-CN"/>
                    </w:rPr>
                    <w:t>处理后近期</w:t>
                  </w:r>
                  <w:r>
                    <w:rPr>
                      <w:rFonts w:hint="default" w:ascii="Times New Roman" w:hAnsi="Times New Roman" w:eastAsia="宋体" w:cs="Times New Roman"/>
                      <w:color w:val="000000"/>
                      <w:spacing w:val="0"/>
                      <w:kern w:val="0"/>
                      <w:sz w:val="21"/>
                      <w:szCs w:val="21"/>
                      <w:u w:val="single"/>
                    </w:rPr>
                    <w:t>定期清掏</w:t>
                  </w:r>
                  <w:r>
                    <w:rPr>
                      <w:rFonts w:hint="eastAsia" w:ascii="Times New Roman" w:hAnsi="Times New Roman" w:eastAsia="宋体" w:cs="Times New Roman"/>
                      <w:color w:val="000000"/>
                      <w:spacing w:val="0"/>
                      <w:kern w:val="0"/>
                      <w:sz w:val="21"/>
                      <w:szCs w:val="21"/>
                      <w:u w:val="single"/>
                      <w:lang w:val="en-US" w:eastAsia="zh-CN"/>
                    </w:rPr>
                    <w:t>肥田，远期排入偃师区第四污水处理厂</w:t>
                  </w:r>
                  <w:r>
                    <w:rPr>
                      <w:rFonts w:hint="eastAsia" w:ascii="Times New Roman" w:hAnsi="Times New Roman" w:cs="Times New Roman"/>
                      <w:color w:val="000000"/>
                      <w:sz w:val="21"/>
                      <w:szCs w:val="21"/>
                      <w:u w:val="single"/>
                      <w:lang w:eastAsia="zh-CN"/>
                    </w:rPr>
                    <w:t>。</w:t>
                  </w:r>
                </w:p>
                <w:p w14:paraId="1F47E145">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4、本项目各污染物新增总量可通过区域进行倍量替代，详见“总量</w:t>
                  </w:r>
                  <w:r>
                    <w:rPr>
                      <w:rFonts w:hint="eastAsia" w:ascii="Times New Roman" w:hAnsi="Times New Roman" w:cs="Times New Roman"/>
                      <w:color w:val="000000"/>
                      <w:sz w:val="21"/>
                      <w:szCs w:val="21"/>
                      <w:u w:val="single"/>
                      <w:lang w:val="en-US" w:eastAsia="zh-CN"/>
                    </w:rPr>
                    <w:t>控制指标”小节</w:t>
                  </w:r>
                  <w:r>
                    <w:rPr>
                      <w:rFonts w:hint="eastAsia" w:ascii="Times New Roman" w:hAnsi="Times New Roman" w:cs="Times New Roman"/>
                      <w:color w:val="000000"/>
                      <w:sz w:val="21"/>
                      <w:szCs w:val="21"/>
                      <w:u w:val="single"/>
                      <w:lang w:eastAsia="zh-CN"/>
                    </w:rPr>
                    <w:t>。</w:t>
                  </w:r>
                </w:p>
              </w:tc>
              <w:tc>
                <w:tcPr>
                  <w:tcW w:w="127" w:type="pct"/>
                  <w:noWrap w:val="0"/>
                  <w:vAlign w:val="center"/>
                </w:tcPr>
                <w:p w14:paraId="7530A3E8">
                  <w:pPr>
                    <w:pStyle w:val="54"/>
                    <w:widowControl/>
                    <w:autoSpaceDE w:val="0"/>
                    <w:autoSpaceDN w:val="0"/>
                    <w:adjustRightInd w:val="0"/>
                    <w:jc w:val="center"/>
                    <w:textAlignment w:val="baseline"/>
                    <w:rPr>
                      <w:rFonts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相符</w:t>
                  </w:r>
                </w:p>
              </w:tc>
            </w:tr>
            <w:tr w14:paraId="50197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309" w:type="pct"/>
                  <w:vMerge w:val="continue"/>
                  <w:noWrap w:val="0"/>
                  <w:vAlign w:val="center"/>
                </w:tcPr>
                <w:p w14:paraId="79B78468">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91" w:type="pct"/>
                  <w:vMerge w:val="continue"/>
                  <w:noWrap w:val="0"/>
                  <w:vAlign w:val="center"/>
                </w:tcPr>
                <w:p w14:paraId="2A6C84CA">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16" w:type="pct"/>
                  <w:vMerge w:val="continue"/>
                  <w:noWrap w:val="0"/>
                  <w:vAlign w:val="center"/>
                </w:tcPr>
                <w:p w14:paraId="575103F4">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187" w:type="pct"/>
                  <w:vMerge w:val="continue"/>
                  <w:noWrap w:val="0"/>
                  <w:vAlign w:val="center"/>
                </w:tcPr>
                <w:p w14:paraId="68DF0015">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01" w:type="pct"/>
                  <w:vMerge w:val="continue"/>
                  <w:noWrap w:val="0"/>
                  <w:vAlign w:val="center"/>
                </w:tcPr>
                <w:p w14:paraId="3B209140">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32" w:type="pct"/>
                  <w:noWrap w:val="0"/>
                  <w:vAlign w:val="center"/>
                </w:tcPr>
                <w:p w14:paraId="5DDA4416">
                  <w:pPr>
                    <w:pStyle w:val="54"/>
                    <w:widowControl/>
                    <w:autoSpaceDE w:val="0"/>
                    <w:autoSpaceDN w:val="0"/>
                    <w:adjustRightInd w:val="0"/>
                    <w:jc w:val="center"/>
                    <w:textAlignment w:val="baseline"/>
                    <w:rPr>
                      <w:rFonts w:ascii="Times New Roman" w:hAnsi="Times New Roman" w:cs="Times New Roman"/>
                      <w:color w:val="000000"/>
                      <w:spacing w:val="-5"/>
                      <w:sz w:val="21"/>
                      <w:szCs w:val="21"/>
                      <w:u w:val="single"/>
                    </w:rPr>
                  </w:pPr>
                  <w:r>
                    <w:rPr>
                      <w:rFonts w:hint="eastAsia" w:ascii="Times New Roman" w:hAnsi="Times New Roman" w:cs="Times New Roman"/>
                      <w:color w:val="000000"/>
                      <w:spacing w:val="-5"/>
                      <w:sz w:val="21"/>
                      <w:szCs w:val="21"/>
                      <w:u w:val="single"/>
                    </w:rPr>
                    <w:t>环境风险防控</w:t>
                  </w:r>
                </w:p>
              </w:tc>
              <w:tc>
                <w:tcPr>
                  <w:tcW w:w="2149" w:type="pct"/>
                  <w:noWrap w:val="0"/>
                  <w:vAlign w:val="center"/>
                </w:tcPr>
                <w:p w14:paraId="59EF8DE4">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1、加强集聚区环境安全管理工作，严格危险化学品管理，集聚区管理部门应制定完善的事故风险应急预案，建立风险防范体系，具备事故应急能力。企业内部应建立相应的事故风险防范体系，制定应急预案，认真落实环境风险防范措施，杜绝发生污染事故。</w:t>
                  </w:r>
                </w:p>
              </w:tc>
              <w:tc>
                <w:tcPr>
                  <w:tcW w:w="1284" w:type="pct"/>
                  <w:noWrap w:val="0"/>
                  <w:vAlign w:val="center"/>
                </w:tcPr>
                <w:p w14:paraId="4C52BD15">
                  <w:pPr>
                    <w:pStyle w:val="54"/>
                    <w:widowControl/>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1、本项目不涉及危险化学品。</w:t>
                  </w:r>
                </w:p>
                <w:p w14:paraId="10958CB2">
                  <w:pPr>
                    <w:pStyle w:val="54"/>
                    <w:widowControl/>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2、本项目认真落实环境风险防范措施，减少环境风险事故发生。</w:t>
                  </w:r>
                </w:p>
                <w:p w14:paraId="63C0038F">
                  <w:pPr>
                    <w:pStyle w:val="54"/>
                    <w:widowControl/>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3、本项目不涉及废水外排。</w:t>
                  </w:r>
                </w:p>
                <w:p w14:paraId="75D5A727">
                  <w:pPr>
                    <w:pStyle w:val="54"/>
                    <w:widowControl/>
                    <w:autoSpaceDE w:val="0"/>
                    <w:autoSpaceDN w:val="0"/>
                    <w:adjustRightInd w:val="0"/>
                    <w:textAlignment w:val="baseline"/>
                    <w:rPr>
                      <w:rFonts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4、本项目不属于重点排污单位，建成后按照排污许可执行监测要求。</w:t>
                  </w:r>
                </w:p>
              </w:tc>
              <w:tc>
                <w:tcPr>
                  <w:tcW w:w="127" w:type="pct"/>
                  <w:noWrap w:val="0"/>
                  <w:vAlign w:val="center"/>
                </w:tcPr>
                <w:p w14:paraId="019C7C79">
                  <w:pPr>
                    <w:pStyle w:val="54"/>
                    <w:widowControl/>
                    <w:autoSpaceDE w:val="0"/>
                    <w:autoSpaceDN w:val="0"/>
                    <w:adjustRightInd w:val="0"/>
                    <w:jc w:val="center"/>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相符</w:t>
                  </w:r>
                </w:p>
              </w:tc>
            </w:tr>
            <w:tr w14:paraId="17D83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309" w:type="pct"/>
                  <w:vMerge w:val="continue"/>
                  <w:noWrap w:val="0"/>
                  <w:vAlign w:val="center"/>
                </w:tcPr>
                <w:p w14:paraId="44ECB8C7">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91" w:type="pct"/>
                  <w:vMerge w:val="continue"/>
                  <w:noWrap w:val="0"/>
                  <w:vAlign w:val="center"/>
                </w:tcPr>
                <w:p w14:paraId="0BCB6F97">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16" w:type="pct"/>
                  <w:vMerge w:val="continue"/>
                  <w:noWrap w:val="0"/>
                  <w:vAlign w:val="center"/>
                </w:tcPr>
                <w:p w14:paraId="3B090EE2">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187" w:type="pct"/>
                  <w:vMerge w:val="continue"/>
                  <w:noWrap w:val="0"/>
                  <w:vAlign w:val="center"/>
                </w:tcPr>
                <w:p w14:paraId="5382B553">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01" w:type="pct"/>
                  <w:vMerge w:val="continue"/>
                  <w:noWrap w:val="0"/>
                  <w:vAlign w:val="center"/>
                </w:tcPr>
                <w:p w14:paraId="1CD679F7">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32" w:type="pct"/>
                  <w:noWrap w:val="0"/>
                  <w:vAlign w:val="center"/>
                </w:tcPr>
                <w:p w14:paraId="0BF783FC">
                  <w:pPr>
                    <w:pStyle w:val="54"/>
                    <w:widowControl/>
                    <w:autoSpaceDE w:val="0"/>
                    <w:autoSpaceDN w:val="0"/>
                    <w:adjustRightInd w:val="0"/>
                    <w:jc w:val="center"/>
                    <w:textAlignment w:val="baseline"/>
                    <w:rPr>
                      <w:rFonts w:ascii="Times New Roman" w:hAnsi="Times New Roman" w:cs="Times New Roman"/>
                      <w:color w:val="000000"/>
                      <w:spacing w:val="-5"/>
                      <w:sz w:val="21"/>
                      <w:szCs w:val="21"/>
                      <w:u w:val="single"/>
                    </w:rPr>
                  </w:pPr>
                  <w:r>
                    <w:rPr>
                      <w:rFonts w:hint="eastAsia" w:ascii="Times New Roman" w:hAnsi="Times New Roman" w:cs="Times New Roman"/>
                      <w:color w:val="000000"/>
                      <w:spacing w:val="-5"/>
                      <w:sz w:val="21"/>
                      <w:szCs w:val="21"/>
                      <w:u w:val="single"/>
                    </w:rPr>
                    <w:t>资源开发效率要求</w:t>
                  </w:r>
                </w:p>
              </w:tc>
              <w:tc>
                <w:tcPr>
                  <w:tcW w:w="2149" w:type="pct"/>
                  <w:noWrap w:val="0"/>
                  <w:vAlign w:val="center"/>
                </w:tcPr>
                <w:p w14:paraId="43CCC359">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1、集聚区实施集中供热、供气，以区域热源厂为集中供热热源，实现集聚区集中供热，逐步拆除区内企业自备锅炉。</w:t>
                  </w:r>
                </w:p>
              </w:tc>
              <w:tc>
                <w:tcPr>
                  <w:tcW w:w="1284" w:type="pct"/>
                  <w:noWrap w:val="0"/>
                  <w:vAlign w:val="center"/>
                </w:tcPr>
                <w:p w14:paraId="5BB7339E">
                  <w:pPr>
                    <w:pStyle w:val="54"/>
                    <w:widowControl/>
                    <w:autoSpaceDE w:val="0"/>
                    <w:autoSpaceDN w:val="0"/>
                    <w:adjustRightInd w:val="0"/>
                    <w:textAlignment w:val="baseline"/>
                    <w:rPr>
                      <w:rFonts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本项目</w:t>
                  </w:r>
                  <w:r>
                    <w:rPr>
                      <w:rFonts w:hint="eastAsia" w:ascii="Times New Roman" w:hAnsi="Times New Roman" w:cs="Times New Roman"/>
                      <w:color w:val="000000"/>
                      <w:sz w:val="21"/>
                      <w:szCs w:val="21"/>
                      <w:u w:val="single"/>
                      <w:lang w:val="en-US" w:eastAsia="zh-CN"/>
                    </w:rPr>
                    <w:t>不涉及锅炉。</w:t>
                  </w:r>
                </w:p>
              </w:tc>
              <w:tc>
                <w:tcPr>
                  <w:tcW w:w="127" w:type="pct"/>
                  <w:noWrap w:val="0"/>
                  <w:vAlign w:val="center"/>
                </w:tcPr>
                <w:p w14:paraId="4110E0A6">
                  <w:pPr>
                    <w:pStyle w:val="54"/>
                    <w:widowControl/>
                    <w:autoSpaceDE w:val="0"/>
                    <w:autoSpaceDN w:val="0"/>
                    <w:adjustRightInd w:val="0"/>
                    <w:jc w:val="center"/>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相符</w:t>
                  </w:r>
                </w:p>
              </w:tc>
            </w:tr>
            <w:tr w14:paraId="691BA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309" w:type="pct"/>
                  <w:vMerge w:val="restart"/>
                  <w:noWrap w:val="0"/>
                  <w:vAlign w:val="center"/>
                </w:tcPr>
                <w:p w14:paraId="7A1BEF80">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r>
                    <w:rPr>
                      <w:rFonts w:hint="eastAsia" w:ascii="Times New Roman" w:hAnsi="Times New Roman" w:cs="Times New Roman"/>
                      <w:color w:val="000000"/>
                      <w:sz w:val="21"/>
                      <w:szCs w:val="21"/>
                      <w:u w:val="single"/>
                    </w:rPr>
                    <w:t>YS4103072320001</w:t>
                  </w:r>
                </w:p>
              </w:tc>
              <w:tc>
                <w:tcPr>
                  <w:tcW w:w="291" w:type="pct"/>
                  <w:vMerge w:val="restart"/>
                  <w:noWrap w:val="0"/>
                  <w:vAlign w:val="center"/>
                </w:tcPr>
                <w:p w14:paraId="3FED126A">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r>
                    <w:rPr>
                      <w:rFonts w:ascii="Times New Roman" w:hAnsi="Times New Roman" w:eastAsia="宋体" w:cs="Times New Roman"/>
                      <w:color w:val="000000"/>
                      <w:sz w:val="21"/>
                      <w:szCs w:val="21"/>
                      <w:u w:val="single"/>
                    </w:rPr>
                    <w:t>洛阳偃师区先进制造业开发区</w:t>
                  </w:r>
                </w:p>
              </w:tc>
              <w:tc>
                <w:tcPr>
                  <w:tcW w:w="216" w:type="pct"/>
                  <w:vMerge w:val="restart"/>
                  <w:noWrap w:val="0"/>
                  <w:vAlign w:val="center"/>
                </w:tcPr>
                <w:p w14:paraId="35CF9130">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r>
                    <w:rPr>
                      <w:rFonts w:ascii="Times New Roman" w:hAnsi="Times New Roman" w:cs="Times New Roman"/>
                      <w:color w:val="000000"/>
                      <w:sz w:val="21"/>
                      <w:szCs w:val="21"/>
                      <w:u w:val="single"/>
                    </w:rPr>
                    <w:t>重点</w:t>
                  </w:r>
                </w:p>
              </w:tc>
              <w:tc>
                <w:tcPr>
                  <w:tcW w:w="187" w:type="pct"/>
                  <w:vMerge w:val="restart"/>
                  <w:noWrap w:val="0"/>
                  <w:vAlign w:val="center"/>
                </w:tcPr>
                <w:p w14:paraId="38B28663">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r>
                    <w:rPr>
                      <w:rFonts w:ascii="Times New Roman" w:hAnsi="Times New Roman" w:cs="Times New Roman"/>
                      <w:color w:val="000000"/>
                      <w:sz w:val="21"/>
                      <w:szCs w:val="21"/>
                      <w:u w:val="single"/>
                    </w:rPr>
                    <w:t>洛阳市</w:t>
                  </w:r>
                </w:p>
              </w:tc>
              <w:tc>
                <w:tcPr>
                  <w:tcW w:w="201" w:type="pct"/>
                  <w:vMerge w:val="restart"/>
                  <w:noWrap w:val="0"/>
                  <w:vAlign w:val="center"/>
                </w:tcPr>
                <w:p w14:paraId="05FE6400">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r>
                    <w:rPr>
                      <w:rFonts w:ascii="Times New Roman" w:hAnsi="Times New Roman" w:cs="Times New Roman"/>
                      <w:color w:val="000000"/>
                      <w:sz w:val="21"/>
                      <w:szCs w:val="21"/>
                      <w:u w:val="single"/>
                    </w:rPr>
                    <w:t>偃师区</w:t>
                  </w:r>
                </w:p>
              </w:tc>
              <w:tc>
                <w:tcPr>
                  <w:tcW w:w="232" w:type="pct"/>
                  <w:noWrap w:val="0"/>
                  <w:vAlign w:val="center"/>
                </w:tcPr>
                <w:p w14:paraId="0F295CDF">
                  <w:pPr>
                    <w:pStyle w:val="54"/>
                    <w:widowControl/>
                    <w:autoSpaceDE w:val="0"/>
                    <w:autoSpaceDN w:val="0"/>
                    <w:adjustRightInd w:val="0"/>
                    <w:jc w:val="center"/>
                    <w:textAlignment w:val="baseline"/>
                    <w:rPr>
                      <w:rFonts w:hint="eastAsia" w:ascii="Times New Roman" w:hAnsi="Times New Roman" w:cs="Times New Roman"/>
                      <w:color w:val="000000"/>
                      <w:spacing w:val="-5"/>
                      <w:sz w:val="21"/>
                      <w:szCs w:val="21"/>
                      <w:u w:val="single"/>
                    </w:rPr>
                  </w:pPr>
                  <w:r>
                    <w:rPr>
                      <w:rFonts w:ascii="Times New Roman" w:hAnsi="Times New Roman" w:cs="Times New Roman"/>
                      <w:color w:val="000000"/>
                      <w:spacing w:val="-7"/>
                      <w:sz w:val="21"/>
                      <w:szCs w:val="21"/>
                      <w:u w:val="single"/>
                    </w:rPr>
                    <w:t>空间布局</w:t>
                  </w:r>
                  <w:r>
                    <w:rPr>
                      <w:rFonts w:ascii="Times New Roman" w:hAnsi="Times New Roman" w:cs="Times New Roman"/>
                      <w:color w:val="000000"/>
                      <w:spacing w:val="-11"/>
                      <w:sz w:val="21"/>
                      <w:szCs w:val="21"/>
                      <w:u w:val="single"/>
                    </w:rPr>
                    <w:t>约束</w:t>
                  </w:r>
                </w:p>
              </w:tc>
              <w:tc>
                <w:tcPr>
                  <w:tcW w:w="2149" w:type="pct"/>
                  <w:noWrap w:val="0"/>
                  <w:vAlign w:val="center"/>
                </w:tcPr>
                <w:p w14:paraId="4E6A2A27">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1、严格控制露天矿业权审批和露天矿山新上建设项目核准或备案、环境影响评价报告审批，原则上禁止新建露天矿山建设项目，到2025年全面禁止。原则上禁止新建燃料类煤气发生炉和35蒸吨/时及以下燃煤锅炉。新建涉工业炉窑的建设项目，应进入园区，配套建设高效环保治理设施。</w:t>
                  </w:r>
                </w:p>
                <w:p w14:paraId="11259E79">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2、原则上禁止耐火材料、陶瓷等行业新建、扩建以煤炭为燃料的项目和企业，对钢铁、水泥、电解铝、玻璃等行业不再实施省内产能置换。到2025年全面禁止。原则上禁止新增钢铁、电解铝、水泥、平板玻璃、传统煤化工（甲醇、合成氨）、焦化、铸造、铝用炭素、砖瓦窑、耐火材料等行业产能。</w:t>
                  </w:r>
                </w:p>
                <w:p w14:paraId="54CC2E0D">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3、禁止建设生产和使用高VOCs含量的溶剂型涂料、油墨、胶粘剂等项目。</w:t>
                  </w:r>
                </w:p>
                <w:p w14:paraId="4C9EF97F">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4、通过改造提升、集约布局、关停并转等方式加强区内散乱污企业整治力度，淘汰一批布局不合理、装备水平低、环保设施差的小型污染企业。</w:t>
                  </w:r>
                </w:p>
                <w:p w14:paraId="3072BD5E">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5、大气监测点主导上风向5km范围内原则上禁止建设燃煤电厂、钢铁、水泥、化工等污染严重项目。</w:t>
                  </w:r>
                </w:p>
                <w:p w14:paraId="1E325AA9">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6、相较于非重点管控区，进一步提升区内重污染企业大气污染整治力度，并加严要求。各地市结合区内产业现状，制定区内企业整治提升、整改和淘汰计划。</w:t>
                  </w:r>
                </w:p>
              </w:tc>
              <w:tc>
                <w:tcPr>
                  <w:tcW w:w="1284" w:type="pct"/>
                  <w:noWrap w:val="0"/>
                  <w:vAlign w:val="center"/>
                </w:tcPr>
                <w:p w14:paraId="1B63A98F">
                  <w:pPr>
                    <w:pStyle w:val="54"/>
                    <w:widowControl/>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1、</w:t>
                  </w:r>
                  <w:r>
                    <w:rPr>
                      <w:rFonts w:hint="eastAsia" w:ascii="Times New Roman" w:hAnsi="Times New Roman" w:cs="Times New Roman"/>
                      <w:color w:val="000000"/>
                      <w:sz w:val="21"/>
                      <w:szCs w:val="21"/>
                      <w:u w:val="single"/>
                      <w:lang w:val="en-US" w:eastAsia="zh-CN"/>
                    </w:rPr>
                    <w:t>本项目</w:t>
                  </w:r>
                  <w:r>
                    <w:rPr>
                      <w:rFonts w:hint="eastAsia" w:ascii="Times New Roman" w:hAnsi="Times New Roman" w:cs="Times New Roman"/>
                      <w:color w:val="000000"/>
                      <w:sz w:val="21"/>
                      <w:szCs w:val="21"/>
                      <w:u w:val="single"/>
                      <w:lang w:eastAsia="zh-CN"/>
                    </w:rPr>
                    <w:t>不涉及。</w:t>
                  </w:r>
                </w:p>
                <w:p w14:paraId="5BDD2B8F">
                  <w:pPr>
                    <w:pStyle w:val="54"/>
                    <w:widowControl/>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2、</w:t>
                  </w:r>
                  <w:r>
                    <w:rPr>
                      <w:rFonts w:hint="eastAsia" w:ascii="Times New Roman" w:hAnsi="Times New Roman" w:cs="Times New Roman"/>
                      <w:color w:val="000000"/>
                      <w:sz w:val="21"/>
                      <w:szCs w:val="21"/>
                      <w:u w:val="single"/>
                      <w:lang w:val="en-US" w:eastAsia="zh-CN"/>
                    </w:rPr>
                    <w:t>本项目</w:t>
                  </w:r>
                  <w:r>
                    <w:rPr>
                      <w:rFonts w:hint="eastAsia" w:ascii="Times New Roman" w:hAnsi="Times New Roman" w:cs="Times New Roman"/>
                      <w:color w:val="000000"/>
                      <w:sz w:val="21"/>
                      <w:szCs w:val="21"/>
                      <w:u w:val="single"/>
                      <w:lang w:eastAsia="zh-CN"/>
                    </w:rPr>
                    <w:t>不涉及。</w:t>
                  </w:r>
                </w:p>
                <w:p w14:paraId="4A8EAE8B">
                  <w:pPr>
                    <w:pStyle w:val="54"/>
                    <w:widowControl/>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3、</w:t>
                  </w:r>
                  <w:r>
                    <w:rPr>
                      <w:rFonts w:hint="eastAsia" w:ascii="Times New Roman" w:hAnsi="Times New Roman" w:cs="Times New Roman"/>
                      <w:color w:val="000000"/>
                      <w:sz w:val="21"/>
                      <w:szCs w:val="21"/>
                      <w:u w:val="single"/>
                      <w:lang w:val="en-US" w:eastAsia="zh-CN"/>
                    </w:rPr>
                    <w:t>本项目</w:t>
                  </w:r>
                  <w:r>
                    <w:rPr>
                      <w:rFonts w:hint="eastAsia" w:ascii="Times New Roman" w:hAnsi="Times New Roman" w:cs="Times New Roman"/>
                      <w:color w:val="000000"/>
                      <w:sz w:val="21"/>
                      <w:szCs w:val="21"/>
                      <w:u w:val="single"/>
                      <w:lang w:eastAsia="zh-CN"/>
                    </w:rPr>
                    <w:t>不涉及。</w:t>
                  </w:r>
                </w:p>
                <w:p w14:paraId="1B894E82">
                  <w:pPr>
                    <w:pStyle w:val="54"/>
                    <w:widowControl/>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4、本项目为</w:t>
                  </w:r>
                  <w:r>
                    <w:rPr>
                      <w:rFonts w:hint="eastAsia" w:ascii="Times New Roman" w:hAnsi="Times New Roman" w:cs="Times New Roman"/>
                      <w:color w:val="000000"/>
                      <w:sz w:val="21"/>
                      <w:szCs w:val="21"/>
                      <w:u w:val="single"/>
                      <w:lang w:val="en-US" w:eastAsia="zh-CN"/>
                    </w:rPr>
                    <w:t>改建</w:t>
                  </w:r>
                  <w:r>
                    <w:rPr>
                      <w:rFonts w:hint="eastAsia" w:ascii="Times New Roman" w:hAnsi="Times New Roman" w:cs="Times New Roman"/>
                      <w:color w:val="000000"/>
                      <w:sz w:val="21"/>
                      <w:szCs w:val="21"/>
                      <w:u w:val="single"/>
                      <w:lang w:eastAsia="zh-CN"/>
                    </w:rPr>
                    <w:t>项目，不属于散乱污和淘汰企业。</w:t>
                  </w:r>
                </w:p>
                <w:p w14:paraId="2AF52B11">
                  <w:pPr>
                    <w:pStyle w:val="54"/>
                    <w:widowControl/>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val="en-US" w:eastAsia="zh-CN"/>
                    </w:rPr>
                    <w:t>5、本项目</w:t>
                  </w:r>
                  <w:r>
                    <w:rPr>
                      <w:rFonts w:hint="eastAsia" w:ascii="Times New Roman" w:hAnsi="Times New Roman" w:cs="Times New Roman"/>
                      <w:color w:val="000000"/>
                      <w:sz w:val="21"/>
                      <w:szCs w:val="21"/>
                      <w:u w:val="single"/>
                      <w:lang w:eastAsia="zh-CN"/>
                    </w:rPr>
                    <w:t>不涉及。</w:t>
                  </w:r>
                </w:p>
                <w:p w14:paraId="51186F20">
                  <w:pPr>
                    <w:pStyle w:val="54"/>
                    <w:widowControl/>
                    <w:autoSpaceDE w:val="0"/>
                    <w:autoSpaceDN w:val="0"/>
                    <w:adjustRightInd w:val="0"/>
                    <w:textAlignment w:val="baseline"/>
                    <w:rPr>
                      <w:rFonts w:hint="default" w:ascii="Times New Roman" w:hAnsi="Times New Roman" w:cs="Times New Roman"/>
                      <w:color w:val="000000"/>
                      <w:sz w:val="21"/>
                      <w:szCs w:val="21"/>
                      <w:u w:val="single"/>
                      <w:lang w:val="en-US" w:eastAsia="zh-CN"/>
                    </w:rPr>
                  </w:pPr>
                  <w:r>
                    <w:rPr>
                      <w:rFonts w:hint="eastAsia" w:ascii="Times New Roman" w:hAnsi="Times New Roman" w:cs="Times New Roman"/>
                      <w:color w:val="000000"/>
                      <w:sz w:val="21"/>
                      <w:szCs w:val="21"/>
                      <w:u w:val="single"/>
                      <w:lang w:val="en-US" w:eastAsia="zh-CN"/>
                    </w:rPr>
                    <w:t>6、本项目</w:t>
                  </w:r>
                  <w:r>
                    <w:rPr>
                      <w:rFonts w:hint="eastAsia" w:ascii="Times New Roman" w:hAnsi="Times New Roman" w:cs="Times New Roman"/>
                      <w:color w:val="000000"/>
                      <w:sz w:val="21"/>
                      <w:szCs w:val="21"/>
                      <w:u w:val="single"/>
                      <w:lang w:eastAsia="zh-CN"/>
                    </w:rPr>
                    <w:t>不涉及。</w:t>
                  </w:r>
                </w:p>
              </w:tc>
              <w:tc>
                <w:tcPr>
                  <w:tcW w:w="127" w:type="pct"/>
                  <w:noWrap w:val="0"/>
                  <w:vAlign w:val="center"/>
                </w:tcPr>
                <w:p w14:paraId="4AA88D4A">
                  <w:pPr>
                    <w:pStyle w:val="54"/>
                    <w:widowControl/>
                    <w:autoSpaceDE w:val="0"/>
                    <w:autoSpaceDN w:val="0"/>
                    <w:adjustRightInd w:val="0"/>
                    <w:jc w:val="center"/>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相符</w:t>
                  </w:r>
                </w:p>
              </w:tc>
            </w:tr>
            <w:tr w14:paraId="0DF17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c>
                <w:tcPr>
                  <w:tcW w:w="309" w:type="pct"/>
                  <w:vMerge w:val="continue"/>
                  <w:noWrap w:val="0"/>
                  <w:vAlign w:val="center"/>
                </w:tcPr>
                <w:p w14:paraId="5921C6A0">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91" w:type="pct"/>
                  <w:vMerge w:val="continue"/>
                  <w:noWrap w:val="0"/>
                  <w:vAlign w:val="center"/>
                </w:tcPr>
                <w:p w14:paraId="516FDDD3">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16" w:type="pct"/>
                  <w:vMerge w:val="continue"/>
                  <w:noWrap w:val="0"/>
                  <w:vAlign w:val="center"/>
                </w:tcPr>
                <w:p w14:paraId="2A69464B">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187" w:type="pct"/>
                  <w:vMerge w:val="continue"/>
                  <w:noWrap w:val="0"/>
                  <w:vAlign w:val="center"/>
                </w:tcPr>
                <w:p w14:paraId="793BAAD2">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01" w:type="pct"/>
                  <w:vMerge w:val="continue"/>
                  <w:noWrap w:val="0"/>
                  <w:vAlign w:val="center"/>
                </w:tcPr>
                <w:p w14:paraId="50797176">
                  <w:pPr>
                    <w:pStyle w:val="54"/>
                    <w:widowControl/>
                    <w:autoSpaceDE w:val="0"/>
                    <w:autoSpaceDN w:val="0"/>
                    <w:adjustRightInd w:val="0"/>
                    <w:jc w:val="center"/>
                    <w:textAlignment w:val="baseline"/>
                    <w:rPr>
                      <w:rFonts w:ascii="Times New Roman" w:hAnsi="Times New Roman" w:cs="Times New Roman"/>
                      <w:color w:val="000000"/>
                      <w:sz w:val="21"/>
                      <w:szCs w:val="21"/>
                      <w:u w:val="single"/>
                    </w:rPr>
                  </w:pPr>
                </w:p>
              </w:tc>
              <w:tc>
                <w:tcPr>
                  <w:tcW w:w="232" w:type="pct"/>
                  <w:noWrap w:val="0"/>
                  <w:vAlign w:val="center"/>
                </w:tcPr>
                <w:p w14:paraId="217D1714">
                  <w:pPr>
                    <w:pStyle w:val="54"/>
                    <w:widowControl/>
                    <w:autoSpaceDE w:val="0"/>
                    <w:autoSpaceDN w:val="0"/>
                    <w:adjustRightInd w:val="0"/>
                    <w:jc w:val="center"/>
                    <w:textAlignment w:val="baseline"/>
                    <w:rPr>
                      <w:rFonts w:hint="eastAsia" w:ascii="Times New Roman" w:hAnsi="Times New Roman" w:cs="Times New Roman"/>
                      <w:color w:val="000000"/>
                      <w:spacing w:val="-5"/>
                      <w:sz w:val="21"/>
                      <w:szCs w:val="21"/>
                      <w:u w:val="single"/>
                    </w:rPr>
                  </w:pPr>
                  <w:r>
                    <w:rPr>
                      <w:rFonts w:ascii="Times New Roman" w:hAnsi="Times New Roman" w:cs="Times New Roman"/>
                      <w:color w:val="000000"/>
                      <w:spacing w:val="-5"/>
                      <w:sz w:val="21"/>
                      <w:szCs w:val="21"/>
                      <w:u w:val="single"/>
                    </w:rPr>
                    <w:t>污染物排放管控</w:t>
                  </w:r>
                </w:p>
              </w:tc>
              <w:tc>
                <w:tcPr>
                  <w:tcW w:w="2149" w:type="pct"/>
                  <w:noWrap w:val="0"/>
                  <w:vAlign w:val="center"/>
                </w:tcPr>
                <w:p w14:paraId="6F6675FA">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1、加大科技攻关，推广新兴技术，以石化、化工、涂装、医药、包装印刷、油品储运销等行业领域为重点，深入推进挥发性有机物综合治理。全面推广使用低挥发性有机物含量的涂料、油墨、胶粘剂、清洗剂等新兴原辅材料。开展涉挥发性有机物产业集群升级改造、企业深度治理、物质储罐排查整治，规范开展泄漏检测与修复，加快规划建设集中涂装、活性炭集中处理、有机溶剂回收等中心。</w:t>
                  </w:r>
                </w:p>
                <w:p w14:paraId="007101EC">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2、以减少重污染天气为着力点，制定实施方案，持续开展秋冬季大气污染防治攻坚行动。在采暖季，实施钢铁、焦化、铸造、建材、有色、化工行业错峰生产（水泥行业实行“开二停一”）。京津冀“2+26”城市完成应急减排清单编制工作，并动态更新，落实“一厂一策”等各项应急减排措施；严格落实施工工地“六个百分之百”要求；建成区5000平米及以上建筑工地全部安装在线监测和视频监控，并与当地行业主管部门联网。汾渭平原城市群完成应急减排清单编制工作，并动态更新，落实“一厂一策”等各项应急减排措施；严格落实施工工地“七个百分之百”控尘措施，落实“一岗双责”，推广第三方污染治理模式，严查扬尘污染行为。</w:t>
                  </w:r>
                </w:p>
                <w:p w14:paraId="6B2E8B91">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3、强化施工扬尘污染防治，做到工地周边围挡、物料堆放覆盖、土方开挖湿法作业、路面硬化、出入车辆清洗、渣土车辆密闭运输“六个百分之</w:t>
                  </w:r>
                </w:p>
                <w:p w14:paraId="72FD9B62">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百”，禁止施工工地现场搅拌混凝土、现场配置砂浆。</w:t>
                  </w:r>
                </w:p>
                <w:p w14:paraId="270EEE71">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4、关停退出热效率低下、敞开未封闭，装备简易落后、自动化水平低，布局分散、规模小、无组织排放突出，以及无治理设施或治理设施工艺落后的工业炉窑。</w:t>
                  </w:r>
                </w:p>
                <w:p w14:paraId="0100CFF0">
                  <w:pPr>
                    <w:pStyle w:val="54"/>
                    <w:widowControl/>
                    <w:numPr>
                      <w:ilvl w:val="0"/>
                      <w:numId w:val="0"/>
                    </w:numPr>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5、区内严格实施重型柴油车燃料消耗量限值标准，不满足燃料消耗量标准限值要求的新车型禁止驶入区内道路。划定的禁止使用高排放道路移动机械区域内，鼓励优先使用新能源或清洁能源非道路移动机械。</w:t>
                  </w:r>
                </w:p>
              </w:tc>
              <w:tc>
                <w:tcPr>
                  <w:tcW w:w="1284" w:type="pct"/>
                  <w:noWrap w:val="0"/>
                  <w:vAlign w:val="center"/>
                </w:tcPr>
                <w:p w14:paraId="0DDCD628">
                  <w:pPr>
                    <w:pStyle w:val="54"/>
                    <w:widowControl/>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1、本项目不涉及左列相关行业和原辅材料。</w:t>
                  </w:r>
                </w:p>
                <w:p w14:paraId="2C416882">
                  <w:pPr>
                    <w:pStyle w:val="54"/>
                    <w:widowControl/>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2、本项目不涉及左列行业，租赁</w:t>
                  </w:r>
                  <w:r>
                    <w:rPr>
                      <w:rFonts w:hint="eastAsia" w:ascii="Times New Roman" w:hAnsi="Times New Roman" w:cs="Times New Roman"/>
                      <w:color w:val="000000"/>
                      <w:sz w:val="21"/>
                      <w:szCs w:val="21"/>
                      <w:u w:val="single"/>
                      <w:lang w:val="en-US" w:eastAsia="zh-CN"/>
                    </w:rPr>
                    <w:t>已建成</w:t>
                  </w:r>
                  <w:r>
                    <w:rPr>
                      <w:rFonts w:hint="eastAsia" w:ascii="Times New Roman" w:hAnsi="Times New Roman" w:cs="Times New Roman"/>
                      <w:color w:val="000000"/>
                      <w:sz w:val="21"/>
                      <w:szCs w:val="21"/>
                      <w:u w:val="single"/>
                      <w:lang w:eastAsia="zh-CN"/>
                    </w:rPr>
                    <w:t>车间，不涉及</w:t>
                  </w:r>
                  <w:r>
                    <w:rPr>
                      <w:rFonts w:hint="eastAsia" w:ascii="Times New Roman" w:hAnsi="Times New Roman" w:cs="Times New Roman"/>
                      <w:color w:val="000000"/>
                      <w:sz w:val="21"/>
                      <w:szCs w:val="21"/>
                      <w:u w:val="single"/>
                      <w:lang w:val="en-US" w:eastAsia="zh-CN"/>
                    </w:rPr>
                    <w:t>土建施工</w:t>
                  </w:r>
                  <w:r>
                    <w:rPr>
                      <w:rFonts w:hint="eastAsia" w:ascii="Times New Roman" w:hAnsi="Times New Roman" w:cs="Times New Roman"/>
                      <w:color w:val="000000"/>
                      <w:sz w:val="21"/>
                      <w:szCs w:val="21"/>
                      <w:u w:val="single"/>
                      <w:lang w:eastAsia="zh-CN"/>
                    </w:rPr>
                    <w:t>。</w:t>
                  </w:r>
                </w:p>
                <w:p w14:paraId="263EE432">
                  <w:pPr>
                    <w:pStyle w:val="54"/>
                    <w:widowControl/>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3、本项目租赁</w:t>
                  </w:r>
                  <w:r>
                    <w:rPr>
                      <w:rFonts w:hint="eastAsia" w:ascii="Times New Roman" w:hAnsi="Times New Roman" w:cs="Times New Roman"/>
                      <w:color w:val="000000"/>
                      <w:sz w:val="21"/>
                      <w:szCs w:val="21"/>
                      <w:u w:val="single"/>
                      <w:lang w:val="en-US" w:eastAsia="zh-CN"/>
                    </w:rPr>
                    <w:t>已建成</w:t>
                  </w:r>
                  <w:r>
                    <w:rPr>
                      <w:rFonts w:hint="eastAsia" w:ascii="Times New Roman" w:hAnsi="Times New Roman" w:cs="Times New Roman"/>
                      <w:color w:val="000000"/>
                      <w:sz w:val="21"/>
                      <w:szCs w:val="21"/>
                      <w:u w:val="single"/>
                      <w:lang w:eastAsia="zh-CN"/>
                    </w:rPr>
                    <w:t>车间，不涉及</w:t>
                  </w:r>
                  <w:r>
                    <w:rPr>
                      <w:rFonts w:hint="eastAsia" w:ascii="Times New Roman" w:hAnsi="Times New Roman" w:cs="Times New Roman"/>
                      <w:color w:val="000000"/>
                      <w:sz w:val="21"/>
                      <w:szCs w:val="21"/>
                      <w:u w:val="single"/>
                      <w:lang w:val="en-US" w:eastAsia="zh-CN"/>
                    </w:rPr>
                    <w:t>土建施工</w:t>
                  </w:r>
                  <w:r>
                    <w:rPr>
                      <w:rFonts w:hint="eastAsia" w:ascii="Times New Roman" w:hAnsi="Times New Roman" w:cs="Times New Roman"/>
                      <w:color w:val="000000"/>
                      <w:sz w:val="21"/>
                      <w:szCs w:val="21"/>
                      <w:u w:val="single"/>
                      <w:lang w:eastAsia="zh-CN"/>
                    </w:rPr>
                    <w:t>。</w:t>
                  </w:r>
                </w:p>
                <w:p w14:paraId="65C22038">
                  <w:pPr>
                    <w:pStyle w:val="54"/>
                    <w:widowControl/>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4、</w:t>
                  </w:r>
                  <w:r>
                    <w:rPr>
                      <w:rFonts w:hint="eastAsia" w:ascii="Times New Roman" w:hAnsi="Times New Roman" w:cs="Times New Roman"/>
                      <w:color w:val="000000"/>
                      <w:sz w:val="21"/>
                      <w:szCs w:val="21"/>
                      <w:u w:val="single"/>
                      <w:lang w:val="en-US" w:eastAsia="zh-CN"/>
                    </w:rPr>
                    <w:t>本项目</w:t>
                  </w:r>
                  <w:r>
                    <w:rPr>
                      <w:rFonts w:hint="eastAsia" w:ascii="Times New Roman" w:hAnsi="Times New Roman" w:cs="Times New Roman"/>
                      <w:color w:val="000000"/>
                      <w:sz w:val="21"/>
                      <w:szCs w:val="21"/>
                      <w:u w:val="single"/>
                      <w:lang w:eastAsia="zh-CN"/>
                    </w:rPr>
                    <w:t>不涉及。</w:t>
                  </w:r>
                </w:p>
                <w:p w14:paraId="623E6F36">
                  <w:pPr>
                    <w:pStyle w:val="54"/>
                    <w:widowControl/>
                    <w:autoSpaceDE w:val="0"/>
                    <w:autoSpaceDN w:val="0"/>
                    <w:adjustRightInd w:val="0"/>
                    <w:textAlignment w:val="baseline"/>
                    <w:rPr>
                      <w:rFonts w:hint="eastAsia" w:ascii="Times New Roman" w:hAnsi="Times New Roman" w:cs="Times New Roman"/>
                      <w:color w:val="000000"/>
                      <w:sz w:val="21"/>
                      <w:szCs w:val="21"/>
                      <w:u w:val="single"/>
                      <w:lang w:eastAsia="zh-CN"/>
                    </w:rPr>
                  </w:pPr>
                  <w:r>
                    <w:rPr>
                      <w:rFonts w:hint="eastAsia" w:ascii="Times New Roman" w:hAnsi="Times New Roman" w:cs="Times New Roman"/>
                      <w:color w:val="000000"/>
                      <w:sz w:val="21"/>
                      <w:szCs w:val="21"/>
                      <w:u w:val="single"/>
                      <w:lang w:eastAsia="zh-CN"/>
                    </w:rPr>
                    <w:t>5、</w:t>
                  </w:r>
                  <w:r>
                    <w:rPr>
                      <w:rFonts w:hint="eastAsia" w:ascii="Times New Roman" w:hAnsi="Times New Roman" w:cs="Times New Roman"/>
                      <w:color w:val="000000"/>
                      <w:sz w:val="21"/>
                      <w:szCs w:val="21"/>
                      <w:u w:val="single"/>
                      <w:lang w:val="en-US" w:eastAsia="zh-CN"/>
                    </w:rPr>
                    <w:t>本项目</w:t>
                  </w:r>
                  <w:r>
                    <w:rPr>
                      <w:rFonts w:hint="eastAsia" w:ascii="Times New Roman" w:hAnsi="Times New Roman" w:cs="Times New Roman"/>
                      <w:color w:val="000000"/>
                      <w:sz w:val="21"/>
                      <w:szCs w:val="21"/>
                      <w:u w:val="single"/>
                      <w:lang w:eastAsia="zh-CN"/>
                    </w:rPr>
                    <w:t>不涉及。</w:t>
                  </w:r>
                </w:p>
              </w:tc>
              <w:tc>
                <w:tcPr>
                  <w:tcW w:w="127" w:type="pct"/>
                  <w:noWrap w:val="0"/>
                  <w:vAlign w:val="center"/>
                </w:tcPr>
                <w:p w14:paraId="2ED9D18A">
                  <w:pPr>
                    <w:pStyle w:val="54"/>
                    <w:widowControl/>
                    <w:autoSpaceDE w:val="0"/>
                    <w:autoSpaceDN w:val="0"/>
                    <w:adjustRightInd w:val="0"/>
                    <w:jc w:val="center"/>
                    <w:textAlignment w:val="baseline"/>
                    <w:rPr>
                      <w:rFonts w:hint="eastAsia" w:ascii="Times New Roman" w:hAnsi="Times New Roman" w:cs="Times New Roman"/>
                      <w:color w:val="000000"/>
                      <w:sz w:val="21"/>
                      <w:szCs w:val="21"/>
                      <w:u w:val="single"/>
                      <w:lang w:eastAsia="zh-CN"/>
                    </w:rPr>
                  </w:pPr>
                </w:p>
              </w:tc>
            </w:tr>
          </w:tbl>
          <w:p w14:paraId="5AAA3AA2">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0158991F">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62506E7F">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7E941DE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3D61A18C">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647A6438">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61F0202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3F8B2A1F">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6A663C38">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79B30CA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24A99440">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64BFC0E9">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42659D4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64EDE65A">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05F9A24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42908EB7">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129904D6">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3A2A5BF8">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52F2BBF5">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736E89F8">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3496B99F">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5CF724A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4A6905A6">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6C831739">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7E150D2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6C261917">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2594DBD8">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68B4478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0968374C">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3A40ACC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58847F0E">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61EB7B28">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014A6839">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45CCE58F">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3F8F1BDD">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189F5EEF">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eastAsia"/>
                <w:b/>
                <w:color w:val="000000"/>
                <w:sz w:val="15"/>
                <w:szCs w:val="15"/>
              </w:rPr>
            </w:pPr>
          </w:p>
          <w:p w14:paraId="13E119FC">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color w:val="000000"/>
                <w:sz w:val="10"/>
                <w:szCs w:val="10"/>
              </w:rPr>
            </w:pPr>
            <w:r>
              <w:rPr>
                <w:rFonts w:hint="eastAsia"/>
                <w:b/>
                <w:color w:val="000000"/>
                <w:sz w:val="15"/>
                <w:szCs w:val="15"/>
              </w:rPr>
              <w:t xml:space="preserve"> </w:t>
            </w:r>
            <w:r>
              <w:rPr>
                <w:rFonts w:hint="eastAsia"/>
                <w:b/>
                <w:color w:val="000000"/>
                <w:sz w:val="15"/>
                <w:szCs w:val="15"/>
                <w:lang w:val="en-US" w:eastAsia="zh-CN"/>
              </w:rPr>
              <w:t xml:space="preserve">    </w:t>
            </w:r>
          </w:p>
        </w:tc>
      </w:tr>
    </w:tbl>
    <w:p w14:paraId="4688462E">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snapToGrid w:val="0"/>
          <w:color w:val="000000"/>
          <w:sz w:val="10"/>
          <w:szCs w:val="10"/>
        </w:rPr>
      </w:pPr>
    </w:p>
    <w:p w14:paraId="699A1482">
      <w:pPr>
        <w:snapToGrid w:val="0"/>
        <w:jc w:val="center"/>
        <w:rPr>
          <w:rFonts w:hint="eastAsia" w:ascii="黑体" w:hAnsi="黑体" w:eastAsia="黑体"/>
          <w:snapToGrid w:val="0"/>
          <w:color w:val="000000"/>
          <w:sz w:val="10"/>
          <w:szCs w:val="10"/>
        </w:rPr>
        <w:sectPr>
          <w:pgSz w:w="16838" w:h="11906" w:orient="landscape"/>
          <w:pgMar w:top="1531" w:right="1701" w:bottom="1531" w:left="1701" w:header="851" w:footer="992" w:gutter="0"/>
          <w:pgBorders>
            <w:top w:val="none" w:sz="0" w:space="0"/>
            <w:left w:val="none" w:sz="0" w:space="0"/>
            <w:bottom w:val="none" w:sz="0" w:space="0"/>
            <w:right w:val="none" w:sz="0" w:space="0"/>
          </w:pgBorders>
          <w:cols w:space="720" w:num="1"/>
          <w:docGrid w:type="linesAndChars" w:linePitch="312" w:charSpace="117"/>
        </w:sect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653"/>
        <w:gridCol w:w="8361"/>
      </w:tblGrid>
      <w:tr w14:paraId="2E32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362" w:type="pct"/>
            <w:noWrap w:val="0"/>
            <w:vAlign w:val="center"/>
          </w:tcPr>
          <w:p w14:paraId="3EB27816">
            <w:pPr>
              <w:autoSpaceDE w:val="0"/>
              <w:autoSpaceDN w:val="0"/>
              <w:adjustRightInd w:val="0"/>
              <w:jc w:val="center"/>
              <w:rPr>
                <w:color w:val="000000"/>
                <w:sz w:val="24"/>
                <w:szCs w:val="24"/>
              </w:rPr>
            </w:pPr>
            <w:r>
              <w:rPr>
                <w:color w:val="000000"/>
                <w:kern w:val="0"/>
                <w:sz w:val="24"/>
                <w:szCs w:val="24"/>
              </w:rPr>
              <w:t>其他符合性分析</w:t>
            </w:r>
          </w:p>
        </w:tc>
        <w:tc>
          <w:tcPr>
            <w:tcW w:w="4637" w:type="pct"/>
            <w:noWrap w:val="0"/>
            <w:vAlign w:val="center"/>
          </w:tcPr>
          <w:p w14:paraId="64B68156">
            <w:pPr>
              <w:spacing w:line="360" w:lineRule="auto"/>
              <w:rPr>
                <w:rFonts w:hint="eastAsia" w:eastAsia="宋体"/>
                <w:b/>
                <w:color w:val="000000"/>
                <w:sz w:val="24"/>
                <w:szCs w:val="24"/>
                <w:lang w:val="en-US" w:eastAsia="zh-CN"/>
              </w:rPr>
            </w:pPr>
            <w:r>
              <w:rPr>
                <w:rFonts w:hint="eastAsia"/>
                <w:b/>
                <w:color w:val="000000"/>
                <w:sz w:val="24"/>
                <w:szCs w:val="24"/>
              </w:rPr>
              <w:t>3</w:t>
            </w:r>
            <w:r>
              <w:rPr>
                <w:b/>
                <w:color w:val="000000"/>
                <w:sz w:val="24"/>
                <w:szCs w:val="24"/>
              </w:rPr>
              <w:t>.</w:t>
            </w:r>
            <w:r>
              <w:rPr>
                <w:rFonts w:hint="eastAsia"/>
                <w:b/>
                <w:color w:val="000000"/>
                <w:sz w:val="24"/>
                <w:szCs w:val="24"/>
              </w:rPr>
              <w:t>重污染天气重点行业应急减排相关文件</w:t>
            </w:r>
            <w:r>
              <w:rPr>
                <w:rFonts w:hint="eastAsia"/>
                <w:b/>
                <w:color w:val="000000"/>
                <w:sz w:val="24"/>
                <w:szCs w:val="24"/>
                <w:lang w:val="en-US" w:eastAsia="zh-CN"/>
              </w:rPr>
              <w:t>分析</w:t>
            </w:r>
          </w:p>
          <w:p w14:paraId="124651A3">
            <w:pPr>
              <w:adjustRightInd w:val="0"/>
              <w:spacing w:line="360" w:lineRule="auto"/>
              <w:ind w:firstLine="480" w:firstLineChars="200"/>
              <w:rPr>
                <w:rFonts w:hint="eastAsia"/>
                <w:color w:val="000000"/>
                <w:sz w:val="24"/>
                <w:szCs w:val="24"/>
              </w:rPr>
            </w:pPr>
            <w:r>
              <w:rPr>
                <w:rFonts w:hint="eastAsia"/>
                <w:color w:val="000000"/>
                <w:sz w:val="24"/>
                <w:szCs w:val="24"/>
              </w:rPr>
              <w:t>本项目为改建项目，属于塑料鞋制造、其他塑料制品制造业，</w:t>
            </w:r>
            <w:r>
              <w:rPr>
                <w:rFonts w:hint="eastAsia"/>
                <w:color w:val="000000"/>
                <w:sz w:val="24"/>
                <w:szCs w:val="24"/>
                <w:lang w:val="en-US" w:eastAsia="zh-CN"/>
              </w:rPr>
              <w:t>分别根据</w:t>
            </w:r>
            <w:r>
              <w:rPr>
                <w:rFonts w:hint="eastAsia"/>
                <w:color w:val="000000"/>
                <w:sz w:val="24"/>
                <w:szCs w:val="24"/>
              </w:rPr>
              <w:t>《重污染天气重点行业应急减排措施制定技术指南（2020年修订版）》（环办大气函</w:t>
            </w:r>
            <w:r>
              <w:rPr>
                <w:rFonts w:hint="eastAsia"/>
                <w:color w:val="000000"/>
                <w:sz w:val="24"/>
                <w:szCs w:val="24"/>
                <w:lang w:eastAsia="zh-CN"/>
              </w:rPr>
              <w:t>〔2020〕340号</w:t>
            </w:r>
            <w:r>
              <w:rPr>
                <w:rFonts w:hint="eastAsia"/>
                <w:color w:val="000000"/>
                <w:sz w:val="24"/>
                <w:szCs w:val="24"/>
              </w:rPr>
              <w:t>）</w:t>
            </w:r>
            <w:r>
              <w:rPr>
                <w:rFonts w:hint="eastAsia"/>
                <w:color w:val="000000"/>
                <w:sz w:val="24"/>
                <w:szCs w:val="24"/>
                <w:lang w:val="en-US" w:eastAsia="zh-CN"/>
              </w:rPr>
              <w:t>中制鞋业、</w:t>
            </w:r>
            <w:r>
              <w:rPr>
                <w:rFonts w:hint="eastAsia"/>
                <w:color w:val="000000"/>
                <w:sz w:val="24"/>
                <w:szCs w:val="24"/>
              </w:rPr>
              <w:t>《河南省重污染天气重点行业应急减排措施制定技术指南》（2024年修订版）</w:t>
            </w:r>
            <w:r>
              <w:rPr>
                <w:rFonts w:hint="eastAsia"/>
                <w:color w:val="000000"/>
                <w:sz w:val="24"/>
                <w:szCs w:val="24"/>
                <w:lang w:val="en-US" w:eastAsia="zh-CN"/>
              </w:rPr>
              <w:t>中</w:t>
            </w:r>
            <w:r>
              <w:rPr>
                <w:rFonts w:hint="eastAsia"/>
                <w:color w:val="000000"/>
                <w:sz w:val="24"/>
                <w:szCs w:val="24"/>
                <w:lang w:eastAsia="zh-CN"/>
              </w:rPr>
              <w:t>塑料制品</w:t>
            </w:r>
            <w:r>
              <w:rPr>
                <w:rFonts w:hint="eastAsia"/>
                <w:color w:val="000000"/>
                <w:sz w:val="24"/>
                <w:szCs w:val="24"/>
                <w:lang w:val="en-US" w:eastAsia="zh-CN"/>
              </w:rPr>
              <w:t>业相关指标进行分析，具体见以下两表。</w:t>
            </w:r>
          </w:p>
          <w:p w14:paraId="63FF8578">
            <w:pPr>
              <w:snapToGrid w:val="0"/>
              <w:spacing w:before="93" w:beforeLines="30"/>
              <w:jc w:val="center"/>
              <w:rPr>
                <w:rFonts w:hint="eastAsia" w:ascii="黑体" w:hAnsi="黑体" w:eastAsia="黑体"/>
                <w:color w:val="000000"/>
                <w:sz w:val="24"/>
                <w:szCs w:val="24"/>
                <w:u w:val="single"/>
              </w:rPr>
            </w:pPr>
            <w:r>
              <w:rPr>
                <w:rFonts w:ascii="黑体" w:hAnsi="黑体" w:eastAsia="黑体"/>
                <w:color w:val="000000"/>
                <w:sz w:val="24"/>
                <w:szCs w:val="24"/>
                <w:u w:val="single"/>
              </w:rPr>
              <w:t>表</w:t>
            </w:r>
            <w:r>
              <w:rPr>
                <w:rFonts w:hint="eastAsia" w:ascii="黑体" w:hAnsi="黑体" w:eastAsia="黑体"/>
                <w:color w:val="000000"/>
                <w:sz w:val="24"/>
                <w:szCs w:val="24"/>
                <w:u w:val="single"/>
                <w:lang w:val="en-US" w:eastAsia="zh-CN"/>
              </w:rPr>
              <w:t>6</w:t>
            </w:r>
            <w:r>
              <w:rPr>
                <w:rFonts w:ascii="黑体" w:hAnsi="黑体" w:eastAsia="黑体"/>
                <w:color w:val="000000"/>
                <w:sz w:val="24"/>
                <w:szCs w:val="24"/>
                <w:u w:val="single"/>
              </w:rPr>
              <w:t xml:space="preserve">   </w:t>
            </w:r>
            <w:r>
              <w:rPr>
                <w:rFonts w:hint="eastAsia" w:ascii="黑体" w:hAnsi="黑体" w:eastAsia="黑体"/>
                <w:color w:val="000000"/>
                <w:sz w:val="24"/>
                <w:szCs w:val="24"/>
                <w:u w:val="single"/>
              </w:rPr>
              <w:t xml:space="preserve"> </w:t>
            </w:r>
            <w:r>
              <w:rPr>
                <w:rFonts w:hint="eastAsia" w:ascii="黑体" w:hAnsi="黑体" w:eastAsia="黑体"/>
                <w:color w:val="000000"/>
                <w:sz w:val="24"/>
                <w:szCs w:val="24"/>
                <w:u w:val="single"/>
                <w:lang w:val="en-US" w:eastAsia="zh-CN"/>
              </w:rPr>
              <w:t>制鞋业</w:t>
            </w:r>
            <w:r>
              <w:rPr>
                <w:rFonts w:hint="eastAsia" w:ascii="黑体" w:hAnsi="黑体" w:eastAsia="黑体"/>
                <w:color w:val="000000"/>
                <w:sz w:val="24"/>
                <w:szCs w:val="24"/>
                <w:u w:val="single"/>
              </w:rPr>
              <w:t>绩效分级</w:t>
            </w:r>
            <w:r>
              <w:rPr>
                <w:rFonts w:ascii="黑体" w:hAnsi="黑体" w:eastAsia="黑体"/>
                <w:color w:val="000000"/>
                <w:sz w:val="24"/>
                <w:szCs w:val="24"/>
                <w:u w:val="single"/>
              </w:rPr>
              <w:t>相符性分析</w:t>
            </w:r>
            <w:r>
              <w:rPr>
                <w:rFonts w:hint="eastAsia" w:ascii="黑体" w:hAnsi="黑体" w:eastAsia="黑体"/>
                <w:color w:val="000000"/>
                <w:sz w:val="24"/>
                <w:szCs w:val="24"/>
                <w:u w:val="single"/>
              </w:rPr>
              <w:t>一览表</w:t>
            </w:r>
          </w:p>
          <w:tbl>
            <w:tblPr>
              <w:tblStyle w:val="1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617"/>
              <w:gridCol w:w="4113"/>
              <w:gridCol w:w="2697"/>
              <w:gridCol w:w="754"/>
            </w:tblGrid>
            <w:tr w14:paraId="42A34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5" w:hRule="atLeast"/>
              </w:trPr>
              <w:tc>
                <w:tcPr>
                  <w:tcW w:w="2890" w:type="pct"/>
                  <w:gridSpan w:val="2"/>
                  <w:noWrap w:val="0"/>
                  <w:vAlign w:val="center"/>
                </w:tcPr>
                <w:p w14:paraId="150C3045">
                  <w:pPr>
                    <w:jc w:val="center"/>
                    <w:rPr>
                      <w:color w:val="000000"/>
                      <w:kern w:val="0"/>
                      <w:szCs w:val="21"/>
                      <w:u w:val="single"/>
                    </w:rPr>
                  </w:pPr>
                  <w:r>
                    <w:rPr>
                      <w:rFonts w:hint="eastAsia"/>
                      <w:color w:val="000000"/>
                      <w:kern w:val="0"/>
                      <w:szCs w:val="21"/>
                      <w:u w:val="single"/>
                    </w:rPr>
                    <w:t>制鞋工业引领性指标</w:t>
                  </w:r>
                </w:p>
              </w:tc>
              <w:tc>
                <w:tcPr>
                  <w:tcW w:w="1648" w:type="pct"/>
                  <w:noWrap w:val="0"/>
                  <w:vAlign w:val="center"/>
                </w:tcPr>
                <w:p w14:paraId="0854D015">
                  <w:pPr>
                    <w:jc w:val="center"/>
                    <w:rPr>
                      <w:rFonts w:hint="eastAsia" w:eastAsia="宋体"/>
                      <w:color w:val="000000"/>
                      <w:kern w:val="0"/>
                      <w:szCs w:val="21"/>
                      <w:u w:val="single"/>
                      <w:lang w:val="en-US" w:eastAsia="zh-CN"/>
                    </w:rPr>
                  </w:pPr>
                  <w:r>
                    <w:rPr>
                      <w:color w:val="000000"/>
                      <w:kern w:val="0"/>
                      <w:szCs w:val="21"/>
                      <w:u w:val="single"/>
                    </w:rPr>
                    <w:t>本项目</w:t>
                  </w:r>
                  <w:r>
                    <w:rPr>
                      <w:rFonts w:hint="eastAsia"/>
                      <w:color w:val="000000"/>
                      <w:kern w:val="0"/>
                      <w:szCs w:val="21"/>
                      <w:u w:val="single"/>
                      <w:lang w:val="en-US" w:eastAsia="zh-CN"/>
                    </w:rPr>
                    <w:t>情况</w:t>
                  </w:r>
                </w:p>
              </w:tc>
              <w:tc>
                <w:tcPr>
                  <w:tcW w:w="460" w:type="pct"/>
                  <w:noWrap w:val="0"/>
                  <w:vAlign w:val="center"/>
                </w:tcPr>
                <w:p w14:paraId="31B5650E">
                  <w:pPr>
                    <w:jc w:val="center"/>
                    <w:rPr>
                      <w:color w:val="000000"/>
                      <w:kern w:val="0"/>
                      <w:szCs w:val="21"/>
                      <w:u w:val="single"/>
                    </w:rPr>
                  </w:pPr>
                  <w:r>
                    <w:rPr>
                      <w:color w:val="000000"/>
                      <w:kern w:val="0"/>
                      <w:szCs w:val="21"/>
                      <w:u w:val="single"/>
                    </w:rPr>
                    <w:t>相符性</w:t>
                  </w:r>
                </w:p>
              </w:tc>
            </w:tr>
            <w:tr w14:paraId="43FCD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5" w:hRule="atLeast"/>
              </w:trPr>
              <w:tc>
                <w:tcPr>
                  <w:tcW w:w="377" w:type="pct"/>
                  <w:vMerge w:val="restart"/>
                  <w:noWrap w:val="0"/>
                  <w:vAlign w:val="center"/>
                </w:tcPr>
                <w:p w14:paraId="698949AD">
                  <w:pPr>
                    <w:jc w:val="center"/>
                    <w:rPr>
                      <w:color w:val="000000"/>
                      <w:kern w:val="0"/>
                      <w:szCs w:val="21"/>
                      <w:u w:val="single"/>
                    </w:rPr>
                  </w:pPr>
                  <w:r>
                    <w:rPr>
                      <w:color w:val="000000"/>
                      <w:kern w:val="0"/>
                      <w:szCs w:val="21"/>
                      <w:u w:val="single"/>
                    </w:rPr>
                    <w:t>原辅材料</w:t>
                  </w:r>
                </w:p>
              </w:tc>
              <w:tc>
                <w:tcPr>
                  <w:tcW w:w="2513" w:type="pct"/>
                  <w:noWrap w:val="0"/>
                  <w:vAlign w:val="center"/>
                </w:tcPr>
                <w:p w14:paraId="2940000E">
                  <w:pPr>
                    <w:rPr>
                      <w:color w:val="000000"/>
                      <w:kern w:val="0"/>
                      <w:szCs w:val="21"/>
                      <w:u w:val="single"/>
                    </w:rPr>
                  </w:pPr>
                  <w:r>
                    <w:rPr>
                      <w:rFonts w:hint="eastAsia"/>
                      <w:color w:val="000000"/>
                      <w:kern w:val="0"/>
                      <w:szCs w:val="21"/>
                      <w:u w:val="single"/>
                    </w:rPr>
                    <w:t>1、水基型、热熔型胶粘剂占胶粘剂总量的30%以上，或不使用各类胶粘剂和处理剂；</w:t>
                  </w:r>
                </w:p>
              </w:tc>
              <w:tc>
                <w:tcPr>
                  <w:tcW w:w="1648" w:type="pct"/>
                  <w:noWrap w:val="0"/>
                  <w:vAlign w:val="center"/>
                </w:tcPr>
                <w:p w14:paraId="70E61CD9">
                  <w:pPr>
                    <w:rPr>
                      <w:color w:val="000000"/>
                      <w:kern w:val="0"/>
                      <w:szCs w:val="21"/>
                      <w:u w:val="single"/>
                    </w:rPr>
                  </w:pPr>
                  <w:r>
                    <w:rPr>
                      <w:color w:val="000000"/>
                      <w:kern w:val="0"/>
                      <w:szCs w:val="21"/>
                      <w:u w:val="single"/>
                    </w:rPr>
                    <w:t>本项目不使用各类</w:t>
                  </w:r>
                  <w:r>
                    <w:rPr>
                      <w:rFonts w:hint="eastAsia"/>
                      <w:color w:val="000000"/>
                      <w:kern w:val="0"/>
                      <w:szCs w:val="21"/>
                      <w:u w:val="single"/>
                    </w:rPr>
                    <w:t>胶粘剂和处理剂</w:t>
                  </w:r>
                </w:p>
              </w:tc>
              <w:tc>
                <w:tcPr>
                  <w:tcW w:w="460" w:type="pct"/>
                  <w:vMerge w:val="restart"/>
                  <w:noWrap w:val="0"/>
                  <w:vAlign w:val="center"/>
                </w:tcPr>
                <w:p w14:paraId="25D8D770">
                  <w:pPr>
                    <w:jc w:val="center"/>
                    <w:rPr>
                      <w:color w:val="000000"/>
                      <w:kern w:val="0"/>
                      <w:szCs w:val="21"/>
                      <w:u w:val="single"/>
                    </w:rPr>
                  </w:pPr>
                  <w:r>
                    <w:rPr>
                      <w:color w:val="000000"/>
                      <w:kern w:val="0"/>
                      <w:szCs w:val="21"/>
                      <w:u w:val="single"/>
                    </w:rPr>
                    <w:t>相符</w:t>
                  </w:r>
                </w:p>
              </w:tc>
            </w:tr>
            <w:tr w14:paraId="5364D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5" w:hRule="atLeast"/>
              </w:trPr>
              <w:tc>
                <w:tcPr>
                  <w:tcW w:w="377" w:type="pct"/>
                  <w:vMerge w:val="continue"/>
                  <w:noWrap w:val="0"/>
                  <w:vAlign w:val="center"/>
                </w:tcPr>
                <w:p w14:paraId="6125AD30">
                  <w:pPr>
                    <w:rPr>
                      <w:color w:val="000000"/>
                      <w:kern w:val="0"/>
                      <w:szCs w:val="21"/>
                      <w:u w:val="single"/>
                    </w:rPr>
                  </w:pPr>
                </w:p>
              </w:tc>
              <w:tc>
                <w:tcPr>
                  <w:tcW w:w="2513" w:type="pct"/>
                  <w:noWrap w:val="0"/>
                  <w:vAlign w:val="center"/>
                </w:tcPr>
                <w:p w14:paraId="1CE5A42B">
                  <w:pPr>
                    <w:rPr>
                      <w:rFonts w:hint="eastAsia"/>
                      <w:color w:val="000000"/>
                      <w:kern w:val="0"/>
                      <w:szCs w:val="21"/>
                      <w:u w:val="single"/>
                    </w:rPr>
                  </w:pPr>
                  <w:r>
                    <w:rPr>
                      <w:rFonts w:hint="eastAsia"/>
                      <w:color w:val="000000"/>
                      <w:kern w:val="0"/>
                      <w:szCs w:val="21"/>
                      <w:u w:val="single"/>
                    </w:rPr>
                    <w:t>2、胶粘剂符合《鞋和箱包用胶粘剂》（GB19340-2014）和《胶粘剂挥发性有机化合物限量》（GB33372-2020）要求；</w:t>
                  </w:r>
                </w:p>
              </w:tc>
              <w:tc>
                <w:tcPr>
                  <w:tcW w:w="1648" w:type="pct"/>
                  <w:noWrap w:val="0"/>
                  <w:vAlign w:val="center"/>
                </w:tcPr>
                <w:p w14:paraId="69921EA5">
                  <w:pPr>
                    <w:rPr>
                      <w:rFonts w:hint="eastAsia" w:eastAsia="宋体"/>
                      <w:color w:val="000000"/>
                      <w:kern w:val="0"/>
                      <w:szCs w:val="21"/>
                      <w:u w:val="single"/>
                      <w:lang w:val="en-US" w:eastAsia="zh-CN"/>
                    </w:rPr>
                  </w:pPr>
                  <w:r>
                    <w:rPr>
                      <w:rFonts w:hint="eastAsia"/>
                      <w:color w:val="000000"/>
                      <w:kern w:val="0"/>
                      <w:szCs w:val="21"/>
                      <w:u w:val="single"/>
                      <w:lang w:val="en-US" w:eastAsia="zh-CN"/>
                    </w:rPr>
                    <w:t>本项目</w:t>
                  </w:r>
                  <w:r>
                    <w:rPr>
                      <w:color w:val="000000"/>
                      <w:kern w:val="0"/>
                      <w:szCs w:val="21"/>
                      <w:u w:val="single"/>
                    </w:rPr>
                    <w:t>不使用各类</w:t>
                  </w:r>
                  <w:r>
                    <w:rPr>
                      <w:rFonts w:hint="eastAsia"/>
                      <w:color w:val="000000"/>
                      <w:kern w:val="0"/>
                      <w:szCs w:val="21"/>
                      <w:u w:val="single"/>
                    </w:rPr>
                    <w:t>胶粘剂和处理剂</w:t>
                  </w:r>
                </w:p>
              </w:tc>
              <w:tc>
                <w:tcPr>
                  <w:tcW w:w="460" w:type="pct"/>
                  <w:vMerge w:val="continue"/>
                  <w:noWrap w:val="0"/>
                  <w:vAlign w:val="center"/>
                </w:tcPr>
                <w:p w14:paraId="0D2ED21A">
                  <w:pPr>
                    <w:jc w:val="center"/>
                    <w:rPr>
                      <w:color w:val="000000"/>
                      <w:kern w:val="0"/>
                      <w:szCs w:val="21"/>
                      <w:u w:val="single"/>
                    </w:rPr>
                  </w:pPr>
                </w:p>
              </w:tc>
            </w:tr>
            <w:tr w14:paraId="79122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5" w:hRule="atLeast"/>
              </w:trPr>
              <w:tc>
                <w:tcPr>
                  <w:tcW w:w="377" w:type="pct"/>
                  <w:vMerge w:val="continue"/>
                  <w:noWrap w:val="0"/>
                  <w:vAlign w:val="center"/>
                </w:tcPr>
                <w:p w14:paraId="73237075">
                  <w:pPr>
                    <w:rPr>
                      <w:color w:val="000000"/>
                      <w:kern w:val="0"/>
                      <w:szCs w:val="21"/>
                      <w:u w:val="single"/>
                    </w:rPr>
                  </w:pPr>
                </w:p>
              </w:tc>
              <w:tc>
                <w:tcPr>
                  <w:tcW w:w="2513" w:type="pct"/>
                  <w:noWrap w:val="0"/>
                  <w:vAlign w:val="center"/>
                </w:tcPr>
                <w:p w14:paraId="52FB1637">
                  <w:pPr>
                    <w:rPr>
                      <w:rFonts w:hint="eastAsia"/>
                      <w:color w:val="000000"/>
                      <w:kern w:val="0"/>
                      <w:szCs w:val="21"/>
                      <w:u w:val="single"/>
                    </w:rPr>
                  </w:pPr>
                  <w:r>
                    <w:rPr>
                      <w:rFonts w:hint="eastAsia"/>
                      <w:color w:val="000000"/>
                      <w:kern w:val="0"/>
                      <w:szCs w:val="21"/>
                      <w:u w:val="single"/>
                    </w:rPr>
                    <w:t>3、清洗剂符合《清洗剂挥发性有机化合物含</w:t>
                  </w:r>
                  <w:r>
                    <w:rPr>
                      <w:rFonts w:hint="eastAsia"/>
                      <w:color w:val="000000"/>
                      <w:kern w:val="0"/>
                      <w:szCs w:val="21"/>
                      <w:u w:val="single"/>
                    </w:rPr>
                    <w:cr/>
                  </w:r>
                  <w:r>
                    <w:rPr>
                      <w:rFonts w:hint="eastAsia"/>
                      <w:color w:val="000000"/>
                      <w:kern w:val="0"/>
                      <w:szCs w:val="21"/>
                      <w:u w:val="single"/>
                    </w:rPr>
                    <w:t>限值》（GB38508-2020）要</w:t>
                  </w:r>
                  <w:r>
                    <w:rPr>
                      <w:rFonts w:hint="eastAsia"/>
                      <w:color w:val="000000"/>
                      <w:kern w:val="0"/>
                      <w:szCs w:val="21"/>
                      <w:u w:val="single"/>
                      <w:lang w:val="en-US" w:eastAsia="zh-CN"/>
                    </w:rPr>
                    <w:t>求</w:t>
                  </w:r>
                  <w:r>
                    <w:rPr>
                      <w:rFonts w:hint="eastAsia"/>
                      <w:color w:val="000000"/>
                      <w:kern w:val="0"/>
                      <w:szCs w:val="21"/>
                      <w:u w:val="single"/>
                    </w:rPr>
                    <w:cr/>
                  </w:r>
                </w:p>
              </w:tc>
              <w:tc>
                <w:tcPr>
                  <w:tcW w:w="1648" w:type="pct"/>
                  <w:noWrap w:val="0"/>
                  <w:vAlign w:val="center"/>
                </w:tcPr>
                <w:p w14:paraId="6E996633">
                  <w:pPr>
                    <w:rPr>
                      <w:color w:val="000000"/>
                      <w:kern w:val="0"/>
                      <w:szCs w:val="21"/>
                      <w:u w:val="single"/>
                    </w:rPr>
                  </w:pPr>
                  <w:r>
                    <w:rPr>
                      <w:rFonts w:hint="eastAsia"/>
                      <w:color w:val="000000"/>
                      <w:kern w:val="0"/>
                      <w:szCs w:val="21"/>
                      <w:u w:val="single"/>
                      <w:lang w:val="en-US" w:eastAsia="zh-CN"/>
                    </w:rPr>
                    <w:t>本项目</w:t>
                  </w:r>
                  <w:r>
                    <w:rPr>
                      <w:color w:val="000000"/>
                      <w:kern w:val="0"/>
                      <w:szCs w:val="21"/>
                      <w:u w:val="single"/>
                    </w:rPr>
                    <w:t>不使用</w:t>
                  </w:r>
                  <w:r>
                    <w:rPr>
                      <w:rFonts w:hint="eastAsia"/>
                      <w:color w:val="000000"/>
                      <w:kern w:val="0"/>
                      <w:szCs w:val="21"/>
                      <w:u w:val="single"/>
                      <w:lang w:val="en-US" w:eastAsia="zh-CN"/>
                    </w:rPr>
                    <w:t>清洗剂</w:t>
                  </w:r>
                </w:p>
              </w:tc>
              <w:tc>
                <w:tcPr>
                  <w:tcW w:w="460" w:type="pct"/>
                  <w:vMerge w:val="continue"/>
                  <w:noWrap w:val="0"/>
                  <w:vAlign w:val="center"/>
                </w:tcPr>
                <w:p w14:paraId="6E014E89">
                  <w:pPr>
                    <w:jc w:val="center"/>
                    <w:rPr>
                      <w:color w:val="000000"/>
                      <w:kern w:val="0"/>
                      <w:szCs w:val="21"/>
                      <w:u w:val="single"/>
                    </w:rPr>
                  </w:pPr>
                </w:p>
              </w:tc>
            </w:tr>
            <w:tr w14:paraId="02119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5" w:hRule="atLeast"/>
              </w:trPr>
              <w:tc>
                <w:tcPr>
                  <w:tcW w:w="377" w:type="pct"/>
                  <w:noWrap w:val="0"/>
                  <w:vAlign w:val="center"/>
                </w:tcPr>
                <w:p w14:paraId="6E5A1F40">
                  <w:pPr>
                    <w:jc w:val="center"/>
                    <w:rPr>
                      <w:color w:val="000000"/>
                      <w:kern w:val="0"/>
                      <w:szCs w:val="21"/>
                      <w:u w:val="single"/>
                    </w:rPr>
                  </w:pPr>
                  <w:r>
                    <w:rPr>
                      <w:rFonts w:hint="eastAsia"/>
                      <w:color w:val="000000"/>
                      <w:kern w:val="0"/>
                      <w:szCs w:val="21"/>
                      <w:u w:val="single"/>
                    </w:rPr>
                    <w:t>污染</w:t>
                  </w:r>
                  <w:r>
                    <w:rPr>
                      <w:color w:val="000000"/>
                      <w:kern w:val="0"/>
                      <w:szCs w:val="21"/>
                      <w:u w:val="single"/>
                    </w:rPr>
                    <w:t>治理技术</w:t>
                  </w:r>
                </w:p>
              </w:tc>
              <w:tc>
                <w:tcPr>
                  <w:tcW w:w="2513" w:type="pct"/>
                  <w:noWrap w:val="0"/>
                  <w:vAlign w:val="center"/>
                </w:tcPr>
                <w:p w14:paraId="77387A1F">
                  <w:pPr>
                    <w:rPr>
                      <w:color w:val="000000"/>
                      <w:kern w:val="0"/>
                      <w:szCs w:val="21"/>
                      <w:u w:val="single"/>
                    </w:rPr>
                  </w:pPr>
                  <w:r>
                    <w:rPr>
                      <w:color w:val="000000"/>
                      <w:kern w:val="0"/>
                      <w:szCs w:val="21"/>
                      <w:u w:val="single"/>
                    </w:rPr>
                    <w:t>主要产污环节废气收集后</w:t>
                  </w:r>
                  <w:r>
                    <w:rPr>
                      <w:rFonts w:hint="eastAsia"/>
                      <w:color w:val="000000"/>
                      <w:kern w:val="0"/>
                      <w:szCs w:val="21"/>
                      <w:u w:val="single"/>
                    </w:rPr>
                    <w:t>，</w:t>
                  </w:r>
                  <w:r>
                    <w:rPr>
                      <w:color w:val="000000"/>
                      <w:kern w:val="0"/>
                      <w:szCs w:val="21"/>
                      <w:u w:val="single"/>
                    </w:rPr>
                    <w:t>有机废气采用生物法</w:t>
                  </w:r>
                  <w:r>
                    <w:rPr>
                      <w:rFonts w:hint="eastAsia"/>
                      <w:color w:val="000000"/>
                      <w:kern w:val="0"/>
                      <w:szCs w:val="21"/>
                      <w:u w:val="single"/>
                    </w:rPr>
                    <w:t>、</w:t>
                  </w:r>
                  <w:r>
                    <w:rPr>
                      <w:color w:val="000000"/>
                      <w:kern w:val="0"/>
                      <w:szCs w:val="21"/>
                      <w:u w:val="single"/>
                    </w:rPr>
                    <w:t>低温等离子</w:t>
                  </w:r>
                  <w:r>
                    <w:rPr>
                      <w:rFonts w:hint="eastAsia"/>
                      <w:color w:val="000000"/>
                      <w:kern w:val="0"/>
                      <w:szCs w:val="21"/>
                      <w:u w:val="single"/>
                    </w:rPr>
                    <w:t>、</w:t>
                  </w:r>
                  <w:r>
                    <w:rPr>
                      <w:color w:val="000000"/>
                      <w:kern w:val="0"/>
                      <w:szCs w:val="21"/>
                      <w:u w:val="single"/>
                    </w:rPr>
                    <w:t>吸附等组合工艺处理</w:t>
                  </w:r>
                  <w:r>
                    <w:rPr>
                      <w:rFonts w:hint="eastAsia"/>
                      <w:color w:val="000000"/>
                      <w:kern w:val="0"/>
                      <w:szCs w:val="21"/>
                      <w:u w:val="single"/>
                    </w:rPr>
                    <w:t>，</w:t>
                  </w:r>
                  <w:r>
                    <w:rPr>
                      <w:color w:val="000000"/>
                      <w:kern w:val="0"/>
                      <w:szCs w:val="21"/>
                      <w:u w:val="single"/>
                    </w:rPr>
                    <w:t>含尘废气采用袋式除尘或静电除尘工艺处理</w:t>
                  </w:r>
                </w:p>
              </w:tc>
              <w:tc>
                <w:tcPr>
                  <w:tcW w:w="1648" w:type="pct"/>
                  <w:noWrap w:val="0"/>
                  <w:vAlign w:val="center"/>
                </w:tcPr>
                <w:p w14:paraId="1D5F1B73">
                  <w:pPr>
                    <w:rPr>
                      <w:color w:val="000000"/>
                      <w:kern w:val="0"/>
                      <w:szCs w:val="21"/>
                      <w:u w:val="single"/>
                    </w:rPr>
                  </w:pPr>
                  <w:r>
                    <w:rPr>
                      <w:color w:val="000000"/>
                      <w:szCs w:val="21"/>
                      <w:u w:val="single"/>
                    </w:rPr>
                    <w:t>本</w:t>
                  </w:r>
                  <w:r>
                    <w:rPr>
                      <w:rFonts w:hint="eastAsia"/>
                      <w:color w:val="000000"/>
                      <w:szCs w:val="21"/>
                      <w:u w:val="single"/>
                    </w:rPr>
                    <w:t>次改建</w:t>
                  </w:r>
                  <w:r>
                    <w:rPr>
                      <w:rFonts w:hint="eastAsia"/>
                      <w:color w:val="000000"/>
                      <w:szCs w:val="21"/>
                      <w:u w:val="single"/>
                      <w:lang w:val="en-US" w:eastAsia="zh-CN"/>
                    </w:rPr>
                    <w:t>项目</w:t>
                  </w:r>
                  <w:r>
                    <w:rPr>
                      <w:rFonts w:hint="eastAsia"/>
                      <w:color w:val="000000"/>
                      <w:szCs w:val="21"/>
                      <w:u w:val="single"/>
                    </w:rPr>
                    <w:t>有机废气处理</w:t>
                  </w:r>
                  <w:r>
                    <w:rPr>
                      <w:rFonts w:hint="eastAsia"/>
                      <w:color w:val="000000"/>
                      <w:szCs w:val="21"/>
                      <w:u w:val="single"/>
                      <w:lang w:val="en-US" w:eastAsia="zh-CN"/>
                    </w:rPr>
                    <w:t>采用</w:t>
                  </w:r>
                  <w:r>
                    <w:rPr>
                      <w:rFonts w:hint="eastAsia"/>
                      <w:color w:val="000000"/>
                      <w:szCs w:val="21"/>
                      <w:u w:val="single"/>
                    </w:rPr>
                    <w:t>二级活性炭吸附处理设施</w:t>
                  </w:r>
                  <w:r>
                    <w:rPr>
                      <w:rFonts w:hint="eastAsia" w:hAnsi="宋体"/>
                      <w:snapToGrid w:val="0"/>
                      <w:color w:val="000000"/>
                      <w:kern w:val="0"/>
                      <w:szCs w:val="21"/>
                      <w:u w:val="single"/>
                    </w:rPr>
                    <w:t>；</w:t>
                  </w:r>
                  <w:r>
                    <w:rPr>
                      <w:rFonts w:hint="eastAsia" w:hAnsi="宋体"/>
                      <w:snapToGrid w:val="0"/>
                      <w:color w:val="000000"/>
                      <w:kern w:val="0"/>
                      <w:szCs w:val="21"/>
                      <w:u w:val="single"/>
                      <w:lang w:val="en-US" w:eastAsia="zh-CN"/>
                    </w:rPr>
                    <w:t>含尘废气</w:t>
                  </w:r>
                  <w:r>
                    <w:rPr>
                      <w:color w:val="000000"/>
                      <w:kern w:val="0"/>
                      <w:szCs w:val="21"/>
                      <w:u w:val="single"/>
                    </w:rPr>
                    <w:t>采用袋式除尘</w:t>
                  </w:r>
                  <w:r>
                    <w:rPr>
                      <w:rFonts w:hint="eastAsia"/>
                      <w:color w:val="000000"/>
                      <w:kern w:val="0"/>
                      <w:szCs w:val="21"/>
                      <w:u w:val="single"/>
                      <w:lang w:val="en-US" w:eastAsia="zh-CN"/>
                    </w:rPr>
                    <w:t>处理设施</w:t>
                  </w:r>
                </w:p>
              </w:tc>
              <w:tc>
                <w:tcPr>
                  <w:tcW w:w="460" w:type="pct"/>
                  <w:noWrap w:val="0"/>
                  <w:vAlign w:val="center"/>
                </w:tcPr>
                <w:p w14:paraId="3E4765F2">
                  <w:pPr>
                    <w:jc w:val="center"/>
                    <w:rPr>
                      <w:color w:val="000000"/>
                      <w:kern w:val="0"/>
                      <w:szCs w:val="21"/>
                      <w:u w:val="single"/>
                    </w:rPr>
                  </w:pPr>
                  <w:r>
                    <w:rPr>
                      <w:color w:val="000000"/>
                      <w:kern w:val="0"/>
                      <w:szCs w:val="21"/>
                      <w:u w:val="single"/>
                    </w:rPr>
                    <w:t>相符</w:t>
                  </w:r>
                </w:p>
              </w:tc>
            </w:tr>
            <w:tr w14:paraId="782A9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5" w:hRule="atLeast"/>
              </w:trPr>
              <w:tc>
                <w:tcPr>
                  <w:tcW w:w="377" w:type="pct"/>
                  <w:noWrap w:val="0"/>
                  <w:vAlign w:val="center"/>
                </w:tcPr>
                <w:p w14:paraId="14232C99">
                  <w:pPr>
                    <w:jc w:val="center"/>
                    <w:rPr>
                      <w:color w:val="000000"/>
                      <w:kern w:val="0"/>
                      <w:szCs w:val="21"/>
                      <w:u w:val="single"/>
                    </w:rPr>
                  </w:pPr>
                  <w:r>
                    <w:rPr>
                      <w:color w:val="000000"/>
                      <w:kern w:val="0"/>
                      <w:szCs w:val="21"/>
                      <w:u w:val="single"/>
                    </w:rPr>
                    <w:t>排放限值</w:t>
                  </w:r>
                </w:p>
              </w:tc>
              <w:tc>
                <w:tcPr>
                  <w:tcW w:w="2513" w:type="pct"/>
                  <w:noWrap w:val="0"/>
                  <w:vAlign w:val="center"/>
                </w:tcPr>
                <w:p w14:paraId="6D24CE4D">
                  <w:pPr>
                    <w:rPr>
                      <w:color w:val="000000"/>
                      <w:kern w:val="0"/>
                      <w:szCs w:val="21"/>
                      <w:u w:val="single"/>
                    </w:rPr>
                  </w:pPr>
                  <w:r>
                    <w:rPr>
                      <w:rFonts w:hint="eastAsia"/>
                      <w:color w:val="000000"/>
                      <w:kern w:val="0"/>
                      <w:szCs w:val="21"/>
                      <w:u w:val="single"/>
                    </w:rPr>
                    <w:t>NMHC排放浓度不高于40mg/m</w:t>
                  </w:r>
                  <w:r>
                    <w:rPr>
                      <w:rFonts w:hint="eastAsia"/>
                      <w:color w:val="000000"/>
                      <w:kern w:val="0"/>
                      <w:szCs w:val="21"/>
                      <w:u w:val="single"/>
                      <w:vertAlign w:val="superscript"/>
                    </w:rPr>
                    <w:t>3</w:t>
                  </w:r>
                  <w:r>
                    <w:rPr>
                      <w:rFonts w:hint="eastAsia"/>
                      <w:color w:val="000000"/>
                      <w:kern w:val="0"/>
                      <w:szCs w:val="21"/>
                      <w:u w:val="single"/>
                    </w:rPr>
                    <w:t>，PM排放浓度不高于20mg/m</w:t>
                  </w:r>
                  <w:r>
                    <w:rPr>
                      <w:rFonts w:hint="eastAsia"/>
                      <w:color w:val="000000"/>
                      <w:kern w:val="0"/>
                      <w:szCs w:val="21"/>
                      <w:u w:val="single"/>
                      <w:vertAlign w:val="superscript"/>
                    </w:rPr>
                    <w:t>3</w:t>
                  </w:r>
                  <w:r>
                    <w:rPr>
                      <w:rFonts w:hint="eastAsia"/>
                      <w:color w:val="000000"/>
                      <w:kern w:val="0"/>
                      <w:szCs w:val="21"/>
                      <w:u w:val="single"/>
                    </w:rPr>
                    <w:t>，其余各项污染物满足《大气污染物综合排放标准》（GB16297-1996）排放限值要求，并满足相关地方排放标准要求</w:t>
                  </w:r>
                </w:p>
              </w:tc>
              <w:tc>
                <w:tcPr>
                  <w:tcW w:w="1648" w:type="pct"/>
                  <w:noWrap w:val="0"/>
                  <w:vAlign w:val="center"/>
                </w:tcPr>
                <w:p w14:paraId="05A89D6D">
                  <w:pPr>
                    <w:rPr>
                      <w:rFonts w:hint="eastAsia" w:hAnsi="宋体"/>
                      <w:snapToGrid w:val="0"/>
                      <w:color w:val="000000"/>
                      <w:kern w:val="0"/>
                      <w:szCs w:val="21"/>
                      <w:u w:val="single"/>
                    </w:rPr>
                  </w:pPr>
                  <w:r>
                    <w:rPr>
                      <w:rFonts w:hint="eastAsia" w:hAnsi="宋体"/>
                      <w:snapToGrid w:val="0"/>
                      <w:color w:val="000000"/>
                      <w:kern w:val="0"/>
                      <w:szCs w:val="21"/>
                      <w:u w:val="single"/>
                    </w:rPr>
                    <w:t>本项目有机废气经过治理后排放浓度低于</w:t>
                  </w:r>
                  <w:r>
                    <w:rPr>
                      <w:rFonts w:hint="eastAsia"/>
                      <w:color w:val="000000"/>
                      <w:kern w:val="0"/>
                      <w:szCs w:val="21"/>
                      <w:u w:val="single"/>
                    </w:rPr>
                    <w:t>40mg/m</w:t>
                  </w:r>
                  <w:r>
                    <w:rPr>
                      <w:rFonts w:hint="eastAsia"/>
                      <w:color w:val="000000"/>
                      <w:kern w:val="0"/>
                      <w:szCs w:val="21"/>
                      <w:u w:val="single"/>
                      <w:vertAlign w:val="superscript"/>
                    </w:rPr>
                    <w:t>3</w:t>
                  </w:r>
                  <w:r>
                    <w:rPr>
                      <w:rFonts w:hint="eastAsia"/>
                      <w:color w:val="000000"/>
                      <w:kern w:val="0"/>
                      <w:szCs w:val="21"/>
                      <w:u w:val="single"/>
                    </w:rPr>
                    <w:t>，PM排放浓度</w:t>
                  </w:r>
                  <w:r>
                    <w:rPr>
                      <w:rFonts w:hint="eastAsia"/>
                      <w:color w:val="000000"/>
                      <w:kern w:val="0"/>
                      <w:szCs w:val="21"/>
                      <w:u w:val="single"/>
                      <w:lang w:val="en-US" w:eastAsia="zh-CN"/>
                    </w:rPr>
                    <w:t>低于</w:t>
                  </w:r>
                  <w:r>
                    <w:rPr>
                      <w:rFonts w:hint="eastAsia"/>
                      <w:color w:val="000000"/>
                      <w:kern w:val="0"/>
                      <w:szCs w:val="21"/>
                      <w:u w:val="single"/>
                    </w:rPr>
                    <w:t>20mg/m</w:t>
                  </w:r>
                  <w:r>
                    <w:rPr>
                      <w:rFonts w:hint="eastAsia"/>
                      <w:color w:val="000000"/>
                      <w:kern w:val="0"/>
                      <w:szCs w:val="21"/>
                      <w:u w:val="single"/>
                      <w:vertAlign w:val="superscript"/>
                    </w:rPr>
                    <w:t>3</w:t>
                  </w:r>
                  <w:r>
                    <w:rPr>
                      <w:rFonts w:hint="eastAsia"/>
                      <w:color w:val="000000"/>
                      <w:kern w:val="0"/>
                      <w:szCs w:val="21"/>
                      <w:u w:val="single"/>
                    </w:rPr>
                    <w:t>，可以满足相关地方排放标准要求</w:t>
                  </w:r>
                </w:p>
              </w:tc>
              <w:tc>
                <w:tcPr>
                  <w:tcW w:w="460" w:type="pct"/>
                  <w:noWrap w:val="0"/>
                  <w:vAlign w:val="center"/>
                </w:tcPr>
                <w:p w14:paraId="1F9EA2D0">
                  <w:pPr>
                    <w:jc w:val="center"/>
                    <w:rPr>
                      <w:color w:val="000000"/>
                      <w:kern w:val="0"/>
                      <w:szCs w:val="21"/>
                      <w:u w:val="single"/>
                    </w:rPr>
                  </w:pPr>
                  <w:r>
                    <w:rPr>
                      <w:color w:val="000000"/>
                      <w:kern w:val="0"/>
                      <w:szCs w:val="21"/>
                      <w:u w:val="single"/>
                    </w:rPr>
                    <w:t>相符</w:t>
                  </w:r>
                </w:p>
              </w:tc>
            </w:tr>
            <w:tr w14:paraId="108DF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5" w:hRule="atLeast"/>
              </w:trPr>
              <w:tc>
                <w:tcPr>
                  <w:tcW w:w="377" w:type="pct"/>
                  <w:vMerge w:val="restart"/>
                  <w:noWrap w:val="0"/>
                  <w:vAlign w:val="center"/>
                </w:tcPr>
                <w:p w14:paraId="085DADBB">
                  <w:pPr>
                    <w:jc w:val="center"/>
                    <w:rPr>
                      <w:color w:val="000000"/>
                      <w:kern w:val="0"/>
                      <w:szCs w:val="21"/>
                      <w:u w:val="single"/>
                    </w:rPr>
                  </w:pPr>
                  <w:r>
                    <w:rPr>
                      <w:color w:val="000000"/>
                      <w:kern w:val="0"/>
                      <w:szCs w:val="21"/>
                      <w:u w:val="single"/>
                    </w:rPr>
                    <w:t>无组织排放</w:t>
                  </w:r>
                </w:p>
              </w:tc>
              <w:tc>
                <w:tcPr>
                  <w:tcW w:w="2513" w:type="pct"/>
                  <w:noWrap w:val="0"/>
                  <w:vAlign w:val="center"/>
                </w:tcPr>
                <w:p w14:paraId="25AAFE29">
                  <w:pPr>
                    <w:rPr>
                      <w:rFonts w:hint="eastAsia"/>
                      <w:color w:val="000000"/>
                      <w:kern w:val="0"/>
                      <w:szCs w:val="21"/>
                      <w:u w:val="single"/>
                    </w:rPr>
                  </w:pPr>
                  <w:r>
                    <w:rPr>
                      <w:rFonts w:hint="eastAsia"/>
                      <w:color w:val="000000"/>
                      <w:kern w:val="0"/>
                      <w:szCs w:val="21"/>
                      <w:u w:val="single"/>
                    </w:rPr>
                    <w:t>1、冷粘、硫化、注塑、模压、线缝工艺单元涉及的主要产污环节（合布、丝网印刷、刷胶粘剂、刷处理剂、帮底起毛、喷光、鞋底生产、硫化、原料搅拌、注塑、橡胶注射、模压等）产生的含尘和有机废气采用集气罩收集，废气排至废气收集处理系统；</w:t>
                  </w:r>
                </w:p>
              </w:tc>
              <w:tc>
                <w:tcPr>
                  <w:tcW w:w="1648" w:type="pct"/>
                  <w:noWrap w:val="0"/>
                  <w:vAlign w:val="center"/>
                </w:tcPr>
                <w:p w14:paraId="73B96325">
                  <w:pPr>
                    <w:rPr>
                      <w:rFonts w:hint="eastAsia" w:hAnsi="宋体" w:eastAsia="宋体"/>
                      <w:snapToGrid w:val="0"/>
                      <w:color w:val="000000"/>
                      <w:kern w:val="0"/>
                      <w:szCs w:val="21"/>
                      <w:u w:val="single"/>
                      <w:lang w:eastAsia="zh-CN"/>
                    </w:rPr>
                  </w:pPr>
                  <w:r>
                    <w:rPr>
                      <w:rFonts w:hint="eastAsia" w:hAnsi="宋体"/>
                      <w:snapToGrid w:val="0"/>
                      <w:color w:val="000000"/>
                      <w:kern w:val="0"/>
                      <w:szCs w:val="21"/>
                      <w:u w:val="single"/>
                    </w:rPr>
                    <w:t>本项目</w:t>
                  </w:r>
                  <w:r>
                    <w:rPr>
                      <w:rFonts w:hint="eastAsia" w:hAnsi="宋体"/>
                      <w:snapToGrid w:val="0"/>
                      <w:color w:val="000000"/>
                      <w:kern w:val="0"/>
                      <w:szCs w:val="21"/>
                      <w:u w:val="single"/>
                      <w:lang w:val="en-US" w:eastAsia="zh-CN"/>
                    </w:rPr>
                    <w:t>注塑</w:t>
                  </w:r>
                  <w:r>
                    <w:rPr>
                      <w:rFonts w:hint="eastAsia" w:hAnsi="宋体"/>
                      <w:snapToGrid w:val="0"/>
                      <w:color w:val="000000"/>
                      <w:kern w:val="0"/>
                      <w:szCs w:val="21"/>
                      <w:u w:val="single"/>
                    </w:rPr>
                    <w:t>工序产生的有机废气采用集气罩收集后，进入二级活性炭治理设备进行处理</w:t>
                  </w:r>
                  <w:r>
                    <w:rPr>
                      <w:rFonts w:hint="eastAsia" w:hAnsi="宋体"/>
                      <w:snapToGrid w:val="0"/>
                      <w:color w:val="000000"/>
                      <w:kern w:val="0"/>
                      <w:szCs w:val="21"/>
                      <w:u w:val="single"/>
                      <w:lang w:eastAsia="zh-CN"/>
                    </w:rPr>
                    <w:t>，</w:t>
                  </w:r>
                  <w:r>
                    <w:rPr>
                      <w:rFonts w:hint="eastAsia" w:hAnsi="宋体"/>
                      <w:snapToGrid w:val="0"/>
                      <w:color w:val="000000"/>
                      <w:kern w:val="0"/>
                      <w:szCs w:val="21"/>
                      <w:u w:val="single"/>
                      <w:lang w:val="en-US" w:eastAsia="zh-CN"/>
                    </w:rPr>
                    <w:t>投料、破碎粉尘</w:t>
                  </w:r>
                  <w:r>
                    <w:rPr>
                      <w:color w:val="000000"/>
                      <w:kern w:val="0"/>
                      <w:szCs w:val="21"/>
                      <w:u w:val="single"/>
                    </w:rPr>
                    <w:t>采用袋式除尘</w:t>
                  </w:r>
                  <w:r>
                    <w:rPr>
                      <w:rFonts w:hint="eastAsia"/>
                      <w:color w:val="000000"/>
                      <w:kern w:val="0"/>
                      <w:szCs w:val="21"/>
                      <w:u w:val="single"/>
                      <w:lang w:val="en-US" w:eastAsia="zh-CN"/>
                    </w:rPr>
                    <w:t>器处理</w:t>
                  </w:r>
                </w:p>
              </w:tc>
              <w:tc>
                <w:tcPr>
                  <w:tcW w:w="460" w:type="pct"/>
                  <w:vMerge w:val="restart"/>
                  <w:noWrap w:val="0"/>
                  <w:vAlign w:val="center"/>
                </w:tcPr>
                <w:p w14:paraId="6F263F41">
                  <w:pPr>
                    <w:jc w:val="center"/>
                    <w:rPr>
                      <w:color w:val="000000"/>
                      <w:kern w:val="0"/>
                      <w:szCs w:val="21"/>
                      <w:u w:val="single"/>
                    </w:rPr>
                  </w:pPr>
                  <w:r>
                    <w:rPr>
                      <w:color w:val="000000"/>
                      <w:kern w:val="0"/>
                      <w:szCs w:val="21"/>
                      <w:u w:val="single"/>
                    </w:rPr>
                    <w:t>相符</w:t>
                  </w:r>
                </w:p>
              </w:tc>
            </w:tr>
            <w:tr w14:paraId="2861A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5" w:hRule="atLeast"/>
              </w:trPr>
              <w:tc>
                <w:tcPr>
                  <w:tcW w:w="377" w:type="pct"/>
                  <w:vMerge w:val="continue"/>
                  <w:noWrap w:val="0"/>
                  <w:vAlign w:val="center"/>
                </w:tcPr>
                <w:p w14:paraId="423A08FC">
                  <w:pPr>
                    <w:jc w:val="center"/>
                    <w:rPr>
                      <w:color w:val="000000"/>
                      <w:kern w:val="0"/>
                      <w:szCs w:val="21"/>
                      <w:u w:val="single"/>
                    </w:rPr>
                  </w:pPr>
                </w:p>
              </w:tc>
              <w:tc>
                <w:tcPr>
                  <w:tcW w:w="2513" w:type="pct"/>
                  <w:noWrap w:val="0"/>
                  <w:vAlign w:val="center"/>
                </w:tcPr>
                <w:p w14:paraId="771056B2">
                  <w:pPr>
                    <w:rPr>
                      <w:rFonts w:hint="eastAsia"/>
                      <w:color w:val="000000"/>
                      <w:kern w:val="0"/>
                      <w:szCs w:val="21"/>
                      <w:u w:val="single"/>
                    </w:rPr>
                  </w:pPr>
                  <w:r>
                    <w:rPr>
                      <w:rFonts w:hint="eastAsia"/>
                      <w:color w:val="000000"/>
                      <w:kern w:val="0"/>
                      <w:szCs w:val="21"/>
                      <w:u w:val="single"/>
                    </w:rPr>
                    <w:t>2、胶粘剂、处理剂、清洗剂、油墨等存储于密闭的容器、包装袋、储罐、储库、料仓中；盛装含VOCs物料的容器或包装袋存放于室内；盛装含VOCs物料的容器或包装袋在非取用状态时应加盖、封口，保持密闭；</w:t>
                  </w:r>
                </w:p>
              </w:tc>
              <w:tc>
                <w:tcPr>
                  <w:tcW w:w="1648" w:type="pct"/>
                  <w:noWrap w:val="0"/>
                  <w:vAlign w:val="center"/>
                </w:tcPr>
                <w:p w14:paraId="4F3E7286">
                  <w:pPr>
                    <w:rPr>
                      <w:rFonts w:hint="eastAsia" w:hAnsi="宋体"/>
                      <w:snapToGrid w:val="0"/>
                      <w:color w:val="000000"/>
                      <w:kern w:val="0"/>
                      <w:szCs w:val="21"/>
                      <w:u w:val="single"/>
                    </w:rPr>
                  </w:pPr>
                  <w:r>
                    <w:rPr>
                      <w:rFonts w:hint="eastAsia" w:hAnsi="宋体"/>
                      <w:snapToGrid w:val="0"/>
                      <w:color w:val="000000"/>
                      <w:kern w:val="0"/>
                      <w:szCs w:val="21"/>
                      <w:u w:val="single"/>
                    </w:rPr>
                    <w:t>本项目</w:t>
                  </w:r>
                  <w:r>
                    <w:rPr>
                      <w:rFonts w:hint="eastAsia" w:hAnsi="宋体"/>
                      <w:snapToGrid w:val="0"/>
                      <w:color w:val="000000"/>
                      <w:kern w:val="0"/>
                      <w:szCs w:val="21"/>
                      <w:u w:val="single"/>
                      <w:lang w:val="en-US" w:eastAsia="zh-CN"/>
                    </w:rPr>
                    <w:t>固体原料存储在包装袋中，液体原料（丁酯）采用桶装，</w:t>
                  </w:r>
                  <w:r>
                    <w:rPr>
                      <w:rFonts w:hint="eastAsia" w:hAnsi="宋体"/>
                      <w:snapToGrid w:val="0"/>
                      <w:color w:val="000000"/>
                      <w:kern w:val="0"/>
                      <w:szCs w:val="21"/>
                      <w:u w:val="single"/>
                    </w:rPr>
                    <w:t>存放于封闭车间内；</w:t>
                  </w:r>
                  <w:r>
                    <w:rPr>
                      <w:rFonts w:hint="eastAsia"/>
                      <w:color w:val="000000"/>
                      <w:kern w:val="0"/>
                      <w:szCs w:val="21"/>
                      <w:u w:val="single"/>
                    </w:rPr>
                    <w:t>盛装</w:t>
                  </w:r>
                  <w:r>
                    <w:rPr>
                      <w:rFonts w:hint="eastAsia" w:hAnsi="宋体"/>
                      <w:snapToGrid w:val="0"/>
                      <w:color w:val="000000"/>
                      <w:kern w:val="0"/>
                      <w:szCs w:val="21"/>
                      <w:u w:val="single"/>
                      <w:lang w:val="en-US" w:eastAsia="zh-CN"/>
                    </w:rPr>
                    <w:t>丁酯</w:t>
                  </w:r>
                  <w:r>
                    <w:rPr>
                      <w:rFonts w:hint="eastAsia"/>
                      <w:color w:val="000000"/>
                      <w:kern w:val="0"/>
                      <w:szCs w:val="21"/>
                      <w:u w:val="single"/>
                    </w:rPr>
                    <w:t>的容器在非取用状态时加盖，保持密闭</w:t>
                  </w:r>
                </w:p>
              </w:tc>
              <w:tc>
                <w:tcPr>
                  <w:tcW w:w="460" w:type="pct"/>
                  <w:vMerge w:val="continue"/>
                  <w:noWrap w:val="0"/>
                  <w:vAlign w:val="center"/>
                </w:tcPr>
                <w:p w14:paraId="6758B52C">
                  <w:pPr>
                    <w:jc w:val="center"/>
                    <w:rPr>
                      <w:color w:val="000000"/>
                      <w:kern w:val="0"/>
                      <w:szCs w:val="21"/>
                      <w:u w:val="single"/>
                    </w:rPr>
                  </w:pPr>
                </w:p>
              </w:tc>
            </w:tr>
            <w:tr w14:paraId="00564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5" w:hRule="atLeast"/>
              </w:trPr>
              <w:tc>
                <w:tcPr>
                  <w:tcW w:w="377" w:type="pct"/>
                  <w:vMerge w:val="continue"/>
                  <w:noWrap w:val="0"/>
                  <w:vAlign w:val="center"/>
                </w:tcPr>
                <w:p w14:paraId="6718B179">
                  <w:pPr>
                    <w:jc w:val="center"/>
                    <w:rPr>
                      <w:color w:val="000000"/>
                      <w:kern w:val="0"/>
                      <w:szCs w:val="21"/>
                      <w:u w:val="single"/>
                    </w:rPr>
                  </w:pPr>
                </w:p>
              </w:tc>
              <w:tc>
                <w:tcPr>
                  <w:tcW w:w="2513" w:type="pct"/>
                  <w:noWrap w:val="0"/>
                  <w:vAlign w:val="center"/>
                </w:tcPr>
                <w:p w14:paraId="7EBB4748">
                  <w:pPr>
                    <w:rPr>
                      <w:rFonts w:hint="eastAsia"/>
                      <w:color w:val="000000"/>
                      <w:kern w:val="0"/>
                      <w:szCs w:val="21"/>
                      <w:u w:val="single"/>
                    </w:rPr>
                  </w:pPr>
                  <w:r>
                    <w:rPr>
                      <w:rFonts w:hint="eastAsia"/>
                      <w:color w:val="000000"/>
                      <w:kern w:val="0"/>
                      <w:szCs w:val="21"/>
                      <w:u w:val="single"/>
                    </w:rPr>
                    <w:t>3、工艺过程产生的VOCs废料（渣、液）存放于密闭容器或包装袋中；盛装过含VOCs物料的废包装容器加盖密闭；</w:t>
                  </w:r>
                </w:p>
              </w:tc>
              <w:tc>
                <w:tcPr>
                  <w:tcW w:w="1648" w:type="pct"/>
                  <w:noWrap w:val="0"/>
                  <w:vAlign w:val="center"/>
                </w:tcPr>
                <w:p w14:paraId="57968D65">
                  <w:pPr>
                    <w:rPr>
                      <w:rFonts w:hint="eastAsia" w:hAnsi="宋体"/>
                      <w:snapToGrid w:val="0"/>
                      <w:color w:val="000000"/>
                      <w:kern w:val="0"/>
                      <w:szCs w:val="21"/>
                      <w:u w:val="single"/>
                    </w:rPr>
                  </w:pPr>
                  <w:r>
                    <w:rPr>
                      <w:rFonts w:hint="eastAsia" w:hAnsi="宋体"/>
                      <w:snapToGrid w:val="0"/>
                      <w:color w:val="000000"/>
                      <w:kern w:val="0"/>
                      <w:szCs w:val="21"/>
                      <w:u w:val="single"/>
                    </w:rPr>
                    <w:t>本项目盛装过</w:t>
                  </w:r>
                  <w:r>
                    <w:rPr>
                      <w:rFonts w:hint="eastAsia"/>
                      <w:color w:val="000000"/>
                      <w:kern w:val="0"/>
                      <w:szCs w:val="21"/>
                      <w:u w:val="single"/>
                    </w:rPr>
                    <w:t>含VOCs物料的废包装容器加盖密闭</w:t>
                  </w:r>
                </w:p>
              </w:tc>
              <w:tc>
                <w:tcPr>
                  <w:tcW w:w="460" w:type="pct"/>
                  <w:vMerge w:val="continue"/>
                  <w:noWrap w:val="0"/>
                  <w:vAlign w:val="center"/>
                </w:tcPr>
                <w:p w14:paraId="06EB1A02">
                  <w:pPr>
                    <w:jc w:val="center"/>
                    <w:rPr>
                      <w:color w:val="000000"/>
                      <w:kern w:val="0"/>
                      <w:szCs w:val="21"/>
                      <w:u w:val="single"/>
                    </w:rPr>
                  </w:pPr>
                </w:p>
              </w:tc>
            </w:tr>
            <w:tr w14:paraId="6C202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5" w:hRule="atLeast"/>
              </w:trPr>
              <w:tc>
                <w:tcPr>
                  <w:tcW w:w="377" w:type="pct"/>
                  <w:vMerge w:val="continue"/>
                  <w:noWrap w:val="0"/>
                  <w:vAlign w:val="center"/>
                </w:tcPr>
                <w:p w14:paraId="56980EC7">
                  <w:pPr>
                    <w:jc w:val="center"/>
                    <w:rPr>
                      <w:color w:val="000000"/>
                      <w:kern w:val="0"/>
                      <w:szCs w:val="21"/>
                      <w:u w:val="single"/>
                    </w:rPr>
                  </w:pPr>
                </w:p>
              </w:tc>
              <w:tc>
                <w:tcPr>
                  <w:tcW w:w="2513" w:type="pct"/>
                  <w:noWrap w:val="0"/>
                  <w:vAlign w:val="center"/>
                </w:tcPr>
                <w:p w14:paraId="790CCDAD">
                  <w:pPr>
                    <w:rPr>
                      <w:rFonts w:hint="eastAsia"/>
                      <w:color w:val="000000"/>
                      <w:kern w:val="0"/>
                      <w:szCs w:val="21"/>
                      <w:u w:val="single"/>
                    </w:rPr>
                  </w:pPr>
                  <w:r>
                    <w:rPr>
                      <w:rFonts w:hint="eastAsia"/>
                      <w:color w:val="000000"/>
                      <w:kern w:val="0"/>
                      <w:szCs w:val="21"/>
                      <w:u w:val="single"/>
                    </w:rPr>
                    <w:t>4、生产车间封闭</w:t>
                  </w:r>
                </w:p>
              </w:tc>
              <w:tc>
                <w:tcPr>
                  <w:tcW w:w="1648" w:type="pct"/>
                  <w:noWrap w:val="0"/>
                  <w:vAlign w:val="center"/>
                </w:tcPr>
                <w:p w14:paraId="7B2A8F81">
                  <w:pPr>
                    <w:rPr>
                      <w:rFonts w:hint="eastAsia" w:hAnsi="宋体"/>
                      <w:snapToGrid w:val="0"/>
                      <w:color w:val="000000"/>
                      <w:kern w:val="0"/>
                      <w:szCs w:val="21"/>
                      <w:u w:val="single"/>
                    </w:rPr>
                  </w:pPr>
                  <w:r>
                    <w:rPr>
                      <w:rFonts w:hint="eastAsia" w:hAnsi="宋体"/>
                      <w:snapToGrid w:val="0"/>
                      <w:color w:val="000000"/>
                      <w:kern w:val="0"/>
                      <w:szCs w:val="21"/>
                      <w:u w:val="single"/>
                    </w:rPr>
                    <w:t>本项目生产车间封闭</w:t>
                  </w:r>
                </w:p>
              </w:tc>
              <w:tc>
                <w:tcPr>
                  <w:tcW w:w="460" w:type="pct"/>
                  <w:vMerge w:val="continue"/>
                  <w:noWrap w:val="0"/>
                  <w:vAlign w:val="center"/>
                </w:tcPr>
                <w:p w14:paraId="5F314307">
                  <w:pPr>
                    <w:jc w:val="center"/>
                    <w:rPr>
                      <w:color w:val="000000"/>
                      <w:kern w:val="0"/>
                      <w:szCs w:val="21"/>
                      <w:u w:val="single"/>
                    </w:rPr>
                  </w:pPr>
                </w:p>
              </w:tc>
            </w:tr>
            <w:tr w14:paraId="48578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5" w:hRule="atLeast"/>
              </w:trPr>
              <w:tc>
                <w:tcPr>
                  <w:tcW w:w="377" w:type="pct"/>
                  <w:noWrap w:val="0"/>
                  <w:vAlign w:val="center"/>
                </w:tcPr>
                <w:p w14:paraId="25D1D201">
                  <w:pPr>
                    <w:jc w:val="center"/>
                    <w:rPr>
                      <w:color w:val="000000"/>
                      <w:kern w:val="0"/>
                      <w:szCs w:val="21"/>
                      <w:u w:val="single"/>
                    </w:rPr>
                  </w:pPr>
                  <w:r>
                    <w:rPr>
                      <w:color w:val="000000"/>
                      <w:kern w:val="0"/>
                      <w:szCs w:val="21"/>
                      <w:u w:val="single"/>
                    </w:rPr>
                    <w:t>监测监控水平</w:t>
                  </w:r>
                </w:p>
              </w:tc>
              <w:tc>
                <w:tcPr>
                  <w:tcW w:w="2513" w:type="pct"/>
                  <w:noWrap w:val="0"/>
                  <w:vAlign w:val="center"/>
                </w:tcPr>
                <w:p w14:paraId="7C9DF591">
                  <w:pPr>
                    <w:rPr>
                      <w:rFonts w:hint="eastAsia"/>
                      <w:color w:val="000000"/>
                      <w:kern w:val="0"/>
                      <w:szCs w:val="21"/>
                      <w:u w:val="single"/>
                    </w:rPr>
                  </w:pPr>
                  <w:r>
                    <w:rPr>
                      <w:rFonts w:hint="eastAsia"/>
                      <w:color w:val="000000"/>
                      <w:kern w:val="0"/>
                      <w:szCs w:val="21"/>
                      <w:u w:val="single"/>
                    </w:rPr>
                    <w:t>纳入重点排污单位的企业、环境管理部门要求安装在线监测的企业主要排放口安装NMCH在线监测设备（FID检测器），数据保存一年以上</w:t>
                  </w:r>
                </w:p>
              </w:tc>
              <w:tc>
                <w:tcPr>
                  <w:tcW w:w="1648" w:type="pct"/>
                  <w:noWrap w:val="0"/>
                  <w:vAlign w:val="center"/>
                </w:tcPr>
                <w:p w14:paraId="4629BBD0">
                  <w:pPr>
                    <w:rPr>
                      <w:rFonts w:hint="eastAsia" w:hAnsi="宋体"/>
                      <w:snapToGrid w:val="0"/>
                      <w:color w:val="000000"/>
                      <w:kern w:val="0"/>
                      <w:szCs w:val="21"/>
                      <w:u w:val="single"/>
                    </w:rPr>
                  </w:pPr>
                  <w:r>
                    <w:rPr>
                      <w:color w:val="000000"/>
                      <w:szCs w:val="21"/>
                      <w:u w:val="single"/>
                    </w:rPr>
                    <w:t>企业不属于重点排污单位，排放口为一般排放口</w:t>
                  </w:r>
                </w:p>
              </w:tc>
              <w:tc>
                <w:tcPr>
                  <w:tcW w:w="460" w:type="pct"/>
                  <w:noWrap w:val="0"/>
                  <w:vAlign w:val="center"/>
                </w:tcPr>
                <w:p w14:paraId="72427BF1">
                  <w:pPr>
                    <w:jc w:val="center"/>
                    <w:rPr>
                      <w:color w:val="000000"/>
                      <w:kern w:val="0"/>
                      <w:szCs w:val="21"/>
                      <w:u w:val="single"/>
                    </w:rPr>
                  </w:pPr>
                  <w:r>
                    <w:rPr>
                      <w:color w:val="000000"/>
                      <w:kern w:val="0"/>
                      <w:szCs w:val="21"/>
                      <w:u w:val="single"/>
                    </w:rPr>
                    <w:t>相符</w:t>
                  </w:r>
                </w:p>
              </w:tc>
            </w:tr>
            <w:tr w14:paraId="12120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5" w:hRule="atLeast"/>
              </w:trPr>
              <w:tc>
                <w:tcPr>
                  <w:tcW w:w="377" w:type="pct"/>
                  <w:vMerge w:val="restart"/>
                  <w:noWrap w:val="0"/>
                  <w:vAlign w:val="center"/>
                </w:tcPr>
                <w:p w14:paraId="78346BA9">
                  <w:pPr>
                    <w:jc w:val="center"/>
                    <w:rPr>
                      <w:color w:val="000000"/>
                      <w:kern w:val="0"/>
                      <w:szCs w:val="21"/>
                      <w:u w:val="single"/>
                    </w:rPr>
                  </w:pPr>
                  <w:r>
                    <w:rPr>
                      <w:color w:val="000000"/>
                      <w:kern w:val="0"/>
                      <w:szCs w:val="21"/>
                      <w:u w:val="single"/>
                    </w:rPr>
                    <w:t>环境管理水平</w:t>
                  </w:r>
                </w:p>
              </w:tc>
              <w:tc>
                <w:tcPr>
                  <w:tcW w:w="2513" w:type="pct"/>
                  <w:noWrap w:val="0"/>
                  <w:vAlign w:val="center"/>
                </w:tcPr>
                <w:p w14:paraId="0CC25B1F">
                  <w:pPr>
                    <w:rPr>
                      <w:rFonts w:hint="eastAsia"/>
                      <w:color w:val="000000"/>
                      <w:kern w:val="0"/>
                      <w:szCs w:val="21"/>
                      <w:u w:val="single"/>
                    </w:rPr>
                  </w:pPr>
                  <w:r>
                    <w:rPr>
                      <w:rFonts w:hint="eastAsia"/>
                      <w:color w:val="000000"/>
                      <w:kern w:val="0"/>
                      <w:szCs w:val="21"/>
                      <w:u w:val="single"/>
                    </w:rPr>
                    <w:t>环保档案齐全：1、环评批复文件；2、排污许可证及季度、年度执行报告；3、竣工验收文件；4、废气治理设施运行管理规程；5、一年内废气监测报告</w:t>
                  </w:r>
                </w:p>
              </w:tc>
              <w:tc>
                <w:tcPr>
                  <w:tcW w:w="1648" w:type="pct"/>
                  <w:noWrap w:val="0"/>
                  <w:vAlign w:val="center"/>
                </w:tcPr>
                <w:p w14:paraId="5883A203">
                  <w:pPr>
                    <w:rPr>
                      <w:rFonts w:hAnsi="宋体"/>
                      <w:snapToGrid w:val="0"/>
                      <w:color w:val="000000"/>
                      <w:kern w:val="0"/>
                      <w:szCs w:val="21"/>
                      <w:u w:val="single"/>
                    </w:rPr>
                  </w:pPr>
                  <w:r>
                    <w:rPr>
                      <w:rFonts w:hint="eastAsia" w:hAnsi="宋体"/>
                      <w:snapToGrid w:val="0"/>
                      <w:color w:val="000000"/>
                      <w:kern w:val="0"/>
                      <w:szCs w:val="21"/>
                      <w:u w:val="single"/>
                      <w:lang w:val="en-US" w:eastAsia="zh-CN"/>
                    </w:rPr>
                    <w:t>本项目排污许可实行登记管理，</w:t>
                  </w:r>
                  <w:r>
                    <w:rPr>
                      <w:rFonts w:hint="eastAsia" w:hAnsi="宋体"/>
                      <w:snapToGrid w:val="0"/>
                      <w:color w:val="000000"/>
                      <w:kern w:val="0"/>
                      <w:szCs w:val="21"/>
                      <w:u w:val="single"/>
                    </w:rPr>
                    <w:t>企业环保档案包括：</w:t>
                  </w:r>
                  <w:r>
                    <w:rPr>
                      <w:rFonts w:hint="eastAsia"/>
                      <w:color w:val="000000"/>
                      <w:kern w:val="0"/>
                      <w:szCs w:val="21"/>
                      <w:u w:val="single"/>
                    </w:rPr>
                    <w:t>1、环评批复文件；2、</w:t>
                  </w:r>
                  <w:r>
                    <w:rPr>
                      <w:rFonts w:hint="eastAsia"/>
                      <w:color w:val="000000"/>
                      <w:kern w:val="0"/>
                      <w:szCs w:val="21"/>
                      <w:u w:val="single"/>
                      <w:lang w:val="en-US" w:eastAsia="zh-CN"/>
                    </w:rPr>
                    <w:t>排污许可登记表；3、</w:t>
                  </w:r>
                  <w:r>
                    <w:rPr>
                      <w:rFonts w:hint="eastAsia"/>
                      <w:color w:val="000000"/>
                      <w:kern w:val="0"/>
                      <w:szCs w:val="21"/>
                      <w:u w:val="single"/>
                    </w:rPr>
                    <w:t>竣工验收文件；</w:t>
                  </w:r>
                  <w:r>
                    <w:rPr>
                      <w:rFonts w:hint="eastAsia"/>
                      <w:color w:val="000000"/>
                      <w:kern w:val="0"/>
                      <w:szCs w:val="21"/>
                      <w:u w:val="single"/>
                      <w:lang w:val="en-US" w:eastAsia="zh-CN"/>
                    </w:rPr>
                    <w:t>4</w:t>
                  </w:r>
                  <w:r>
                    <w:rPr>
                      <w:rFonts w:hint="eastAsia"/>
                      <w:color w:val="000000"/>
                      <w:kern w:val="0"/>
                      <w:szCs w:val="21"/>
                      <w:u w:val="single"/>
                    </w:rPr>
                    <w:t>、废气治理设施运行管理规程；</w:t>
                  </w:r>
                  <w:r>
                    <w:rPr>
                      <w:rFonts w:hint="eastAsia"/>
                      <w:color w:val="000000"/>
                      <w:kern w:val="0"/>
                      <w:szCs w:val="21"/>
                      <w:u w:val="single"/>
                      <w:lang w:val="en-US" w:eastAsia="zh-CN"/>
                    </w:rPr>
                    <w:t>5</w:t>
                  </w:r>
                  <w:r>
                    <w:rPr>
                      <w:rFonts w:hint="eastAsia"/>
                      <w:color w:val="000000"/>
                      <w:kern w:val="0"/>
                      <w:szCs w:val="21"/>
                      <w:u w:val="single"/>
                    </w:rPr>
                    <w:t>、一年内废气监测报告</w:t>
                  </w:r>
                  <w:r>
                    <w:rPr>
                      <w:rFonts w:hint="eastAsia"/>
                      <w:color w:val="000000"/>
                      <w:kern w:val="0"/>
                      <w:szCs w:val="21"/>
                      <w:u w:val="single"/>
                      <w:lang w:eastAsia="zh-CN"/>
                    </w:rPr>
                    <w:t>。</w:t>
                  </w:r>
                  <w:r>
                    <w:rPr>
                      <w:rFonts w:hint="eastAsia"/>
                      <w:color w:val="000000"/>
                      <w:kern w:val="0"/>
                      <w:szCs w:val="21"/>
                      <w:u w:val="single"/>
                    </w:rPr>
                    <w:t>本次改建将按照规定补充完善相关档案资料</w:t>
                  </w:r>
                </w:p>
              </w:tc>
              <w:tc>
                <w:tcPr>
                  <w:tcW w:w="460" w:type="pct"/>
                  <w:vMerge w:val="restart"/>
                  <w:noWrap w:val="0"/>
                  <w:vAlign w:val="center"/>
                </w:tcPr>
                <w:p w14:paraId="70F235D9">
                  <w:pPr>
                    <w:jc w:val="center"/>
                    <w:rPr>
                      <w:color w:val="000000"/>
                      <w:kern w:val="0"/>
                      <w:szCs w:val="21"/>
                      <w:u w:val="single"/>
                    </w:rPr>
                  </w:pPr>
                  <w:r>
                    <w:rPr>
                      <w:color w:val="000000"/>
                      <w:kern w:val="0"/>
                      <w:szCs w:val="21"/>
                      <w:u w:val="single"/>
                    </w:rPr>
                    <w:t>相符</w:t>
                  </w:r>
                </w:p>
              </w:tc>
            </w:tr>
            <w:tr w14:paraId="5997D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5" w:hRule="atLeast"/>
              </w:trPr>
              <w:tc>
                <w:tcPr>
                  <w:tcW w:w="377" w:type="pct"/>
                  <w:vMerge w:val="continue"/>
                  <w:noWrap w:val="0"/>
                  <w:vAlign w:val="center"/>
                </w:tcPr>
                <w:p w14:paraId="74B7AF15">
                  <w:pPr>
                    <w:jc w:val="center"/>
                    <w:rPr>
                      <w:color w:val="000000"/>
                      <w:kern w:val="0"/>
                      <w:szCs w:val="21"/>
                      <w:u w:val="single"/>
                    </w:rPr>
                  </w:pPr>
                </w:p>
              </w:tc>
              <w:tc>
                <w:tcPr>
                  <w:tcW w:w="2513" w:type="pct"/>
                  <w:noWrap w:val="0"/>
                  <w:vAlign w:val="center"/>
                </w:tcPr>
                <w:p w14:paraId="48B675E2">
                  <w:pPr>
                    <w:rPr>
                      <w:rFonts w:hint="eastAsia"/>
                      <w:color w:val="000000"/>
                      <w:kern w:val="0"/>
                      <w:szCs w:val="21"/>
                      <w:u w:val="single"/>
                    </w:rPr>
                  </w:pPr>
                  <w:r>
                    <w:rPr>
                      <w:rFonts w:hint="eastAsia"/>
                      <w:color w:val="000000"/>
                      <w:kern w:val="0"/>
                      <w:szCs w:val="21"/>
                      <w:u w:val="single"/>
                    </w:rPr>
                    <w:t>台账记录：1、生产设施运行管理信息：生产时间、运行负荷、产品产量等；2、废气污染治理设施运行管理信息：吸附剂更换频次、催化剂更换频次等；3、监测记录信息：主要污染排放口废气排放记录（手工监测或在线监测）等；4、主要原辅材料消耗记录：VOCs原辅材料名称、VOCs纯度、使用量、回收量、去向等；5、燃料（天然气等）消耗记录；6、VOCs废料处置记录</w:t>
                  </w:r>
                </w:p>
              </w:tc>
              <w:tc>
                <w:tcPr>
                  <w:tcW w:w="1648" w:type="pct"/>
                  <w:noWrap w:val="0"/>
                  <w:vAlign w:val="center"/>
                </w:tcPr>
                <w:p w14:paraId="372C9985">
                  <w:pPr>
                    <w:rPr>
                      <w:rFonts w:hint="eastAsia" w:hAnsi="宋体"/>
                      <w:snapToGrid w:val="0"/>
                      <w:color w:val="000000"/>
                      <w:kern w:val="0"/>
                      <w:szCs w:val="21"/>
                      <w:u w:val="single"/>
                    </w:rPr>
                  </w:pPr>
                  <w:r>
                    <w:rPr>
                      <w:rFonts w:hint="eastAsia" w:hAnsi="宋体"/>
                      <w:snapToGrid w:val="0"/>
                      <w:color w:val="000000"/>
                      <w:kern w:val="0"/>
                      <w:szCs w:val="21"/>
                      <w:u w:val="single"/>
                    </w:rPr>
                    <w:t>建设单位建立有台账制度，对生产设备、废气污染治理设施、原辅材料、监测记录、危废处置等信息等进行记录</w:t>
                  </w:r>
                </w:p>
              </w:tc>
              <w:tc>
                <w:tcPr>
                  <w:tcW w:w="460" w:type="pct"/>
                  <w:vMerge w:val="continue"/>
                  <w:noWrap w:val="0"/>
                  <w:vAlign w:val="center"/>
                </w:tcPr>
                <w:p w14:paraId="770B6075">
                  <w:pPr>
                    <w:jc w:val="center"/>
                    <w:rPr>
                      <w:color w:val="000000"/>
                      <w:kern w:val="0"/>
                      <w:szCs w:val="21"/>
                      <w:u w:val="single"/>
                    </w:rPr>
                  </w:pPr>
                </w:p>
              </w:tc>
            </w:tr>
            <w:tr w14:paraId="4843F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5" w:hRule="atLeast"/>
              </w:trPr>
              <w:tc>
                <w:tcPr>
                  <w:tcW w:w="377" w:type="pct"/>
                  <w:vMerge w:val="continue"/>
                  <w:noWrap w:val="0"/>
                  <w:vAlign w:val="center"/>
                </w:tcPr>
                <w:p w14:paraId="18C65C55">
                  <w:pPr>
                    <w:jc w:val="center"/>
                    <w:rPr>
                      <w:color w:val="000000"/>
                      <w:kern w:val="0"/>
                      <w:szCs w:val="21"/>
                      <w:u w:val="single"/>
                    </w:rPr>
                  </w:pPr>
                </w:p>
              </w:tc>
              <w:tc>
                <w:tcPr>
                  <w:tcW w:w="2513" w:type="pct"/>
                  <w:noWrap w:val="0"/>
                  <w:vAlign w:val="center"/>
                </w:tcPr>
                <w:p w14:paraId="0700C959">
                  <w:pPr>
                    <w:rPr>
                      <w:rFonts w:hint="eastAsia"/>
                      <w:color w:val="000000"/>
                      <w:kern w:val="0"/>
                      <w:szCs w:val="21"/>
                      <w:u w:val="single"/>
                    </w:rPr>
                  </w:pPr>
                  <w:r>
                    <w:rPr>
                      <w:rFonts w:hint="eastAsia"/>
                      <w:color w:val="000000"/>
                      <w:kern w:val="0"/>
                      <w:szCs w:val="21"/>
                      <w:u w:val="single"/>
                    </w:rPr>
                    <w:t>人员配置：设置环保部门，配备专职环保人员，并具备相应的环境管理能力</w:t>
                  </w:r>
                </w:p>
              </w:tc>
              <w:tc>
                <w:tcPr>
                  <w:tcW w:w="1648" w:type="pct"/>
                  <w:noWrap w:val="0"/>
                  <w:vAlign w:val="center"/>
                </w:tcPr>
                <w:p w14:paraId="2F94E2B8">
                  <w:pPr>
                    <w:rPr>
                      <w:rFonts w:hint="eastAsia" w:hAnsi="宋体"/>
                      <w:snapToGrid w:val="0"/>
                      <w:color w:val="000000"/>
                      <w:kern w:val="0"/>
                      <w:szCs w:val="21"/>
                      <w:u w:val="single"/>
                    </w:rPr>
                  </w:pPr>
                  <w:r>
                    <w:rPr>
                      <w:rFonts w:hint="eastAsia"/>
                      <w:bCs/>
                      <w:color w:val="000000"/>
                      <w:szCs w:val="21"/>
                      <w:u w:val="single"/>
                      <w:lang w:val="en-US" w:eastAsia="zh-CN"/>
                    </w:rPr>
                    <w:t>企业</w:t>
                  </w:r>
                  <w:r>
                    <w:rPr>
                      <w:bCs/>
                      <w:color w:val="000000"/>
                      <w:szCs w:val="21"/>
                      <w:u w:val="single"/>
                    </w:rPr>
                    <w:t>配备专职环保人员，具备相应的环境管理能力</w:t>
                  </w:r>
                </w:p>
              </w:tc>
              <w:tc>
                <w:tcPr>
                  <w:tcW w:w="460" w:type="pct"/>
                  <w:vMerge w:val="continue"/>
                  <w:noWrap w:val="0"/>
                  <w:vAlign w:val="center"/>
                </w:tcPr>
                <w:p w14:paraId="69D9267B">
                  <w:pPr>
                    <w:jc w:val="center"/>
                    <w:rPr>
                      <w:color w:val="000000"/>
                      <w:kern w:val="0"/>
                      <w:szCs w:val="21"/>
                      <w:u w:val="single"/>
                    </w:rPr>
                  </w:pPr>
                </w:p>
              </w:tc>
            </w:tr>
            <w:tr w14:paraId="2CFB4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5" w:hRule="atLeast"/>
              </w:trPr>
              <w:tc>
                <w:tcPr>
                  <w:tcW w:w="377" w:type="pct"/>
                  <w:noWrap w:val="0"/>
                  <w:vAlign w:val="center"/>
                </w:tcPr>
                <w:p w14:paraId="3A3AC329">
                  <w:pPr>
                    <w:jc w:val="center"/>
                    <w:rPr>
                      <w:color w:val="000000"/>
                      <w:kern w:val="0"/>
                      <w:szCs w:val="21"/>
                      <w:u w:val="single"/>
                    </w:rPr>
                  </w:pPr>
                  <w:r>
                    <w:rPr>
                      <w:color w:val="000000"/>
                      <w:kern w:val="0"/>
                      <w:szCs w:val="21"/>
                      <w:u w:val="single"/>
                    </w:rPr>
                    <w:t>运输方式</w:t>
                  </w:r>
                </w:p>
              </w:tc>
              <w:tc>
                <w:tcPr>
                  <w:tcW w:w="2513" w:type="pct"/>
                  <w:noWrap w:val="0"/>
                  <w:vAlign w:val="center"/>
                </w:tcPr>
                <w:p w14:paraId="42F8BDE1">
                  <w:pPr>
                    <w:rPr>
                      <w:rFonts w:hint="eastAsia"/>
                      <w:color w:val="000000"/>
                      <w:kern w:val="0"/>
                      <w:szCs w:val="21"/>
                      <w:u w:val="single"/>
                    </w:rPr>
                  </w:pPr>
                  <w:r>
                    <w:rPr>
                      <w:rFonts w:hint="eastAsia"/>
                      <w:color w:val="000000"/>
                      <w:kern w:val="0"/>
                      <w:szCs w:val="21"/>
                      <w:u w:val="single"/>
                    </w:rPr>
                    <w:t>1、物料公路运输使用达到国五及以上排放标准重型载货车辆（含燃气）或新能源车辆占比为100%；</w:t>
                  </w:r>
                </w:p>
                <w:p w14:paraId="18D823B0">
                  <w:pPr>
                    <w:rPr>
                      <w:rFonts w:hint="eastAsia"/>
                      <w:color w:val="000000"/>
                      <w:kern w:val="0"/>
                      <w:szCs w:val="21"/>
                      <w:u w:val="single"/>
                    </w:rPr>
                  </w:pPr>
                  <w:r>
                    <w:rPr>
                      <w:rFonts w:hint="eastAsia"/>
                      <w:color w:val="000000"/>
                      <w:kern w:val="0"/>
                      <w:szCs w:val="21"/>
                      <w:u w:val="single"/>
                    </w:rPr>
                    <w:t>2、厂内运输使用达到国五及以上排放标准车辆（含燃气）或新能源车辆比例为100%；</w:t>
                  </w:r>
                </w:p>
                <w:p w14:paraId="2AB343FE">
                  <w:pPr>
                    <w:rPr>
                      <w:rFonts w:hint="eastAsia"/>
                      <w:color w:val="000000"/>
                      <w:kern w:val="0"/>
                      <w:szCs w:val="21"/>
                      <w:u w:val="single"/>
                    </w:rPr>
                  </w:pPr>
                  <w:r>
                    <w:rPr>
                      <w:rFonts w:hint="eastAsia"/>
                      <w:color w:val="000000"/>
                      <w:kern w:val="0"/>
                      <w:szCs w:val="21"/>
                      <w:u w:val="single"/>
                    </w:rPr>
                    <w:t>3、厂内非道路移动机械使用达到国三及以上排放标准或新能源机械比例为100%</w:t>
                  </w:r>
                </w:p>
              </w:tc>
              <w:tc>
                <w:tcPr>
                  <w:tcW w:w="1648" w:type="pct"/>
                  <w:noWrap w:val="0"/>
                  <w:vAlign w:val="center"/>
                </w:tcPr>
                <w:p w14:paraId="70505658">
                  <w:pPr>
                    <w:rPr>
                      <w:rFonts w:hint="eastAsia" w:hAnsi="宋体"/>
                      <w:snapToGrid w:val="0"/>
                      <w:color w:val="000000"/>
                      <w:kern w:val="0"/>
                      <w:szCs w:val="21"/>
                      <w:u w:val="single"/>
                    </w:rPr>
                  </w:pPr>
                  <w:r>
                    <w:rPr>
                      <w:rFonts w:hint="eastAsia" w:hAnsi="宋体"/>
                      <w:snapToGrid w:val="0"/>
                      <w:color w:val="000000"/>
                      <w:kern w:val="0"/>
                      <w:szCs w:val="21"/>
                      <w:u w:val="single"/>
                    </w:rPr>
                    <w:t>项目物料运输、厂区内运输全部使用国五及以上货车，厂区内非道路移动机械达到国三及以上标准</w:t>
                  </w:r>
                </w:p>
              </w:tc>
              <w:tc>
                <w:tcPr>
                  <w:tcW w:w="460" w:type="pct"/>
                  <w:noWrap w:val="0"/>
                  <w:vAlign w:val="center"/>
                </w:tcPr>
                <w:p w14:paraId="6923DE6E">
                  <w:pPr>
                    <w:jc w:val="center"/>
                    <w:rPr>
                      <w:color w:val="000000"/>
                      <w:kern w:val="0"/>
                      <w:szCs w:val="21"/>
                      <w:u w:val="single"/>
                    </w:rPr>
                  </w:pPr>
                  <w:r>
                    <w:rPr>
                      <w:color w:val="000000"/>
                      <w:kern w:val="0"/>
                      <w:szCs w:val="21"/>
                      <w:u w:val="single"/>
                    </w:rPr>
                    <w:t>相符</w:t>
                  </w:r>
                </w:p>
              </w:tc>
            </w:tr>
            <w:tr w14:paraId="6D90A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5" w:hRule="atLeast"/>
              </w:trPr>
              <w:tc>
                <w:tcPr>
                  <w:tcW w:w="377" w:type="pct"/>
                  <w:noWrap w:val="0"/>
                  <w:vAlign w:val="center"/>
                </w:tcPr>
                <w:p w14:paraId="4848F3BE">
                  <w:pPr>
                    <w:jc w:val="center"/>
                    <w:rPr>
                      <w:color w:val="000000"/>
                      <w:kern w:val="0"/>
                      <w:szCs w:val="21"/>
                      <w:u w:val="single"/>
                    </w:rPr>
                  </w:pPr>
                  <w:r>
                    <w:rPr>
                      <w:color w:val="000000"/>
                      <w:kern w:val="0"/>
                      <w:szCs w:val="21"/>
                      <w:u w:val="single"/>
                    </w:rPr>
                    <w:t>运输监管</w:t>
                  </w:r>
                </w:p>
              </w:tc>
              <w:tc>
                <w:tcPr>
                  <w:tcW w:w="2513" w:type="pct"/>
                  <w:noWrap w:val="0"/>
                  <w:vAlign w:val="center"/>
                </w:tcPr>
                <w:p w14:paraId="4C251909">
                  <w:pPr>
                    <w:rPr>
                      <w:rFonts w:hint="eastAsia"/>
                      <w:color w:val="000000"/>
                      <w:kern w:val="0"/>
                      <w:szCs w:val="21"/>
                      <w:u w:val="single"/>
                    </w:rPr>
                  </w:pPr>
                  <w:r>
                    <w:rPr>
                      <w:rFonts w:hint="eastAsia"/>
                      <w:color w:val="000000"/>
                      <w:kern w:val="0"/>
                      <w:szCs w:val="21"/>
                      <w:u w:val="single"/>
                    </w:rPr>
                    <w:t>参照《重污染天气重点行业移动源应急管理技术指南》建立门禁系统和电子台账</w:t>
                  </w:r>
                </w:p>
              </w:tc>
              <w:tc>
                <w:tcPr>
                  <w:tcW w:w="1648" w:type="pct"/>
                  <w:noWrap w:val="0"/>
                  <w:vAlign w:val="center"/>
                </w:tcPr>
                <w:p w14:paraId="2715C894">
                  <w:pPr>
                    <w:rPr>
                      <w:rFonts w:hint="eastAsia" w:hAnsi="宋体"/>
                      <w:snapToGrid w:val="0"/>
                      <w:color w:val="000000"/>
                      <w:kern w:val="0"/>
                      <w:szCs w:val="21"/>
                      <w:u w:val="single"/>
                    </w:rPr>
                  </w:pPr>
                  <w:r>
                    <w:rPr>
                      <w:bCs/>
                      <w:color w:val="000000"/>
                      <w:szCs w:val="21"/>
                      <w:u w:val="single"/>
                    </w:rPr>
                    <w:t>参照《重污染天气重点行业移动源应急管理技术指南》建立门禁视频监控系统和电子台账</w:t>
                  </w:r>
                </w:p>
              </w:tc>
              <w:tc>
                <w:tcPr>
                  <w:tcW w:w="460" w:type="pct"/>
                  <w:noWrap w:val="0"/>
                  <w:vAlign w:val="center"/>
                </w:tcPr>
                <w:p w14:paraId="5824621D">
                  <w:pPr>
                    <w:jc w:val="center"/>
                    <w:rPr>
                      <w:color w:val="000000"/>
                      <w:kern w:val="0"/>
                      <w:szCs w:val="21"/>
                      <w:u w:val="single"/>
                    </w:rPr>
                  </w:pPr>
                  <w:r>
                    <w:rPr>
                      <w:color w:val="000000"/>
                      <w:kern w:val="0"/>
                      <w:szCs w:val="21"/>
                      <w:u w:val="single"/>
                    </w:rPr>
                    <w:t>相符</w:t>
                  </w:r>
                </w:p>
              </w:tc>
            </w:tr>
          </w:tbl>
          <w:p w14:paraId="7903937D">
            <w:pPr>
              <w:adjustRightInd w:val="0"/>
              <w:spacing w:line="360" w:lineRule="auto"/>
              <w:ind w:firstLine="480" w:firstLineChars="200"/>
              <w:rPr>
                <w:rFonts w:hint="eastAsia"/>
                <w:color w:val="000000"/>
                <w:sz w:val="24"/>
                <w:szCs w:val="24"/>
                <w:u w:val="single"/>
              </w:rPr>
            </w:pPr>
            <w:r>
              <w:rPr>
                <w:rFonts w:hint="eastAsia"/>
                <w:color w:val="000000"/>
                <w:sz w:val="24"/>
                <w:szCs w:val="24"/>
                <w:u w:val="single"/>
              </w:rPr>
              <w:t>由上表可知，本项目符合《重污染天气重点行业应急减排措施制定技术指南（2020年修订版）》（环办大气函</w:t>
            </w:r>
            <w:r>
              <w:rPr>
                <w:rFonts w:hint="eastAsia"/>
                <w:color w:val="000000"/>
                <w:sz w:val="24"/>
                <w:szCs w:val="24"/>
                <w:u w:val="single"/>
                <w:lang w:eastAsia="zh-CN"/>
              </w:rPr>
              <w:t>〔2020〕340号</w:t>
            </w:r>
            <w:r>
              <w:rPr>
                <w:rFonts w:hint="eastAsia"/>
                <w:color w:val="000000"/>
                <w:sz w:val="24"/>
                <w:szCs w:val="24"/>
                <w:u w:val="single"/>
              </w:rPr>
              <w:t>）</w:t>
            </w:r>
            <w:r>
              <w:rPr>
                <w:rFonts w:hint="eastAsia"/>
                <w:color w:val="000000"/>
                <w:sz w:val="24"/>
                <w:szCs w:val="24"/>
                <w:u w:val="single"/>
                <w:lang w:val="en-US" w:eastAsia="zh-CN"/>
              </w:rPr>
              <w:t>中</w:t>
            </w:r>
            <w:r>
              <w:rPr>
                <w:rFonts w:hint="eastAsia"/>
                <w:color w:val="000000"/>
                <w:sz w:val="24"/>
                <w:szCs w:val="24"/>
                <w:u w:val="single"/>
              </w:rPr>
              <w:t>制鞋</w:t>
            </w:r>
            <w:r>
              <w:rPr>
                <w:rFonts w:hint="eastAsia"/>
                <w:color w:val="000000"/>
                <w:sz w:val="24"/>
                <w:szCs w:val="24"/>
                <w:u w:val="single"/>
                <w:lang w:val="en-US" w:eastAsia="zh-CN"/>
              </w:rPr>
              <w:t>业</w:t>
            </w:r>
            <w:r>
              <w:rPr>
                <w:rFonts w:hint="eastAsia"/>
                <w:color w:val="000000"/>
                <w:sz w:val="24"/>
                <w:szCs w:val="24"/>
                <w:u w:val="single"/>
              </w:rPr>
              <w:t>绩效引领性指标</w:t>
            </w:r>
            <w:r>
              <w:rPr>
                <w:rFonts w:hint="eastAsia"/>
                <w:color w:val="000000"/>
                <w:sz w:val="24"/>
                <w:szCs w:val="24"/>
                <w:u w:val="single"/>
                <w:lang w:val="en-US" w:eastAsia="zh-CN"/>
              </w:rPr>
              <w:t>要求</w:t>
            </w:r>
            <w:r>
              <w:rPr>
                <w:rFonts w:hint="eastAsia"/>
                <w:color w:val="000000"/>
                <w:sz w:val="24"/>
                <w:szCs w:val="24"/>
                <w:u w:val="single"/>
              </w:rPr>
              <w:t>。</w:t>
            </w:r>
          </w:p>
          <w:p w14:paraId="39FA3534">
            <w:pPr>
              <w:adjustRightInd w:val="0"/>
              <w:spacing w:line="360" w:lineRule="auto"/>
              <w:ind w:firstLine="480" w:firstLineChars="200"/>
              <w:rPr>
                <w:rFonts w:hint="eastAsia"/>
                <w:color w:val="000000"/>
                <w:sz w:val="24"/>
                <w:szCs w:val="24"/>
                <w:u w:val="single"/>
              </w:rPr>
            </w:pPr>
          </w:p>
          <w:p w14:paraId="30EB5DC2">
            <w:pPr>
              <w:adjustRightInd w:val="0"/>
              <w:spacing w:line="360" w:lineRule="auto"/>
              <w:ind w:firstLine="480" w:firstLineChars="200"/>
              <w:rPr>
                <w:rFonts w:hint="eastAsia"/>
                <w:color w:val="000000"/>
                <w:sz w:val="24"/>
                <w:szCs w:val="24"/>
                <w:u w:val="single"/>
              </w:rPr>
            </w:pPr>
          </w:p>
          <w:p w14:paraId="780F809E">
            <w:pPr>
              <w:spacing w:before="93" w:beforeLines="30"/>
              <w:jc w:val="center"/>
              <w:rPr>
                <w:rFonts w:hint="eastAsia" w:ascii="黑体" w:hAnsi="黑体" w:eastAsia="黑体"/>
                <w:color w:val="000000"/>
                <w:sz w:val="24"/>
                <w:szCs w:val="24"/>
                <w:u w:val="single"/>
              </w:rPr>
            </w:pPr>
            <w:r>
              <w:rPr>
                <w:rFonts w:hint="eastAsia" w:ascii="黑体" w:hAnsi="黑体" w:eastAsia="黑体" w:cs="Times New Roman"/>
                <w:color w:val="000000"/>
                <w:sz w:val="24"/>
                <w:szCs w:val="24"/>
                <w:u w:val="single"/>
              </w:rPr>
              <w:t>表</w:t>
            </w:r>
            <w:r>
              <w:rPr>
                <w:rFonts w:hint="eastAsia" w:ascii="黑体" w:hAnsi="黑体" w:eastAsia="黑体" w:cs="Times New Roman"/>
                <w:color w:val="000000"/>
                <w:sz w:val="24"/>
                <w:szCs w:val="24"/>
                <w:u w:val="single"/>
                <w:lang w:val="en-US" w:eastAsia="zh-CN"/>
              </w:rPr>
              <w:t>7</w:t>
            </w:r>
            <w:r>
              <w:rPr>
                <w:rFonts w:hint="eastAsia" w:ascii="黑体" w:hAnsi="黑体" w:eastAsia="黑体" w:cs="Times New Roman"/>
                <w:color w:val="000000"/>
                <w:sz w:val="24"/>
                <w:szCs w:val="24"/>
                <w:u w:val="single"/>
              </w:rPr>
              <w:t xml:space="preserve">    </w:t>
            </w:r>
            <w:r>
              <w:rPr>
                <w:rFonts w:hint="eastAsia" w:ascii="黑体" w:hAnsi="黑体" w:eastAsia="黑体" w:cs="Times New Roman"/>
                <w:color w:val="000000"/>
                <w:sz w:val="24"/>
                <w:szCs w:val="24"/>
                <w:u w:val="single"/>
                <w:lang w:val="en-US" w:eastAsia="zh-CN"/>
              </w:rPr>
              <w:t>塑料制品业</w:t>
            </w:r>
            <w:r>
              <w:rPr>
                <w:rFonts w:hint="eastAsia" w:ascii="黑体" w:hAnsi="黑体" w:eastAsia="黑体" w:cs="Times New Roman"/>
                <w:color w:val="000000"/>
                <w:sz w:val="24"/>
                <w:szCs w:val="24"/>
                <w:u w:val="single"/>
              </w:rPr>
              <w:t>绩效分级相符性分析一览表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79"/>
              <w:gridCol w:w="4107"/>
              <w:gridCol w:w="2703"/>
              <w:gridCol w:w="592"/>
            </w:tblGrid>
            <w:tr w14:paraId="6E70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trPr>
              <w:tc>
                <w:tcPr>
                  <w:tcW w:w="779" w:type="dxa"/>
                  <w:noWrap w:val="0"/>
                  <w:vAlign w:val="center"/>
                </w:tcPr>
                <w:p w14:paraId="6E3B830C">
                  <w:pPr>
                    <w:keepNext w:val="0"/>
                    <w:keepLines w:val="0"/>
                    <w:pageBreakBefore w:val="0"/>
                    <w:widowControl w:val="0"/>
                    <w:kinsoku/>
                    <w:wordWrap/>
                    <w:overflowPunct/>
                    <w:topLinePunct w:val="0"/>
                    <w:autoSpaceDE/>
                    <w:autoSpaceDN/>
                    <w:bidi w:val="0"/>
                    <w:adjustRightInd/>
                    <w:snapToGrid/>
                    <w:jc w:val="center"/>
                    <w:textAlignment w:val="auto"/>
                    <w:rPr>
                      <w:color w:val="000000"/>
                      <w:u w:val="single"/>
                    </w:rPr>
                  </w:pPr>
                  <w:r>
                    <w:rPr>
                      <w:color w:val="000000"/>
                      <w:u w:val="single"/>
                    </w:rPr>
                    <w:t>差异化</w:t>
                  </w:r>
                </w:p>
                <w:p w14:paraId="263E713A">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00"/>
                      <w:u w:val="single"/>
                    </w:rPr>
                  </w:pPr>
                  <w:r>
                    <w:rPr>
                      <w:color w:val="000000"/>
                      <w:u w:val="single"/>
                    </w:rPr>
                    <w:t>指标</w:t>
                  </w:r>
                </w:p>
              </w:tc>
              <w:tc>
                <w:tcPr>
                  <w:tcW w:w="4107" w:type="dxa"/>
                  <w:noWrap w:val="0"/>
                  <w:vAlign w:val="center"/>
                </w:tcPr>
                <w:p w14:paraId="598996A2">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00"/>
                      <w:u w:val="single"/>
                    </w:rPr>
                  </w:pPr>
                  <w:r>
                    <w:rPr>
                      <w:rFonts w:hint="eastAsia"/>
                      <w:color w:val="000000"/>
                      <w:u w:val="single"/>
                    </w:rPr>
                    <w:t>塑料制品业</w:t>
                  </w:r>
                  <w:r>
                    <w:rPr>
                      <w:color w:val="000000"/>
                      <w:u w:val="single"/>
                    </w:rPr>
                    <w:t>A级企业</w:t>
                  </w:r>
                </w:p>
              </w:tc>
              <w:tc>
                <w:tcPr>
                  <w:tcW w:w="2703" w:type="dxa"/>
                  <w:noWrap w:val="0"/>
                  <w:vAlign w:val="center"/>
                </w:tcPr>
                <w:p w14:paraId="462FDE23">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00"/>
                      <w:u w:val="single"/>
                    </w:rPr>
                  </w:pPr>
                  <w:r>
                    <w:rPr>
                      <w:color w:val="000000"/>
                      <w:u w:val="single"/>
                    </w:rPr>
                    <w:t>本项目情况</w:t>
                  </w:r>
                </w:p>
              </w:tc>
              <w:tc>
                <w:tcPr>
                  <w:tcW w:w="592" w:type="dxa"/>
                  <w:noWrap w:val="0"/>
                  <w:vAlign w:val="center"/>
                </w:tcPr>
                <w:p w14:paraId="186C6A58">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000000"/>
                      <w:u w:val="single"/>
                      <w:lang w:val="en-US" w:eastAsia="zh-CN"/>
                    </w:rPr>
                  </w:pPr>
                  <w:r>
                    <w:rPr>
                      <w:rFonts w:hint="eastAsia"/>
                      <w:color w:val="000000"/>
                      <w:u w:val="single"/>
                      <w:lang w:val="en-US" w:eastAsia="zh-CN"/>
                    </w:rPr>
                    <w:t>相符性</w:t>
                  </w:r>
                </w:p>
              </w:tc>
            </w:tr>
            <w:tr w14:paraId="5421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trPr>
              <w:tc>
                <w:tcPr>
                  <w:tcW w:w="779" w:type="dxa"/>
                  <w:noWrap w:val="0"/>
                  <w:vAlign w:val="center"/>
                </w:tcPr>
                <w:p w14:paraId="2A8113B5">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00"/>
                      <w:u w:val="single"/>
                    </w:rPr>
                  </w:pPr>
                  <w:r>
                    <w:rPr>
                      <w:color w:val="000000"/>
                      <w:u w:val="single"/>
                    </w:rPr>
                    <w:t>原料、能源类型</w:t>
                  </w:r>
                </w:p>
              </w:tc>
              <w:tc>
                <w:tcPr>
                  <w:tcW w:w="4107" w:type="dxa"/>
                  <w:noWrap w:val="0"/>
                  <w:vAlign w:val="center"/>
                </w:tcPr>
                <w:p w14:paraId="2E6C2C68">
                  <w:pPr>
                    <w:keepNext w:val="0"/>
                    <w:keepLines w:val="0"/>
                    <w:pageBreakBefore w:val="0"/>
                    <w:widowControl w:val="0"/>
                    <w:kinsoku/>
                    <w:wordWrap/>
                    <w:overflowPunct/>
                    <w:topLinePunct w:val="0"/>
                    <w:autoSpaceDE/>
                    <w:autoSpaceDN/>
                    <w:bidi w:val="0"/>
                    <w:adjustRightInd/>
                    <w:snapToGrid/>
                    <w:jc w:val="both"/>
                    <w:textAlignment w:val="auto"/>
                    <w:rPr>
                      <w:rFonts w:hint="default"/>
                      <w:color w:val="000000"/>
                      <w:u w:val="single"/>
                    </w:rPr>
                  </w:pPr>
                  <w:r>
                    <w:rPr>
                      <w:color w:val="000000"/>
                      <w:u w:val="single"/>
                    </w:rPr>
                    <w:t>能源使用电、天然气、液化石油气等能源。</w:t>
                  </w:r>
                </w:p>
              </w:tc>
              <w:tc>
                <w:tcPr>
                  <w:tcW w:w="2703" w:type="dxa"/>
                  <w:noWrap w:val="0"/>
                  <w:vAlign w:val="center"/>
                </w:tcPr>
                <w:p w14:paraId="02091F85">
                  <w:pPr>
                    <w:keepNext w:val="0"/>
                    <w:keepLines w:val="0"/>
                    <w:pageBreakBefore w:val="0"/>
                    <w:widowControl w:val="0"/>
                    <w:kinsoku/>
                    <w:wordWrap/>
                    <w:overflowPunct/>
                    <w:topLinePunct w:val="0"/>
                    <w:autoSpaceDE/>
                    <w:autoSpaceDN/>
                    <w:bidi w:val="0"/>
                    <w:adjustRightInd/>
                    <w:snapToGrid/>
                    <w:jc w:val="both"/>
                    <w:textAlignment w:val="auto"/>
                    <w:rPr>
                      <w:rFonts w:hint="default"/>
                      <w:color w:val="000000"/>
                      <w:u w:val="single"/>
                    </w:rPr>
                  </w:pPr>
                  <w:r>
                    <w:rPr>
                      <w:color w:val="000000"/>
                      <w:u w:val="single"/>
                    </w:rPr>
                    <w:t>本项</w:t>
                  </w:r>
                  <w:r>
                    <w:rPr>
                      <w:rFonts w:hint="eastAsia"/>
                      <w:color w:val="000000"/>
                      <w:u w:val="single"/>
                      <w:lang w:val="en-US" w:eastAsia="zh-CN"/>
                    </w:rPr>
                    <w:t>目使用</w:t>
                  </w:r>
                  <w:r>
                    <w:rPr>
                      <w:color w:val="000000"/>
                      <w:u w:val="single"/>
                    </w:rPr>
                    <w:t>电能。</w:t>
                  </w:r>
                </w:p>
              </w:tc>
              <w:tc>
                <w:tcPr>
                  <w:tcW w:w="592" w:type="dxa"/>
                  <w:noWrap w:val="0"/>
                  <w:vAlign w:val="center"/>
                </w:tcPr>
                <w:p w14:paraId="36CB1E33">
                  <w:pPr>
                    <w:keepNext w:val="0"/>
                    <w:keepLines w:val="0"/>
                    <w:pageBreakBefore w:val="0"/>
                    <w:widowControl w:val="0"/>
                    <w:kinsoku/>
                    <w:wordWrap/>
                    <w:overflowPunct/>
                    <w:topLinePunct w:val="0"/>
                    <w:autoSpaceDE/>
                    <w:autoSpaceDN/>
                    <w:bidi w:val="0"/>
                    <w:adjustRightInd/>
                    <w:snapToGrid/>
                    <w:jc w:val="both"/>
                    <w:textAlignment w:val="auto"/>
                    <w:rPr>
                      <w:rFonts w:hint="eastAsia" w:eastAsia="宋体"/>
                      <w:color w:val="000000"/>
                      <w:u w:val="single"/>
                      <w:lang w:val="en-US" w:eastAsia="zh-CN"/>
                    </w:rPr>
                  </w:pPr>
                  <w:r>
                    <w:rPr>
                      <w:rFonts w:hint="eastAsia"/>
                      <w:color w:val="000000"/>
                      <w:u w:val="single"/>
                      <w:lang w:val="en-US" w:eastAsia="zh-CN"/>
                    </w:rPr>
                    <w:t>相符</w:t>
                  </w:r>
                </w:p>
              </w:tc>
            </w:tr>
            <w:tr w14:paraId="01F8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trPr>
              <w:tc>
                <w:tcPr>
                  <w:tcW w:w="779" w:type="dxa"/>
                  <w:noWrap w:val="0"/>
                  <w:vAlign w:val="center"/>
                </w:tcPr>
                <w:p w14:paraId="79AA60F4">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00"/>
                      <w:u w:val="single"/>
                    </w:rPr>
                  </w:pPr>
                  <w:r>
                    <w:rPr>
                      <w:color w:val="000000"/>
                      <w:u w:val="single"/>
                    </w:rPr>
                    <w:t>生产工艺及装备水平</w:t>
                  </w:r>
                </w:p>
              </w:tc>
              <w:tc>
                <w:tcPr>
                  <w:tcW w:w="4107" w:type="dxa"/>
                  <w:noWrap w:val="0"/>
                  <w:vAlign w:val="center"/>
                </w:tcPr>
                <w:p w14:paraId="7A1439D9">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color w:val="000000"/>
                      <w:u w:val="single"/>
                    </w:rPr>
                  </w:pPr>
                  <w:r>
                    <w:rPr>
                      <w:rFonts w:hint="eastAsia"/>
                      <w:color w:val="000000"/>
                      <w:u w:val="single"/>
                      <w:lang w:val="en-US" w:eastAsia="zh-CN"/>
                    </w:rPr>
                    <w:t>1.</w:t>
                  </w:r>
                  <w:r>
                    <w:rPr>
                      <w:color w:val="000000"/>
                      <w:u w:val="single"/>
                    </w:rPr>
                    <w:t>属于《产业结构调整指导目录（2024年版）》鼓励类和允许类；</w:t>
                  </w:r>
                </w:p>
                <w:p w14:paraId="69B0BE8D">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color w:val="000000"/>
                      <w:u w:val="single"/>
                    </w:rPr>
                  </w:pPr>
                  <w:r>
                    <w:rPr>
                      <w:rFonts w:hint="eastAsia"/>
                      <w:color w:val="000000"/>
                      <w:u w:val="single"/>
                      <w:lang w:val="en-US" w:eastAsia="zh-CN"/>
                    </w:rPr>
                    <w:t>2.</w:t>
                  </w:r>
                  <w:r>
                    <w:rPr>
                      <w:color w:val="000000"/>
                      <w:u w:val="single"/>
                    </w:rPr>
                    <w:t>符合相关行业产业政策；</w:t>
                  </w:r>
                </w:p>
                <w:p w14:paraId="4863984A">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color w:val="000000"/>
                      <w:u w:val="single"/>
                    </w:rPr>
                  </w:pPr>
                  <w:r>
                    <w:rPr>
                      <w:color w:val="000000"/>
                      <w:u w:val="single"/>
                    </w:rPr>
                    <w:t>3.符合河南省相关政策要求；</w:t>
                  </w:r>
                </w:p>
                <w:p w14:paraId="35B4DB8F">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default"/>
                      <w:color w:val="000000"/>
                      <w:u w:val="single"/>
                    </w:rPr>
                  </w:pPr>
                  <w:r>
                    <w:rPr>
                      <w:color w:val="000000"/>
                      <w:u w:val="single"/>
                    </w:rPr>
                    <w:t>4.符合市级规划。</w:t>
                  </w:r>
                </w:p>
              </w:tc>
              <w:tc>
                <w:tcPr>
                  <w:tcW w:w="2703" w:type="dxa"/>
                  <w:noWrap w:val="0"/>
                  <w:vAlign w:val="center"/>
                </w:tcPr>
                <w:p w14:paraId="09EE95FC">
                  <w:pPr>
                    <w:keepNext w:val="0"/>
                    <w:keepLines w:val="0"/>
                    <w:pageBreakBefore w:val="0"/>
                    <w:widowControl w:val="0"/>
                    <w:kinsoku/>
                    <w:wordWrap/>
                    <w:overflowPunct/>
                    <w:topLinePunct w:val="0"/>
                    <w:autoSpaceDE/>
                    <w:autoSpaceDN/>
                    <w:bidi w:val="0"/>
                    <w:adjustRightInd/>
                    <w:snapToGrid/>
                    <w:jc w:val="both"/>
                    <w:textAlignment w:val="auto"/>
                    <w:rPr>
                      <w:color w:val="000000"/>
                      <w:u w:val="single"/>
                    </w:rPr>
                  </w:pPr>
                  <w:r>
                    <w:rPr>
                      <w:color w:val="000000"/>
                      <w:u w:val="single"/>
                    </w:rPr>
                    <w:t>1</w:t>
                  </w:r>
                  <w:r>
                    <w:rPr>
                      <w:rFonts w:hint="eastAsia"/>
                      <w:color w:val="000000"/>
                      <w:u w:val="single"/>
                      <w:lang w:val="en-US" w:eastAsia="zh-CN"/>
                    </w:rPr>
                    <w:t>.</w:t>
                  </w:r>
                  <w:r>
                    <w:rPr>
                      <w:color w:val="000000"/>
                      <w:u w:val="single"/>
                    </w:rPr>
                    <w:t>本项目属于《产业结构调整指导目录（2024年版）》允许类；</w:t>
                  </w:r>
                </w:p>
                <w:p w14:paraId="0A50AF24">
                  <w:pPr>
                    <w:keepNext w:val="0"/>
                    <w:keepLines w:val="0"/>
                    <w:pageBreakBefore w:val="0"/>
                    <w:widowControl w:val="0"/>
                    <w:kinsoku/>
                    <w:wordWrap/>
                    <w:overflowPunct/>
                    <w:topLinePunct w:val="0"/>
                    <w:autoSpaceDE/>
                    <w:autoSpaceDN/>
                    <w:bidi w:val="0"/>
                    <w:adjustRightInd/>
                    <w:snapToGrid/>
                    <w:jc w:val="both"/>
                    <w:textAlignment w:val="auto"/>
                    <w:rPr>
                      <w:rFonts w:hint="eastAsia" w:eastAsia="宋体"/>
                      <w:color w:val="000000"/>
                      <w:u w:val="single"/>
                      <w:lang w:eastAsia="zh-CN"/>
                    </w:rPr>
                  </w:pPr>
                  <w:r>
                    <w:rPr>
                      <w:color w:val="000000"/>
                      <w:u w:val="single"/>
                    </w:rPr>
                    <w:t>2</w:t>
                  </w:r>
                  <w:r>
                    <w:rPr>
                      <w:rFonts w:hint="eastAsia"/>
                      <w:color w:val="000000"/>
                      <w:u w:val="single"/>
                      <w:lang w:val="en-US" w:eastAsia="zh-CN"/>
                    </w:rPr>
                    <w:t>.本项目</w:t>
                  </w:r>
                  <w:r>
                    <w:rPr>
                      <w:color w:val="000000"/>
                      <w:u w:val="single"/>
                    </w:rPr>
                    <w:t>符合相关产业政策</w:t>
                  </w:r>
                  <w:r>
                    <w:rPr>
                      <w:rFonts w:hint="eastAsia"/>
                      <w:color w:val="000000"/>
                      <w:u w:val="single"/>
                      <w:lang w:eastAsia="zh-CN"/>
                    </w:rPr>
                    <w:t>；</w:t>
                  </w:r>
                </w:p>
                <w:p w14:paraId="19BB3DF2">
                  <w:pPr>
                    <w:keepNext w:val="0"/>
                    <w:keepLines w:val="0"/>
                    <w:pageBreakBefore w:val="0"/>
                    <w:widowControl w:val="0"/>
                    <w:kinsoku/>
                    <w:wordWrap/>
                    <w:overflowPunct/>
                    <w:topLinePunct w:val="0"/>
                    <w:autoSpaceDE/>
                    <w:autoSpaceDN/>
                    <w:bidi w:val="0"/>
                    <w:adjustRightInd/>
                    <w:snapToGrid/>
                    <w:jc w:val="both"/>
                    <w:textAlignment w:val="auto"/>
                    <w:rPr>
                      <w:rFonts w:hint="eastAsia"/>
                      <w:color w:val="000000"/>
                      <w:u w:val="single"/>
                      <w:lang w:eastAsia="zh-CN"/>
                    </w:rPr>
                  </w:pPr>
                  <w:r>
                    <w:rPr>
                      <w:rFonts w:hint="eastAsia"/>
                      <w:color w:val="000000"/>
                      <w:u w:val="single"/>
                      <w:lang w:val="en-US" w:eastAsia="zh-CN"/>
                    </w:rPr>
                    <w:t>3.本项目符合</w:t>
                  </w:r>
                  <w:r>
                    <w:rPr>
                      <w:color w:val="000000"/>
                      <w:u w:val="single"/>
                    </w:rPr>
                    <w:t>河南省相关产业政策</w:t>
                  </w:r>
                  <w:r>
                    <w:rPr>
                      <w:rFonts w:hint="eastAsia"/>
                      <w:color w:val="000000"/>
                      <w:u w:val="single"/>
                      <w:lang w:eastAsia="zh-CN"/>
                    </w:rPr>
                    <w:t>；</w:t>
                  </w:r>
                </w:p>
                <w:p w14:paraId="752636D7">
                  <w:pPr>
                    <w:keepNext w:val="0"/>
                    <w:keepLines w:val="0"/>
                    <w:pageBreakBefore w:val="0"/>
                    <w:widowControl w:val="0"/>
                    <w:kinsoku/>
                    <w:wordWrap/>
                    <w:overflowPunct/>
                    <w:topLinePunct w:val="0"/>
                    <w:autoSpaceDE/>
                    <w:autoSpaceDN/>
                    <w:bidi w:val="0"/>
                    <w:adjustRightInd/>
                    <w:snapToGrid/>
                    <w:jc w:val="both"/>
                    <w:textAlignment w:val="auto"/>
                    <w:rPr>
                      <w:rFonts w:hint="default"/>
                      <w:color w:val="000000"/>
                      <w:u w:val="single"/>
                    </w:rPr>
                  </w:pPr>
                  <w:r>
                    <w:rPr>
                      <w:rFonts w:hint="eastAsia"/>
                      <w:color w:val="000000"/>
                      <w:u w:val="single"/>
                      <w:lang w:val="en-US" w:eastAsia="zh-CN"/>
                    </w:rPr>
                    <w:t>4.本项目</w:t>
                  </w:r>
                  <w:r>
                    <w:rPr>
                      <w:color w:val="000000"/>
                      <w:u w:val="single"/>
                    </w:rPr>
                    <w:t>符合</w:t>
                  </w:r>
                  <w:r>
                    <w:rPr>
                      <w:rFonts w:hint="eastAsia"/>
                      <w:color w:val="000000"/>
                      <w:u w:val="single"/>
                      <w:lang w:val="en-US" w:eastAsia="zh-CN"/>
                    </w:rPr>
                    <w:t>洛阳市</w:t>
                  </w:r>
                  <w:r>
                    <w:rPr>
                      <w:color w:val="000000"/>
                      <w:u w:val="single"/>
                    </w:rPr>
                    <w:t>规划。</w:t>
                  </w:r>
                </w:p>
              </w:tc>
              <w:tc>
                <w:tcPr>
                  <w:tcW w:w="592" w:type="dxa"/>
                  <w:noWrap w:val="0"/>
                  <w:vAlign w:val="center"/>
                </w:tcPr>
                <w:p w14:paraId="156E12C1">
                  <w:pPr>
                    <w:keepNext w:val="0"/>
                    <w:keepLines w:val="0"/>
                    <w:pageBreakBefore w:val="0"/>
                    <w:widowControl w:val="0"/>
                    <w:kinsoku/>
                    <w:wordWrap/>
                    <w:overflowPunct/>
                    <w:topLinePunct w:val="0"/>
                    <w:autoSpaceDE/>
                    <w:autoSpaceDN/>
                    <w:bidi w:val="0"/>
                    <w:adjustRightInd/>
                    <w:snapToGrid/>
                    <w:jc w:val="both"/>
                    <w:textAlignment w:val="auto"/>
                    <w:rPr>
                      <w:rFonts w:hint="eastAsia"/>
                      <w:color w:val="000000"/>
                      <w:u w:val="single"/>
                      <w:lang w:val="en-US" w:eastAsia="zh-CN"/>
                    </w:rPr>
                  </w:pPr>
                  <w:r>
                    <w:rPr>
                      <w:rFonts w:hint="eastAsia"/>
                      <w:color w:val="000000"/>
                      <w:u w:val="single"/>
                      <w:lang w:val="en-US" w:eastAsia="zh-CN"/>
                    </w:rPr>
                    <w:t>相符</w:t>
                  </w:r>
                </w:p>
              </w:tc>
            </w:tr>
            <w:tr w14:paraId="4E6A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trPr>
              <w:tc>
                <w:tcPr>
                  <w:tcW w:w="779" w:type="dxa"/>
                  <w:noWrap w:val="0"/>
                  <w:vAlign w:val="center"/>
                </w:tcPr>
                <w:p w14:paraId="4F728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bCs/>
                      <w:color w:val="000000"/>
                      <w:sz w:val="21"/>
                      <w:szCs w:val="21"/>
                      <w:u w:val="single"/>
                      <w:lang w:val="en-US" w:eastAsia="zh-CN"/>
                    </w:rPr>
                  </w:pPr>
                  <w:r>
                    <w:rPr>
                      <w:rFonts w:hint="eastAsia"/>
                      <w:bCs/>
                      <w:color w:val="000000"/>
                      <w:sz w:val="21"/>
                      <w:szCs w:val="21"/>
                      <w:u w:val="single"/>
                      <w:lang w:val="en-US" w:eastAsia="zh-CN"/>
                    </w:rPr>
                    <w:t>废气收集及处理工艺</w:t>
                  </w:r>
                </w:p>
              </w:tc>
              <w:tc>
                <w:tcPr>
                  <w:tcW w:w="4107" w:type="dxa"/>
                  <w:noWrap w:val="0"/>
                  <w:vAlign w:val="center"/>
                </w:tcPr>
                <w:p w14:paraId="73703356">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1.投料、挤塑、注塑、滚塑、吹塑、挤出、造粒、热定型、冷却、发泡、熟化、干燥、塑炼、压延、涂覆等涉VOCs工序采用密闭设备或在密闭空间内操作，废气有效收集至VOCs废气处理系统，车间外无异味；采用局部集气罩的，距集气罩开口面最远处的VOCs无组织排放位置，控制风速不低于0.3米/秒；</w:t>
                  </w:r>
                </w:p>
                <w:p w14:paraId="42A43184">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2.使用再生料的企业VOCs治理采用燃烧工艺（包括直接燃烧、催化燃烧和蓄热燃烧）；使用原生料的企业VOCs治理采用燃烧工艺或吸附、冷凝、膜分离等工艺处理（其中采用颗粒状活性炭的，柱状活性炭直径≤5mm、碘值≥800mg/g，且填充量与每小时处理废气量体积之比满足1:7000的要求；使用蜂窝状活性炭的，碘值≥650mg/g、比表面积应不低于750m²/g，且填充量与每小时处理废气量体积之比满足1:5000的要求；活性炭吸附设施废气进口处安装有仪器仪表等装置，可实时监测显示并记录湿度、温度等数据，废气温度、颗粒物、相对湿度分别不超过40℃、1mg/</w:t>
                  </w:r>
                  <w:r>
                    <w:rPr>
                      <w:rFonts w:hint="eastAsia" w:cs="Times New Roman"/>
                      <w:color w:val="000000"/>
                      <w:kern w:val="0"/>
                      <w:sz w:val="21"/>
                      <w:szCs w:val="21"/>
                      <w:u w:val="single"/>
                      <w:lang w:val="en-US" w:eastAsia="zh-CN" w:bidi="ar"/>
                    </w:rPr>
                    <w:t>m³</w:t>
                  </w:r>
                  <w:r>
                    <w:rPr>
                      <w:rFonts w:hint="default" w:ascii="Times New Roman" w:hAnsi="Times New Roman" w:eastAsia="宋体" w:cs="Times New Roman"/>
                      <w:color w:val="000000"/>
                      <w:kern w:val="0"/>
                      <w:sz w:val="21"/>
                      <w:szCs w:val="21"/>
                      <w:u w:val="single"/>
                      <w:lang w:val="en-US" w:eastAsia="zh-CN" w:bidi="ar"/>
                    </w:rPr>
                    <w:t>、50%）。废气中含有油烟或颗粒物的，应在VOCs治理设施前端加装除尘设施或油烟净化装置；</w:t>
                  </w:r>
                </w:p>
                <w:p w14:paraId="2807119A">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3.粉状、粒状物料采用自动投料器投加和配混，投加和混配工序在封闭车间内进行，PM有效收集，采用覆膜滤袋、滤筒等除尘技术；</w:t>
                  </w:r>
                </w:p>
                <w:p w14:paraId="268A45AD">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4.废吸附剂应密闭的包装袋或容器储存、转运，并建立储存、处置台账；</w:t>
                  </w:r>
                </w:p>
                <w:p w14:paraId="576FE7AF">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cs="Times New Roman"/>
                      <w:bCs/>
                      <w:color w:val="000000"/>
                      <w:sz w:val="21"/>
                      <w:szCs w:val="21"/>
                      <w:u w:val="single"/>
                    </w:rPr>
                  </w:pPr>
                  <w:r>
                    <w:rPr>
                      <w:rFonts w:hint="default" w:ascii="Times New Roman" w:hAnsi="Times New Roman" w:eastAsia="宋体" w:cs="Times New Roman"/>
                      <w:color w:val="000000"/>
                      <w:kern w:val="0"/>
                      <w:sz w:val="21"/>
                      <w:szCs w:val="21"/>
                      <w:u w:val="single"/>
                      <w:lang w:val="en-US" w:eastAsia="zh-CN" w:bidi="ar"/>
                    </w:rPr>
                    <w:t>5.NOx治理采用低氮燃烧、SNCR/SCR等适宜技术。使用氨法脱硝的企业，氨的装卸、储存、输送、制备等过程全程密闭，并采取氨气泄漏检测和收集措施；采用尿素作为还原剂的配备有尿素加热水解制氨系统</w:t>
                  </w:r>
                  <w:r>
                    <w:rPr>
                      <w:rFonts w:hint="default" w:ascii="Times New Roman" w:hAnsi="Times New Roman" w:cs="Times New Roman"/>
                      <w:bCs/>
                      <w:color w:val="000000"/>
                      <w:sz w:val="21"/>
                      <w:szCs w:val="21"/>
                      <w:u w:val="single"/>
                    </w:rPr>
                    <w:t>。</w:t>
                  </w:r>
                </w:p>
              </w:tc>
              <w:tc>
                <w:tcPr>
                  <w:tcW w:w="2703" w:type="dxa"/>
                  <w:noWrap w:val="0"/>
                  <w:vAlign w:val="center"/>
                </w:tcPr>
                <w:p w14:paraId="77DA8865">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cs="Times New Roman"/>
                      <w:color w:val="000000"/>
                      <w:u w:val="single"/>
                    </w:rPr>
                  </w:pPr>
                  <w:r>
                    <w:rPr>
                      <w:rFonts w:hint="default" w:ascii="Times New Roman" w:hAnsi="Times New Roman" w:eastAsia="宋体" w:cs="Times New Roman"/>
                      <w:color w:val="000000"/>
                      <w:kern w:val="0"/>
                      <w:sz w:val="21"/>
                      <w:szCs w:val="21"/>
                      <w:u w:val="single"/>
                      <w:lang w:val="en-US" w:eastAsia="zh-CN" w:bidi="ar"/>
                    </w:rPr>
                    <w:t>1.本项目</w:t>
                  </w:r>
                  <w:r>
                    <w:rPr>
                      <w:rFonts w:hint="eastAsia" w:ascii="Times New Roman" w:hAnsi="Times New Roman" w:eastAsia="宋体" w:cs="Times New Roman"/>
                      <w:color w:val="000000"/>
                      <w:kern w:val="0"/>
                      <w:sz w:val="21"/>
                      <w:szCs w:val="21"/>
                      <w:u w:val="single"/>
                      <w:lang w:val="en-US" w:eastAsia="zh-CN" w:bidi="ar"/>
                    </w:rPr>
                    <w:t>注塑</w:t>
                  </w:r>
                  <w:r>
                    <w:rPr>
                      <w:rFonts w:hint="eastAsia" w:cs="Times New Roman"/>
                      <w:color w:val="000000"/>
                      <w:kern w:val="0"/>
                      <w:sz w:val="21"/>
                      <w:szCs w:val="21"/>
                      <w:u w:val="single"/>
                      <w:lang w:val="en-US" w:eastAsia="zh-CN" w:bidi="ar"/>
                    </w:rPr>
                    <w:t>工序</w:t>
                  </w:r>
                  <w:r>
                    <w:rPr>
                      <w:rFonts w:hint="default" w:ascii="Times New Roman" w:hAnsi="Times New Roman" w:eastAsia="宋体" w:cs="Times New Roman"/>
                      <w:color w:val="000000"/>
                      <w:kern w:val="0"/>
                      <w:sz w:val="21"/>
                      <w:szCs w:val="21"/>
                      <w:u w:val="single"/>
                      <w:lang w:val="en-US" w:eastAsia="zh-CN" w:bidi="ar"/>
                    </w:rPr>
                    <w:t>VOCs，</w:t>
                  </w:r>
                  <w:r>
                    <w:rPr>
                      <w:rFonts w:hint="eastAsia" w:ascii="Times New Roman" w:hAnsi="Times New Roman" w:eastAsia="宋体" w:cs="Times New Roman"/>
                      <w:color w:val="000000"/>
                      <w:kern w:val="0"/>
                      <w:sz w:val="21"/>
                      <w:szCs w:val="21"/>
                      <w:u w:val="single"/>
                      <w:lang w:val="en-US" w:eastAsia="zh-CN" w:bidi="ar"/>
                    </w:rPr>
                    <w:t>通过</w:t>
                  </w:r>
                  <w:r>
                    <w:rPr>
                      <w:rFonts w:hint="default" w:ascii="Times New Roman" w:hAnsi="Times New Roman" w:eastAsia="宋体" w:cs="Times New Roman"/>
                      <w:color w:val="000000"/>
                      <w:kern w:val="0"/>
                      <w:sz w:val="21"/>
                      <w:szCs w:val="21"/>
                      <w:u w:val="single"/>
                      <w:lang w:val="en-US" w:eastAsia="zh-CN" w:bidi="ar"/>
                    </w:rPr>
                    <w:t>集气罩收集；集气罩开口最远处风速不低于0.3m/s</w:t>
                  </w:r>
                  <w:r>
                    <w:rPr>
                      <w:rFonts w:hint="eastAsia" w:ascii="Times New Roman" w:hAnsi="Times New Roman" w:eastAsia="宋体" w:cs="Times New Roman"/>
                      <w:color w:val="000000"/>
                      <w:kern w:val="0"/>
                      <w:sz w:val="21"/>
                      <w:szCs w:val="21"/>
                      <w:u w:val="single"/>
                      <w:lang w:val="en-US" w:eastAsia="zh-CN" w:bidi="ar"/>
                    </w:rPr>
                    <w:t>；</w:t>
                  </w:r>
                </w:p>
                <w:p w14:paraId="484597C0">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cs="Times New Roman"/>
                      <w:color w:val="000000"/>
                      <w:u w:val="single"/>
                    </w:rPr>
                  </w:pPr>
                  <w:r>
                    <w:rPr>
                      <w:rFonts w:hint="default" w:ascii="Times New Roman" w:hAnsi="Times New Roman" w:eastAsia="宋体" w:cs="Times New Roman"/>
                      <w:color w:val="000000"/>
                      <w:kern w:val="0"/>
                      <w:sz w:val="21"/>
                      <w:szCs w:val="21"/>
                      <w:u w:val="single"/>
                      <w:lang w:val="en-US" w:eastAsia="zh-CN" w:bidi="ar"/>
                    </w:rPr>
                    <w:t>2.</w:t>
                  </w:r>
                  <w:r>
                    <w:rPr>
                      <w:rFonts w:hint="eastAsia" w:ascii="Times New Roman" w:hAnsi="Times New Roman" w:eastAsia="宋体" w:cs="Times New Roman"/>
                      <w:color w:val="000000"/>
                      <w:kern w:val="0"/>
                      <w:sz w:val="21"/>
                      <w:szCs w:val="21"/>
                      <w:u w:val="single"/>
                      <w:lang w:val="en-US" w:eastAsia="zh-CN" w:bidi="ar"/>
                    </w:rPr>
                    <w:t>本项目不使用再生料，生产过程中产生的</w:t>
                  </w:r>
                  <w:r>
                    <w:rPr>
                      <w:rFonts w:hint="default" w:ascii="Times New Roman" w:hAnsi="Times New Roman" w:eastAsia="宋体" w:cs="Times New Roman"/>
                      <w:color w:val="000000"/>
                      <w:kern w:val="0"/>
                      <w:sz w:val="21"/>
                      <w:szCs w:val="21"/>
                      <w:u w:val="single"/>
                      <w:lang w:val="en-US" w:eastAsia="zh-CN" w:bidi="ar"/>
                    </w:rPr>
                    <w:t>VOCs采用</w:t>
                  </w:r>
                  <w:r>
                    <w:rPr>
                      <w:rFonts w:hint="eastAsia" w:ascii="Times New Roman" w:hAnsi="Times New Roman" w:eastAsia="宋体" w:cs="Times New Roman"/>
                      <w:color w:val="000000"/>
                      <w:kern w:val="0"/>
                      <w:sz w:val="21"/>
                      <w:szCs w:val="21"/>
                      <w:u w:val="single"/>
                      <w:lang w:val="en-US" w:eastAsia="zh-CN" w:bidi="ar"/>
                    </w:rPr>
                    <w:t>“二</w:t>
                  </w:r>
                  <w:r>
                    <w:rPr>
                      <w:rFonts w:hint="default" w:ascii="Times New Roman" w:hAnsi="Times New Roman" w:eastAsia="宋体" w:cs="Times New Roman"/>
                      <w:color w:val="000000"/>
                      <w:kern w:val="0"/>
                      <w:sz w:val="21"/>
                      <w:szCs w:val="21"/>
                      <w:highlight w:val="none"/>
                      <w:u w:val="single"/>
                      <w:lang w:val="en-US" w:eastAsia="zh-CN" w:bidi="ar"/>
                    </w:rPr>
                    <w:t>级活性炭</w:t>
                  </w:r>
                  <w:r>
                    <w:rPr>
                      <w:rFonts w:hint="default" w:ascii="Times New Roman" w:hAnsi="Times New Roman" w:eastAsia="宋体" w:cs="Times New Roman"/>
                      <w:color w:val="000000"/>
                      <w:kern w:val="0"/>
                      <w:sz w:val="21"/>
                      <w:szCs w:val="21"/>
                      <w:u w:val="single"/>
                      <w:lang w:val="en-US" w:eastAsia="zh-CN" w:bidi="ar"/>
                    </w:rPr>
                    <w:t>吸附</w:t>
                  </w:r>
                  <w:r>
                    <w:rPr>
                      <w:rFonts w:hint="eastAsia" w:ascii="Times New Roman" w:hAnsi="Times New Roman" w:eastAsia="宋体" w:cs="Times New Roman"/>
                      <w:color w:val="000000"/>
                      <w:kern w:val="0"/>
                      <w:sz w:val="21"/>
                      <w:szCs w:val="21"/>
                      <w:u w:val="single"/>
                      <w:lang w:val="en-US" w:eastAsia="zh-CN" w:bidi="ar"/>
                    </w:rPr>
                    <w:t>”</w:t>
                  </w:r>
                  <w:r>
                    <w:rPr>
                      <w:rFonts w:hint="default" w:ascii="Times New Roman" w:hAnsi="Times New Roman" w:eastAsia="宋体" w:cs="Times New Roman"/>
                      <w:color w:val="000000"/>
                      <w:kern w:val="0"/>
                      <w:sz w:val="21"/>
                      <w:szCs w:val="21"/>
                      <w:u w:val="single"/>
                      <w:lang w:val="en-US" w:eastAsia="zh-CN" w:bidi="ar"/>
                    </w:rPr>
                    <w:t>装置处理；项目使用蜂窝状活性炭，活性炭碘值大于650mg/g以上，比表面积高于750m</w:t>
                  </w:r>
                  <w:r>
                    <w:rPr>
                      <w:rFonts w:hint="eastAsia" w:ascii="Times New Roman" w:hAnsi="Times New Roman" w:eastAsia="宋体" w:cs="Times New Roman"/>
                      <w:color w:val="000000"/>
                      <w:kern w:val="0"/>
                      <w:sz w:val="21"/>
                      <w:szCs w:val="21"/>
                      <w:u w:val="single"/>
                      <w:vertAlign w:val="superscript"/>
                      <w:lang w:val="en-US" w:eastAsia="zh-CN" w:bidi="ar"/>
                    </w:rPr>
                    <w:t>2</w:t>
                  </w:r>
                  <w:r>
                    <w:rPr>
                      <w:rFonts w:hint="default" w:ascii="Times New Roman" w:hAnsi="Times New Roman" w:eastAsia="宋体" w:cs="Times New Roman"/>
                      <w:color w:val="000000"/>
                      <w:kern w:val="0"/>
                      <w:sz w:val="21"/>
                      <w:szCs w:val="21"/>
                      <w:u w:val="single"/>
                      <w:lang w:val="en-US" w:eastAsia="zh-CN" w:bidi="ar"/>
                    </w:rPr>
                    <w:t>/g，且填充量与每小时处理废气量体积之比满足1:5000的要求；</w:t>
                  </w:r>
                </w:p>
                <w:p w14:paraId="3F619F39">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cs="Times New Roman"/>
                      <w:color w:val="000000"/>
                      <w:u w:val="single"/>
                    </w:rPr>
                  </w:pPr>
                  <w:r>
                    <w:rPr>
                      <w:rFonts w:hint="default" w:ascii="Times New Roman" w:hAnsi="Times New Roman" w:eastAsia="宋体" w:cs="Times New Roman"/>
                      <w:color w:val="000000"/>
                      <w:kern w:val="0"/>
                      <w:sz w:val="21"/>
                      <w:szCs w:val="21"/>
                      <w:u w:val="single"/>
                      <w:lang w:val="en-US" w:eastAsia="zh-CN" w:bidi="ar"/>
                    </w:rPr>
                    <w:t>3</w:t>
                  </w:r>
                  <w:r>
                    <w:rPr>
                      <w:rFonts w:hint="eastAsia" w:ascii="Times New Roman" w:hAnsi="Times New Roman" w:eastAsia="宋体" w:cs="Times New Roman"/>
                      <w:color w:val="000000"/>
                      <w:kern w:val="0"/>
                      <w:sz w:val="21"/>
                      <w:szCs w:val="21"/>
                      <w:u w:val="single"/>
                      <w:lang w:val="en-US" w:eastAsia="zh-CN" w:bidi="ar"/>
                    </w:rPr>
                    <w:t>.</w:t>
                  </w:r>
                  <w:r>
                    <w:rPr>
                      <w:rFonts w:hint="default" w:ascii="Times New Roman" w:hAnsi="Times New Roman" w:eastAsia="宋体" w:cs="Times New Roman"/>
                      <w:color w:val="000000"/>
                      <w:kern w:val="0"/>
                      <w:sz w:val="21"/>
                      <w:szCs w:val="21"/>
                      <w:u w:val="single"/>
                      <w:lang w:val="en-US" w:eastAsia="zh-CN" w:bidi="ar"/>
                    </w:rPr>
                    <w:t>本项目</w:t>
                  </w:r>
                  <w:r>
                    <w:rPr>
                      <w:rFonts w:hint="eastAsia" w:ascii="Times New Roman" w:hAnsi="Times New Roman" w:eastAsia="宋体" w:cs="Times New Roman"/>
                      <w:color w:val="000000"/>
                      <w:kern w:val="0"/>
                      <w:sz w:val="21"/>
                      <w:szCs w:val="21"/>
                      <w:u w:val="single"/>
                      <w:lang w:val="en-US" w:eastAsia="zh-CN" w:bidi="ar"/>
                    </w:rPr>
                    <w:t>投料、粉碎工序产生的粉尘经收集后采用袋式除尘器（采用覆膜滤袋）处理</w:t>
                  </w:r>
                  <w:r>
                    <w:rPr>
                      <w:rFonts w:hint="default" w:ascii="Times New Roman" w:hAnsi="Times New Roman" w:eastAsia="宋体" w:cs="Times New Roman"/>
                      <w:color w:val="000000"/>
                      <w:kern w:val="0"/>
                      <w:sz w:val="21"/>
                      <w:szCs w:val="21"/>
                      <w:u w:val="single"/>
                      <w:lang w:val="en-US" w:eastAsia="zh-CN" w:bidi="ar"/>
                    </w:rPr>
                    <w:t>；</w:t>
                  </w:r>
                </w:p>
                <w:p w14:paraId="0897EC16">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cs="Times New Roman"/>
                      <w:color w:val="000000"/>
                      <w:u w:val="single"/>
                    </w:rPr>
                  </w:pPr>
                  <w:r>
                    <w:rPr>
                      <w:rFonts w:hint="default" w:ascii="Times New Roman" w:hAnsi="Times New Roman" w:eastAsia="宋体" w:cs="Times New Roman"/>
                      <w:color w:val="000000"/>
                      <w:kern w:val="0"/>
                      <w:sz w:val="21"/>
                      <w:szCs w:val="21"/>
                      <w:u w:val="single"/>
                      <w:lang w:val="en-US" w:eastAsia="zh-CN" w:bidi="ar"/>
                    </w:rPr>
                    <w:t>4</w:t>
                  </w:r>
                  <w:r>
                    <w:rPr>
                      <w:rFonts w:hint="eastAsia" w:ascii="Times New Roman" w:hAnsi="Times New Roman" w:eastAsia="宋体" w:cs="Times New Roman"/>
                      <w:color w:val="000000"/>
                      <w:kern w:val="0"/>
                      <w:sz w:val="21"/>
                      <w:szCs w:val="21"/>
                      <w:u w:val="single"/>
                      <w:lang w:val="en-US" w:eastAsia="zh-CN" w:bidi="ar"/>
                    </w:rPr>
                    <w:t>.本项目</w:t>
                  </w:r>
                  <w:r>
                    <w:rPr>
                      <w:rFonts w:hint="default" w:ascii="Times New Roman" w:hAnsi="Times New Roman" w:eastAsia="宋体" w:cs="Times New Roman"/>
                      <w:color w:val="000000"/>
                      <w:kern w:val="0"/>
                      <w:sz w:val="21"/>
                      <w:szCs w:val="21"/>
                      <w:u w:val="single"/>
                      <w:lang w:val="en-US" w:eastAsia="zh-CN" w:bidi="ar"/>
                    </w:rPr>
                    <w:t>废活性炭暂存于危废暂存间中，建立台账</w:t>
                  </w:r>
                  <w:r>
                    <w:rPr>
                      <w:rFonts w:hint="eastAsia" w:ascii="Times New Roman" w:hAnsi="Times New Roman" w:eastAsia="宋体" w:cs="Times New Roman"/>
                      <w:color w:val="000000"/>
                      <w:kern w:val="0"/>
                      <w:sz w:val="21"/>
                      <w:szCs w:val="21"/>
                      <w:u w:val="single"/>
                      <w:lang w:val="en-US" w:eastAsia="zh-CN" w:bidi="ar"/>
                    </w:rPr>
                    <w:t>；</w:t>
                  </w:r>
                </w:p>
                <w:p w14:paraId="69356960">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bCs/>
                      <w:color w:val="000000"/>
                      <w:sz w:val="21"/>
                      <w:szCs w:val="21"/>
                      <w:u w:val="single"/>
                      <w:lang w:eastAsia="zh-CN"/>
                    </w:rPr>
                  </w:pPr>
                  <w:r>
                    <w:rPr>
                      <w:rFonts w:hint="default" w:ascii="Times New Roman" w:hAnsi="Times New Roman" w:eastAsia="宋体" w:cs="Times New Roman"/>
                      <w:color w:val="000000"/>
                      <w:kern w:val="0"/>
                      <w:sz w:val="21"/>
                      <w:szCs w:val="21"/>
                      <w:u w:val="single"/>
                      <w:lang w:val="en-US" w:eastAsia="zh-CN" w:bidi="ar"/>
                    </w:rPr>
                    <w:t>5</w:t>
                  </w:r>
                  <w:r>
                    <w:rPr>
                      <w:rFonts w:hint="eastAsia" w:ascii="Times New Roman" w:hAnsi="Times New Roman" w:eastAsia="宋体" w:cs="Times New Roman"/>
                      <w:color w:val="000000"/>
                      <w:kern w:val="0"/>
                      <w:sz w:val="21"/>
                      <w:szCs w:val="21"/>
                      <w:u w:val="single"/>
                      <w:lang w:val="en-US" w:eastAsia="zh-CN" w:bidi="ar"/>
                    </w:rPr>
                    <w:t>.本项目</w:t>
                  </w:r>
                  <w:r>
                    <w:rPr>
                      <w:rFonts w:hint="default" w:ascii="Times New Roman" w:hAnsi="Times New Roman" w:eastAsia="宋体" w:cs="Times New Roman"/>
                      <w:color w:val="000000"/>
                      <w:kern w:val="0"/>
                      <w:sz w:val="21"/>
                      <w:szCs w:val="21"/>
                      <w:u w:val="single"/>
                      <w:lang w:val="en-US" w:eastAsia="zh-CN" w:bidi="ar"/>
                    </w:rPr>
                    <w:t>不涉及。</w:t>
                  </w:r>
                </w:p>
              </w:tc>
              <w:tc>
                <w:tcPr>
                  <w:tcW w:w="592" w:type="dxa"/>
                  <w:noWrap w:val="0"/>
                  <w:vAlign w:val="center"/>
                </w:tcPr>
                <w:p w14:paraId="583A97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eastAsia="宋体" w:cs="Times New Roman"/>
                      <w:bCs/>
                      <w:color w:val="000000"/>
                      <w:sz w:val="21"/>
                      <w:szCs w:val="21"/>
                      <w:u w:val="single"/>
                      <w:lang w:eastAsia="zh-CN"/>
                    </w:rPr>
                  </w:pPr>
                  <w:r>
                    <w:rPr>
                      <w:rFonts w:hint="eastAsia"/>
                      <w:color w:val="000000"/>
                      <w:u w:val="single"/>
                      <w:lang w:val="en-US" w:eastAsia="zh-CN"/>
                    </w:rPr>
                    <w:t>相符</w:t>
                  </w:r>
                </w:p>
              </w:tc>
            </w:tr>
            <w:tr w14:paraId="182C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trPr>
              <w:tc>
                <w:tcPr>
                  <w:tcW w:w="779" w:type="dxa"/>
                  <w:noWrap w:val="0"/>
                  <w:vAlign w:val="center"/>
                </w:tcPr>
                <w:p w14:paraId="1F67D6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bCs/>
                      <w:color w:val="000000"/>
                      <w:sz w:val="21"/>
                      <w:szCs w:val="21"/>
                      <w:u w:val="single"/>
                    </w:rPr>
                  </w:pPr>
                  <w:r>
                    <w:rPr>
                      <w:rFonts w:hint="default" w:ascii="Times New Roman" w:hAnsi="Times New Roman"/>
                      <w:bCs/>
                      <w:color w:val="000000"/>
                      <w:sz w:val="21"/>
                      <w:szCs w:val="21"/>
                      <w:u w:val="single"/>
                    </w:rPr>
                    <w:t>无组织管控要求</w:t>
                  </w:r>
                </w:p>
              </w:tc>
              <w:tc>
                <w:tcPr>
                  <w:tcW w:w="4107" w:type="dxa"/>
                  <w:noWrap w:val="0"/>
                  <w:vAlign w:val="center"/>
                </w:tcPr>
                <w:p w14:paraId="09013C0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default" w:ascii="Times New Roman" w:hAnsi="Times New Roman"/>
                      <w:bCs/>
                      <w:color w:val="000000"/>
                      <w:sz w:val="21"/>
                      <w:szCs w:val="21"/>
                      <w:u w:val="single"/>
                    </w:rPr>
                  </w:pPr>
                  <w:r>
                    <w:rPr>
                      <w:rFonts w:hint="default" w:ascii="Times New Roman" w:hAnsi="Times New Roman" w:eastAsia="宋体" w:cs="Times New Roman"/>
                      <w:bCs/>
                      <w:color w:val="000000"/>
                      <w:kern w:val="2"/>
                      <w:sz w:val="21"/>
                      <w:szCs w:val="21"/>
                      <w:u w:val="single"/>
                      <w:lang w:val="en-US" w:eastAsia="zh-CN" w:bidi="ar-SA"/>
                    </w:rPr>
                    <w:t>1.</w:t>
                  </w:r>
                  <w:r>
                    <w:rPr>
                      <w:rFonts w:hint="default" w:ascii="Times New Roman" w:hAnsi="Times New Roman"/>
                      <w:bCs/>
                      <w:color w:val="000000"/>
                      <w:sz w:val="21"/>
                      <w:szCs w:val="21"/>
                      <w:u w:val="single"/>
                    </w:rPr>
                    <w:t>VOCs物料存储于密闭的容器、包装袋、储罐、储库、料仓中；盛装VOCs物料的容器或包装袋存放于室内；盛装VOCs物料的容器或包装袋在非取用状态时应加盖、封口，保持密闭；</w:t>
                  </w:r>
                </w:p>
                <w:p w14:paraId="69A245C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bCs/>
                      <w:color w:val="000000"/>
                      <w:sz w:val="21"/>
                      <w:szCs w:val="21"/>
                      <w:u w:val="single"/>
                    </w:rPr>
                  </w:pPr>
                  <w:r>
                    <w:rPr>
                      <w:rFonts w:hint="default" w:ascii="Times New Roman" w:hAnsi="Times New Roman" w:eastAsia="宋体" w:cs="Times New Roman"/>
                      <w:bCs/>
                      <w:color w:val="000000"/>
                      <w:kern w:val="2"/>
                      <w:sz w:val="21"/>
                      <w:szCs w:val="21"/>
                      <w:u w:val="single"/>
                      <w:lang w:val="en-US" w:eastAsia="zh-CN" w:bidi="ar-SA"/>
                    </w:rPr>
                    <w:t>2.</w:t>
                  </w:r>
                  <w:r>
                    <w:rPr>
                      <w:rFonts w:hint="default" w:ascii="Times New Roman" w:hAnsi="Times New Roman"/>
                      <w:bCs/>
                      <w:color w:val="000000"/>
                      <w:sz w:val="21"/>
                      <w:szCs w:val="21"/>
                      <w:u w:val="single"/>
                    </w:rPr>
                    <w:t>粉状物料采用气力输送、管状带式输送机、螺旋输送机等自动化、密闭输送方式；粒状物料采用密闭的包装袋、容器或罐车进行物料转移；液态VOCs物料采用密闭管道输送；</w:t>
                  </w:r>
                </w:p>
                <w:p w14:paraId="587A8F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bCs/>
                      <w:color w:val="000000"/>
                      <w:sz w:val="21"/>
                      <w:szCs w:val="21"/>
                      <w:u w:val="single"/>
                    </w:rPr>
                  </w:pPr>
                  <w:r>
                    <w:rPr>
                      <w:rFonts w:hint="default" w:ascii="Times New Roman" w:hAnsi="Times New Roman"/>
                      <w:bCs/>
                      <w:color w:val="000000"/>
                      <w:sz w:val="21"/>
                      <w:szCs w:val="21"/>
                      <w:u w:val="single"/>
                    </w:rPr>
                    <w:t>3.产生VOCs的生产工序和装置应设置有效集气装置并引至VOCs末端处理设施；</w:t>
                  </w:r>
                </w:p>
                <w:p w14:paraId="6CED7E2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bCs/>
                      <w:color w:val="000000"/>
                      <w:sz w:val="21"/>
                      <w:szCs w:val="21"/>
                      <w:u w:val="single"/>
                    </w:rPr>
                  </w:pPr>
                  <w:r>
                    <w:rPr>
                      <w:rFonts w:hint="default" w:ascii="Times New Roman" w:hAnsi="Times New Roman"/>
                      <w:bCs/>
                      <w:color w:val="000000"/>
                      <w:sz w:val="21"/>
                      <w:szCs w:val="21"/>
                      <w:u w:val="single"/>
                    </w:rPr>
                    <w:t>4.厂区道路及车间地面硬化，车间地面、墙壁、设备顶部整洁无积尘；厂内地面全部硬化或绿化，无成片裸露土地。</w:t>
                  </w:r>
                </w:p>
                <w:p w14:paraId="0EC15DF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bCs/>
                      <w:color w:val="000000"/>
                      <w:sz w:val="21"/>
                      <w:szCs w:val="21"/>
                      <w:u w:val="single"/>
                    </w:rPr>
                  </w:pPr>
                  <w:r>
                    <w:rPr>
                      <w:rFonts w:hint="default" w:ascii="Times New Roman" w:hAnsi="Times New Roman"/>
                      <w:bCs/>
                      <w:color w:val="000000"/>
                      <w:sz w:val="21"/>
                      <w:szCs w:val="21"/>
                      <w:u w:val="single"/>
                    </w:rPr>
                    <w:t>5.贮存易产生粉尘、VOCs和异味的危险废物贮存库，设有废气收集装置和废气处理设施。废气处理设施的排气筒高度不低于15m。</w:t>
                  </w:r>
                </w:p>
              </w:tc>
              <w:tc>
                <w:tcPr>
                  <w:tcW w:w="2703" w:type="dxa"/>
                  <w:noWrap w:val="0"/>
                  <w:vAlign w:val="center"/>
                </w:tcPr>
                <w:p w14:paraId="58431D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eastAsia="宋体"/>
                      <w:color w:val="000000"/>
                      <w:kern w:val="0"/>
                      <w:szCs w:val="21"/>
                      <w:u w:val="single"/>
                      <w:lang w:eastAsia="zh-CN"/>
                    </w:rPr>
                  </w:pPr>
                  <w:r>
                    <w:rPr>
                      <w:rFonts w:hint="default" w:ascii="Times New Roman" w:hAnsi="Times New Roman"/>
                      <w:bCs/>
                      <w:color w:val="000000"/>
                      <w:sz w:val="21"/>
                      <w:szCs w:val="21"/>
                      <w:u w:val="single"/>
                    </w:rPr>
                    <w:t>1</w:t>
                  </w:r>
                  <w:r>
                    <w:rPr>
                      <w:rFonts w:hint="eastAsia" w:ascii="Times New Roman" w:hAnsi="Times New Roman"/>
                      <w:bCs/>
                      <w:color w:val="000000"/>
                      <w:sz w:val="21"/>
                      <w:szCs w:val="21"/>
                      <w:u w:val="single"/>
                      <w:lang w:val="en-US" w:eastAsia="zh-CN"/>
                    </w:rPr>
                    <w:t>.</w:t>
                  </w:r>
                  <w:r>
                    <w:rPr>
                      <w:rFonts w:hint="eastAsia" w:hAnsi="宋体"/>
                      <w:snapToGrid w:val="0"/>
                      <w:color w:val="000000"/>
                      <w:kern w:val="0"/>
                      <w:szCs w:val="21"/>
                      <w:u w:val="single"/>
                    </w:rPr>
                    <w:t>本项目</w:t>
                  </w:r>
                  <w:r>
                    <w:rPr>
                      <w:rFonts w:hint="eastAsia" w:hAnsi="宋体"/>
                      <w:snapToGrid w:val="0"/>
                      <w:color w:val="000000"/>
                      <w:kern w:val="0"/>
                      <w:szCs w:val="21"/>
                      <w:u w:val="single"/>
                      <w:lang w:val="en-US" w:eastAsia="zh-CN"/>
                    </w:rPr>
                    <w:t>丁酯采用桶装，</w:t>
                  </w:r>
                  <w:r>
                    <w:rPr>
                      <w:rFonts w:hint="eastAsia" w:hAnsi="宋体"/>
                      <w:snapToGrid w:val="0"/>
                      <w:color w:val="000000"/>
                      <w:kern w:val="0"/>
                      <w:szCs w:val="21"/>
                      <w:u w:val="single"/>
                    </w:rPr>
                    <w:t>存放于封闭车间内；</w:t>
                  </w:r>
                  <w:r>
                    <w:rPr>
                      <w:rFonts w:hint="eastAsia"/>
                      <w:color w:val="000000"/>
                      <w:kern w:val="0"/>
                      <w:szCs w:val="21"/>
                      <w:u w:val="single"/>
                    </w:rPr>
                    <w:t>盛装</w:t>
                  </w:r>
                  <w:r>
                    <w:rPr>
                      <w:rFonts w:hint="eastAsia" w:hAnsi="宋体"/>
                      <w:snapToGrid w:val="0"/>
                      <w:color w:val="000000"/>
                      <w:kern w:val="0"/>
                      <w:szCs w:val="21"/>
                      <w:u w:val="single"/>
                      <w:lang w:val="en-US" w:eastAsia="zh-CN"/>
                    </w:rPr>
                    <w:t>丁酯</w:t>
                  </w:r>
                  <w:r>
                    <w:rPr>
                      <w:rFonts w:hint="eastAsia"/>
                      <w:color w:val="000000"/>
                      <w:kern w:val="0"/>
                      <w:szCs w:val="21"/>
                      <w:u w:val="single"/>
                    </w:rPr>
                    <w:t>的容器在非取用状态时加盖，保持密闭</w:t>
                  </w:r>
                  <w:r>
                    <w:rPr>
                      <w:rFonts w:hint="eastAsia"/>
                      <w:color w:val="000000"/>
                      <w:kern w:val="0"/>
                      <w:szCs w:val="21"/>
                      <w:u w:val="single"/>
                      <w:lang w:eastAsia="zh-CN"/>
                    </w:rPr>
                    <w:t>；</w:t>
                  </w:r>
                </w:p>
                <w:p w14:paraId="6839A3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imes New Roman" w:hAnsi="Times New Roman" w:eastAsia="宋体"/>
                      <w:bCs/>
                      <w:color w:val="000000"/>
                      <w:sz w:val="21"/>
                      <w:szCs w:val="21"/>
                      <w:u w:val="single"/>
                      <w:lang w:val="en-US" w:eastAsia="zh-CN"/>
                    </w:rPr>
                  </w:pPr>
                  <w:r>
                    <w:rPr>
                      <w:rFonts w:hint="default" w:ascii="Times New Roman" w:hAnsi="Times New Roman"/>
                      <w:bCs/>
                      <w:color w:val="000000"/>
                      <w:sz w:val="21"/>
                      <w:szCs w:val="21"/>
                      <w:u w:val="single"/>
                    </w:rPr>
                    <w:t>2</w:t>
                  </w:r>
                  <w:r>
                    <w:rPr>
                      <w:rFonts w:hint="eastAsia" w:ascii="Times New Roman" w:hAnsi="Times New Roman"/>
                      <w:bCs/>
                      <w:color w:val="000000"/>
                      <w:sz w:val="21"/>
                      <w:szCs w:val="21"/>
                      <w:u w:val="single"/>
                      <w:lang w:val="en-US" w:eastAsia="zh-CN"/>
                    </w:rPr>
                    <w:t>.粉状物料</w:t>
                  </w:r>
                  <w:r>
                    <w:rPr>
                      <w:rFonts w:hint="default" w:ascii="Times New Roman" w:hAnsi="Times New Roman"/>
                      <w:bCs/>
                      <w:color w:val="000000"/>
                      <w:sz w:val="21"/>
                      <w:szCs w:val="21"/>
                      <w:u w:val="single"/>
                    </w:rPr>
                    <w:t>采用气力输送</w:t>
                  </w:r>
                  <w:r>
                    <w:rPr>
                      <w:rFonts w:hint="eastAsia" w:ascii="Times New Roman" w:hAnsi="Times New Roman"/>
                      <w:bCs/>
                      <w:color w:val="000000"/>
                      <w:sz w:val="21"/>
                      <w:szCs w:val="21"/>
                      <w:u w:val="single"/>
                      <w:lang w:eastAsia="zh-CN"/>
                    </w:rPr>
                    <w:t>；</w:t>
                  </w:r>
                  <w:r>
                    <w:rPr>
                      <w:rFonts w:hint="eastAsia" w:hAnsi="宋体"/>
                      <w:snapToGrid w:val="0"/>
                      <w:color w:val="000000"/>
                      <w:kern w:val="0"/>
                      <w:szCs w:val="21"/>
                      <w:u w:val="single"/>
                      <w:lang w:val="en-US" w:eastAsia="zh-CN"/>
                    </w:rPr>
                    <w:t>固体原料存储在包装袋中</w:t>
                  </w:r>
                  <w:r>
                    <w:rPr>
                      <w:rFonts w:hint="default" w:ascii="Times New Roman" w:hAnsi="Times New Roman"/>
                      <w:bCs/>
                      <w:color w:val="000000"/>
                      <w:sz w:val="21"/>
                      <w:szCs w:val="21"/>
                      <w:u w:val="single"/>
                    </w:rPr>
                    <w:t>；</w:t>
                  </w:r>
                  <w:r>
                    <w:rPr>
                      <w:rFonts w:hint="eastAsia" w:ascii="Times New Roman" w:hAnsi="Times New Roman"/>
                      <w:bCs/>
                      <w:color w:val="000000"/>
                      <w:sz w:val="21"/>
                      <w:szCs w:val="21"/>
                      <w:u w:val="single"/>
                      <w:lang w:val="en-US" w:eastAsia="zh-CN"/>
                    </w:rPr>
                    <w:t>丁酯采用</w:t>
                  </w:r>
                  <w:r>
                    <w:rPr>
                      <w:rFonts w:hint="default" w:ascii="Times New Roman" w:hAnsi="Times New Roman"/>
                      <w:bCs/>
                      <w:color w:val="000000"/>
                      <w:sz w:val="21"/>
                      <w:szCs w:val="21"/>
                      <w:u w:val="single"/>
                    </w:rPr>
                    <w:t>密闭管道输送</w:t>
                  </w:r>
                  <w:r>
                    <w:rPr>
                      <w:rFonts w:hint="eastAsia" w:ascii="Times New Roman" w:hAnsi="Times New Roman"/>
                      <w:bCs/>
                      <w:color w:val="000000"/>
                      <w:sz w:val="21"/>
                      <w:szCs w:val="21"/>
                      <w:u w:val="single"/>
                      <w:lang w:eastAsia="zh-CN"/>
                    </w:rPr>
                    <w:t>；</w:t>
                  </w:r>
                </w:p>
                <w:p w14:paraId="22E05B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bCs/>
                      <w:color w:val="000000"/>
                      <w:sz w:val="21"/>
                      <w:szCs w:val="21"/>
                      <w:u w:val="single"/>
                    </w:rPr>
                  </w:pPr>
                  <w:r>
                    <w:rPr>
                      <w:rFonts w:hint="default" w:ascii="Times New Roman" w:hAnsi="Times New Roman"/>
                      <w:bCs/>
                      <w:color w:val="000000"/>
                      <w:sz w:val="21"/>
                      <w:szCs w:val="21"/>
                      <w:u w:val="single"/>
                    </w:rPr>
                    <w:t>3</w:t>
                  </w:r>
                  <w:r>
                    <w:rPr>
                      <w:rFonts w:hint="eastAsia" w:ascii="Times New Roman" w:hAnsi="Times New Roman"/>
                      <w:bCs/>
                      <w:color w:val="000000"/>
                      <w:sz w:val="21"/>
                      <w:szCs w:val="21"/>
                      <w:u w:val="single"/>
                      <w:lang w:val="en-US" w:eastAsia="zh-CN"/>
                    </w:rPr>
                    <w:t>.生产过程中产生的</w:t>
                  </w:r>
                  <w:r>
                    <w:rPr>
                      <w:rFonts w:hint="default" w:ascii="Times New Roman" w:hAnsi="Times New Roman" w:eastAsia="宋体" w:cs="Times New Roman"/>
                      <w:color w:val="000000"/>
                      <w:kern w:val="0"/>
                      <w:sz w:val="21"/>
                      <w:szCs w:val="21"/>
                      <w:u w:val="single"/>
                      <w:lang w:val="en-US" w:eastAsia="zh-CN" w:bidi="ar"/>
                    </w:rPr>
                    <w:t>VOCs</w:t>
                  </w:r>
                  <w:r>
                    <w:rPr>
                      <w:rFonts w:hint="default" w:ascii="Times New Roman" w:hAnsi="Times New Roman"/>
                      <w:bCs/>
                      <w:color w:val="000000"/>
                      <w:sz w:val="21"/>
                      <w:szCs w:val="21"/>
                      <w:u w:val="single"/>
                    </w:rPr>
                    <w:t>经</w:t>
                  </w:r>
                  <w:r>
                    <w:rPr>
                      <w:rFonts w:hint="eastAsia" w:ascii="Times New Roman" w:hAnsi="Times New Roman"/>
                      <w:bCs/>
                      <w:color w:val="000000"/>
                      <w:sz w:val="21"/>
                      <w:szCs w:val="21"/>
                      <w:u w:val="single"/>
                      <w:lang w:val="en-US" w:eastAsia="zh-CN"/>
                    </w:rPr>
                    <w:t>集气罩</w:t>
                  </w:r>
                  <w:r>
                    <w:rPr>
                      <w:rFonts w:hint="default" w:ascii="Times New Roman" w:hAnsi="Times New Roman"/>
                      <w:bCs/>
                      <w:color w:val="000000"/>
                      <w:sz w:val="21"/>
                      <w:szCs w:val="21"/>
                      <w:u w:val="single"/>
                    </w:rPr>
                    <w:t>收集后由</w:t>
                  </w:r>
                  <w:r>
                    <w:rPr>
                      <w:rFonts w:hint="eastAsia" w:ascii="宋体" w:hAnsi="宋体" w:eastAsia="宋体" w:cs="宋体"/>
                      <w:bCs/>
                      <w:color w:val="000000"/>
                      <w:sz w:val="21"/>
                      <w:szCs w:val="21"/>
                      <w:u w:val="single"/>
                    </w:rPr>
                    <w:t>“两级活性炭吸附”装</w:t>
                  </w:r>
                  <w:r>
                    <w:rPr>
                      <w:rFonts w:hint="default" w:ascii="Times New Roman" w:hAnsi="Times New Roman"/>
                      <w:bCs/>
                      <w:color w:val="000000"/>
                      <w:sz w:val="21"/>
                      <w:szCs w:val="21"/>
                      <w:u w:val="single"/>
                    </w:rPr>
                    <w:t>置处理；</w:t>
                  </w:r>
                </w:p>
                <w:p w14:paraId="00C79CB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bCs/>
                      <w:color w:val="000000"/>
                      <w:sz w:val="21"/>
                      <w:szCs w:val="21"/>
                      <w:u w:val="single"/>
                      <w:lang w:eastAsia="zh-CN"/>
                    </w:rPr>
                  </w:pPr>
                  <w:r>
                    <w:rPr>
                      <w:rFonts w:hint="eastAsia" w:cs="Times New Roman"/>
                      <w:bCs/>
                      <w:color w:val="000000"/>
                      <w:kern w:val="2"/>
                      <w:sz w:val="21"/>
                      <w:szCs w:val="21"/>
                      <w:u w:val="single"/>
                      <w:lang w:val="en-US" w:eastAsia="zh-CN" w:bidi="ar-SA"/>
                    </w:rPr>
                    <w:t>4</w:t>
                  </w:r>
                  <w:r>
                    <w:rPr>
                      <w:rFonts w:hint="eastAsia" w:ascii="Times New Roman" w:hAnsi="Times New Roman" w:eastAsia="宋体" w:cs="Times New Roman"/>
                      <w:bCs/>
                      <w:color w:val="000000"/>
                      <w:kern w:val="2"/>
                      <w:sz w:val="21"/>
                      <w:szCs w:val="21"/>
                      <w:u w:val="single"/>
                      <w:lang w:val="en-US" w:eastAsia="zh-CN" w:bidi="ar-SA"/>
                    </w:rPr>
                    <w:t>.</w:t>
                  </w:r>
                  <w:r>
                    <w:rPr>
                      <w:rFonts w:hint="default" w:ascii="Times New Roman" w:hAnsi="Times New Roman"/>
                      <w:bCs/>
                      <w:color w:val="000000"/>
                      <w:sz w:val="21"/>
                      <w:szCs w:val="21"/>
                      <w:u w:val="single"/>
                    </w:rPr>
                    <w:t>厂区道路及车间地面硬化，车间</w:t>
                  </w:r>
                  <w:r>
                    <w:rPr>
                      <w:rFonts w:hint="default" w:ascii="Times New Roman" w:hAnsi="Times New Roman" w:eastAsia="宋体" w:cs="Times New Roman"/>
                      <w:bCs/>
                      <w:color w:val="000000"/>
                      <w:kern w:val="2"/>
                      <w:sz w:val="21"/>
                      <w:szCs w:val="21"/>
                      <w:u w:val="single"/>
                      <w:lang w:val="en-US" w:eastAsia="zh-CN" w:bidi="ar-SA"/>
                    </w:rPr>
                    <w:t>、</w:t>
                  </w:r>
                  <w:r>
                    <w:rPr>
                      <w:rFonts w:hint="default" w:ascii="Times New Roman" w:hAnsi="Times New Roman"/>
                      <w:bCs/>
                      <w:color w:val="000000"/>
                      <w:sz w:val="21"/>
                      <w:szCs w:val="21"/>
                      <w:u w:val="single"/>
                    </w:rPr>
                    <w:t>地面、墙壁、设备顶部整洁无积尘</w:t>
                  </w:r>
                  <w:r>
                    <w:rPr>
                      <w:rFonts w:hint="eastAsia"/>
                      <w:bCs/>
                      <w:color w:val="000000"/>
                      <w:sz w:val="21"/>
                      <w:szCs w:val="21"/>
                      <w:u w:val="single"/>
                      <w:lang w:eastAsia="zh-CN"/>
                    </w:rPr>
                    <w:t>，</w:t>
                  </w:r>
                  <w:r>
                    <w:rPr>
                      <w:rFonts w:hint="default" w:ascii="Times New Roman" w:hAnsi="Times New Roman"/>
                      <w:bCs/>
                      <w:color w:val="000000"/>
                      <w:sz w:val="21"/>
                      <w:szCs w:val="21"/>
                      <w:u w:val="single"/>
                    </w:rPr>
                    <w:t>厂内地面全部硬化或绿化，无成片裸露土地</w:t>
                  </w:r>
                  <w:r>
                    <w:rPr>
                      <w:rFonts w:hint="eastAsia"/>
                      <w:bCs/>
                      <w:color w:val="000000"/>
                      <w:sz w:val="21"/>
                      <w:szCs w:val="21"/>
                      <w:u w:val="single"/>
                      <w:lang w:eastAsia="zh-CN"/>
                    </w:rPr>
                    <w:t>；</w:t>
                  </w:r>
                </w:p>
                <w:p w14:paraId="187645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宋体"/>
                      <w:bCs/>
                      <w:color w:val="000000"/>
                      <w:sz w:val="21"/>
                      <w:szCs w:val="21"/>
                      <w:u w:val="single"/>
                      <w:lang w:val="en-US" w:eastAsia="zh-CN"/>
                    </w:rPr>
                  </w:pPr>
                  <w:r>
                    <w:rPr>
                      <w:rFonts w:hint="eastAsia"/>
                      <w:bCs/>
                      <w:color w:val="000000"/>
                      <w:sz w:val="21"/>
                      <w:szCs w:val="21"/>
                      <w:u w:val="single"/>
                      <w:lang w:val="en-US" w:eastAsia="zh-CN"/>
                    </w:rPr>
                    <w:t>5.本项目不涉及。</w:t>
                  </w:r>
                </w:p>
              </w:tc>
              <w:tc>
                <w:tcPr>
                  <w:tcW w:w="592" w:type="dxa"/>
                  <w:noWrap w:val="0"/>
                  <w:vAlign w:val="center"/>
                </w:tcPr>
                <w:p w14:paraId="4D23181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bCs/>
                      <w:color w:val="000000"/>
                      <w:sz w:val="21"/>
                      <w:szCs w:val="21"/>
                      <w:u w:val="single"/>
                      <w:lang w:val="en-US" w:eastAsia="zh-CN"/>
                    </w:rPr>
                  </w:pPr>
                  <w:r>
                    <w:rPr>
                      <w:rFonts w:hint="eastAsia"/>
                      <w:color w:val="000000"/>
                      <w:u w:val="single"/>
                      <w:lang w:val="en-US" w:eastAsia="zh-CN"/>
                    </w:rPr>
                    <w:t>相符</w:t>
                  </w:r>
                </w:p>
              </w:tc>
            </w:tr>
            <w:tr w14:paraId="51FD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trPr>
              <w:tc>
                <w:tcPr>
                  <w:tcW w:w="779" w:type="dxa"/>
                  <w:noWrap w:val="0"/>
                  <w:vAlign w:val="center"/>
                </w:tcPr>
                <w:p w14:paraId="7A3F7A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bCs/>
                      <w:color w:val="000000"/>
                      <w:sz w:val="21"/>
                      <w:szCs w:val="21"/>
                      <w:u w:val="single"/>
                      <w:lang w:val="en-US" w:eastAsia="zh-CN"/>
                    </w:rPr>
                  </w:pPr>
                  <w:r>
                    <w:rPr>
                      <w:rFonts w:hint="eastAsia"/>
                      <w:bCs/>
                      <w:color w:val="000000"/>
                      <w:sz w:val="21"/>
                      <w:szCs w:val="21"/>
                      <w:u w:val="single"/>
                      <w:lang w:val="en-US" w:eastAsia="zh-CN"/>
                    </w:rPr>
                    <w:t>排放限值</w:t>
                  </w:r>
                </w:p>
              </w:tc>
              <w:tc>
                <w:tcPr>
                  <w:tcW w:w="4107" w:type="dxa"/>
                  <w:noWrap w:val="0"/>
                  <w:vAlign w:val="center"/>
                </w:tcPr>
                <w:p w14:paraId="683E9031">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宋体" w:hAnsi="宋体" w:eastAsia="宋体" w:cs="宋体"/>
                      <w:color w:val="000000"/>
                      <w:kern w:val="0"/>
                      <w:sz w:val="21"/>
                      <w:szCs w:val="21"/>
                      <w:u w:val="single"/>
                      <w:lang w:val="en-US" w:eastAsia="zh-CN" w:bidi="ar"/>
                    </w:rPr>
                  </w:pPr>
                  <w:r>
                    <w:rPr>
                      <w:rFonts w:hint="eastAsia" w:ascii="宋体" w:hAnsi="宋体" w:eastAsia="宋体" w:cs="宋体"/>
                      <w:color w:val="000000"/>
                      <w:kern w:val="0"/>
                      <w:sz w:val="21"/>
                      <w:szCs w:val="21"/>
                      <w:u w:val="single"/>
                      <w:lang w:val="en-US" w:eastAsia="zh-CN" w:bidi="ar"/>
                    </w:rPr>
                    <w:t>1.全厂有组织</w:t>
                  </w:r>
                  <w:r>
                    <w:rPr>
                      <w:rFonts w:hint="default" w:ascii="Times New Roman" w:hAnsi="Times New Roman" w:eastAsia="宋体" w:cs="Times New Roman"/>
                      <w:color w:val="000000"/>
                      <w:kern w:val="0"/>
                      <w:sz w:val="21"/>
                      <w:szCs w:val="21"/>
                      <w:u w:val="single"/>
                      <w:lang w:val="en-US" w:eastAsia="zh-CN" w:bidi="ar"/>
                    </w:rPr>
                    <w:t>PM</w:t>
                  </w:r>
                  <w:r>
                    <w:rPr>
                      <w:rFonts w:hint="eastAsia" w:ascii="宋体" w:hAnsi="宋体" w:eastAsia="宋体" w:cs="宋体"/>
                      <w:color w:val="000000"/>
                      <w:kern w:val="0"/>
                      <w:sz w:val="21"/>
                      <w:szCs w:val="21"/>
                      <w:u w:val="single"/>
                      <w:lang w:val="en-US" w:eastAsia="zh-CN" w:bidi="ar"/>
                    </w:rPr>
                    <w:t>、</w:t>
                  </w:r>
                  <w:r>
                    <w:rPr>
                      <w:rFonts w:hint="default" w:ascii="Times New Roman" w:hAnsi="Times New Roman" w:eastAsia="宋体" w:cs="Times New Roman"/>
                      <w:color w:val="000000"/>
                      <w:kern w:val="0"/>
                      <w:sz w:val="21"/>
                      <w:szCs w:val="21"/>
                      <w:u w:val="single"/>
                      <w:lang w:val="en-US" w:eastAsia="zh-CN" w:bidi="ar"/>
                    </w:rPr>
                    <w:t>NMHC</w:t>
                  </w:r>
                  <w:r>
                    <w:rPr>
                      <w:rFonts w:hint="eastAsia" w:ascii="宋体" w:hAnsi="宋体" w:eastAsia="宋体" w:cs="宋体"/>
                      <w:color w:val="000000"/>
                      <w:kern w:val="0"/>
                      <w:sz w:val="21"/>
                      <w:szCs w:val="21"/>
                      <w:u w:val="single"/>
                      <w:lang w:val="en-US" w:eastAsia="zh-CN" w:bidi="ar"/>
                    </w:rPr>
                    <w:t>有组织排放浓度分别不高于</w:t>
                  </w:r>
                  <w:r>
                    <w:rPr>
                      <w:rFonts w:hint="default" w:ascii="Times New Roman" w:hAnsi="Times New Roman" w:eastAsia="宋体" w:cs="Times New Roman"/>
                      <w:color w:val="000000"/>
                      <w:kern w:val="0"/>
                      <w:sz w:val="21"/>
                      <w:szCs w:val="21"/>
                      <w:u w:val="single"/>
                      <w:lang w:val="en-US" w:eastAsia="zh-CN" w:bidi="ar"/>
                    </w:rPr>
                    <w:t>10</w:t>
                  </w:r>
                  <w:r>
                    <w:rPr>
                      <w:rFonts w:hint="eastAsia" w:ascii="宋体" w:hAnsi="宋体" w:eastAsia="宋体" w:cs="宋体"/>
                      <w:color w:val="000000"/>
                      <w:kern w:val="0"/>
                      <w:sz w:val="21"/>
                      <w:szCs w:val="21"/>
                      <w:u w:val="single"/>
                      <w:lang w:val="en-US" w:eastAsia="zh-CN" w:bidi="ar"/>
                    </w:rPr>
                    <w:t>、</w:t>
                  </w:r>
                  <w:r>
                    <w:rPr>
                      <w:rFonts w:hint="default" w:ascii="Times New Roman" w:hAnsi="Times New Roman" w:eastAsia="宋体" w:cs="Times New Roman"/>
                      <w:color w:val="000000"/>
                      <w:kern w:val="0"/>
                      <w:sz w:val="21"/>
                      <w:szCs w:val="21"/>
                      <w:u w:val="single"/>
                      <w:lang w:val="en-US" w:eastAsia="zh-CN" w:bidi="ar"/>
                    </w:rPr>
                    <w:t>20mg/</w:t>
                  </w:r>
                  <w:r>
                    <w:rPr>
                      <w:rFonts w:hint="eastAsia" w:cs="Times New Roman"/>
                      <w:color w:val="000000"/>
                      <w:kern w:val="0"/>
                      <w:sz w:val="21"/>
                      <w:szCs w:val="21"/>
                      <w:u w:val="single"/>
                      <w:lang w:val="en-US" w:eastAsia="zh-CN" w:bidi="ar"/>
                    </w:rPr>
                    <w:t>m</w:t>
                  </w:r>
                  <w:r>
                    <w:rPr>
                      <w:rFonts w:hint="eastAsia" w:cs="宋体"/>
                      <w:bCs/>
                      <w:color w:val="000000"/>
                      <w:kern w:val="0"/>
                      <w:sz w:val="21"/>
                      <w:szCs w:val="21"/>
                      <w:highlight w:val="none"/>
                      <w:u w:val="single"/>
                      <w:vertAlign w:val="superscript"/>
                      <w:lang w:val="en-US" w:eastAsia="zh-CN"/>
                    </w:rPr>
                    <w:t>3</w:t>
                  </w:r>
                  <w:r>
                    <w:rPr>
                      <w:rFonts w:hint="eastAsia" w:ascii="宋体" w:hAnsi="宋体" w:eastAsia="宋体" w:cs="宋体"/>
                      <w:color w:val="000000"/>
                      <w:kern w:val="0"/>
                      <w:sz w:val="21"/>
                      <w:szCs w:val="21"/>
                      <w:u w:val="single"/>
                      <w:lang w:val="en-US" w:eastAsia="zh-CN" w:bidi="ar"/>
                    </w:rPr>
                    <w:t>；</w:t>
                  </w:r>
                </w:p>
                <w:p w14:paraId="451392B9">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宋体" w:hAnsi="宋体" w:eastAsia="宋体" w:cs="宋体"/>
                      <w:color w:val="000000"/>
                      <w:kern w:val="0"/>
                      <w:sz w:val="21"/>
                      <w:szCs w:val="21"/>
                      <w:u w:val="single"/>
                      <w:lang w:val="en-US" w:eastAsia="zh-CN" w:bidi="ar"/>
                    </w:rPr>
                  </w:pPr>
                  <w:r>
                    <w:rPr>
                      <w:rFonts w:hint="default" w:ascii="Times New Roman" w:hAnsi="Times New Roman" w:eastAsia="宋体" w:cs="Times New Roman"/>
                      <w:color w:val="000000"/>
                      <w:kern w:val="0"/>
                      <w:sz w:val="21"/>
                      <w:szCs w:val="21"/>
                      <w:u w:val="single"/>
                      <w:lang w:val="en-US" w:eastAsia="zh-CN" w:bidi="ar"/>
                    </w:rPr>
                    <w:t>2.VOCs</w:t>
                  </w:r>
                  <w:r>
                    <w:rPr>
                      <w:rFonts w:hint="eastAsia" w:ascii="宋体" w:hAnsi="宋体" w:eastAsia="宋体" w:cs="宋体"/>
                      <w:color w:val="000000"/>
                      <w:kern w:val="0"/>
                      <w:sz w:val="21"/>
                      <w:szCs w:val="21"/>
                      <w:u w:val="single"/>
                      <w:lang w:val="en-US" w:eastAsia="zh-CN" w:bidi="ar"/>
                    </w:rPr>
                    <w:t>治理设施去除率达到</w:t>
                  </w:r>
                  <w:r>
                    <w:rPr>
                      <w:rFonts w:hint="default" w:ascii="Times New Roman" w:hAnsi="Times New Roman" w:eastAsia="宋体" w:cs="Times New Roman"/>
                      <w:color w:val="000000"/>
                      <w:kern w:val="0"/>
                      <w:sz w:val="21"/>
                      <w:szCs w:val="21"/>
                      <w:u w:val="single"/>
                      <w:lang w:val="en-US" w:eastAsia="zh-CN" w:bidi="ar"/>
                    </w:rPr>
                    <w:t>80%</w:t>
                  </w:r>
                  <w:r>
                    <w:rPr>
                      <w:rFonts w:hint="eastAsia" w:ascii="宋体" w:hAnsi="宋体" w:eastAsia="宋体" w:cs="宋体"/>
                      <w:color w:val="000000"/>
                      <w:kern w:val="0"/>
                      <w:sz w:val="21"/>
                      <w:szCs w:val="21"/>
                      <w:u w:val="single"/>
                      <w:lang w:val="en-US" w:eastAsia="zh-CN" w:bidi="ar"/>
                    </w:rPr>
                    <w:t>及以上；去除率确实达不到的，生产车间或生产设备的无组织排放监控点</w:t>
                  </w:r>
                  <w:r>
                    <w:rPr>
                      <w:rFonts w:hint="default" w:ascii="Times New Roman" w:hAnsi="Times New Roman" w:eastAsia="宋体" w:cs="Times New Roman"/>
                      <w:color w:val="000000"/>
                      <w:kern w:val="0"/>
                      <w:sz w:val="21"/>
                      <w:szCs w:val="21"/>
                      <w:u w:val="single"/>
                      <w:lang w:val="en-US" w:eastAsia="zh-CN" w:bidi="ar"/>
                    </w:rPr>
                    <w:t>NMHC</w:t>
                  </w:r>
                  <w:r>
                    <w:rPr>
                      <w:rFonts w:hint="eastAsia" w:ascii="宋体" w:hAnsi="宋体" w:eastAsia="宋体" w:cs="宋体"/>
                      <w:color w:val="000000"/>
                      <w:kern w:val="0"/>
                      <w:sz w:val="21"/>
                      <w:szCs w:val="21"/>
                      <w:u w:val="single"/>
                      <w:lang w:val="en-US" w:eastAsia="zh-CN" w:bidi="ar"/>
                    </w:rPr>
                    <w:t>浓度低于</w:t>
                  </w:r>
                  <w:r>
                    <w:rPr>
                      <w:rFonts w:hint="default" w:ascii="Times New Roman" w:hAnsi="Times New Roman" w:eastAsia="宋体" w:cs="Times New Roman"/>
                      <w:color w:val="000000"/>
                      <w:kern w:val="0"/>
                      <w:sz w:val="21"/>
                      <w:szCs w:val="21"/>
                      <w:u w:val="single"/>
                      <w:lang w:val="en-US" w:eastAsia="zh-CN" w:bidi="ar"/>
                    </w:rPr>
                    <w:t>4mg/m</w:t>
                  </w:r>
                  <w:r>
                    <w:rPr>
                      <w:rFonts w:hint="eastAsia" w:cs="宋体"/>
                      <w:bCs/>
                      <w:color w:val="000000"/>
                      <w:kern w:val="0"/>
                      <w:sz w:val="21"/>
                      <w:szCs w:val="21"/>
                      <w:highlight w:val="none"/>
                      <w:u w:val="single"/>
                      <w:vertAlign w:val="superscript"/>
                      <w:lang w:val="en-US" w:eastAsia="zh-CN"/>
                    </w:rPr>
                    <w:t>3</w:t>
                  </w:r>
                  <w:r>
                    <w:rPr>
                      <w:rFonts w:hint="eastAsia" w:ascii="宋体" w:hAnsi="宋体" w:eastAsia="宋体" w:cs="宋体"/>
                      <w:color w:val="000000"/>
                      <w:kern w:val="0"/>
                      <w:sz w:val="21"/>
                      <w:szCs w:val="21"/>
                      <w:u w:val="single"/>
                      <w:lang w:val="en-US" w:eastAsia="zh-CN" w:bidi="ar"/>
                    </w:rPr>
                    <w:t>，企业边界</w:t>
                  </w:r>
                  <w:r>
                    <w:rPr>
                      <w:rFonts w:hint="default" w:ascii="Times New Roman" w:hAnsi="Times New Roman" w:eastAsia="宋体" w:cs="Times New Roman"/>
                      <w:color w:val="000000"/>
                      <w:kern w:val="0"/>
                      <w:sz w:val="21"/>
                      <w:szCs w:val="21"/>
                      <w:u w:val="single"/>
                      <w:lang w:val="en-US" w:eastAsia="zh-CN" w:bidi="ar"/>
                    </w:rPr>
                    <w:t>1hNMHC</w:t>
                  </w:r>
                  <w:r>
                    <w:rPr>
                      <w:rFonts w:hint="eastAsia" w:ascii="宋体" w:hAnsi="宋体" w:eastAsia="宋体" w:cs="宋体"/>
                      <w:color w:val="000000"/>
                      <w:kern w:val="0"/>
                      <w:sz w:val="21"/>
                      <w:szCs w:val="21"/>
                      <w:u w:val="single"/>
                      <w:lang w:val="en-US" w:eastAsia="zh-CN" w:bidi="ar"/>
                    </w:rPr>
                    <w:t>平均浓度低于</w:t>
                  </w:r>
                  <w:r>
                    <w:rPr>
                      <w:rFonts w:hint="default" w:ascii="Times New Roman" w:hAnsi="Times New Roman" w:eastAsia="宋体" w:cs="Times New Roman"/>
                      <w:color w:val="000000"/>
                      <w:kern w:val="0"/>
                      <w:sz w:val="21"/>
                      <w:szCs w:val="21"/>
                      <w:u w:val="single"/>
                      <w:lang w:val="en-US" w:eastAsia="zh-CN" w:bidi="ar"/>
                    </w:rPr>
                    <w:t>2mg/m</w:t>
                  </w:r>
                  <w:r>
                    <w:rPr>
                      <w:rFonts w:hint="eastAsia" w:cs="宋体"/>
                      <w:bCs/>
                      <w:color w:val="000000"/>
                      <w:kern w:val="0"/>
                      <w:sz w:val="21"/>
                      <w:szCs w:val="21"/>
                      <w:highlight w:val="none"/>
                      <w:u w:val="single"/>
                      <w:vertAlign w:val="superscript"/>
                      <w:lang w:val="en-US" w:eastAsia="zh-CN"/>
                    </w:rPr>
                    <w:t>3</w:t>
                  </w:r>
                  <w:r>
                    <w:rPr>
                      <w:rFonts w:hint="eastAsia" w:ascii="宋体" w:hAnsi="宋体" w:eastAsia="宋体" w:cs="宋体"/>
                      <w:color w:val="000000"/>
                      <w:kern w:val="0"/>
                      <w:sz w:val="21"/>
                      <w:szCs w:val="21"/>
                      <w:u w:val="single"/>
                      <w:lang w:val="en-US" w:eastAsia="zh-CN" w:bidi="ar"/>
                    </w:rPr>
                    <w:t>；</w:t>
                  </w:r>
                </w:p>
                <w:p w14:paraId="3E6BA804">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default" w:ascii="Times New Roman" w:hAnsi="Times New Roman"/>
                      <w:bCs/>
                      <w:color w:val="000000"/>
                      <w:sz w:val="21"/>
                      <w:szCs w:val="21"/>
                      <w:u w:val="single"/>
                    </w:rPr>
                  </w:pPr>
                  <w:r>
                    <w:rPr>
                      <w:rFonts w:hint="default" w:ascii="Times New Roman" w:hAnsi="Times New Roman" w:eastAsia="宋体" w:cs="Times New Roman"/>
                      <w:color w:val="000000"/>
                      <w:kern w:val="0"/>
                      <w:sz w:val="21"/>
                      <w:szCs w:val="21"/>
                      <w:u w:val="single"/>
                      <w:lang w:val="en-US" w:eastAsia="zh-CN" w:bidi="ar"/>
                    </w:rPr>
                    <w:t>3.</w:t>
                  </w:r>
                  <w:r>
                    <w:rPr>
                      <w:rFonts w:hint="eastAsia" w:ascii="宋体" w:hAnsi="宋体" w:eastAsia="宋体" w:cs="宋体"/>
                      <w:color w:val="000000"/>
                      <w:kern w:val="0"/>
                      <w:sz w:val="21"/>
                      <w:szCs w:val="21"/>
                      <w:u w:val="single"/>
                      <w:lang w:val="en-US" w:eastAsia="zh-CN" w:bidi="ar"/>
                    </w:rPr>
                    <w:t>锅炉烟气排放限值要求：燃气锅炉</w:t>
                  </w:r>
                  <w:r>
                    <w:rPr>
                      <w:rFonts w:hint="default" w:ascii="Times New Roman" w:hAnsi="Times New Roman" w:eastAsia="宋体" w:cs="Times New Roman"/>
                      <w:color w:val="000000"/>
                      <w:kern w:val="0"/>
                      <w:sz w:val="21"/>
                      <w:szCs w:val="21"/>
                      <w:u w:val="single"/>
                      <w:lang w:val="en-US" w:eastAsia="zh-CN" w:bidi="ar"/>
                    </w:rPr>
                    <w:t>PM</w:t>
                  </w:r>
                  <w:r>
                    <w:rPr>
                      <w:rFonts w:hint="eastAsia" w:ascii="宋体" w:hAnsi="宋体" w:eastAsia="宋体" w:cs="宋体"/>
                      <w:color w:val="000000"/>
                      <w:kern w:val="0"/>
                      <w:sz w:val="21"/>
                      <w:szCs w:val="21"/>
                      <w:u w:val="single"/>
                      <w:lang w:val="en-US" w:eastAsia="zh-CN" w:bidi="ar"/>
                    </w:rPr>
                    <w:t>、</w:t>
                  </w:r>
                  <w:r>
                    <w:rPr>
                      <w:rFonts w:hint="default" w:ascii="Times New Roman" w:hAnsi="Times New Roman" w:eastAsia="宋体" w:cs="Times New Roman"/>
                      <w:color w:val="000000"/>
                      <w:kern w:val="0"/>
                      <w:sz w:val="21"/>
                      <w:szCs w:val="21"/>
                      <w:u w:val="single"/>
                      <w:lang w:val="en-US" w:eastAsia="zh-CN" w:bidi="ar"/>
                    </w:rPr>
                    <w:t>SO</w:t>
                  </w:r>
                  <w:r>
                    <w:rPr>
                      <w:rFonts w:hint="default" w:ascii="Times New Roman" w:hAnsi="Times New Roman" w:eastAsia="宋体" w:cs="Times New Roman"/>
                      <w:color w:val="000000"/>
                      <w:kern w:val="0"/>
                      <w:sz w:val="14"/>
                      <w:szCs w:val="14"/>
                      <w:u w:val="single"/>
                      <w:lang w:val="en-US" w:eastAsia="zh-CN" w:bidi="ar"/>
                    </w:rPr>
                    <w:t>2</w:t>
                  </w:r>
                  <w:r>
                    <w:rPr>
                      <w:rFonts w:hint="eastAsia" w:ascii="宋体" w:hAnsi="宋体" w:eastAsia="宋体" w:cs="宋体"/>
                      <w:color w:val="000000"/>
                      <w:kern w:val="0"/>
                      <w:sz w:val="21"/>
                      <w:szCs w:val="21"/>
                      <w:u w:val="single"/>
                      <w:lang w:val="en-US" w:eastAsia="zh-CN" w:bidi="ar"/>
                    </w:rPr>
                    <w:t>、</w:t>
                  </w:r>
                  <w:r>
                    <w:rPr>
                      <w:rFonts w:hint="default" w:ascii="Times New Roman" w:hAnsi="Times New Roman" w:eastAsia="宋体" w:cs="Times New Roman"/>
                      <w:color w:val="000000"/>
                      <w:kern w:val="0"/>
                      <w:sz w:val="21"/>
                      <w:szCs w:val="21"/>
                      <w:u w:val="single"/>
                      <w:lang w:val="en-US" w:eastAsia="zh-CN" w:bidi="ar"/>
                    </w:rPr>
                    <w:t>NOx</w:t>
                  </w:r>
                  <w:r>
                    <w:rPr>
                      <w:rFonts w:hint="eastAsia" w:ascii="宋体" w:hAnsi="宋体" w:eastAsia="宋体" w:cs="宋体"/>
                      <w:color w:val="000000"/>
                      <w:kern w:val="0"/>
                      <w:sz w:val="21"/>
                      <w:szCs w:val="21"/>
                      <w:u w:val="single"/>
                      <w:lang w:val="en-US" w:eastAsia="zh-CN" w:bidi="ar"/>
                    </w:rPr>
                    <w:t>排放浓度分别不高于：</w:t>
                  </w:r>
                  <w:r>
                    <w:rPr>
                      <w:rFonts w:hint="default" w:ascii="Times New Roman" w:hAnsi="Times New Roman" w:eastAsia="宋体" w:cs="Times New Roman"/>
                      <w:color w:val="000000"/>
                      <w:kern w:val="0"/>
                      <w:sz w:val="21"/>
                      <w:szCs w:val="21"/>
                      <w:u w:val="single"/>
                      <w:lang w:val="en-US" w:eastAsia="zh-CN" w:bidi="ar"/>
                    </w:rPr>
                    <w:t>5</w:t>
                  </w:r>
                  <w:r>
                    <w:rPr>
                      <w:rFonts w:hint="eastAsia" w:ascii="宋体" w:hAnsi="宋体" w:eastAsia="宋体" w:cs="宋体"/>
                      <w:color w:val="000000"/>
                      <w:kern w:val="0"/>
                      <w:sz w:val="21"/>
                      <w:szCs w:val="21"/>
                      <w:u w:val="single"/>
                      <w:lang w:val="en-US" w:eastAsia="zh-CN" w:bidi="ar"/>
                    </w:rPr>
                    <w:t>、</w:t>
                  </w:r>
                  <w:r>
                    <w:rPr>
                      <w:rFonts w:hint="default" w:ascii="Times New Roman" w:hAnsi="Times New Roman" w:eastAsia="宋体" w:cs="Times New Roman"/>
                      <w:color w:val="000000"/>
                      <w:kern w:val="0"/>
                      <w:sz w:val="21"/>
                      <w:szCs w:val="21"/>
                      <w:u w:val="single"/>
                      <w:lang w:val="en-US" w:eastAsia="zh-CN" w:bidi="ar"/>
                    </w:rPr>
                    <w:t>10</w:t>
                  </w:r>
                  <w:r>
                    <w:rPr>
                      <w:rFonts w:hint="eastAsia" w:ascii="宋体" w:hAnsi="宋体" w:eastAsia="宋体" w:cs="宋体"/>
                      <w:color w:val="000000"/>
                      <w:kern w:val="0"/>
                      <w:sz w:val="21"/>
                      <w:szCs w:val="21"/>
                      <w:u w:val="single"/>
                      <w:lang w:val="en-US" w:eastAsia="zh-CN" w:bidi="ar"/>
                    </w:rPr>
                    <w:t>、</w:t>
                  </w:r>
                  <w:r>
                    <w:rPr>
                      <w:rFonts w:hint="default" w:ascii="Times New Roman" w:hAnsi="Times New Roman" w:eastAsia="宋体" w:cs="Times New Roman"/>
                      <w:color w:val="000000"/>
                      <w:kern w:val="0"/>
                      <w:sz w:val="21"/>
                      <w:szCs w:val="21"/>
                      <w:u w:val="single"/>
                      <w:lang w:val="en-US" w:eastAsia="zh-CN" w:bidi="ar"/>
                    </w:rPr>
                    <w:t>50/30mg/</w:t>
                  </w:r>
                  <w:r>
                    <w:rPr>
                      <w:rFonts w:hint="eastAsia" w:cs="Times New Roman"/>
                      <w:color w:val="000000"/>
                      <w:kern w:val="0"/>
                      <w:sz w:val="21"/>
                      <w:szCs w:val="21"/>
                      <w:u w:val="single"/>
                      <w:lang w:val="en-US" w:eastAsia="zh-CN" w:bidi="ar"/>
                    </w:rPr>
                    <w:t>m</w:t>
                  </w:r>
                  <w:r>
                    <w:rPr>
                      <w:rFonts w:hint="eastAsia" w:cs="宋体"/>
                      <w:bCs/>
                      <w:color w:val="000000"/>
                      <w:kern w:val="0"/>
                      <w:sz w:val="21"/>
                      <w:szCs w:val="21"/>
                      <w:highlight w:val="none"/>
                      <w:u w:val="single"/>
                      <w:vertAlign w:val="superscript"/>
                      <w:lang w:val="en-US" w:eastAsia="zh-CN"/>
                    </w:rPr>
                    <w:t>3</w:t>
                  </w:r>
                  <w:r>
                    <w:rPr>
                      <w:rFonts w:hint="eastAsia" w:ascii="宋体" w:hAnsi="宋体" w:eastAsia="宋体" w:cs="宋体"/>
                      <w:color w:val="000000"/>
                      <w:kern w:val="0"/>
                      <w:sz w:val="21"/>
                      <w:szCs w:val="21"/>
                      <w:u w:val="single"/>
                      <w:lang w:val="en-US" w:eastAsia="zh-CN" w:bidi="ar"/>
                    </w:rPr>
                    <w:t>。</w:t>
                  </w:r>
                </w:p>
              </w:tc>
              <w:tc>
                <w:tcPr>
                  <w:tcW w:w="2703" w:type="dxa"/>
                  <w:noWrap w:val="0"/>
                  <w:vAlign w:val="center"/>
                </w:tcPr>
                <w:p w14:paraId="375629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cs="宋体"/>
                      <w:bCs/>
                      <w:color w:val="000000"/>
                      <w:kern w:val="0"/>
                      <w:sz w:val="21"/>
                      <w:szCs w:val="21"/>
                      <w:u w:val="single"/>
                      <w:lang w:val="en-US" w:eastAsia="zh-CN"/>
                    </w:rPr>
                  </w:pPr>
                  <w:r>
                    <w:rPr>
                      <w:rFonts w:hint="eastAsia" w:cs="宋体"/>
                      <w:bCs/>
                      <w:color w:val="000000"/>
                      <w:kern w:val="0"/>
                      <w:sz w:val="21"/>
                      <w:szCs w:val="21"/>
                      <w:u w:val="single"/>
                      <w:lang w:val="en-US" w:eastAsia="zh-CN"/>
                    </w:rPr>
                    <w:t>1.经核算，本项目</w:t>
                  </w:r>
                  <w:r>
                    <w:rPr>
                      <w:rFonts w:hint="default" w:ascii="Times New Roman" w:hAnsi="Times New Roman" w:eastAsia="宋体" w:cs="Times New Roman"/>
                      <w:color w:val="000000"/>
                      <w:kern w:val="0"/>
                      <w:sz w:val="21"/>
                      <w:szCs w:val="21"/>
                      <w:u w:val="single"/>
                      <w:lang w:val="en-US" w:eastAsia="zh-CN" w:bidi="ar"/>
                    </w:rPr>
                    <w:t>PM</w:t>
                  </w:r>
                  <w:r>
                    <w:rPr>
                      <w:rFonts w:hint="eastAsia" w:cs="宋体"/>
                      <w:bCs/>
                      <w:color w:val="000000"/>
                      <w:kern w:val="0"/>
                      <w:sz w:val="21"/>
                      <w:szCs w:val="21"/>
                      <w:u w:val="single"/>
                      <w:lang w:val="en-US" w:eastAsia="zh-CN"/>
                    </w:rPr>
                    <w:t>有组织排放浓度不高于10</w:t>
                  </w:r>
                  <w:r>
                    <w:rPr>
                      <w:rFonts w:hint="eastAsia" w:cs="宋体"/>
                      <w:bCs/>
                      <w:color w:val="000000"/>
                      <w:kern w:val="0"/>
                      <w:sz w:val="21"/>
                      <w:szCs w:val="21"/>
                      <w:highlight w:val="none"/>
                      <w:u w:val="single"/>
                      <w:lang w:val="en-US" w:eastAsia="zh-CN"/>
                    </w:rPr>
                    <w:t>mg/m</w:t>
                  </w:r>
                  <w:r>
                    <w:rPr>
                      <w:rFonts w:hint="eastAsia" w:cs="宋体"/>
                      <w:bCs/>
                      <w:color w:val="000000"/>
                      <w:kern w:val="0"/>
                      <w:sz w:val="21"/>
                      <w:szCs w:val="21"/>
                      <w:highlight w:val="none"/>
                      <w:u w:val="single"/>
                      <w:vertAlign w:val="superscript"/>
                      <w:lang w:val="en-US" w:eastAsia="zh-CN"/>
                    </w:rPr>
                    <w:t>3</w:t>
                  </w:r>
                  <w:r>
                    <w:rPr>
                      <w:rFonts w:hint="eastAsia" w:ascii="宋体" w:hAnsi="宋体" w:eastAsia="宋体" w:cs="宋体"/>
                      <w:color w:val="000000"/>
                      <w:kern w:val="0"/>
                      <w:sz w:val="21"/>
                      <w:szCs w:val="21"/>
                      <w:u w:val="single"/>
                      <w:lang w:val="en-US" w:eastAsia="zh-CN" w:bidi="ar"/>
                    </w:rPr>
                    <w:t>，</w:t>
                  </w:r>
                  <w:r>
                    <w:rPr>
                      <w:rFonts w:hint="eastAsia" w:cs="宋体"/>
                      <w:bCs/>
                      <w:color w:val="000000"/>
                      <w:kern w:val="0"/>
                      <w:sz w:val="21"/>
                      <w:szCs w:val="21"/>
                      <w:u w:val="single"/>
                      <w:lang w:val="en-US" w:eastAsia="zh-CN"/>
                    </w:rPr>
                    <w:t>NMHC有组织排放浓度不高20</w:t>
                  </w:r>
                  <w:r>
                    <w:rPr>
                      <w:rFonts w:hint="eastAsia" w:cs="宋体"/>
                      <w:bCs/>
                      <w:color w:val="000000"/>
                      <w:kern w:val="0"/>
                      <w:sz w:val="21"/>
                      <w:szCs w:val="21"/>
                      <w:highlight w:val="none"/>
                      <w:u w:val="single"/>
                      <w:lang w:val="en-US" w:eastAsia="zh-CN"/>
                    </w:rPr>
                    <w:t>mg/m</w:t>
                  </w:r>
                  <w:r>
                    <w:rPr>
                      <w:rFonts w:hint="eastAsia" w:cs="宋体"/>
                      <w:bCs/>
                      <w:color w:val="000000"/>
                      <w:kern w:val="0"/>
                      <w:sz w:val="21"/>
                      <w:szCs w:val="21"/>
                      <w:highlight w:val="none"/>
                      <w:u w:val="single"/>
                      <w:vertAlign w:val="superscript"/>
                      <w:lang w:val="en-US" w:eastAsia="zh-CN"/>
                    </w:rPr>
                    <w:t>3</w:t>
                  </w:r>
                  <w:r>
                    <w:rPr>
                      <w:rFonts w:hint="eastAsia" w:cs="宋体"/>
                      <w:bCs/>
                      <w:color w:val="000000"/>
                      <w:kern w:val="0"/>
                      <w:sz w:val="21"/>
                      <w:szCs w:val="21"/>
                      <w:u w:val="single"/>
                      <w:lang w:val="en-US" w:eastAsia="zh-CN"/>
                    </w:rPr>
                    <w:t>，满足要求；</w:t>
                  </w:r>
                </w:p>
                <w:p w14:paraId="0DB01D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cs="宋体"/>
                      <w:bCs/>
                      <w:color w:val="000000"/>
                      <w:kern w:val="0"/>
                      <w:sz w:val="21"/>
                      <w:szCs w:val="21"/>
                      <w:u w:val="single"/>
                      <w:lang w:val="en-US" w:eastAsia="zh-CN"/>
                    </w:rPr>
                  </w:pPr>
                  <w:r>
                    <w:rPr>
                      <w:rFonts w:hint="eastAsia" w:cs="宋体"/>
                      <w:bCs/>
                      <w:color w:val="000000"/>
                      <w:kern w:val="0"/>
                      <w:sz w:val="21"/>
                      <w:szCs w:val="21"/>
                      <w:u w:val="single"/>
                      <w:lang w:val="en-US" w:eastAsia="zh-CN"/>
                    </w:rPr>
                    <w:t>2.VOCs采用二级活性炭吸附装置处理，去除率可达80%以上；</w:t>
                  </w:r>
                </w:p>
                <w:p w14:paraId="551EA3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宋体"/>
                      <w:bCs/>
                      <w:color w:val="000000"/>
                      <w:kern w:val="0"/>
                      <w:sz w:val="21"/>
                      <w:szCs w:val="21"/>
                      <w:u w:val="single"/>
                    </w:rPr>
                  </w:pPr>
                  <w:r>
                    <w:rPr>
                      <w:rFonts w:hint="eastAsia" w:cs="宋体"/>
                      <w:bCs/>
                      <w:color w:val="000000"/>
                      <w:kern w:val="0"/>
                      <w:sz w:val="21"/>
                      <w:szCs w:val="21"/>
                      <w:u w:val="single"/>
                      <w:lang w:val="en-US" w:eastAsia="zh-CN"/>
                    </w:rPr>
                    <w:t>3.本项目不涉及。</w:t>
                  </w:r>
                </w:p>
              </w:tc>
              <w:tc>
                <w:tcPr>
                  <w:tcW w:w="592" w:type="dxa"/>
                  <w:noWrap w:val="0"/>
                  <w:vAlign w:val="center"/>
                </w:tcPr>
                <w:p w14:paraId="69254C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宋体"/>
                      <w:bCs/>
                      <w:color w:val="000000"/>
                      <w:kern w:val="0"/>
                      <w:sz w:val="21"/>
                      <w:szCs w:val="21"/>
                      <w:u w:val="single"/>
                      <w:lang w:val="en-US" w:eastAsia="zh-CN"/>
                    </w:rPr>
                  </w:pPr>
                  <w:r>
                    <w:rPr>
                      <w:rFonts w:hint="eastAsia"/>
                      <w:color w:val="000000"/>
                      <w:u w:val="single"/>
                      <w:lang w:val="en-US" w:eastAsia="zh-CN"/>
                    </w:rPr>
                    <w:t>相符</w:t>
                  </w:r>
                </w:p>
              </w:tc>
            </w:tr>
            <w:tr w14:paraId="2857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trPr>
              <w:tc>
                <w:tcPr>
                  <w:tcW w:w="779" w:type="dxa"/>
                  <w:noWrap w:val="0"/>
                  <w:vAlign w:val="center"/>
                </w:tcPr>
                <w:p w14:paraId="439B17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bCs/>
                      <w:color w:val="000000"/>
                      <w:sz w:val="21"/>
                      <w:szCs w:val="21"/>
                      <w:u w:val="single"/>
                    </w:rPr>
                  </w:pPr>
                  <w:r>
                    <w:rPr>
                      <w:rFonts w:hint="default" w:ascii="Times New Roman" w:hAnsi="Times New Roman"/>
                      <w:bCs/>
                      <w:color w:val="000000"/>
                      <w:sz w:val="21"/>
                      <w:szCs w:val="21"/>
                      <w:u w:val="single"/>
                    </w:rPr>
                    <w:t>监测监</w:t>
                  </w:r>
                </w:p>
                <w:p w14:paraId="181159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bCs/>
                      <w:color w:val="000000"/>
                      <w:sz w:val="21"/>
                      <w:szCs w:val="21"/>
                      <w:u w:val="single"/>
                    </w:rPr>
                  </w:pPr>
                  <w:r>
                    <w:rPr>
                      <w:rFonts w:hint="default" w:ascii="Times New Roman" w:hAnsi="Times New Roman"/>
                      <w:bCs/>
                      <w:color w:val="000000"/>
                      <w:sz w:val="21"/>
                      <w:szCs w:val="21"/>
                      <w:u w:val="single"/>
                    </w:rPr>
                    <w:t>控水平</w:t>
                  </w:r>
                </w:p>
              </w:tc>
              <w:tc>
                <w:tcPr>
                  <w:tcW w:w="4107" w:type="dxa"/>
                  <w:noWrap w:val="0"/>
                  <w:vAlign w:val="center"/>
                </w:tcPr>
                <w:p w14:paraId="0FEBC1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宋体"/>
                      <w:bCs/>
                      <w:color w:val="000000"/>
                      <w:kern w:val="0"/>
                      <w:sz w:val="21"/>
                      <w:szCs w:val="21"/>
                      <w:u w:val="single"/>
                    </w:rPr>
                  </w:pPr>
                  <w:r>
                    <w:rPr>
                      <w:rFonts w:hint="default" w:ascii="Times New Roman" w:hAnsi="Times New Roman" w:cs="宋体"/>
                      <w:bCs/>
                      <w:color w:val="000000"/>
                      <w:kern w:val="0"/>
                      <w:sz w:val="21"/>
                      <w:szCs w:val="21"/>
                      <w:u w:val="single"/>
                    </w:rPr>
                    <w:t>1.有组织排放口按排污许可、环境影响评价或环境现状评估等要求安装烟气排放自动监控设施（CEMS），并按要求与省厅联网；重点排污单位风量大于10000</w:t>
                  </w:r>
                  <w:r>
                    <w:rPr>
                      <w:rFonts w:hint="eastAsia" w:cs="宋体"/>
                      <w:bCs/>
                      <w:color w:val="000000"/>
                      <w:kern w:val="0"/>
                      <w:sz w:val="21"/>
                      <w:szCs w:val="21"/>
                      <w:u w:val="single"/>
                      <w:lang w:eastAsia="zh-CN"/>
                    </w:rPr>
                    <w:t>m³</w:t>
                  </w:r>
                  <w:r>
                    <w:rPr>
                      <w:rFonts w:hint="default" w:ascii="Times New Roman" w:hAnsi="Times New Roman" w:cs="宋体"/>
                      <w:bCs/>
                      <w:color w:val="000000"/>
                      <w:kern w:val="0"/>
                      <w:sz w:val="21"/>
                      <w:szCs w:val="21"/>
                      <w:u w:val="single"/>
                    </w:rPr>
                    <w:t>/h的主要排放口安装NMHC在线监测设施（FID检测器）并按要求与省厅联网；其他企业NMHC初始排放速率大于2kg/h且排放口风量大于</w:t>
                  </w:r>
                </w:p>
                <w:p w14:paraId="412252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cs="宋体"/>
                      <w:bCs/>
                      <w:color w:val="000000"/>
                      <w:kern w:val="0"/>
                      <w:sz w:val="21"/>
                      <w:szCs w:val="21"/>
                      <w:u w:val="single"/>
                    </w:rPr>
                  </w:pPr>
                  <w:r>
                    <w:rPr>
                      <w:rFonts w:hint="default" w:ascii="Times New Roman" w:hAnsi="Times New Roman" w:cs="宋体"/>
                      <w:bCs/>
                      <w:color w:val="000000"/>
                      <w:kern w:val="0"/>
                      <w:sz w:val="21"/>
                      <w:szCs w:val="21"/>
                      <w:u w:val="single"/>
                    </w:rPr>
                    <w:t>20000</w:t>
                  </w:r>
                  <w:r>
                    <w:rPr>
                      <w:rFonts w:hint="eastAsia" w:cs="宋体"/>
                      <w:bCs/>
                      <w:color w:val="000000"/>
                      <w:kern w:val="0"/>
                      <w:sz w:val="21"/>
                      <w:szCs w:val="21"/>
                      <w:u w:val="single"/>
                      <w:lang w:eastAsia="zh-CN"/>
                    </w:rPr>
                    <w:t>m³</w:t>
                  </w:r>
                  <w:r>
                    <w:rPr>
                      <w:rFonts w:hint="default" w:ascii="Times New Roman" w:hAnsi="Times New Roman" w:cs="宋体"/>
                      <w:bCs/>
                      <w:color w:val="000000"/>
                      <w:kern w:val="0"/>
                      <w:sz w:val="21"/>
                      <w:szCs w:val="21"/>
                      <w:u w:val="single"/>
                    </w:rPr>
                    <w:t>/h的废气排放口安装NMHC在线监测设施（FID检测器），并按要求与省厅联网；在线监测数据至少保存最近12个月的1分钟均值、36个月的1小时均值及60个月的日均值和月均值。（投产或安装时间不满一年以上的企业，以现有数据为准）；</w:t>
                  </w:r>
                </w:p>
                <w:p w14:paraId="7512C9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bCs/>
                      <w:color w:val="000000"/>
                      <w:sz w:val="21"/>
                      <w:szCs w:val="21"/>
                      <w:u w:val="single"/>
                    </w:rPr>
                  </w:pPr>
                  <w:r>
                    <w:rPr>
                      <w:rFonts w:hint="default" w:ascii="Times New Roman" w:hAnsi="Times New Roman" w:cs="宋体"/>
                      <w:bCs/>
                      <w:color w:val="000000"/>
                      <w:kern w:val="0"/>
                      <w:sz w:val="21"/>
                      <w:szCs w:val="21"/>
                      <w:u w:val="single"/>
                    </w:rPr>
                    <w:t>2.按生态环境部门要求规范设置废气排放口标志牌、二维码标识和采样平台、采样孔；各废气排放口按照排污许可要求开展自行监测。</w:t>
                  </w:r>
                </w:p>
              </w:tc>
              <w:tc>
                <w:tcPr>
                  <w:tcW w:w="2703" w:type="dxa"/>
                  <w:noWrap w:val="0"/>
                  <w:vAlign w:val="center"/>
                </w:tcPr>
                <w:p w14:paraId="26B6C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cs="宋体"/>
                      <w:bCs/>
                      <w:color w:val="000000"/>
                      <w:kern w:val="0"/>
                      <w:sz w:val="21"/>
                      <w:szCs w:val="21"/>
                      <w:u w:val="single"/>
                      <w:lang w:eastAsia="zh-CN"/>
                    </w:rPr>
                  </w:pPr>
                  <w:r>
                    <w:rPr>
                      <w:rFonts w:hint="eastAsia" w:cs="宋体"/>
                      <w:bCs/>
                      <w:color w:val="000000"/>
                      <w:kern w:val="0"/>
                      <w:sz w:val="21"/>
                      <w:szCs w:val="21"/>
                      <w:u w:val="single"/>
                      <w:lang w:eastAsia="zh-CN"/>
                    </w:rPr>
                    <w:t>1、本项目排放口为一般排放口，不需要安装在线监测设施；</w:t>
                  </w:r>
                </w:p>
                <w:p w14:paraId="5BFEB6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bCs/>
                      <w:color w:val="000000"/>
                      <w:sz w:val="21"/>
                      <w:szCs w:val="21"/>
                      <w:u w:val="single"/>
                    </w:rPr>
                  </w:pPr>
                  <w:r>
                    <w:rPr>
                      <w:rFonts w:hint="eastAsia" w:cs="宋体"/>
                      <w:bCs/>
                      <w:color w:val="000000"/>
                      <w:kern w:val="0"/>
                      <w:sz w:val="21"/>
                      <w:szCs w:val="21"/>
                      <w:u w:val="single"/>
                      <w:lang w:val="en-US" w:eastAsia="zh-CN"/>
                    </w:rPr>
                    <w:t>2</w:t>
                  </w:r>
                  <w:r>
                    <w:rPr>
                      <w:rFonts w:hint="eastAsia" w:cs="宋体"/>
                      <w:bCs/>
                      <w:color w:val="000000"/>
                      <w:kern w:val="0"/>
                      <w:sz w:val="21"/>
                      <w:szCs w:val="21"/>
                      <w:u w:val="single"/>
                      <w:lang w:eastAsia="zh-CN"/>
                    </w:rPr>
                    <w:t>、</w:t>
                  </w:r>
                  <w:r>
                    <w:rPr>
                      <w:rFonts w:hint="default" w:ascii="Times New Roman" w:hAnsi="Times New Roman" w:cs="宋体"/>
                      <w:bCs/>
                      <w:color w:val="000000"/>
                      <w:kern w:val="0"/>
                      <w:sz w:val="21"/>
                      <w:szCs w:val="21"/>
                      <w:u w:val="single"/>
                    </w:rPr>
                    <w:t>按生态环境部门要求规范设置废气排放口标志牌、二维码标识和采样平台、采样孔；各废气排放口按照排污许可要求开展自行监测</w:t>
                  </w:r>
                  <w:r>
                    <w:rPr>
                      <w:rFonts w:hint="eastAsia" w:cs="宋体"/>
                      <w:bCs/>
                      <w:color w:val="000000"/>
                      <w:kern w:val="0"/>
                      <w:sz w:val="21"/>
                      <w:szCs w:val="21"/>
                      <w:u w:val="single"/>
                      <w:lang w:eastAsia="zh-CN"/>
                    </w:rPr>
                    <w:t>。</w:t>
                  </w:r>
                </w:p>
              </w:tc>
              <w:tc>
                <w:tcPr>
                  <w:tcW w:w="592" w:type="dxa"/>
                  <w:noWrap w:val="0"/>
                  <w:vAlign w:val="center"/>
                </w:tcPr>
                <w:p w14:paraId="1B84C4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cs="宋体"/>
                      <w:bCs/>
                      <w:color w:val="000000"/>
                      <w:kern w:val="0"/>
                      <w:sz w:val="21"/>
                      <w:szCs w:val="21"/>
                      <w:u w:val="single"/>
                      <w:lang w:val="en-US" w:eastAsia="zh-CN"/>
                    </w:rPr>
                  </w:pPr>
                  <w:r>
                    <w:rPr>
                      <w:rFonts w:hint="eastAsia"/>
                      <w:color w:val="000000"/>
                      <w:u w:val="single"/>
                      <w:lang w:val="en-US" w:eastAsia="zh-CN"/>
                    </w:rPr>
                    <w:t>相符</w:t>
                  </w:r>
                </w:p>
              </w:tc>
            </w:tr>
            <w:tr w14:paraId="5F68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trPr>
              <w:tc>
                <w:tcPr>
                  <w:tcW w:w="779" w:type="dxa"/>
                  <w:vMerge w:val="restart"/>
                  <w:noWrap w:val="0"/>
                  <w:vAlign w:val="center"/>
                </w:tcPr>
                <w:p w14:paraId="388028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bCs/>
                      <w:color w:val="000000"/>
                      <w:sz w:val="21"/>
                      <w:szCs w:val="21"/>
                      <w:u w:val="single"/>
                      <w:lang w:val="en-US" w:eastAsia="zh-CN"/>
                    </w:rPr>
                  </w:pPr>
                  <w:r>
                    <w:rPr>
                      <w:rFonts w:hint="eastAsia"/>
                      <w:bCs/>
                      <w:color w:val="000000"/>
                      <w:sz w:val="21"/>
                      <w:szCs w:val="21"/>
                      <w:u w:val="single"/>
                      <w:lang w:val="en-US" w:eastAsia="zh-CN"/>
                    </w:rPr>
                    <w:t>环境管理水平</w:t>
                  </w:r>
                </w:p>
              </w:tc>
              <w:tc>
                <w:tcPr>
                  <w:tcW w:w="4107" w:type="dxa"/>
                  <w:noWrap w:val="0"/>
                  <w:vAlign w:val="center"/>
                </w:tcPr>
                <w:p w14:paraId="392E2A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bCs/>
                      <w:color w:val="000000"/>
                      <w:sz w:val="21"/>
                      <w:szCs w:val="21"/>
                      <w:u w:val="single"/>
                    </w:rPr>
                  </w:pPr>
                  <w:r>
                    <w:rPr>
                      <w:rFonts w:hint="default" w:ascii="Times New Roman" w:hAnsi="Times New Roman"/>
                      <w:bCs/>
                      <w:color w:val="000000"/>
                      <w:sz w:val="21"/>
                      <w:szCs w:val="21"/>
                      <w:u w:val="single"/>
                    </w:rPr>
                    <w:t>环保档案</w:t>
                  </w:r>
                  <w:r>
                    <w:rPr>
                      <w:rFonts w:hint="eastAsia"/>
                      <w:bCs/>
                      <w:color w:val="000000"/>
                      <w:sz w:val="21"/>
                      <w:szCs w:val="21"/>
                      <w:u w:val="single"/>
                      <w:lang w:eastAsia="zh-CN"/>
                    </w:rPr>
                    <w:t>：</w:t>
                  </w:r>
                  <w:r>
                    <w:rPr>
                      <w:rFonts w:hint="default" w:ascii="Times New Roman" w:hAnsi="Times New Roman"/>
                      <w:bCs/>
                      <w:color w:val="000000"/>
                      <w:sz w:val="21"/>
                      <w:szCs w:val="21"/>
                      <w:u w:val="single"/>
                    </w:rPr>
                    <w:t>1.环评批复文件和竣工环保。验收文件或环境现状评估备案证明；2.国家版排污许可证；3.环境管理制度（有组织、无组织排放长效管理机制，主要包括日常操作规程、岗位责任制度、污染物排放公示制度和定期巡查维护制度等）；4.废气污染治理设施稳定运行管理规程；5.一年内废气监测报告（符合排污许可证监测项目及频次要求）。</w:t>
                  </w:r>
                </w:p>
              </w:tc>
              <w:tc>
                <w:tcPr>
                  <w:tcW w:w="2703" w:type="dxa"/>
                  <w:noWrap w:val="0"/>
                  <w:vAlign w:val="center"/>
                </w:tcPr>
                <w:p w14:paraId="5830C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eastAsia="宋体"/>
                      <w:bCs/>
                      <w:color w:val="000000"/>
                      <w:sz w:val="21"/>
                      <w:szCs w:val="21"/>
                      <w:u w:val="single"/>
                      <w:lang w:val="en-US" w:eastAsia="zh-CN"/>
                    </w:rPr>
                  </w:pPr>
                  <w:r>
                    <w:rPr>
                      <w:rFonts w:hint="default" w:ascii="Times New Roman" w:hAnsi="Times New Roman"/>
                      <w:bCs/>
                      <w:color w:val="000000"/>
                      <w:sz w:val="21"/>
                      <w:szCs w:val="21"/>
                      <w:u w:val="single"/>
                    </w:rPr>
                    <w:t>项目建成后按左述要求整理环保档案：1、环评批复和验收文件；2、排污登记；3、环境管理制度；4、废气治理设施运行管理规程；5、废气自行监测报告。</w:t>
                  </w:r>
                </w:p>
              </w:tc>
              <w:tc>
                <w:tcPr>
                  <w:tcW w:w="592" w:type="dxa"/>
                  <w:noWrap w:val="0"/>
                  <w:vAlign w:val="center"/>
                </w:tcPr>
                <w:p w14:paraId="19A454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bCs/>
                      <w:color w:val="000000"/>
                      <w:sz w:val="21"/>
                      <w:szCs w:val="21"/>
                      <w:u w:val="single"/>
                    </w:rPr>
                  </w:pPr>
                  <w:r>
                    <w:rPr>
                      <w:rFonts w:hint="eastAsia"/>
                      <w:color w:val="000000"/>
                      <w:u w:val="single"/>
                      <w:lang w:val="en-US" w:eastAsia="zh-CN"/>
                    </w:rPr>
                    <w:t>相符</w:t>
                  </w:r>
                </w:p>
              </w:tc>
            </w:tr>
            <w:tr w14:paraId="75FB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trPr>
              <w:tc>
                <w:tcPr>
                  <w:tcW w:w="779" w:type="dxa"/>
                  <w:vMerge w:val="continue"/>
                  <w:noWrap w:val="0"/>
                  <w:vAlign w:val="center"/>
                </w:tcPr>
                <w:p w14:paraId="194A41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bCs/>
                      <w:color w:val="000000"/>
                      <w:sz w:val="21"/>
                      <w:szCs w:val="21"/>
                      <w:u w:val="single"/>
                      <w:lang w:val="en-US" w:eastAsia="zh-CN"/>
                    </w:rPr>
                  </w:pPr>
                </w:p>
              </w:tc>
              <w:tc>
                <w:tcPr>
                  <w:tcW w:w="4107" w:type="dxa"/>
                  <w:noWrap w:val="0"/>
                  <w:vAlign w:val="center"/>
                </w:tcPr>
                <w:p w14:paraId="5DDC7E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bCs/>
                      <w:color w:val="000000"/>
                      <w:sz w:val="21"/>
                      <w:szCs w:val="21"/>
                      <w:u w:val="single"/>
                    </w:rPr>
                  </w:pPr>
                  <w:r>
                    <w:rPr>
                      <w:rFonts w:hint="default" w:ascii="Times New Roman" w:hAnsi="Times New Roman"/>
                      <w:bCs/>
                      <w:color w:val="000000"/>
                      <w:sz w:val="21"/>
                      <w:szCs w:val="21"/>
                      <w:u w:val="single"/>
                    </w:rPr>
                    <w:t>台账记录</w:t>
                  </w:r>
                  <w:r>
                    <w:rPr>
                      <w:rFonts w:hint="eastAsia"/>
                      <w:bCs/>
                      <w:color w:val="000000"/>
                      <w:sz w:val="21"/>
                      <w:szCs w:val="21"/>
                      <w:u w:val="single"/>
                      <w:lang w:eastAsia="zh-CN"/>
                    </w:rPr>
                    <w:t>：</w:t>
                  </w:r>
                  <w:r>
                    <w:rPr>
                      <w:rFonts w:hint="default" w:ascii="Times New Roman" w:hAnsi="Times New Roman"/>
                      <w:bCs/>
                      <w:color w:val="000000"/>
                      <w:sz w:val="21"/>
                      <w:szCs w:val="21"/>
                      <w:u w:val="single"/>
                    </w:rPr>
                    <w:t>1.生产设施运行管理信息（生产时间、运行负荷、产品产量等）；2.废气污染治理设施运行、维护、管理信息（包括但不限于废气收集系统和污染治理设施的名称规格、设计参数、运行参数、巡检记录、污染治理易耗品与药剂用量（吸附剂、催化剂、脱硫剂、脱硝剂、过滤耗材等）、操作记录以及维护记录、运行要求等）；3.监测记录信息（主要污染排放口废气排放记录等）；4.主要原辅材料消耗记录；5.燃料消耗记录；6.固废、危废暂存、处理记录。</w:t>
                  </w:r>
                </w:p>
              </w:tc>
              <w:tc>
                <w:tcPr>
                  <w:tcW w:w="2703" w:type="dxa"/>
                  <w:noWrap w:val="0"/>
                  <w:vAlign w:val="center"/>
                </w:tcPr>
                <w:p w14:paraId="5490C0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bCs/>
                      <w:color w:val="000000"/>
                      <w:sz w:val="21"/>
                      <w:szCs w:val="21"/>
                      <w:u w:val="single"/>
                    </w:rPr>
                  </w:pPr>
                  <w:r>
                    <w:rPr>
                      <w:rFonts w:hint="default" w:ascii="Times New Roman" w:hAnsi="Times New Roman"/>
                      <w:bCs/>
                      <w:color w:val="000000"/>
                      <w:sz w:val="21"/>
                      <w:szCs w:val="21"/>
                      <w:u w:val="single"/>
                    </w:rPr>
                    <w:t>项目建成后按要求整理台账记录：1、生产设施运行管理信息；2、废气污染治理设施运行管理信息；3、监测记录信息；4、主要原辅材料消耗记录；5、不涉及燃料消耗；6、固废、危废处置记录；7；运输车辆台账。</w:t>
                  </w:r>
                </w:p>
              </w:tc>
              <w:tc>
                <w:tcPr>
                  <w:tcW w:w="592" w:type="dxa"/>
                  <w:noWrap w:val="0"/>
                  <w:vAlign w:val="center"/>
                </w:tcPr>
                <w:p w14:paraId="58E988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bCs/>
                      <w:color w:val="000000"/>
                      <w:sz w:val="21"/>
                      <w:szCs w:val="21"/>
                      <w:u w:val="single"/>
                    </w:rPr>
                  </w:pPr>
                  <w:r>
                    <w:rPr>
                      <w:rFonts w:hint="eastAsia"/>
                      <w:color w:val="000000"/>
                      <w:u w:val="single"/>
                      <w:lang w:val="en-US" w:eastAsia="zh-CN"/>
                    </w:rPr>
                    <w:t>相符</w:t>
                  </w:r>
                </w:p>
              </w:tc>
            </w:tr>
            <w:tr w14:paraId="2790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trPr>
              <w:tc>
                <w:tcPr>
                  <w:tcW w:w="779" w:type="dxa"/>
                  <w:vMerge w:val="continue"/>
                  <w:noWrap w:val="0"/>
                  <w:vAlign w:val="center"/>
                </w:tcPr>
                <w:p w14:paraId="5D86E5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bCs/>
                      <w:color w:val="000000"/>
                      <w:sz w:val="21"/>
                      <w:szCs w:val="21"/>
                      <w:u w:val="single"/>
                      <w:lang w:val="en-US" w:eastAsia="zh-CN"/>
                    </w:rPr>
                  </w:pPr>
                </w:p>
              </w:tc>
              <w:tc>
                <w:tcPr>
                  <w:tcW w:w="4107" w:type="dxa"/>
                  <w:noWrap w:val="0"/>
                  <w:vAlign w:val="center"/>
                </w:tcPr>
                <w:p w14:paraId="52B49A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bCs/>
                      <w:color w:val="000000"/>
                      <w:sz w:val="21"/>
                      <w:szCs w:val="21"/>
                      <w:u w:val="single"/>
                    </w:rPr>
                  </w:pPr>
                  <w:r>
                    <w:rPr>
                      <w:rFonts w:hint="default" w:ascii="Times New Roman" w:hAnsi="Times New Roman"/>
                      <w:bCs/>
                      <w:color w:val="000000"/>
                      <w:sz w:val="21"/>
                      <w:szCs w:val="21"/>
                      <w:u w:val="single"/>
                    </w:rPr>
                    <w:t>人员配置</w:t>
                  </w:r>
                  <w:r>
                    <w:rPr>
                      <w:rFonts w:hint="eastAsia"/>
                      <w:bCs/>
                      <w:color w:val="000000"/>
                      <w:sz w:val="21"/>
                      <w:szCs w:val="21"/>
                      <w:u w:val="single"/>
                      <w:lang w:eastAsia="zh-CN"/>
                    </w:rPr>
                    <w:t>：</w:t>
                  </w:r>
                  <w:r>
                    <w:rPr>
                      <w:rFonts w:hint="default" w:ascii="Times New Roman" w:hAnsi="Times New Roman"/>
                      <w:bCs/>
                      <w:color w:val="000000"/>
                      <w:sz w:val="21"/>
                      <w:szCs w:val="21"/>
                      <w:u w:val="single"/>
                    </w:rPr>
                    <w:t>配备专职环保人员，并具备相应的环境管理能力（包括但不限于学历、培训、从业经验等）。</w:t>
                  </w:r>
                </w:p>
              </w:tc>
              <w:tc>
                <w:tcPr>
                  <w:tcW w:w="2703" w:type="dxa"/>
                  <w:noWrap w:val="0"/>
                  <w:vAlign w:val="center"/>
                </w:tcPr>
                <w:p w14:paraId="5A4DAF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bCs/>
                      <w:color w:val="000000"/>
                      <w:sz w:val="21"/>
                      <w:szCs w:val="21"/>
                      <w:u w:val="single"/>
                    </w:rPr>
                  </w:pPr>
                  <w:r>
                    <w:rPr>
                      <w:rFonts w:hint="default" w:ascii="Times New Roman" w:hAnsi="Times New Roman"/>
                      <w:bCs/>
                      <w:color w:val="000000"/>
                      <w:sz w:val="21"/>
                      <w:szCs w:val="21"/>
                      <w:u w:val="single"/>
                    </w:rPr>
                    <w:t>项目建成后将设置环境管理机构和环保工作领导小组，配备专职环保人员。</w:t>
                  </w:r>
                </w:p>
              </w:tc>
              <w:tc>
                <w:tcPr>
                  <w:tcW w:w="592" w:type="dxa"/>
                  <w:noWrap w:val="0"/>
                  <w:vAlign w:val="center"/>
                </w:tcPr>
                <w:p w14:paraId="5574B2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bCs/>
                      <w:color w:val="000000"/>
                      <w:sz w:val="21"/>
                      <w:szCs w:val="21"/>
                      <w:u w:val="single"/>
                    </w:rPr>
                  </w:pPr>
                  <w:r>
                    <w:rPr>
                      <w:rFonts w:hint="eastAsia"/>
                      <w:color w:val="000000"/>
                      <w:u w:val="single"/>
                      <w:lang w:val="en-US" w:eastAsia="zh-CN"/>
                    </w:rPr>
                    <w:t>相符</w:t>
                  </w:r>
                </w:p>
              </w:tc>
            </w:tr>
            <w:tr w14:paraId="77F2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trPr>
              <w:tc>
                <w:tcPr>
                  <w:tcW w:w="779" w:type="dxa"/>
                  <w:noWrap w:val="0"/>
                  <w:vAlign w:val="center"/>
                </w:tcPr>
                <w:p w14:paraId="602F8C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bCs/>
                      <w:color w:val="000000"/>
                      <w:sz w:val="21"/>
                      <w:szCs w:val="21"/>
                      <w:u w:val="single"/>
                      <w:lang w:val="en-US" w:eastAsia="zh-CN"/>
                    </w:rPr>
                  </w:pPr>
                  <w:r>
                    <w:rPr>
                      <w:rFonts w:hint="eastAsia"/>
                      <w:bCs/>
                      <w:color w:val="000000"/>
                      <w:sz w:val="21"/>
                      <w:szCs w:val="21"/>
                      <w:u w:val="single"/>
                      <w:lang w:val="en-US" w:eastAsia="zh-CN"/>
                    </w:rPr>
                    <w:t>运输方式</w:t>
                  </w:r>
                </w:p>
              </w:tc>
              <w:tc>
                <w:tcPr>
                  <w:tcW w:w="4107" w:type="dxa"/>
                  <w:noWrap w:val="0"/>
                  <w:vAlign w:val="center"/>
                </w:tcPr>
                <w:p w14:paraId="59AA9D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bCs/>
                      <w:color w:val="000000"/>
                      <w:sz w:val="21"/>
                      <w:szCs w:val="21"/>
                      <w:u w:val="single"/>
                    </w:rPr>
                  </w:pPr>
                  <w:r>
                    <w:rPr>
                      <w:rFonts w:hint="default" w:ascii="Times New Roman" w:hAnsi="Times New Roman"/>
                      <w:bCs/>
                      <w:color w:val="000000"/>
                      <w:sz w:val="21"/>
                      <w:szCs w:val="21"/>
                      <w:u w:val="single"/>
                    </w:rPr>
                    <w:t>1.物料、产品运输全部使用国五及以上排放标准的重型载货车辆（重型燃气车辆达到国六排放标准）或新能源车辆；2.厂内车辆全部达到国五及以上排放标准（重型燃气车辆达到国六排放标准）或使用新能源车辆；3.厂内非道路移动机械达到国三及以上排放标准或使用新能源机械</w:t>
                  </w:r>
                  <w:r>
                    <w:rPr>
                      <w:rFonts w:hint="default" w:ascii="Times New Roman" w:hAnsi="Times New Roman"/>
                      <w:bCs/>
                      <w:color w:val="000000"/>
                      <w:sz w:val="21"/>
                      <w:szCs w:val="21"/>
                      <w:u w:val="single"/>
                    </w:rPr>
                    <w:cr/>
                  </w:r>
                  <w:r>
                    <w:rPr>
                      <w:rFonts w:hint="default" w:ascii="Times New Roman" w:hAnsi="Times New Roman"/>
                      <w:bCs/>
                      <w:color w:val="000000"/>
                      <w:sz w:val="21"/>
                      <w:szCs w:val="21"/>
                      <w:u w:val="single"/>
                    </w:rPr>
                    <w:t>。</w:t>
                  </w:r>
                </w:p>
              </w:tc>
              <w:tc>
                <w:tcPr>
                  <w:tcW w:w="2703" w:type="dxa"/>
                  <w:noWrap w:val="0"/>
                  <w:vAlign w:val="center"/>
                </w:tcPr>
                <w:p w14:paraId="398F1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bCs/>
                      <w:color w:val="000000"/>
                      <w:sz w:val="21"/>
                      <w:szCs w:val="21"/>
                      <w:u w:val="single"/>
                    </w:rPr>
                  </w:pPr>
                  <w:r>
                    <w:rPr>
                      <w:rFonts w:hint="default" w:ascii="Times New Roman" w:hAnsi="Times New Roman"/>
                      <w:bCs/>
                      <w:color w:val="000000"/>
                      <w:sz w:val="21"/>
                      <w:szCs w:val="21"/>
                      <w:u w:val="single"/>
                    </w:rPr>
                    <w:t>项目建成后将按要求进行运输：1.物料、产品运输全部使用国五及以上排放标准的重型载货车辆（重型燃气车辆达到国六排放标准）或新能源车辆；2.</w:t>
                  </w:r>
                  <w:r>
                    <w:rPr>
                      <w:rFonts w:hint="eastAsia" w:ascii="Times New Roman" w:hAnsi="Times New Roman"/>
                      <w:bCs/>
                      <w:color w:val="000000"/>
                      <w:sz w:val="21"/>
                      <w:szCs w:val="21"/>
                      <w:u w:val="single"/>
                      <w:lang w:val="en-US" w:eastAsia="zh-CN"/>
                    </w:rPr>
                    <w:t>本项目不涉及</w:t>
                  </w:r>
                  <w:r>
                    <w:rPr>
                      <w:rFonts w:hint="default" w:ascii="Times New Roman" w:hAnsi="Times New Roman"/>
                      <w:bCs/>
                      <w:color w:val="000000"/>
                      <w:sz w:val="21"/>
                      <w:szCs w:val="21"/>
                      <w:u w:val="single"/>
                    </w:rPr>
                    <w:t>；3.厂内非道路移动机械达到国三及以上排放标准或使用新能源机械。</w:t>
                  </w:r>
                </w:p>
              </w:tc>
              <w:tc>
                <w:tcPr>
                  <w:tcW w:w="592" w:type="dxa"/>
                  <w:noWrap w:val="0"/>
                  <w:vAlign w:val="center"/>
                </w:tcPr>
                <w:p w14:paraId="539184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bCs/>
                      <w:color w:val="000000"/>
                      <w:sz w:val="21"/>
                      <w:szCs w:val="21"/>
                      <w:u w:val="single"/>
                    </w:rPr>
                  </w:pPr>
                  <w:r>
                    <w:rPr>
                      <w:rFonts w:hint="eastAsia"/>
                      <w:color w:val="000000"/>
                      <w:u w:val="single"/>
                      <w:lang w:val="en-US" w:eastAsia="zh-CN"/>
                    </w:rPr>
                    <w:t>相符</w:t>
                  </w:r>
                </w:p>
              </w:tc>
            </w:tr>
            <w:tr w14:paraId="4454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0" w:hRule="atLeast"/>
              </w:trPr>
              <w:tc>
                <w:tcPr>
                  <w:tcW w:w="779" w:type="dxa"/>
                  <w:noWrap w:val="0"/>
                  <w:vAlign w:val="center"/>
                </w:tcPr>
                <w:p w14:paraId="32522B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bCs/>
                      <w:color w:val="000000"/>
                      <w:sz w:val="21"/>
                      <w:szCs w:val="21"/>
                      <w:u w:val="single"/>
                    </w:rPr>
                  </w:pPr>
                  <w:r>
                    <w:rPr>
                      <w:rFonts w:hint="default" w:ascii="Times New Roman" w:hAnsi="Times New Roman"/>
                      <w:bCs/>
                      <w:color w:val="000000"/>
                      <w:sz w:val="21"/>
                      <w:szCs w:val="21"/>
                      <w:u w:val="single"/>
                    </w:rPr>
                    <w:t>运输监管</w:t>
                  </w:r>
                </w:p>
              </w:tc>
              <w:tc>
                <w:tcPr>
                  <w:tcW w:w="4107" w:type="dxa"/>
                  <w:noWrap w:val="0"/>
                  <w:vAlign w:val="center"/>
                </w:tcPr>
                <w:p w14:paraId="6D0971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bCs/>
                      <w:color w:val="000000"/>
                      <w:sz w:val="21"/>
                      <w:szCs w:val="21"/>
                      <w:u w:val="single"/>
                    </w:rPr>
                  </w:pPr>
                  <w:r>
                    <w:rPr>
                      <w:rFonts w:hint="default" w:ascii="Times New Roman" w:hAnsi="Times New Roman"/>
                      <w:bCs/>
                      <w:color w:val="000000"/>
                      <w:sz w:val="21"/>
                      <w:szCs w:val="21"/>
                      <w:u w:val="single"/>
                    </w:rPr>
                    <w:t>日均进出货物150吨（或载货车辆日进出10辆次）及以上（货物包括原料、辅料、燃料、产品和其他与生产相关物料）的企业，参照《重污染天气重点行业移动源应急管理技术指南》建立门禁视频监控系统和电子台账；其他企业安装车辆运输视频监控（数据能保存6个月），并建立车辆运输手工台账。</w:t>
                  </w:r>
                </w:p>
              </w:tc>
              <w:tc>
                <w:tcPr>
                  <w:tcW w:w="2703" w:type="dxa"/>
                  <w:noWrap w:val="0"/>
                  <w:vAlign w:val="center"/>
                </w:tcPr>
                <w:p w14:paraId="40AB2A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default" w:ascii="Times New Roman" w:hAnsi="Times New Roman"/>
                      <w:bCs/>
                      <w:color w:val="000000"/>
                      <w:sz w:val="21"/>
                      <w:szCs w:val="21"/>
                      <w:u w:val="single"/>
                    </w:rPr>
                  </w:pPr>
                  <w:r>
                    <w:rPr>
                      <w:rFonts w:hint="eastAsia"/>
                      <w:bCs/>
                      <w:color w:val="000000"/>
                      <w:sz w:val="21"/>
                      <w:szCs w:val="21"/>
                      <w:u w:val="single"/>
                      <w:lang w:val="en-US" w:eastAsia="zh-CN"/>
                    </w:rPr>
                    <w:t>本项目</w:t>
                  </w:r>
                  <w:r>
                    <w:rPr>
                      <w:rFonts w:hint="default" w:ascii="Times New Roman" w:hAnsi="Times New Roman"/>
                      <w:bCs/>
                      <w:color w:val="000000"/>
                      <w:sz w:val="21"/>
                      <w:szCs w:val="21"/>
                      <w:u w:val="single"/>
                    </w:rPr>
                    <w:t>日均进出货物</w:t>
                  </w:r>
                  <w:r>
                    <w:rPr>
                      <w:rFonts w:hint="eastAsia" w:ascii="Times New Roman" w:hAnsi="Times New Roman"/>
                      <w:bCs/>
                      <w:color w:val="000000"/>
                      <w:sz w:val="21"/>
                      <w:szCs w:val="21"/>
                      <w:u w:val="single"/>
                      <w:lang w:val="en-US" w:eastAsia="zh-CN"/>
                    </w:rPr>
                    <w:t>不足</w:t>
                  </w:r>
                  <w:r>
                    <w:rPr>
                      <w:rFonts w:hint="default" w:ascii="Times New Roman" w:hAnsi="Times New Roman"/>
                      <w:bCs/>
                      <w:color w:val="000000"/>
                      <w:sz w:val="21"/>
                      <w:szCs w:val="21"/>
                      <w:u w:val="single"/>
                    </w:rPr>
                    <w:t>150吨</w:t>
                  </w:r>
                  <w:r>
                    <w:rPr>
                      <w:rFonts w:hint="eastAsia" w:ascii="Times New Roman" w:hAnsi="Times New Roman"/>
                      <w:bCs/>
                      <w:color w:val="000000"/>
                      <w:sz w:val="21"/>
                      <w:szCs w:val="21"/>
                      <w:u w:val="single"/>
                      <w:lang w:eastAsia="zh-CN"/>
                    </w:rPr>
                    <w:t>，</w:t>
                  </w:r>
                  <w:r>
                    <w:rPr>
                      <w:rFonts w:hint="eastAsia"/>
                      <w:bCs/>
                      <w:color w:val="000000"/>
                      <w:sz w:val="21"/>
                      <w:szCs w:val="21"/>
                      <w:u w:val="single"/>
                      <w:lang w:val="en-US" w:eastAsia="zh-CN"/>
                    </w:rPr>
                    <w:t>按照要求</w:t>
                  </w:r>
                  <w:r>
                    <w:rPr>
                      <w:rFonts w:hint="default" w:ascii="Times New Roman" w:hAnsi="Times New Roman"/>
                      <w:bCs/>
                      <w:color w:val="000000"/>
                      <w:sz w:val="21"/>
                      <w:szCs w:val="21"/>
                      <w:u w:val="single"/>
                    </w:rPr>
                    <w:t>安装车辆运输视频监控（数据能保存6个月），并建立车辆运输手工台账。</w:t>
                  </w:r>
                </w:p>
              </w:tc>
              <w:tc>
                <w:tcPr>
                  <w:tcW w:w="592" w:type="dxa"/>
                  <w:noWrap w:val="0"/>
                  <w:vAlign w:val="center"/>
                </w:tcPr>
                <w:p w14:paraId="1C9FC9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bCs/>
                      <w:color w:val="000000"/>
                      <w:sz w:val="21"/>
                      <w:szCs w:val="21"/>
                      <w:u w:val="single"/>
                      <w:lang w:val="en-US" w:eastAsia="zh-CN"/>
                    </w:rPr>
                  </w:pPr>
                  <w:r>
                    <w:rPr>
                      <w:rFonts w:hint="eastAsia"/>
                      <w:color w:val="000000"/>
                      <w:u w:val="single"/>
                      <w:lang w:val="en-US" w:eastAsia="zh-CN"/>
                    </w:rPr>
                    <w:t>相符</w:t>
                  </w:r>
                </w:p>
              </w:tc>
            </w:tr>
          </w:tbl>
          <w:p w14:paraId="5FB0AC09">
            <w:pPr>
              <w:autoSpaceDE w:val="0"/>
              <w:autoSpaceDN w:val="0"/>
              <w:adjustRightInd w:val="0"/>
              <w:spacing w:line="360" w:lineRule="auto"/>
              <w:ind w:firstLine="480" w:firstLineChars="200"/>
              <w:rPr>
                <w:rFonts w:hint="eastAsia"/>
                <w:color w:val="000000"/>
                <w:sz w:val="24"/>
                <w:szCs w:val="24"/>
              </w:rPr>
            </w:pPr>
            <w:r>
              <w:rPr>
                <w:rFonts w:hint="eastAsia"/>
                <w:color w:val="000000"/>
                <w:sz w:val="24"/>
                <w:szCs w:val="24"/>
              </w:rPr>
              <w:t>由上表可知，</w:t>
            </w:r>
            <w:r>
              <w:rPr>
                <w:rFonts w:hint="eastAsia"/>
                <w:color w:val="000000"/>
                <w:sz w:val="24"/>
                <w:szCs w:val="24"/>
                <w:lang w:val="en-US" w:eastAsia="zh-CN"/>
              </w:rPr>
              <w:t>企业可以满足</w:t>
            </w:r>
            <w:r>
              <w:rPr>
                <w:rFonts w:hint="eastAsia"/>
                <w:color w:val="000000"/>
                <w:sz w:val="24"/>
                <w:szCs w:val="24"/>
              </w:rPr>
              <w:t>《河南省重污染天气重点行业应急减排措施制定技术指南》（2024年修订版）</w:t>
            </w:r>
            <w:r>
              <w:rPr>
                <w:rFonts w:hint="eastAsia"/>
                <w:color w:val="000000"/>
                <w:sz w:val="24"/>
                <w:szCs w:val="24"/>
                <w:lang w:val="en-US" w:eastAsia="zh-CN"/>
              </w:rPr>
              <w:t>中</w:t>
            </w:r>
            <w:r>
              <w:rPr>
                <w:rFonts w:hint="eastAsia"/>
                <w:color w:val="000000"/>
                <w:sz w:val="24"/>
                <w:szCs w:val="24"/>
                <w:lang w:eastAsia="zh-CN"/>
              </w:rPr>
              <w:t>塑料制品</w:t>
            </w:r>
            <w:r>
              <w:rPr>
                <w:rFonts w:hint="eastAsia"/>
                <w:color w:val="000000"/>
                <w:sz w:val="24"/>
                <w:szCs w:val="24"/>
                <w:lang w:val="en-US" w:eastAsia="zh-CN"/>
              </w:rPr>
              <w:t>业</w:t>
            </w:r>
            <w:r>
              <w:rPr>
                <w:rFonts w:hint="eastAsia"/>
                <w:color w:val="000000"/>
                <w:sz w:val="24"/>
                <w:szCs w:val="24"/>
              </w:rPr>
              <w:t>A级指标要求。</w:t>
            </w:r>
          </w:p>
          <w:p w14:paraId="7B8612FF">
            <w:pPr>
              <w:autoSpaceDE w:val="0"/>
              <w:autoSpaceDN w:val="0"/>
              <w:adjustRightInd w:val="0"/>
              <w:spacing w:line="360" w:lineRule="auto"/>
              <w:rPr>
                <w:rFonts w:hint="eastAsia"/>
                <w:b/>
                <w:bCs/>
                <w:color w:val="000000"/>
                <w:sz w:val="24"/>
                <w:szCs w:val="24"/>
                <w:lang w:val="en-US" w:eastAsia="zh-CN"/>
              </w:rPr>
            </w:pPr>
            <w:r>
              <w:rPr>
                <w:rFonts w:hint="eastAsia"/>
                <w:b/>
                <w:bCs/>
                <w:color w:val="000000"/>
                <w:sz w:val="24"/>
                <w:szCs w:val="24"/>
                <w:lang w:val="en-US" w:eastAsia="zh-CN"/>
              </w:rPr>
              <w:t>4.黄河流域相关文件分析</w:t>
            </w:r>
          </w:p>
          <w:p w14:paraId="6B2B8C47">
            <w:pPr>
              <w:autoSpaceDE w:val="0"/>
              <w:autoSpaceDN w:val="0"/>
              <w:adjustRightInd w:val="0"/>
              <w:spacing w:line="360" w:lineRule="auto"/>
              <w:rPr>
                <w:rFonts w:hint="default" w:eastAsia="宋体"/>
                <w:b/>
                <w:bCs/>
                <w:color w:val="000000"/>
                <w:sz w:val="24"/>
                <w:szCs w:val="24"/>
                <w:lang w:val="en-US" w:eastAsia="zh-CN"/>
              </w:rPr>
            </w:pPr>
            <w:r>
              <w:rPr>
                <w:rFonts w:hint="eastAsia"/>
                <w:b/>
                <w:bCs/>
                <w:color w:val="000000"/>
                <w:sz w:val="24"/>
                <w:szCs w:val="24"/>
                <w:lang w:val="en-US" w:eastAsia="zh-CN"/>
              </w:rPr>
              <w:t>4.1《黄河流域生态保护和高质量发展规划纲要》</w:t>
            </w:r>
          </w:p>
          <w:p w14:paraId="2903A4FA">
            <w:pPr>
              <w:autoSpaceDE w:val="0"/>
              <w:autoSpaceDN w:val="0"/>
              <w:adjustRightInd w:val="0"/>
              <w:spacing w:line="360" w:lineRule="auto"/>
              <w:ind w:firstLine="480" w:firstLineChars="200"/>
              <w:rPr>
                <w:rFonts w:hint="eastAsia"/>
                <w:color w:val="000000"/>
                <w:sz w:val="24"/>
                <w:szCs w:val="24"/>
              </w:rPr>
            </w:pPr>
            <w:r>
              <w:rPr>
                <w:rFonts w:hint="eastAsia"/>
                <w:color w:val="000000"/>
                <w:sz w:val="24"/>
                <w:szCs w:val="24"/>
              </w:rPr>
              <w:t>中共中央、国务院2022年10月8日印发了《黄河流域生态保护和高质量发展规划纲要》，本项目与其中相关内容相符性分析见下表。</w:t>
            </w:r>
          </w:p>
          <w:p w14:paraId="79BD2CEC">
            <w:pPr>
              <w:spacing w:before="93" w:beforeLines="30"/>
              <w:jc w:val="center"/>
              <w:rPr>
                <w:color w:val="000000"/>
                <w:u w:val="none"/>
              </w:rPr>
            </w:pPr>
            <w:r>
              <w:rPr>
                <w:rFonts w:hint="eastAsia" w:ascii="黑体" w:hAnsi="黑体" w:eastAsia="黑体" w:cs="Times New Roman"/>
                <w:color w:val="000000"/>
                <w:sz w:val="24"/>
                <w:szCs w:val="24"/>
                <w:lang w:val="en-US" w:eastAsia="zh-CN"/>
              </w:rPr>
              <w:t xml:space="preserve">表8   </w:t>
            </w:r>
            <w:r>
              <w:rPr>
                <w:rFonts w:hint="default" w:ascii="黑体" w:hAnsi="黑体" w:eastAsia="黑体" w:cs="Times New Roman"/>
                <w:color w:val="000000"/>
                <w:sz w:val="24"/>
                <w:szCs w:val="24"/>
                <w:lang w:val="en-US" w:eastAsia="zh-CN"/>
              </w:rPr>
              <w:t xml:space="preserve"> 《黄河流域生态保护和高质量发展规划纲要》</w:t>
            </w:r>
            <w:r>
              <w:rPr>
                <w:rFonts w:hint="eastAsia" w:ascii="黑体" w:hAnsi="黑体" w:eastAsia="黑体" w:cs="Times New Roman"/>
                <w:color w:val="000000"/>
                <w:sz w:val="24"/>
                <w:szCs w:val="24"/>
                <w:lang w:val="en-US" w:eastAsia="zh-CN"/>
              </w:rPr>
              <w:t>相符性分析</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434"/>
              <w:gridCol w:w="2970"/>
              <w:gridCol w:w="774"/>
            </w:tblGrid>
            <w:tr w14:paraId="1FD2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710" w:type="pct"/>
                  <w:noWrap w:val="0"/>
                  <w:vAlign w:val="center"/>
                </w:tcPr>
                <w:p w14:paraId="2422E6BE">
                  <w:pPr>
                    <w:widowControl/>
                    <w:jc w:val="center"/>
                    <w:rPr>
                      <w:color w:val="000000"/>
                      <w:szCs w:val="21"/>
                      <w:u w:val="none"/>
                    </w:rPr>
                  </w:pPr>
                  <w:r>
                    <w:rPr>
                      <w:rFonts w:hint="eastAsia" w:ascii="宋体" w:hAnsi="宋体" w:cs="宋体"/>
                      <w:color w:val="000000"/>
                      <w:szCs w:val="21"/>
                      <w:u w:val="none"/>
                      <w:lang w:bidi="ar"/>
                    </w:rPr>
                    <w:t>文件要求</w:t>
                  </w:r>
                </w:p>
              </w:tc>
              <w:tc>
                <w:tcPr>
                  <w:tcW w:w="1815" w:type="pct"/>
                  <w:noWrap w:val="0"/>
                  <w:vAlign w:val="center"/>
                </w:tcPr>
                <w:p w14:paraId="44F90BB3">
                  <w:pPr>
                    <w:widowControl/>
                    <w:jc w:val="center"/>
                    <w:rPr>
                      <w:color w:val="000000"/>
                      <w:szCs w:val="21"/>
                      <w:u w:val="none"/>
                    </w:rPr>
                  </w:pPr>
                  <w:r>
                    <w:rPr>
                      <w:rFonts w:hint="eastAsia" w:ascii="宋体" w:hAnsi="宋体" w:cs="宋体"/>
                      <w:color w:val="000000"/>
                      <w:szCs w:val="21"/>
                      <w:u w:val="none"/>
                      <w:lang w:bidi="ar"/>
                    </w:rPr>
                    <w:t>本项目情况</w:t>
                  </w:r>
                </w:p>
              </w:tc>
              <w:tc>
                <w:tcPr>
                  <w:tcW w:w="473" w:type="pct"/>
                  <w:noWrap w:val="0"/>
                  <w:vAlign w:val="center"/>
                </w:tcPr>
                <w:p w14:paraId="5EFD07CA">
                  <w:pPr>
                    <w:widowControl/>
                    <w:jc w:val="center"/>
                    <w:rPr>
                      <w:color w:val="000000"/>
                      <w:szCs w:val="21"/>
                      <w:u w:val="none"/>
                    </w:rPr>
                  </w:pPr>
                  <w:r>
                    <w:rPr>
                      <w:rFonts w:hint="eastAsia" w:ascii="宋体" w:hAnsi="宋体" w:cs="宋体"/>
                      <w:color w:val="000000"/>
                      <w:szCs w:val="21"/>
                      <w:u w:val="none"/>
                      <w:lang w:bidi="ar"/>
                    </w:rPr>
                    <w:t>相符性</w:t>
                  </w:r>
                </w:p>
              </w:tc>
            </w:tr>
            <w:tr w14:paraId="7D5A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000" w:type="pct"/>
                  <w:gridSpan w:val="3"/>
                  <w:noWrap w:val="0"/>
                  <w:vAlign w:val="center"/>
                </w:tcPr>
                <w:p w14:paraId="447FF63A">
                  <w:pPr>
                    <w:widowControl/>
                    <w:jc w:val="both"/>
                    <w:rPr>
                      <w:rFonts w:hint="eastAsia" w:ascii="宋体" w:hAnsi="宋体" w:cs="宋体"/>
                      <w:color w:val="000000"/>
                      <w:szCs w:val="21"/>
                      <w:u w:val="none"/>
                      <w:lang w:bidi="ar"/>
                    </w:rPr>
                  </w:pPr>
                  <w:r>
                    <w:rPr>
                      <w:rFonts w:hint="eastAsia" w:ascii="宋体" w:hAnsi="宋体" w:cs="宋体"/>
                      <w:color w:val="000000"/>
                      <w:szCs w:val="21"/>
                      <w:u w:val="none"/>
                      <w:lang w:bidi="ar"/>
                    </w:rPr>
                    <w:t>第八章 强化环境污染系统治理</w:t>
                  </w:r>
                </w:p>
              </w:tc>
            </w:tr>
            <w:tr w14:paraId="0A56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710" w:type="pct"/>
                  <w:noWrap w:val="0"/>
                  <w:vAlign w:val="center"/>
                </w:tcPr>
                <w:p w14:paraId="71DAF7CB">
                  <w:pPr>
                    <w:keepNext w:val="0"/>
                    <w:keepLines w:val="0"/>
                    <w:widowControl/>
                    <w:suppressLineNumbers w:val="0"/>
                    <w:jc w:val="both"/>
                    <w:rPr>
                      <w:rFonts w:hint="eastAsia"/>
                      <w:color w:val="000000"/>
                      <w:szCs w:val="21"/>
                      <w:u w:val="none"/>
                    </w:rPr>
                  </w:pPr>
                  <w:r>
                    <w:rPr>
                      <w:rFonts w:hint="eastAsia"/>
                      <w:color w:val="000000"/>
                      <w:szCs w:val="21"/>
                      <w:u w:val="none"/>
                    </w:rPr>
                    <w:t>第二节加大工业污染协同治理力度推动沿黄一定范围内高耗水、高污染企业迁入合规园区，加快钢铁、煤电超低排放改造，开展煤炭、火电、钢铁、焦化、化工、有色等行业强制性清洁生产，强化工业炉窑和重点行业挥发性有机物综合治理，实行生态敏感脆弱区工业行业污染物特别排放限值要求。严禁在黄河干流及主要支流临岸一定范围内新建“两高一资”项目及相关产业园区。开展黄河干支流入河排污口专项整治行动，加快构建覆盖所有排污口的在线监测系统，规范入河排污口设置审核。严格落实排污许可制度，沿黄所有固定排污源要依法按证排污。</w:t>
                  </w:r>
                </w:p>
                <w:p w14:paraId="2C25D44C">
                  <w:pPr>
                    <w:keepNext w:val="0"/>
                    <w:keepLines w:val="0"/>
                    <w:widowControl/>
                    <w:suppressLineNumbers w:val="0"/>
                    <w:jc w:val="both"/>
                    <w:rPr>
                      <w:color w:val="000000"/>
                      <w:szCs w:val="21"/>
                      <w:u w:val="none"/>
                    </w:rPr>
                  </w:pPr>
                  <w:r>
                    <w:rPr>
                      <w:rFonts w:hint="eastAsia"/>
                      <w:color w:val="000000"/>
                      <w:szCs w:val="21"/>
                      <w:u w:val="none"/>
                    </w:rPr>
                    <w:t>沿黄工业园区全部建成污水集中处理设施并稳定达标排放，严控工业废水未经处理或未有效处理直接排入城镇污水处理系统，严厉打击向河湖、沙漠、湿地等偷排、</w:t>
                  </w:r>
                  <w:r>
                    <w:rPr>
                      <w:color w:val="000000"/>
                      <w:spacing w:val="8"/>
                      <w:sz w:val="20"/>
                      <w:szCs w:val="20"/>
                    </w:rPr>
                    <w:t>直排行为。加强工业废弃物风险管控和历史遗留重金属</w:t>
                  </w:r>
                  <w:r>
                    <w:rPr>
                      <w:color w:val="000000"/>
                      <w:spacing w:val="9"/>
                      <w:sz w:val="20"/>
                      <w:szCs w:val="20"/>
                    </w:rPr>
                    <w:t>污染区域治理，以危险废物为重点开展固体废</w:t>
                  </w:r>
                  <w:r>
                    <w:rPr>
                      <w:color w:val="000000"/>
                      <w:spacing w:val="8"/>
                      <w:sz w:val="20"/>
                      <w:szCs w:val="20"/>
                    </w:rPr>
                    <w:t>物综合整</w:t>
                  </w:r>
                  <w:r>
                    <w:rPr>
                      <w:color w:val="000000"/>
                      <w:spacing w:val="9"/>
                      <w:sz w:val="20"/>
                      <w:szCs w:val="20"/>
                    </w:rPr>
                    <w:t>治行动。加强生态环境风险防范，有效应对突</w:t>
                  </w:r>
                  <w:r>
                    <w:rPr>
                      <w:color w:val="000000"/>
                      <w:spacing w:val="8"/>
                      <w:sz w:val="20"/>
                      <w:szCs w:val="20"/>
                    </w:rPr>
                    <w:t>发环境事件。健全环境信息强制性披露制度。</w:t>
                  </w:r>
                </w:p>
              </w:tc>
              <w:tc>
                <w:tcPr>
                  <w:tcW w:w="1815" w:type="pct"/>
                  <w:noWrap w:val="0"/>
                  <w:vAlign w:val="center"/>
                </w:tcPr>
                <w:p w14:paraId="6280D4F4">
                  <w:pPr>
                    <w:widowControl/>
                    <w:rPr>
                      <w:color w:val="000000"/>
                      <w:szCs w:val="21"/>
                      <w:u w:val="none"/>
                    </w:rPr>
                  </w:pPr>
                  <w:r>
                    <w:rPr>
                      <w:rFonts w:hint="eastAsia"/>
                      <w:color w:val="000000"/>
                      <w:szCs w:val="21"/>
                      <w:u w:val="none"/>
                    </w:rPr>
                    <w:t>本项目为</w:t>
                  </w:r>
                  <w:r>
                    <w:rPr>
                      <w:rFonts w:hint="eastAsia"/>
                      <w:color w:val="000000"/>
                      <w:szCs w:val="21"/>
                      <w:u w:val="none"/>
                      <w:lang w:val="en-US" w:eastAsia="zh-CN"/>
                    </w:rPr>
                    <w:t>改建项目</w:t>
                  </w:r>
                  <w:r>
                    <w:rPr>
                      <w:rFonts w:hint="eastAsia"/>
                      <w:color w:val="000000"/>
                      <w:szCs w:val="21"/>
                      <w:u w:val="none"/>
                    </w:rPr>
                    <w:t>，</w:t>
                  </w:r>
                  <w:r>
                    <w:rPr>
                      <w:rFonts w:hint="eastAsia"/>
                      <w:color w:val="000000"/>
                      <w:szCs w:val="21"/>
                      <w:u w:val="none"/>
                      <w:lang w:val="en-US" w:eastAsia="zh-CN"/>
                    </w:rPr>
                    <w:t>位于</w:t>
                  </w:r>
                  <w:r>
                    <w:rPr>
                      <w:rFonts w:hint="eastAsia"/>
                      <w:color w:val="000000"/>
                      <w:szCs w:val="21"/>
                      <w:u w:val="none"/>
                    </w:rPr>
                    <w:t>洛阳偃师区先进制造业开发区东南板块，不属于“两高一资”项目；本项目生活污水</w:t>
                  </w:r>
                  <w:r>
                    <w:rPr>
                      <w:rFonts w:hint="eastAsia"/>
                      <w:color w:val="000000"/>
                      <w:szCs w:val="21"/>
                      <w:u w:val="none"/>
                      <w:lang w:val="en-US" w:eastAsia="zh-CN"/>
                    </w:rPr>
                    <w:t>近期</w:t>
                  </w:r>
                  <w:r>
                    <w:rPr>
                      <w:rFonts w:hint="eastAsia"/>
                      <w:color w:val="000000"/>
                      <w:szCs w:val="21"/>
                      <w:u w:val="none"/>
                    </w:rPr>
                    <w:t>经化粪池收集后</w:t>
                  </w:r>
                  <w:r>
                    <w:rPr>
                      <w:rFonts w:hint="eastAsia"/>
                      <w:color w:val="000000"/>
                      <w:szCs w:val="21"/>
                      <w:u w:val="none"/>
                      <w:lang w:val="en-US" w:eastAsia="zh-CN"/>
                    </w:rPr>
                    <w:t>委托</w:t>
                  </w:r>
                  <w:r>
                    <w:rPr>
                      <w:rFonts w:hint="eastAsia"/>
                      <w:color w:val="000000"/>
                      <w:szCs w:val="21"/>
                      <w:u w:val="none"/>
                    </w:rPr>
                    <w:t>农户拉走肥田，远期排入偃师区第四污水处理厂</w:t>
                  </w:r>
                  <w:r>
                    <w:rPr>
                      <w:rFonts w:hint="eastAsia"/>
                      <w:color w:val="000000"/>
                      <w:szCs w:val="21"/>
                      <w:u w:val="none"/>
                      <w:lang w:eastAsia="zh-CN"/>
                    </w:rPr>
                    <w:t>；</w:t>
                  </w:r>
                  <w:r>
                    <w:rPr>
                      <w:rFonts w:hint="eastAsia"/>
                      <w:color w:val="000000"/>
                      <w:szCs w:val="21"/>
                      <w:u w:val="none"/>
                      <w:lang w:val="en-US" w:eastAsia="zh-CN"/>
                    </w:rPr>
                    <w:t>冷</w:t>
                  </w:r>
                  <w:r>
                    <w:rPr>
                      <w:rFonts w:hint="eastAsia"/>
                      <w:color w:val="000000"/>
                      <w:szCs w:val="21"/>
                      <w:u w:val="none"/>
                    </w:rPr>
                    <w:t>却水循环使用，冷却塔循环水池定期清理，用于厂区洒水降尘。项目产生的危险废物经厂区内危废暂存间暂存，定期委托有资质单位集中处置。项目建成后严格落实排污许可制度，加强环境风险防范。</w:t>
                  </w:r>
                </w:p>
              </w:tc>
              <w:tc>
                <w:tcPr>
                  <w:tcW w:w="473" w:type="pct"/>
                  <w:noWrap w:val="0"/>
                  <w:vAlign w:val="center"/>
                </w:tcPr>
                <w:p w14:paraId="72495B16">
                  <w:pPr>
                    <w:widowControl/>
                    <w:jc w:val="center"/>
                    <w:rPr>
                      <w:color w:val="000000"/>
                      <w:szCs w:val="21"/>
                      <w:u w:val="none"/>
                    </w:rPr>
                  </w:pPr>
                  <w:r>
                    <w:rPr>
                      <w:rFonts w:hint="eastAsia"/>
                      <w:bCs/>
                      <w:color w:val="000000"/>
                      <w:szCs w:val="21"/>
                      <w:u w:val="none"/>
                    </w:rPr>
                    <w:t>相符</w:t>
                  </w:r>
                </w:p>
              </w:tc>
            </w:tr>
          </w:tbl>
          <w:p w14:paraId="4A1297BF">
            <w:pPr>
              <w:autoSpaceDE w:val="0"/>
              <w:autoSpaceDN w:val="0"/>
              <w:adjustRightInd w:val="0"/>
              <w:spacing w:line="360" w:lineRule="auto"/>
              <w:rPr>
                <w:rFonts w:hint="eastAsia"/>
                <w:b/>
                <w:bCs/>
                <w:color w:val="000000"/>
                <w:sz w:val="24"/>
                <w:szCs w:val="24"/>
                <w:lang w:val="en-US" w:eastAsia="zh-CN"/>
              </w:rPr>
            </w:pPr>
          </w:p>
          <w:p w14:paraId="0B1CD97C">
            <w:pPr>
              <w:autoSpaceDE w:val="0"/>
              <w:autoSpaceDN w:val="0"/>
              <w:adjustRightInd w:val="0"/>
              <w:spacing w:line="360" w:lineRule="auto"/>
              <w:rPr>
                <w:rFonts w:hint="eastAsia"/>
                <w:b/>
                <w:bCs/>
                <w:color w:val="000000"/>
                <w:sz w:val="24"/>
                <w:szCs w:val="24"/>
                <w:lang w:val="en-US" w:eastAsia="zh-CN"/>
              </w:rPr>
            </w:pPr>
          </w:p>
          <w:p w14:paraId="0D2E9C0A">
            <w:pPr>
              <w:autoSpaceDE w:val="0"/>
              <w:autoSpaceDN w:val="0"/>
              <w:adjustRightInd w:val="0"/>
              <w:spacing w:line="360" w:lineRule="auto"/>
              <w:rPr>
                <w:rFonts w:hint="eastAsia"/>
                <w:b/>
                <w:bCs/>
                <w:color w:val="000000"/>
                <w:sz w:val="24"/>
                <w:szCs w:val="24"/>
                <w:lang w:val="en-US" w:eastAsia="zh-CN"/>
              </w:rPr>
            </w:pPr>
          </w:p>
          <w:p w14:paraId="20201A5D">
            <w:pPr>
              <w:autoSpaceDE w:val="0"/>
              <w:autoSpaceDN w:val="0"/>
              <w:adjustRightInd w:val="0"/>
              <w:spacing w:line="360" w:lineRule="auto"/>
              <w:rPr>
                <w:rFonts w:hint="eastAsia"/>
                <w:b/>
                <w:bCs/>
                <w:color w:val="000000"/>
                <w:sz w:val="24"/>
                <w:szCs w:val="24"/>
                <w:lang w:val="en-US" w:eastAsia="zh-CN"/>
              </w:rPr>
            </w:pPr>
          </w:p>
          <w:p w14:paraId="53205220">
            <w:pPr>
              <w:autoSpaceDE w:val="0"/>
              <w:autoSpaceDN w:val="0"/>
              <w:adjustRightInd w:val="0"/>
              <w:spacing w:line="360" w:lineRule="auto"/>
              <w:rPr>
                <w:rFonts w:hint="eastAsia"/>
                <w:b/>
                <w:bCs/>
                <w:color w:val="000000"/>
                <w:sz w:val="24"/>
                <w:szCs w:val="24"/>
              </w:rPr>
            </w:pPr>
            <w:r>
              <w:rPr>
                <w:rFonts w:hint="eastAsia"/>
                <w:b/>
                <w:bCs/>
                <w:color w:val="000000"/>
                <w:sz w:val="24"/>
                <w:szCs w:val="24"/>
                <w:lang w:val="en-US" w:eastAsia="zh-CN"/>
              </w:rPr>
              <w:t>4.2</w:t>
            </w:r>
            <w:r>
              <w:rPr>
                <w:rFonts w:hint="eastAsia"/>
                <w:b/>
                <w:bCs/>
                <w:color w:val="000000"/>
                <w:sz w:val="24"/>
                <w:szCs w:val="24"/>
              </w:rPr>
              <w:t>《关于“十四五”推进沿黄重点地区工业项目入园及严控高污染、高耗水、高耗能项目的通知》（豫发改工业</w:t>
            </w:r>
            <w:r>
              <w:rPr>
                <w:rFonts w:hint="eastAsia"/>
                <w:b/>
                <w:bCs/>
                <w:color w:val="000000"/>
                <w:sz w:val="24"/>
                <w:szCs w:val="24"/>
                <w:lang w:eastAsia="zh-CN"/>
              </w:rPr>
              <w:t>〔2021〕812号</w:t>
            </w:r>
            <w:r>
              <w:rPr>
                <w:rFonts w:hint="eastAsia"/>
                <w:b/>
                <w:bCs/>
                <w:color w:val="000000"/>
                <w:sz w:val="24"/>
                <w:szCs w:val="24"/>
              </w:rPr>
              <w:t>）</w:t>
            </w:r>
          </w:p>
          <w:p w14:paraId="5B35F787">
            <w:pPr>
              <w:spacing w:before="93" w:beforeLines="30"/>
              <w:jc w:val="center"/>
              <w:rPr>
                <w:color w:val="000000"/>
                <w:u w:val="none"/>
              </w:rPr>
            </w:pPr>
            <w:r>
              <w:rPr>
                <w:rFonts w:hint="eastAsia" w:ascii="黑体" w:hAnsi="黑体" w:eastAsia="黑体" w:cs="Times New Roman"/>
                <w:color w:val="000000"/>
                <w:sz w:val="24"/>
                <w:szCs w:val="24"/>
                <w:lang w:val="en-US" w:eastAsia="zh-CN"/>
              </w:rPr>
              <w:t xml:space="preserve">表9   </w:t>
            </w:r>
            <w:r>
              <w:rPr>
                <w:rFonts w:hint="default" w:ascii="黑体" w:hAnsi="黑体" w:eastAsia="黑体" w:cs="Times New Roman"/>
                <w:color w:val="000000"/>
                <w:sz w:val="24"/>
                <w:szCs w:val="24"/>
                <w:lang w:val="en-US" w:eastAsia="zh-CN"/>
              </w:rPr>
              <w:t xml:space="preserve"> 豫发改工业</w:t>
            </w:r>
            <w:r>
              <w:rPr>
                <w:rFonts w:hint="eastAsia" w:ascii="黑体" w:hAnsi="黑体" w:eastAsia="黑体" w:cs="Times New Roman"/>
                <w:color w:val="000000"/>
                <w:sz w:val="24"/>
                <w:szCs w:val="24"/>
                <w:lang w:val="en-US" w:eastAsia="zh-CN"/>
              </w:rPr>
              <w:t>〔2021〕812号相符性分析</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434"/>
              <w:gridCol w:w="2970"/>
              <w:gridCol w:w="774"/>
            </w:tblGrid>
            <w:tr w14:paraId="3D89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710" w:type="pct"/>
                  <w:noWrap w:val="0"/>
                  <w:vAlign w:val="center"/>
                </w:tcPr>
                <w:p w14:paraId="63503CB9">
                  <w:pPr>
                    <w:widowControl/>
                    <w:jc w:val="center"/>
                    <w:rPr>
                      <w:color w:val="000000"/>
                      <w:szCs w:val="21"/>
                      <w:u w:val="none"/>
                    </w:rPr>
                  </w:pPr>
                  <w:r>
                    <w:rPr>
                      <w:rFonts w:hint="eastAsia" w:ascii="宋体" w:hAnsi="宋体" w:cs="宋体"/>
                      <w:color w:val="000000"/>
                      <w:szCs w:val="21"/>
                      <w:u w:val="none"/>
                      <w:lang w:bidi="ar"/>
                    </w:rPr>
                    <w:t>文件要求</w:t>
                  </w:r>
                </w:p>
              </w:tc>
              <w:tc>
                <w:tcPr>
                  <w:tcW w:w="1815" w:type="pct"/>
                  <w:noWrap w:val="0"/>
                  <w:vAlign w:val="center"/>
                </w:tcPr>
                <w:p w14:paraId="44CB2176">
                  <w:pPr>
                    <w:widowControl/>
                    <w:jc w:val="center"/>
                    <w:rPr>
                      <w:color w:val="000000"/>
                      <w:szCs w:val="21"/>
                      <w:u w:val="none"/>
                    </w:rPr>
                  </w:pPr>
                  <w:r>
                    <w:rPr>
                      <w:rFonts w:hint="eastAsia" w:ascii="宋体" w:hAnsi="宋体" w:cs="宋体"/>
                      <w:color w:val="000000"/>
                      <w:szCs w:val="21"/>
                      <w:u w:val="none"/>
                      <w:lang w:bidi="ar"/>
                    </w:rPr>
                    <w:t>本项目情况</w:t>
                  </w:r>
                </w:p>
              </w:tc>
              <w:tc>
                <w:tcPr>
                  <w:tcW w:w="473" w:type="pct"/>
                  <w:noWrap w:val="0"/>
                  <w:vAlign w:val="center"/>
                </w:tcPr>
                <w:p w14:paraId="49D76E1A">
                  <w:pPr>
                    <w:widowControl/>
                    <w:jc w:val="center"/>
                    <w:rPr>
                      <w:color w:val="000000"/>
                      <w:szCs w:val="21"/>
                      <w:u w:val="none"/>
                    </w:rPr>
                  </w:pPr>
                  <w:r>
                    <w:rPr>
                      <w:rFonts w:hint="eastAsia" w:ascii="宋体" w:hAnsi="宋体" w:cs="宋体"/>
                      <w:color w:val="000000"/>
                      <w:szCs w:val="21"/>
                      <w:u w:val="none"/>
                      <w:lang w:bidi="ar"/>
                    </w:rPr>
                    <w:t>相符性</w:t>
                  </w:r>
                </w:p>
              </w:tc>
            </w:tr>
            <w:tr w14:paraId="56DA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000" w:type="pct"/>
                  <w:gridSpan w:val="3"/>
                  <w:noWrap w:val="0"/>
                  <w:vAlign w:val="center"/>
                </w:tcPr>
                <w:p w14:paraId="47323BA7">
                  <w:pPr>
                    <w:widowControl/>
                    <w:jc w:val="both"/>
                    <w:rPr>
                      <w:rFonts w:hint="eastAsia" w:ascii="宋体" w:hAnsi="宋体" w:cs="宋体"/>
                      <w:color w:val="000000"/>
                      <w:szCs w:val="21"/>
                      <w:u w:val="none"/>
                      <w:lang w:bidi="ar"/>
                    </w:rPr>
                  </w:pPr>
                  <w:r>
                    <w:rPr>
                      <w:rFonts w:hint="eastAsia" w:ascii="宋体" w:hAnsi="宋体" w:cs="宋体"/>
                      <w:color w:val="000000"/>
                      <w:szCs w:val="21"/>
                      <w:u w:val="none"/>
                      <w:lang w:bidi="ar"/>
                    </w:rPr>
                    <w:t>二、清理拟建工业和高污染、高耗水、高耗能项目</w:t>
                  </w:r>
                </w:p>
              </w:tc>
            </w:tr>
            <w:tr w14:paraId="0AB6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710" w:type="pct"/>
                  <w:noWrap w:val="0"/>
                  <w:vAlign w:val="center"/>
                </w:tcPr>
                <w:p w14:paraId="6C763FFF">
                  <w:pPr>
                    <w:keepNext w:val="0"/>
                    <w:keepLines w:val="0"/>
                    <w:widowControl/>
                    <w:suppressLineNumbers w:val="0"/>
                    <w:jc w:val="left"/>
                    <w:rPr>
                      <w:color w:val="000000"/>
                      <w:szCs w:val="21"/>
                      <w:u w:val="none"/>
                    </w:rPr>
                  </w:pPr>
                  <w:r>
                    <w:rPr>
                      <w:rFonts w:hint="eastAsia"/>
                      <w:color w:val="000000"/>
                      <w:szCs w:val="21"/>
                      <w:u w:val="none"/>
                    </w:rPr>
                    <w:t>我省沿黄重点地区要组织对本地区现有已备案但尚未开工的拟建工业项目进行清查，对不符合产业政策、“三线一单”生态环境分区管控方案、规划环评、国土空间用途管制以及能耗、水耗等有关要求的项目一律停止推进。拟建工业项目应调整转入合规工业园区，其中高污染、高耗水、高耗能项目应由省辖市相关部门对是否符合产业政策、产能置换、环境评价、耗煤减量替代、空间规划、用地审批、规划许可等管控要求进行会商评估，经评估确有必要建设且符合相关要求的，一律转入合规工业园区。</w:t>
                  </w:r>
                </w:p>
              </w:tc>
              <w:tc>
                <w:tcPr>
                  <w:tcW w:w="1815" w:type="pct"/>
                  <w:noWrap w:val="0"/>
                  <w:vAlign w:val="center"/>
                </w:tcPr>
                <w:p w14:paraId="7CEA9A6E">
                  <w:pPr>
                    <w:widowControl/>
                    <w:rPr>
                      <w:color w:val="000000"/>
                      <w:szCs w:val="21"/>
                      <w:u w:val="none"/>
                    </w:rPr>
                  </w:pPr>
                  <w:r>
                    <w:rPr>
                      <w:rFonts w:hint="eastAsia"/>
                      <w:color w:val="000000"/>
                      <w:szCs w:val="21"/>
                      <w:u w:val="none"/>
                    </w:rPr>
                    <w:t>本项目</w:t>
                  </w:r>
                  <w:r>
                    <w:rPr>
                      <w:rFonts w:hint="default" w:ascii="宋体" w:hAnsi="宋体" w:eastAsia="宋体" w:cs="宋体"/>
                      <w:color w:val="000000"/>
                      <w:spacing w:val="0"/>
                      <w:sz w:val="21"/>
                      <w:szCs w:val="21"/>
                      <w:lang w:eastAsia="zh-CN"/>
                    </w:rPr>
                    <w:t>所属行业为塑料鞋制造、其他塑料制品制造，</w:t>
                  </w:r>
                  <w:r>
                    <w:rPr>
                      <w:rFonts w:hint="eastAsia"/>
                      <w:color w:val="000000"/>
                      <w:szCs w:val="21"/>
                      <w:u w:val="none"/>
                    </w:rPr>
                    <w:t>位于洛阳偃师区先进制造业开发区东南板块，项目符合产业政策、“三线一单”生态环境分区管控方案、规划环评以及能耗、水耗等有关要求。对照文件附录，本项目不属于高污染、高耗水、高耗能项目。</w:t>
                  </w:r>
                </w:p>
              </w:tc>
              <w:tc>
                <w:tcPr>
                  <w:tcW w:w="473" w:type="pct"/>
                  <w:noWrap w:val="0"/>
                  <w:vAlign w:val="center"/>
                </w:tcPr>
                <w:p w14:paraId="46FEC9A3">
                  <w:pPr>
                    <w:widowControl/>
                    <w:jc w:val="center"/>
                    <w:rPr>
                      <w:color w:val="000000"/>
                      <w:szCs w:val="21"/>
                      <w:u w:val="none"/>
                    </w:rPr>
                  </w:pPr>
                  <w:r>
                    <w:rPr>
                      <w:rFonts w:hint="eastAsia"/>
                      <w:bCs/>
                      <w:color w:val="000000"/>
                      <w:szCs w:val="21"/>
                      <w:u w:val="none"/>
                    </w:rPr>
                    <w:t>相符</w:t>
                  </w:r>
                </w:p>
              </w:tc>
            </w:tr>
          </w:tbl>
          <w:p w14:paraId="4C1B9F40">
            <w:pPr>
              <w:autoSpaceDE w:val="0"/>
              <w:autoSpaceDN w:val="0"/>
              <w:adjustRightInd w:val="0"/>
              <w:spacing w:line="360" w:lineRule="auto"/>
              <w:ind w:firstLine="480" w:firstLineChars="200"/>
              <w:rPr>
                <w:rFonts w:hint="eastAsia"/>
                <w:color w:val="000000"/>
                <w:sz w:val="24"/>
                <w:szCs w:val="24"/>
              </w:rPr>
            </w:pPr>
            <w:r>
              <w:rPr>
                <w:rFonts w:hint="eastAsia"/>
                <w:color w:val="000000"/>
                <w:sz w:val="24"/>
                <w:szCs w:val="24"/>
              </w:rPr>
              <w:t>由以上分析可知，本项目符合《关于“十四五”推进沿黄重点地区工业项目入园及严控高污染、高耗水、高耗能项目的通知》（豫发改工业</w:t>
            </w:r>
            <w:r>
              <w:rPr>
                <w:rFonts w:hint="eastAsia"/>
                <w:color w:val="000000"/>
                <w:sz w:val="24"/>
                <w:szCs w:val="24"/>
                <w:lang w:eastAsia="zh-CN"/>
              </w:rPr>
              <w:t>〔2021〕812号</w:t>
            </w:r>
            <w:r>
              <w:rPr>
                <w:rFonts w:hint="eastAsia"/>
                <w:color w:val="000000"/>
                <w:sz w:val="24"/>
                <w:szCs w:val="24"/>
              </w:rPr>
              <w:t>）相关要求。</w:t>
            </w:r>
          </w:p>
          <w:p w14:paraId="19ABAAB3">
            <w:pPr>
              <w:spacing w:line="360" w:lineRule="auto"/>
              <w:rPr>
                <w:rFonts w:hint="eastAsia"/>
                <w:b/>
                <w:color w:val="000000"/>
                <w:sz w:val="24"/>
                <w:szCs w:val="24"/>
              </w:rPr>
            </w:pPr>
            <w:r>
              <w:rPr>
                <w:rFonts w:hint="eastAsia"/>
                <w:b/>
                <w:color w:val="000000"/>
                <w:sz w:val="24"/>
                <w:szCs w:val="24"/>
                <w:lang w:val="en-US" w:eastAsia="zh-CN"/>
              </w:rPr>
              <w:t>4.3</w:t>
            </w:r>
            <w:r>
              <w:rPr>
                <w:rFonts w:hint="eastAsia"/>
                <w:b/>
                <w:color w:val="000000"/>
                <w:sz w:val="24"/>
                <w:szCs w:val="24"/>
              </w:rPr>
              <w:t>《黄河生态保护治理攻坚战行动方案》（环综合</w:t>
            </w:r>
            <w:r>
              <w:rPr>
                <w:rFonts w:hint="eastAsia"/>
                <w:b/>
                <w:color w:val="000000"/>
                <w:sz w:val="24"/>
                <w:szCs w:val="24"/>
                <w:lang w:eastAsia="zh-CN"/>
              </w:rPr>
              <w:t>〔2022〕</w:t>
            </w:r>
            <w:r>
              <w:rPr>
                <w:rFonts w:hint="eastAsia"/>
                <w:b/>
                <w:color w:val="000000"/>
                <w:sz w:val="24"/>
                <w:szCs w:val="24"/>
              </w:rPr>
              <w:t>51号）</w:t>
            </w:r>
          </w:p>
          <w:p w14:paraId="1F429633">
            <w:pPr>
              <w:spacing w:before="93" w:beforeLines="30"/>
              <w:jc w:val="center"/>
              <w:rPr>
                <w:rFonts w:hint="eastAsia" w:ascii="黑体" w:hAnsi="黑体" w:eastAsia="黑体"/>
                <w:color w:val="000000"/>
                <w:sz w:val="24"/>
                <w:szCs w:val="24"/>
              </w:rPr>
            </w:pPr>
            <w:r>
              <w:rPr>
                <w:rFonts w:hint="eastAsia" w:ascii="黑体" w:hAnsi="黑体" w:eastAsia="黑体" w:cs="Times New Roman"/>
                <w:color w:val="000000"/>
                <w:sz w:val="24"/>
                <w:szCs w:val="24"/>
                <w:lang w:val="en-US" w:eastAsia="zh-CN"/>
              </w:rPr>
              <w:t>表10    环综合〔2022〕51号相符性分析一览表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400"/>
              <w:gridCol w:w="3025"/>
              <w:gridCol w:w="753"/>
            </w:tblGrid>
            <w:tr w14:paraId="27E3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690" w:type="pct"/>
                  <w:noWrap w:val="0"/>
                  <w:vAlign w:val="center"/>
                </w:tcPr>
                <w:p w14:paraId="71202FF7">
                  <w:pPr>
                    <w:tabs>
                      <w:tab w:val="left" w:pos="1260"/>
                    </w:tabs>
                    <w:adjustRightInd w:val="0"/>
                    <w:jc w:val="center"/>
                    <w:rPr>
                      <w:bCs/>
                      <w:color w:val="000000"/>
                      <w:szCs w:val="21"/>
                    </w:rPr>
                  </w:pPr>
                  <w:r>
                    <w:rPr>
                      <w:rFonts w:hint="eastAsia"/>
                      <w:bCs/>
                      <w:color w:val="000000"/>
                      <w:szCs w:val="21"/>
                    </w:rPr>
                    <w:t>文件要求</w:t>
                  </w:r>
                </w:p>
              </w:tc>
              <w:tc>
                <w:tcPr>
                  <w:tcW w:w="1849" w:type="pct"/>
                  <w:noWrap w:val="0"/>
                  <w:vAlign w:val="center"/>
                </w:tcPr>
                <w:p w14:paraId="7A3CAA75">
                  <w:pPr>
                    <w:tabs>
                      <w:tab w:val="left" w:pos="1260"/>
                    </w:tabs>
                    <w:adjustRightInd w:val="0"/>
                    <w:jc w:val="center"/>
                    <w:rPr>
                      <w:bCs/>
                      <w:color w:val="000000"/>
                      <w:szCs w:val="21"/>
                    </w:rPr>
                  </w:pPr>
                  <w:r>
                    <w:rPr>
                      <w:rFonts w:hint="eastAsia"/>
                      <w:bCs/>
                      <w:color w:val="000000"/>
                      <w:szCs w:val="21"/>
                    </w:rPr>
                    <w:t>本项目情况</w:t>
                  </w:r>
                </w:p>
              </w:tc>
              <w:tc>
                <w:tcPr>
                  <w:tcW w:w="460" w:type="pct"/>
                  <w:noWrap w:val="0"/>
                  <w:vAlign w:val="center"/>
                </w:tcPr>
                <w:p w14:paraId="065FC4CD">
                  <w:pPr>
                    <w:tabs>
                      <w:tab w:val="left" w:pos="1260"/>
                    </w:tabs>
                    <w:adjustRightInd w:val="0"/>
                    <w:jc w:val="center"/>
                    <w:rPr>
                      <w:bCs/>
                      <w:color w:val="000000"/>
                      <w:szCs w:val="21"/>
                    </w:rPr>
                  </w:pPr>
                  <w:r>
                    <w:rPr>
                      <w:rFonts w:hint="eastAsia"/>
                      <w:bCs/>
                      <w:color w:val="000000"/>
                      <w:szCs w:val="21"/>
                    </w:rPr>
                    <w:t>相符性</w:t>
                  </w:r>
                </w:p>
              </w:tc>
            </w:tr>
            <w:tr w14:paraId="74FC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000" w:type="pct"/>
                  <w:gridSpan w:val="3"/>
                  <w:noWrap w:val="0"/>
                  <w:vAlign w:val="center"/>
                </w:tcPr>
                <w:p w14:paraId="301E84B3">
                  <w:pPr>
                    <w:tabs>
                      <w:tab w:val="left" w:pos="1260"/>
                    </w:tabs>
                    <w:adjustRightInd w:val="0"/>
                    <w:rPr>
                      <w:rFonts w:hint="eastAsia"/>
                      <w:bCs/>
                      <w:color w:val="000000"/>
                      <w:szCs w:val="21"/>
                    </w:rPr>
                  </w:pPr>
                  <w:r>
                    <w:rPr>
                      <w:rFonts w:hint="eastAsia"/>
                      <w:bCs/>
                      <w:color w:val="000000"/>
                      <w:szCs w:val="21"/>
                    </w:rPr>
                    <w:t>二、主要任务</w:t>
                  </w:r>
                </w:p>
              </w:tc>
            </w:tr>
            <w:tr w14:paraId="015B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000" w:type="pct"/>
                  <w:gridSpan w:val="3"/>
                  <w:noWrap w:val="0"/>
                  <w:vAlign w:val="center"/>
                </w:tcPr>
                <w:p w14:paraId="3672589B">
                  <w:pPr>
                    <w:tabs>
                      <w:tab w:val="left" w:pos="1260"/>
                    </w:tabs>
                    <w:adjustRightInd w:val="0"/>
                    <w:rPr>
                      <w:rFonts w:hint="eastAsia"/>
                      <w:bCs/>
                      <w:color w:val="000000"/>
                      <w:szCs w:val="21"/>
                    </w:rPr>
                  </w:pPr>
                  <w:r>
                    <w:rPr>
                      <w:rFonts w:hint="eastAsia"/>
                      <w:bCs/>
                      <w:color w:val="000000"/>
                      <w:szCs w:val="21"/>
                    </w:rPr>
                    <w:t>（二）减污降碳协同增效行动</w:t>
                  </w:r>
                </w:p>
              </w:tc>
            </w:tr>
            <w:tr w14:paraId="0EC1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690" w:type="pct"/>
                  <w:noWrap w:val="0"/>
                  <w:vAlign w:val="center"/>
                </w:tcPr>
                <w:p w14:paraId="0EFD8088">
                  <w:pPr>
                    <w:tabs>
                      <w:tab w:val="left" w:pos="1260"/>
                    </w:tabs>
                    <w:adjustRightInd w:val="0"/>
                    <w:ind w:firstLine="420" w:firstLineChars="200"/>
                    <w:rPr>
                      <w:bCs/>
                      <w:color w:val="000000"/>
                      <w:szCs w:val="21"/>
                    </w:rPr>
                  </w:pPr>
                  <w:r>
                    <w:rPr>
                      <w:rFonts w:hint="eastAsia"/>
                      <w:bCs/>
                      <w:color w:val="000000"/>
                      <w:szCs w:val="21"/>
                    </w:rPr>
                    <w:t>强化生态环境分区管控。落实生态保护红线、环境质量底线、资源利用上线硬约束，充分衔接国土空间规划和用途管制要求，因地制宜建立差别化生态环境准入清单，加快推进“三线一单”（生态保护红线、环境质量底线、资源利用上线和生态环境准入清单）成果应用。严格规划环评审查、节能审查、节水评价和项目环评准入，严控严管新增高污染、高耗能、高排放、高耗水企业。严控钢铁、煤化工、石化、有色金属等行业规模，依法依规淘汰落后产能和化解过剩产能。禁止在黄河干支流岸线一定范围内新建、扩建化工园区和化工项目。严禁“挖湖造景”等不合理用水需求。</w:t>
                  </w:r>
                </w:p>
              </w:tc>
              <w:tc>
                <w:tcPr>
                  <w:tcW w:w="1849" w:type="pct"/>
                  <w:noWrap w:val="0"/>
                  <w:vAlign w:val="center"/>
                </w:tcPr>
                <w:p w14:paraId="77B5F93D">
                  <w:pPr>
                    <w:tabs>
                      <w:tab w:val="left" w:pos="1260"/>
                    </w:tabs>
                    <w:adjustRightInd w:val="0"/>
                    <w:rPr>
                      <w:bCs/>
                      <w:color w:val="000000"/>
                      <w:szCs w:val="21"/>
                    </w:rPr>
                  </w:pPr>
                  <w:r>
                    <w:rPr>
                      <w:rFonts w:hint="eastAsia"/>
                      <w:bCs/>
                      <w:color w:val="000000"/>
                      <w:szCs w:val="21"/>
                    </w:rPr>
                    <w:t>本项目为改建项目，</w:t>
                  </w:r>
                  <w:r>
                    <w:rPr>
                      <w:rFonts w:hint="default" w:ascii="宋体" w:hAnsi="宋体" w:eastAsia="宋体" w:cs="宋体"/>
                      <w:color w:val="000000"/>
                      <w:spacing w:val="0"/>
                      <w:sz w:val="21"/>
                      <w:szCs w:val="21"/>
                      <w:lang w:eastAsia="zh-CN"/>
                    </w:rPr>
                    <w:t>所属行业为塑料鞋制造、其他塑料制品制造</w:t>
                  </w:r>
                  <w:r>
                    <w:rPr>
                      <w:rFonts w:hint="eastAsia"/>
                      <w:bCs/>
                      <w:color w:val="000000"/>
                      <w:szCs w:val="21"/>
                    </w:rPr>
                    <w:t>，不属于“两高一资”项目</w:t>
                  </w:r>
                  <w:r>
                    <w:rPr>
                      <w:rFonts w:hint="eastAsia"/>
                      <w:color w:val="000000"/>
                      <w:kern w:val="0"/>
                      <w:szCs w:val="21"/>
                    </w:rPr>
                    <w:t>，选址符合“三线一单”要求。</w:t>
                  </w:r>
                </w:p>
              </w:tc>
              <w:tc>
                <w:tcPr>
                  <w:tcW w:w="460" w:type="pct"/>
                  <w:noWrap w:val="0"/>
                  <w:vAlign w:val="center"/>
                </w:tcPr>
                <w:p w14:paraId="01320651">
                  <w:pPr>
                    <w:tabs>
                      <w:tab w:val="left" w:pos="1260"/>
                    </w:tabs>
                    <w:adjustRightInd w:val="0"/>
                    <w:jc w:val="center"/>
                    <w:rPr>
                      <w:bCs/>
                      <w:color w:val="000000"/>
                      <w:szCs w:val="21"/>
                    </w:rPr>
                  </w:pPr>
                  <w:r>
                    <w:rPr>
                      <w:rFonts w:hint="eastAsia"/>
                      <w:bCs/>
                      <w:color w:val="000000"/>
                      <w:szCs w:val="21"/>
                    </w:rPr>
                    <w:t>相符</w:t>
                  </w:r>
                </w:p>
              </w:tc>
            </w:tr>
            <w:tr w14:paraId="28B3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690" w:type="pct"/>
                  <w:noWrap w:val="0"/>
                  <w:vAlign w:val="center"/>
                </w:tcPr>
                <w:p w14:paraId="6BEEAF1A">
                  <w:pPr>
                    <w:tabs>
                      <w:tab w:val="left" w:pos="1260"/>
                    </w:tabs>
                    <w:adjustRightInd w:val="0"/>
                    <w:ind w:firstLine="420" w:firstLineChars="200"/>
                    <w:rPr>
                      <w:rFonts w:hint="eastAsia"/>
                      <w:bCs/>
                      <w:color w:val="000000"/>
                      <w:szCs w:val="21"/>
                    </w:rPr>
                  </w:pPr>
                  <w:r>
                    <w:rPr>
                      <w:rFonts w:hint="eastAsia"/>
                      <w:bCs/>
                      <w:color w:val="000000"/>
                      <w:szCs w:val="21"/>
                    </w:rPr>
                    <w:t>强化固体废物协同控制与污染防治。选择一批“无废城市”开展协同增效试点，在固体废物处置全过程中协同推进碳减排。建设固体废物跨区域回收利用示范基地，推动区域固体废物集中利用处置能力共享。持续推进流域“清废行动”，加快推进沿黄省区干支流固体废物倾倒排查整治工作，全面整治固体废物非法堆存。推动省域内危险废物处置能力与产废情况总体匹配，鼓励主要产业基地根据需要配套建设危险废物集中利用处置设施，支持有条件的地区建设区域性特殊危险废物集中处置中心。加快完善医疗废物收集转运处置体系，推动地级及以上城市医疗废物集中处置设施建设，健全县域医疗废物收集转运处置体系，补齐医疗废物收集处理设施短板。</w:t>
                  </w:r>
                </w:p>
              </w:tc>
              <w:tc>
                <w:tcPr>
                  <w:tcW w:w="1849" w:type="pct"/>
                  <w:noWrap w:val="0"/>
                  <w:vAlign w:val="center"/>
                </w:tcPr>
                <w:p w14:paraId="6AA59CF6">
                  <w:pPr>
                    <w:tabs>
                      <w:tab w:val="left" w:pos="1260"/>
                    </w:tabs>
                    <w:adjustRightInd w:val="0"/>
                    <w:rPr>
                      <w:rFonts w:hint="eastAsia"/>
                      <w:bCs/>
                      <w:color w:val="000000"/>
                      <w:szCs w:val="21"/>
                    </w:rPr>
                  </w:pPr>
                  <w:r>
                    <w:rPr>
                      <w:rFonts w:hint="eastAsia"/>
                      <w:bCs/>
                      <w:color w:val="000000"/>
                      <w:szCs w:val="21"/>
                    </w:rPr>
                    <w:t>本项目危险废物在危废暂存间内暂存后委托有资质单位处置。</w:t>
                  </w:r>
                </w:p>
              </w:tc>
              <w:tc>
                <w:tcPr>
                  <w:tcW w:w="460" w:type="pct"/>
                  <w:noWrap w:val="0"/>
                  <w:vAlign w:val="center"/>
                </w:tcPr>
                <w:p w14:paraId="1B1FCE2F">
                  <w:pPr>
                    <w:tabs>
                      <w:tab w:val="left" w:pos="1260"/>
                    </w:tabs>
                    <w:adjustRightInd w:val="0"/>
                    <w:jc w:val="center"/>
                    <w:rPr>
                      <w:rFonts w:hint="eastAsia"/>
                      <w:bCs/>
                      <w:color w:val="000000"/>
                      <w:szCs w:val="21"/>
                    </w:rPr>
                  </w:pPr>
                  <w:r>
                    <w:rPr>
                      <w:rFonts w:hint="eastAsia"/>
                      <w:bCs/>
                      <w:color w:val="000000"/>
                      <w:szCs w:val="21"/>
                    </w:rPr>
                    <w:t>相符</w:t>
                  </w:r>
                </w:p>
              </w:tc>
            </w:tr>
            <w:tr w14:paraId="3F0C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2690" w:type="pct"/>
                  <w:noWrap w:val="0"/>
                  <w:vAlign w:val="center"/>
                </w:tcPr>
                <w:p w14:paraId="0DA8EB99">
                  <w:pPr>
                    <w:tabs>
                      <w:tab w:val="left" w:pos="1260"/>
                    </w:tabs>
                    <w:adjustRightInd w:val="0"/>
                    <w:ind w:firstLine="420" w:firstLineChars="200"/>
                    <w:jc w:val="both"/>
                    <w:rPr>
                      <w:rFonts w:hint="eastAsia"/>
                      <w:bCs/>
                      <w:color w:val="000000"/>
                      <w:szCs w:val="21"/>
                    </w:rPr>
                  </w:pPr>
                  <w:r>
                    <w:rPr>
                      <w:rFonts w:hint="eastAsia"/>
                      <w:bCs/>
                      <w:color w:val="000000"/>
                      <w:szCs w:val="21"/>
                    </w:rPr>
                    <w:t>推动化工企业迁入合规园区，新建化工、有色金属、原料药制造等企业，应布局在符合产业定位和准入要求的合规园区，工业园区应按规定建成污水集中处理设施，依法安装自动在线监控装置并与生态环境主管部门联网。</w:t>
                  </w:r>
                </w:p>
                <w:p w14:paraId="3D09D15F">
                  <w:pPr>
                    <w:tabs>
                      <w:tab w:val="left" w:pos="1260"/>
                    </w:tabs>
                    <w:adjustRightInd w:val="0"/>
                    <w:ind w:firstLine="420" w:firstLineChars="200"/>
                    <w:jc w:val="both"/>
                    <w:rPr>
                      <w:rFonts w:hint="eastAsia"/>
                      <w:bCs/>
                      <w:color w:val="000000"/>
                      <w:szCs w:val="21"/>
                    </w:rPr>
                  </w:pPr>
                  <w:r>
                    <w:rPr>
                      <w:rFonts w:hint="eastAsia"/>
                      <w:bCs/>
                      <w:color w:val="000000"/>
                      <w:szCs w:val="21"/>
                    </w:rPr>
                    <w:t>严控工业废水未经处理或未有效处理直接排入城镇污水处理系统，严厉打击向河湖、沙漠、湿地、地下水等偷排、直排行为。</w:t>
                  </w:r>
                </w:p>
              </w:tc>
              <w:tc>
                <w:tcPr>
                  <w:tcW w:w="1849" w:type="pct"/>
                  <w:noWrap w:val="0"/>
                  <w:vAlign w:val="center"/>
                </w:tcPr>
                <w:p w14:paraId="2D6D0EE9">
                  <w:pPr>
                    <w:tabs>
                      <w:tab w:val="left" w:pos="1260"/>
                    </w:tabs>
                    <w:adjustRightInd w:val="0"/>
                    <w:jc w:val="both"/>
                    <w:rPr>
                      <w:rFonts w:hint="eastAsia"/>
                      <w:bCs/>
                      <w:color w:val="000000"/>
                      <w:szCs w:val="21"/>
                    </w:rPr>
                  </w:pPr>
                  <w:r>
                    <w:rPr>
                      <w:rFonts w:hint="eastAsia"/>
                      <w:bCs/>
                      <w:color w:val="000000"/>
                      <w:szCs w:val="21"/>
                    </w:rPr>
                    <w:t>本项目</w:t>
                  </w:r>
                  <w:r>
                    <w:rPr>
                      <w:rFonts w:hint="default" w:ascii="宋体" w:hAnsi="宋体" w:eastAsia="宋体" w:cs="宋体"/>
                      <w:color w:val="000000"/>
                      <w:spacing w:val="0"/>
                      <w:sz w:val="21"/>
                      <w:szCs w:val="21"/>
                      <w:lang w:eastAsia="zh-CN"/>
                    </w:rPr>
                    <w:t>所属行业为塑料鞋制造、其他塑料制品制造</w:t>
                  </w:r>
                  <w:r>
                    <w:rPr>
                      <w:rFonts w:hint="eastAsia"/>
                      <w:bCs/>
                      <w:color w:val="000000"/>
                      <w:szCs w:val="21"/>
                    </w:rPr>
                    <w:t>，位于洛阳偃师区先进制造业开发区东南板块，项目符合产业政策。</w:t>
                  </w:r>
                </w:p>
                <w:p w14:paraId="61B63E17">
                  <w:pPr>
                    <w:tabs>
                      <w:tab w:val="left" w:pos="1260"/>
                    </w:tabs>
                    <w:adjustRightInd w:val="0"/>
                    <w:jc w:val="both"/>
                    <w:rPr>
                      <w:rFonts w:hint="eastAsia"/>
                      <w:bCs/>
                      <w:color w:val="000000"/>
                      <w:szCs w:val="21"/>
                    </w:rPr>
                  </w:pPr>
                  <w:r>
                    <w:rPr>
                      <w:rFonts w:hint="eastAsia"/>
                      <w:bCs/>
                      <w:color w:val="000000"/>
                      <w:szCs w:val="21"/>
                    </w:rPr>
                    <w:t>生活污水近期经化粪池收集后委托农户拉走肥田，远期排入偃师区第四污水处理厂；冷却水循环使用，冷却塔循环水池定期清理，用于厂区洒水降尘。</w:t>
                  </w:r>
                </w:p>
              </w:tc>
              <w:tc>
                <w:tcPr>
                  <w:tcW w:w="460" w:type="pct"/>
                  <w:noWrap w:val="0"/>
                  <w:vAlign w:val="center"/>
                </w:tcPr>
                <w:p w14:paraId="00EB6CED">
                  <w:pPr>
                    <w:tabs>
                      <w:tab w:val="left" w:pos="1260"/>
                    </w:tabs>
                    <w:adjustRightInd w:val="0"/>
                    <w:jc w:val="center"/>
                    <w:rPr>
                      <w:rFonts w:hint="eastAsia"/>
                      <w:bCs/>
                      <w:color w:val="000000"/>
                      <w:szCs w:val="21"/>
                    </w:rPr>
                  </w:pPr>
                  <w:r>
                    <w:rPr>
                      <w:rFonts w:hint="eastAsia"/>
                      <w:bCs/>
                      <w:color w:val="000000"/>
                      <w:szCs w:val="21"/>
                    </w:rPr>
                    <w:t>相符</w:t>
                  </w:r>
                </w:p>
              </w:tc>
            </w:tr>
          </w:tbl>
          <w:p w14:paraId="2F633645">
            <w:pPr>
              <w:autoSpaceDE w:val="0"/>
              <w:autoSpaceDN w:val="0"/>
              <w:adjustRightInd w:val="0"/>
              <w:spacing w:line="360" w:lineRule="auto"/>
              <w:ind w:firstLine="480" w:firstLineChars="200"/>
              <w:rPr>
                <w:rFonts w:hint="eastAsia"/>
                <w:color w:val="000000"/>
                <w:sz w:val="24"/>
                <w:szCs w:val="24"/>
              </w:rPr>
            </w:pPr>
            <w:r>
              <w:rPr>
                <w:color w:val="000000"/>
                <w:sz w:val="24"/>
              </w:rPr>
              <w:t>由上述分析可知，本项目满足</w:t>
            </w:r>
            <w:r>
              <w:rPr>
                <w:bCs/>
                <w:color w:val="000000"/>
                <w:sz w:val="24"/>
              </w:rPr>
              <w:t>《黄河生态保护治理攻坚战行动方案》（环综合</w:t>
            </w:r>
            <w:r>
              <w:rPr>
                <w:rFonts w:hint="eastAsia"/>
                <w:bCs/>
                <w:color w:val="000000"/>
                <w:sz w:val="24"/>
                <w:lang w:eastAsia="zh-CN"/>
              </w:rPr>
              <w:t>〔2022〕</w:t>
            </w:r>
            <w:r>
              <w:rPr>
                <w:bCs/>
                <w:color w:val="000000"/>
                <w:sz w:val="24"/>
              </w:rPr>
              <w:t>51号）</w:t>
            </w:r>
            <w:r>
              <w:rPr>
                <w:color w:val="000000"/>
                <w:sz w:val="24"/>
              </w:rPr>
              <w:t>中相关要求。</w:t>
            </w:r>
          </w:p>
          <w:p w14:paraId="602FE0F8">
            <w:pPr>
              <w:keepNext w:val="0"/>
              <w:keepLines w:val="0"/>
              <w:widowControl/>
              <w:suppressLineNumbers w:val="0"/>
              <w:spacing w:line="360" w:lineRule="auto"/>
              <w:jc w:val="left"/>
              <w:rPr>
                <w:rFonts w:hint="default" w:ascii="Times New Roman" w:hAnsi="Times New Roman" w:eastAsia="宋体" w:cs="Times New Roman"/>
                <w:color w:val="000000"/>
                <w:u w:val="none"/>
              </w:rPr>
            </w:pPr>
            <w:r>
              <w:rPr>
                <w:rFonts w:hint="eastAsia" w:cs="Times New Roman"/>
                <w:b/>
                <w:bCs/>
                <w:color w:val="000000"/>
                <w:kern w:val="0"/>
                <w:sz w:val="24"/>
                <w:szCs w:val="24"/>
                <w:u w:val="none"/>
                <w:lang w:val="en-US" w:eastAsia="zh-CN" w:bidi="ar"/>
              </w:rPr>
              <w:t>5</w:t>
            </w:r>
            <w:r>
              <w:rPr>
                <w:rFonts w:hint="eastAsia" w:ascii="Times New Roman" w:hAnsi="Times New Roman" w:eastAsia="宋体" w:cs="Times New Roman"/>
                <w:b/>
                <w:bCs/>
                <w:color w:val="000000"/>
                <w:kern w:val="0"/>
                <w:sz w:val="24"/>
                <w:szCs w:val="24"/>
                <w:u w:val="none"/>
                <w:lang w:val="en-US" w:eastAsia="zh-CN" w:bidi="ar"/>
              </w:rPr>
              <w:t>.</w:t>
            </w:r>
            <w:r>
              <w:rPr>
                <w:rFonts w:hint="default" w:ascii="Times New Roman" w:hAnsi="Times New Roman" w:eastAsia="宋体" w:cs="Times New Roman"/>
                <w:b/>
                <w:bCs/>
                <w:color w:val="000000"/>
                <w:kern w:val="0"/>
                <w:sz w:val="24"/>
                <w:szCs w:val="24"/>
                <w:u w:val="none"/>
                <w:lang w:val="en-US" w:eastAsia="zh-CN" w:bidi="ar"/>
              </w:rPr>
              <w:t>《洛阳市空气质量持续改善实施方案的通知》（洛政办</w:t>
            </w:r>
            <w:r>
              <w:rPr>
                <w:rFonts w:hint="eastAsia" w:cs="Times New Roman"/>
                <w:b/>
                <w:bCs/>
                <w:color w:val="000000"/>
                <w:kern w:val="0"/>
                <w:sz w:val="24"/>
                <w:szCs w:val="24"/>
                <w:u w:val="none"/>
                <w:lang w:val="en-US" w:eastAsia="zh-CN" w:bidi="ar"/>
              </w:rPr>
              <w:t>〔2024〕30号</w:t>
            </w:r>
            <w:r>
              <w:rPr>
                <w:rFonts w:hint="default" w:ascii="Times New Roman" w:hAnsi="Times New Roman" w:eastAsia="宋体" w:cs="Times New Roman"/>
                <w:b/>
                <w:bCs/>
                <w:color w:val="000000"/>
                <w:kern w:val="0"/>
                <w:sz w:val="24"/>
                <w:szCs w:val="24"/>
                <w:u w:val="none"/>
                <w:lang w:val="en-US" w:eastAsia="zh-CN" w:bidi="ar"/>
              </w:rPr>
              <w:t>）</w:t>
            </w:r>
          </w:p>
          <w:p w14:paraId="51C1FE13">
            <w:pPr>
              <w:spacing w:before="93" w:beforeLines="30"/>
              <w:jc w:val="center"/>
              <w:rPr>
                <w:color w:val="000000"/>
                <w:u w:val="none"/>
              </w:rPr>
            </w:pPr>
            <w:r>
              <w:rPr>
                <w:rFonts w:hint="eastAsia" w:ascii="黑体" w:hAnsi="黑体" w:eastAsia="黑体" w:cs="Times New Roman"/>
                <w:color w:val="000000"/>
                <w:sz w:val="24"/>
                <w:szCs w:val="24"/>
                <w:lang w:val="en-US" w:eastAsia="zh-CN"/>
              </w:rPr>
              <w:t xml:space="preserve">表11   </w:t>
            </w:r>
            <w:r>
              <w:rPr>
                <w:rFonts w:hint="default" w:ascii="黑体" w:hAnsi="黑体" w:eastAsia="黑体" w:cs="Times New Roman"/>
                <w:color w:val="000000"/>
                <w:sz w:val="24"/>
                <w:szCs w:val="24"/>
                <w:lang w:val="en-US" w:eastAsia="zh-CN"/>
              </w:rPr>
              <w:t xml:space="preserve"> 洛政办〔2024〕30号</w:t>
            </w:r>
            <w:r>
              <w:rPr>
                <w:rFonts w:hint="eastAsia" w:ascii="黑体" w:hAnsi="黑体" w:eastAsia="黑体" w:cs="Times New Roman"/>
                <w:color w:val="000000"/>
                <w:sz w:val="24"/>
                <w:szCs w:val="24"/>
                <w:lang w:val="en-US" w:eastAsia="zh-CN"/>
              </w:rPr>
              <w:t>相符性分析</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434"/>
              <w:gridCol w:w="2970"/>
              <w:gridCol w:w="774"/>
            </w:tblGrid>
            <w:tr w14:paraId="7674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710" w:type="pct"/>
                  <w:noWrap w:val="0"/>
                  <w:vAlign w:val="center"/>
                </w:tcPr>
                <w:p w14:paraId="2A7E4587">
                  <w:pPr>
                    <w:widowControl/>
                    <w:jc w:val="center"/>
                    <w:rPr>
                      <w:color w:val="000000"/>
                      <w:szCs w:val="21"/>
                      <w:u w:val="none"/>
                    </w:rPr>
                  </w:pPr>
                  <w:r>
                    <w:rPr>
                      <w:rFonts w:hint="eastAsia" w:ascii="宋体" w:hAnsi="宋体" w:cs="宋体"/>
                      <w:color w:val="000000"/>
                      <w:szCs w:val="21"/>
                      <w:u w:val="none"/>
                      <w:lang w:bidi="ar"/>
                    </w:rPr>
                    <w:t>文件要求</w:t>
                  </w:r>
                </w:p>
              </w:tc>
              <w:tc>
                <w:tcPr>
                  <w:tcW w:w="1815" w:type="pct"/>
                  <w:noWrap w:val="0"/>
                  <w:vAlign w:val="center"/>
                </w:tcPr>
                <w:p w14:paraId="73405C06">
                  <w:pPr>
                    <w:widowControl/>
                    <w:jc w:val="center"/>
                    <w:rPr>
                      <w:color w:val="000000"/>
                      <w:szCs w:val="21"/>
                      <w:u w:val="none"/>
                    </w:rPr>
                  </w:pPr>
                  <w:r>
                    <w:rPr>
                      <w:rFonts w:hint="eastAsia" w:ascii="宋体" w:hAnsi="宋体" w:cs="宋体"/>
                      <w:color w:val="000000"/>
                      <w:szCs w:val="21"/>
                      <w:u w:val="none"/>
                      <w:lang w:bidi="ar"/>
                    </w:rPr>
                    <w:t>本项目情况</w:t>
                  </w:r>
                </w:p>
              </w:tc>
              <w:tc>
                <w:tcPr>
                  <w:tcW w:w="473" w:type="pct"/>
                  <w:noWrap w:val="0"/>
                  <w:vAlign w:val="center"/>
                </w:tcPr>
                <w:p w14:paraId="268FE71C">
                  <w:pPr>
                    <w:widowControl/>
                    <w:jc w:val="center"/>
                    <w:rPr>
                      <w:color w:val="000000"/>
                      <w:szCs w:val="21"/>
                      <w:u w:val="none"/>
                    </w:rPr>
                  </w:pPr>
                  <w:r>
                    <w:rPr>
                      <w:rFonts w:hint="eastAsia" w:ascii="宋体" w:hAnsi="宋体" w:cs="宋体"/>
                      <w:color w:val="000000"/>
                      <w:szCs w:val="21"/>
                      <w:u w:val="none"/>
                      <w:lang w:bidi="ar"/>
                    </w:rPr>
                    <w:t>相符性</w:t>
                  </w:r>
                </w:p>
              </w:tc>
            </w:tr>
            <w:tr w14:paraId="454C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710" w:type="pct"/>
                  <w:noWrap w:val="0"/>
                  <w:vAlign w:val="center"/>
                </w:tcPr>
                <w:p w14:paraId="596434B8">
                  <w:pPr>
                    <w:keepNext w:val="0"/>
                    <w:keepLines w:val="0"/>
                    <w:widowControl/>
                    <w:suppressLineNumbers w:val="0"/>
                    <w:jc w:val="left"/>
                    <w:rPr>
                      <w:color w:val="000000"/>
                      <w:szCs w:val="21"/>
                      <w:u w:val="none"/>
                    </w:rPr>
                  </w:pPr>
                  <w:r>
                    <w:rPr>
                      <w:rFonts w:hint="eastAsia"/>
                      <w:color w:val="000000"/>
                      <w:szCs w:val="21"/>
                      <w:u w:val="none"/>
                    </w:rPr>
                    <w:t>（一）坚决遏制“两高”项目盲目发展。严格落实国家和省坚决遏制高耗能高排放低水平项目盲目发展的政策要求，建立完善“两高”项目管理清单，实施动态监管，坚决把好项目准入关。严禁新增钢铁产能，严格执行有关行业产能置换政策，被置换产能及其配套设施关停后，新建项目方可投产。国家、省绩效分级重点行业以及涉及锅炉炉窑的其他行业，新（改、扩）建项目原则上达到环境绩效A级和国内清洁生产先进水平。</w:t>
                  </w:r>
                </w:p>
              </w:tc>
              <w:tc>
                <w:tcPr>
                  <w:tcW w:w="1815" w:type="pct"/>
                  <w:noWrap w:val="0"/>
                  <w:vAlign w:val="center"/>
                </w:tcPr>
                <w:p w14:paraId="2393CA8A">
                  <w:pPr>
                    <w:widowControl/>
                    <w:rPr>
                      <w:color w:val="000000"/>
                      <w:szCs w:val="21"/>
                      <w:u w:val="none"/>
                    </w:rPr>
                  </w:pPr>
                  <w:r>
                    <w:rPr>
                      <w:rFonts w:hint="eastAsia"/>
                      <w:color w:val="000000"/>
                      <w:szCs w:val="21"/>
                      <w:u w:val="none"/>
                      <w:lang w:bidi="ar"/>
                    </w:rPr>
                    <w:t>对照《关于建立“两高”项目会商联审机制的通知》（豫发改环资</w:t>
                  </w:r>
                  <w:r>
                    <w:rPr>
                      <w:rFonts w:hint="eastAsia"/>
                      <w:color w:val="000000"/>
                      <w:szCs w:val="21"/>
                      <w:u w:val="none"/>
                      <w:lang w:eastAsia="zh-CN" w:bidi="ar"/>
                    </w:rPr>
                    <w:t>〔2021〕977号</w:t>
                  </w:r>
                  <w:r>
                    <w:rPr>
                      <w:rFonts w:hint="eastAsia"/>
                      <w:color w:val="000000"/>
                      <w:szCs w:val="21"/>
                      <w:u w:val="none"/>
                      <w:lang w:bidi="ar"/>
                    </w:rPr>
                    <w:t>）和《关于印发河南省“两高”项目管理目录（2023年修订）的通知》（豫发改环资〔2023〕38号），本项目不属于“两高”项目。项目严格按照</w:t>
                  </w:r>
                  <w:r>
                    <w:rPr>
                      <w:rFonts w:hint="eastAsia"/>
                      <w:color w:val="000000"/>
                      <w:szCs w:val="21"/>
                      <w:u w:val="none"/>
                      <w:lang w:val="en-US" w:eastAsia="zh-CN" w:bidi="ar"/>
                    </w:rPr>
                    <w:t>相关要求</w:t>
                  </w:r>
                  <w:r>
                    <w:rPr>
                      <w:rFonts w:hint="eastAsia"/>
                      <w:color w:val="000000"/>
                      <w:szCs w:val="21"/>
                      <w:u w:val="none"/>
                      <w:lang w:bidi="ar"/>
                    </w:rPr>
                    <w:t>进行建设，并达到</w:t>
                  </w:r>
                  <w:r>
                    <w:rPr>
                      <w:rFonts w:hint="eastAsia"/>
                      <w:color w:val="000000"/>
                      <w:szCs w:val="21"/>
                      <w:u w:val="none"/>
                    </w:rPr>
                    <w:t>环境绩效A级</w:t>
                  </w:r>
                  <w:r>
                    <w:rPr>
                      <w:rFonts w:hint="eastAsia"/>
                      <w:color w:val="000000"/>
                      <w:szCs w:val="21"/>
                      <w:u w:val="none"/>
                      <w:lang w:val="en-US" w:eastAsia="zh-CN"/>
                    </w:rPr>
                    <w:t>和</w:t>
                  </w:r>
                  <w:r>
                    <w:rPr>
                      <w:rFonts w:hint="eastAsia"/>
                      <w:color w:val="000000"/>
                      <w:szCs w:val="21"/>
                      <w:u w:val="none"/>
                      <w:lang w:bidi="ar"/>
                    </w:rPr>
                    <w:t>国内清洁生产先进</w:t>
                  </w:r>
                  <w:r>
                    <w:rPr>
                      <w:rFonts w:hint="eastAsia"/>
                      <w:color w:val="000000"/>
                      <w:szCs w:val="21"/>
                      <w:u w:val="none"/>
                      <w:lang w:eastAsia="zh-CN" w:bidi="ar"/>
                    </w:rPr>
                    <w:t>水平</w:t>
                  </w:r>
                  <w:r>
                    <w:rPr>
                      <w:color w:val="000000"/>
                      <w:szCs w:val="21"/>
                      <w:u w:val="none"/>
                      <w:lang w:bidi="ar"/>
                    </w:rPr>
                    <w:t>。</w:t>
                  </w:r>
                </w:p>
              </w:tc>
              <w:tc>
                <w:tcPr>
                  <w:tcW w:w="473" w:type="pct"/>
                  <w:noWrap w:val="0"/>
                  <w:vAlign w:val="center"/>
                </w:tcPr>
                <w:p w14:paraId="12757AD3">
                  <w:pPr>
                    <w:widowControl/>
                    <w:jc w:val="center"/>
                    <w:rPr>
                      <w:color w:val="000000"/>
                      <w:szCs w:val="21"/>
                      <w:u w:val="none"/>
                    </w:rPr>
                  </w:pPr>
                  <w:r>
                    <w:rPr>
                      <w:rFonts w:hint="eastAsia"/>
                      <w:bCs/>
                      <w:color w:val="000000"/>
                      <w:szCs w:val="21"/>
                      <w:u w:val="none"/>
                    </w:rPr>
                    <w:t>相符</w:t>
                  </w:r>
                </w:p>
              </w:tc>
            </w:tr>
            <w:tr w14:paraId="7B92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710" w:type="pct"/>
                  <w:noWrap w:val="0"/>
                  <w:vAlign w:val="center"/>
                </w:tcPr>
                <w:p w14:paraId="5A8D5AD2">
                  <w:pPr>
                    <w:widowControl/>
                    <w:rPr>
                      <w:rFonts w:hint="eastAsia" w:eastAsia="宋体"/>
                      <w:color w:val="000000"/>
                      <w:szCs w:val="21"/>
                      <w:u w:val="none"/>
                      <w:lang w:eastAsia="zh-CN" w:bidi="ar"/>
                    </w:rPr>
                  </w:pPr>
                  <w:r>
                    <w:rPr>
                      <w:rFonts w:hint="eastAsia"/>
                      <w:color w:val="000000"/>
                      <w:szCs w:val="21"/>
                      <w:u w:val="none"/>
                      <w:lang w:eastAsia="zh-CN" w:bidi="ar"/>
                    </w:rPr>
                    <w:t>（二）加快淘汰落后产能。严格落实国家和省产业政策，执行国家《产业结构调整指导目录（2024年本）》、《河南省淘汰落后产能综合标准体系（2023年本）》有关要求，进一步提高落后产能能耗、环保、质量、安全、技术等要求，将大气污染物排放强度高、清洁生产水平低、治理难度大以及产能过剩行业的工艺和装备纳入淘汰范围，逐步退出限制类涉气行业工艺和装备；有序退出砖瓦行业6000万标砖/年以下烧结砖及烧结空心砌块生产线，鼓励城市规划区内的烧结砖瓦企业关停退出。</w:t>
                  </w:r>
                </w:p>
              </w:tc>
              <w:tc>
                <w:tcPr>
                  <w:tcW w:w="1815" w:type="pct"/>
                  <w:noWrap w:val="0"/>
                  <w:vAlign w:val="center"/>
                </w:tcPr>
                <w:p w14:paraId="2C9B7981">
                  <w:pPr>
                    <w:keepNext w:val="0"/>
                    <w:keepLines w:val="0"/>
                    <w:widowControl/>
                    <w:suppressLineNumbers w:val="0"/>
                    <w:jc w:val="left"/>
                    <w:rPr>
                      <w:rFonts w:hint="eastAsia"/>
                      <w:color w:val="000000"/>
                      <w:szCs w:val="21"/>
                      <w:u w:val="none"/>
                      <w:lang w:bidi="ar"/>
                    </w:rPr>
                  </w:pPr>
                  <w:r>
                    <w:rPr>
                      <w:rFonts w:hint="eastAsia" w:ascii="宋体" w:hAnsi="宋体" w:eastAsia="宋体" w:cs="宋体"/>
                      <w:color w:val="000000"/>
                      <w:kern w:val="0"/>
                      <w:sz w:val="21"/>
                      <w:szCs w:val="21"/>
                      <w:u w:val="none"/>
                      <w:lang w:val="en-US" w:eastAsia="zh-CN" w:bidi="ar"/>
                    </w:rPr>
                    <w:t>对照《产业结构调整指导目录（</w:t>
                  </w:r>
                  <w:r>
                    <w:rPr>
                      <w:rFonts w:hint="default" w:ascii="Times New Roman" w:hAnsi="Times New Roman" w:eastAsia="宋体" w:cs="Times New Roman"/>
                      <w:color w:val="000000"/>
                      <w:kern w:val="0"/>
                      <w:sz w:val="21"/>
                      <w:szCs w:val="21"/>
                      <w:u w:val="none"/>
                      <w:lang w:val="en-US" w:eastAsia="zh-CN" w:bidi="ar"/>
                    </w:rPr>
                    <w:t>2024</w:t>
                  </w:r>
                  <w:r>
                    <w:rPr>
                      <w:rFonts w:hint="eastAsia" w:ascii="宋体" w:hAnsi="宋体" w:eastAsia="宋体" w:cs="宋体"/>
                      <w:color w:val="000000"/>
                      <w:kern w:val="0"/>
                      <w:sz w:val="21"/>
                      <w:szCs w:val="21"/>
                      <w:u w:val="none"/>
                      <w:lang w:val="en-US" w:eastAsia="zh-CN" w:bidi="ar"/>
                    </w:rPr>
                    <w:t>年本）》，本项目属于允许类项目。</w:t>
                  </w:r>
                </w:p>
              </w:tc>
              <w:tc>
                <w:tcPr>
                  <w:tcW w:w="473" w:type="pct"/>
                  <w:noWrap w:val="0"/>
                  <w:vAlign w:val="center"/>
                </w:tcPr>
                <w:p w14:paraId="37364974">
                  <w:pPr>
                    <w:widowControl/>
                    <w:jc w:val="center"/>
                    <w:rPr>
                      <w:rFonts w:hint="eastAsia" w:ascii="宋体" w:hAnsi="宋体" w:cs="宋体"/>
                      <w:color w:val="000000"/>
                      <w:szCs w:val="21"/>
                      <w:u w:val="none"/>
                      <w:lang w:bidi="ar"/>
                    </w:rPr>
                  </w:pPr>
                  <w:r>
                    <w:rPr>
                      <w:rFonts w:hint="eastAsia"/>
                      <w:bCs/>
                      <w:color w:val="000000"/>
                      <w:szCs w:val="21"/>
                      <w:u w:val="none"/>
                    </w:rPr>
                    <w:t>相符</w:t>
                  </w:r>
                </w:p>
              </w:tc>
            </w:tr>
          </w:tbl>
          <w:p w14:paraId="53FDF0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color w:val="000000"/>
                <w:sz w:val="24"/>
                <w:szCs w:val="24"/>
                <w:u w:val="none"/>
                <w:lang w:val="en-US" w:eastAsia="zh-CN"/>
              </w:rPr>
            </w:pPr>
            <w:r>
              <w:rPr>
                <w:rFonts w:hint="eastAsia"/>
                <w:b w:val="0"/>
                <w:bCs/>
                <w:color w:val="000000"/>
                <w:sz w:val="24"/>
                <w:szCs w:val="24"/>
                <w:u w:val="none"/>
                <w:lang w:val="en-US" w:eastAsia="zh-CN"/>
              </w:rPr>
              <w:t>综上分析，本项目符合《洛阳市空气质量持续改善实施方案的通知》（洛政办〔2024〕30号）相关要求。</w:t>
            </w:r>
          </w:p>
          <w:p w14:paraId="28278875">
            <w:pPr>
              <w:keepNext w:val="0"/>
              <w:keepLines w:val="0"/>
              <w:widowControl/>
              <w:suppressLineNumbers w:val="0"/>
              <w:spacing w:line="360" w:lineRule="auto"/>
              <w:jc w:val="both"/>
              <w:rPr>
                <w:rFonts w:hint="default" w:ascii="Times New Roman" w:hAnsi="Times New Roman" w:eastAsia="宋体" w:cs="Times New Roman"/>
                <w:color w:val="000000"/>
                <w:u w:val="none"/>
              </w:rPr>
            </w:pPr>
            <w:r>
              <w:rPr>
                <w:rFonts w:hint="eastAsia" w:cs="Times New Roman"/>
                <w:b/>
                <w:bCs/>
                <w:color w:val="000000"/>
                <w:kern w:val="0"/>
                <w:sz w:val="24"/>
                <w:szCs w:val="24"/>
                <w:u w:val="none"/>
                <w:lang w:val="en-US" w:eastAsia="zh-CN" w:bidi="ar"/>
              </w:rPr>
              <w:t>6</w:t>
            </w:r>
            <w:r>
              <w:rPr>
                <w:rFonts w:hint="eastAsia" w:ascii="Times New Roman" w:hAnsi="Times New Roman" w:eastAsia="宋体" w:cs="Times New Roman"/>
                <w:b/>
                <w:bCs/>
                <w:color w:val="000000"/>
                <w:kern w:val="0"/>
                <w:sz w:val="24"/>
                <w:szCs w:val="24"/>
                <w:u w:val="none"/>
                <w:lang w:val="en-US" w:eastAsia="zh-CN" w:bidi="ar"/>
              </w:rPr>
              <w:t>.《洛阳市生态环境保护委员会办公室关于印发&lt;洛阳市2025年蓝天保卫战实施方案&gt;&lt;洛阳市2025年碧水保卫战实施方案&gt;&lt;洛阳市2025年净土保卫战实施方案&gt;&lt;洛阳市2025年柴油货车污染治理攻坚战实施方案&gt;的通知》（洛环委办〔2025〕21号）</w:t>
            </w:r>
          </w:p>
          <w:p w14:paraId="705C2AB7">
            <w:pPr>
              <w:spacing w:before="93" w:beforeLines="30"/>
              <w:jc w:val="center"/>
              <w:rPr>
                <w:color w:val="000000"/>
                <w:u w:val="single"/>
              </w:rPr>
            </w:pPr>
            <w:r>
              <w:rPr>
                <w:rFonts w:hint="eastAsia" w:ascii="黑体" w:hAnsi="黑体" w:eastAsia="黑体" w:cs="Times New Roman"/>
                <w:color w:val="000000"/>
                <w:sz w:val="24"/>
                <w:szCs w:val="24"/>
                <w:u w:val="single"/>
                <w:lang w:val="en-US" w:eastAsia="zh-CN"/>
              </w:rPr>
              <w:t xml:space="preserve">表12   </w:t>
            </w:r>
            <w:r>
              <w:rPr>
                <w:rFonts w:hint="default" w:ascii="黑体" w:hAnsi="黑体" w:eastAsia="黑体" w:cs="Times New Roman"/>
                <w:color w:val="000000"/>
                <w:sz w:val="24"/>
                <w:szCs w:val="24"/>
                <w:u w:val="single"/>
                <w:lang w:val="en-US" w:eastAsia="zh-CN"/>
              </w:rPr>
              <w:t xml:space="preserve"> </w:t>
            </w:r>
            <w:r>
              <w:rPr>
                <w:rFonts w:hint="eastAsia" w:ascii="黑体" w:hAnsi="黑体" w:eastAsia="黑体" w:cs="Times New Roman"/>
                <w:color w:val="000000"/>
                <w:sz w:val="24"/>
                <w:szCs w:val="24"/>
                <w:u w:val="single"/>
                <w:lang w:val="en-US" w:eastAsia="zh-CN"/>
              </w:rPr>
              <w:t>洛环委办〔2025〕21号相符性分析</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644"/>
              <w:gridCol w:w="1770"/>
              <w:gridCol w:w="764"/>
            </w:tblGrid>
            <w:tr w14:paraId="22E5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450" w:type="pct"/>
                  <w:noWrap w:val="0"/>
                  <w:vAlign w:val="center"/>
                </w:tcPr>
                <w:p w14:paraId="3F9CD2A6">
                  <w:pPr>
                    <w:widowControl/>
                    <w:jc w:val="center"/>
                    <w:rPr>
                      <w:color w:val="000000"/>
                      <w:szCs w:val="21"/>
                      <w:u w:val="single"/>
                    </w:rPr>
                  </w:pPr>
                  <w:r>
                    <w:rPr>
                      <w:rFonts w:hint="eastAsia" w:ascii="宋体" w:hAnsi="宋体" w:cs="宋体"/>
                      <w:color w:val="000000"/>
                      <w:szCs w:val="21"/>
                      <w:u w:val="single"/>
                      <w:lang w:bidi="ar"/>
                    </w:rPr>
                    <w:t>文件要求</w:t>
                  </w:r>
                </w:p>
              </w:tc>
              <w:tc>
                <w:tcPr>
                  <w:tcW w:w="1082" w:type="pct"/>
                  <w:noWrap w:val="0"/>
                  <w:vAlign w:val="center"/>
                </w:tcPr>
                <w:p w14:paraId="40115D0C">
                  <w:pPr>
                    <w:widowControl/>
                    <w:jc w:val="center"/>
                    <w:rPr>
                      <w:color w:val="000000"/>
                      <w:szCs w:val="21"/>
                      <w:u w:val="single"/>
                    </w:rPr>
                  </w:pPr>
                  <w:r>
                    <w:rPr>
                      <w:rFonts w:hint="eastAsia" w:ascii="宋体" w:hAnsi="宋体" w:cs="宋体"/>
                      <w:color w:val="000000"/>
                      <w:szCs w:val="21"/>
                      <w:u w:val="single"/>
                      <w:lang w:bidi="ar"/>
                    </w:rPr>
                    <w:t>本项目情况</w:t>
                  </w:r>
                </w:p>
              </w:tc>
              <w:tc>
                <w:tcPr>
                  <w:tcW w:w="467" w:type="pct"/>
                  <w:noWrap w:val="0"/>
                  <w:vAlign w:val="center"/>
                </w:tcPr>
                <w:p w14:paraId="07DD0FD2">
                  <w:pPr>
                    <w:widowControl/>
                    <w:jc w:val="center"/>
                    <w:rPr>
                      <w:color w:val="000000"/>
                      <w:szCs w:val="21"/>
                      <w:u w:val="single"/>
                    </w:rPr>
                  </w:pPr>
                  <w:r>
                    <w:rPr>
                      <w:rFonts w:hint="eastAsia" w:ascii="宋体" w:hAnsi="宋体" w:cs="宋体"/>
                      <w:color w:val="000000"/>
                      <w:szCs w:val="21"/>
                      <w:u w:val="single"/>
                      <w:lang w:bidi="ar"/>
                    </w:rPr>
                    <w:t>相符性</w:t>
                  </w:r>
                </w:p>
              </w:tc>
            </w:tr>
            <w:tr w14:paraId="0F01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000" w:type="pct"/>
                  <w:gridSpan w:val="3"/>
                  <w:noWrap w:val="0"/>
                  <w:vAlign w:val="center"/>
                </w:tcPr>
                <w:p w14:paraId="5E3F5F52">
                  <w:pPr>
                    <w:widowControl/>
                    <w:jc w:val="center"/>
                    <w:rPr>
                      <w:rFonts w:hint="default" w:ascii="Times New Roman" w:hAnsi="Times New Roman" w:cs="Times New Roman"/>
                      <w:color w:val="000000"/>
                      <w:szCs w:val="21"/>
                      <w:u w:val="single"/>
                      <w:lang w:bidi="ar"/>
                    </w:rPr>
                  </w:pPr>
                  <w:r>
                    <w:rPr>
                      <w:rFonts w:hint="eastAsia" w:cs="Times New Roman"/>
                      <w:color w:val="000000"/>
                      <w:szCs w:val="21"/>
                      <w:u w:val="single"/>
                      <w:lang w:val="en-US" w:eastAsia="zh-CN" w:bidi="ar"/>
                    </w:rPr>
                    <w:t>洛阳市</w:t>
                  </w:r>
                  <w:r>
                    <w:rPr>
                      <w:rFonts w:hint="default" w:ascii="Times New Roman" w:hAnsi="Times New Roman" w:cs="Times New Roman"/>
                      <w:color w:val="000000"/>
                      <w:szCs w:val="21"/>
                      <w:u w:val="single"/>
                      <w:lang w:bidi="ar"/>
                    </w:rPr>
                    <w:t>2025年蓝天保卫战实施方案</w:t>
                  </w:r>
                </w:p>
              </w:tc>
            </w:tr>
            <w:tr w14:paraId="67B4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450" w:type="pct"/>
                  <w:noWrap w:val="0"/>
                  <w:vAlign w:val="center"/>
                </w:tcPr>
                <w:p w14:paraId="0E8617A1">
                  <w:pPr>
                    <w:keepNext w:val="0"/>
                    <w:keepLines w:val="0"/>
                    <w:widowControl/>
                    <w:suppressLineNumbers w:val="0"/>
                    <w:jc w:val="both"/>
                    <w:rPr>
                      <w:rFonts w:hint="default" w:ascii="Times New Roman" w:hAnsi="Times New Roman" w:cs="Times New Roman"/>
                      <w:color w:val="000000"/>
                      <w:szCs w:val="21"/>
                      <w:u w:val="single"/>
                    </w:rPr>
                  </w:pPr>
                  <w:r>
                    <w:rPr>
                      <w:rFonts w:hint="default" w:ascii="Times New Roman" w:hAnsi="Times New Roman" w:cs="Times New Roman"/>
                      <w:color w:val="000000"/>
                      <w:szCs w:val="21"/>
                      <w:u w:val="single"/>
                    </w:rPr>
                    <w:t>1.依法依规淘汰落后产能。对照《产业结构调整指导目录</w:t>
                  </w:r>
                  <w:r>
                    <w:rPr>
                      <w:rFonts w:hint="eastAsia" w:ascii="Times New Roman" w:hAnsi="Times New Roman" w:cs="Times New Roman"/>
                      <w:color w:val="000000"/>
                      <w:szCs w:val="21"/>
                      <w:u w:val="single"/>
                      <w:lang w:eastAsia="zh-CN"/>
                    </w:rPr>
                    <w:t>（</w:t>
                  </w:r>
                  <w:r>
                    <w:rPr>
                      <w:rFonts w:hint="default" w:ascii="Times New Roman" w:hAnsi="Times New Roman" w:cs="Times New Roman"/>
                      <w:color w:val="000000"/>
                      <w:szCs w:val="21"/>
                      <w:u w:val="single"/>
                    </w:rPr>
                    <w:t>2024年本</w:t>
                  </w:r>
                  <w:r>
                    <w:rPr>
                      <w:rFonts w:hint="eastAsia" w:ascii="Times New Roman" w:hAnsi="Times New Roman" w:cs="Times New Roman"/>
                      <w:color w:val="000000"/>
                      <w:szCs w:val="21"/>
                      <w:u w:val="single"/>
                      <w:lang w:eastAsia="zh-CN"/>
                    </w:rPr>
                    <w:t>）</w:t>
                  </w:r>
                  <w:r>
                    <w:rPr>
                      <w:rFonts w:hint="default" w:ascii="Times New Roman" w:hAnsi="Times New Roman" w:cs="Times New Roman"/>
                      <w:color w:val="000000"/>
                      <w:szCs w:val="21"/>
                      <w:u w:val="single"/>
                    </w:rPr>
                    <w:t>》《河南省淘汰落后产能综合标准体系</w:t>
                  </w:r>
                  <w:r>
                    <w:rPr>
                      <w:rFonts w:hint="eastAsia" w:ascii="Times New Roman" w:hAnsi="Times New Roman" w:cs="Times New Roman"/>
                      <w:color w:val="000000"/>
                      <w:szCs w:val="21"/>
                      <w:u w:val="single"/>
                      <w:lang w:eastAsia="zh-CN"/>
                    </w:rPr>
                    <w:t>（</w:t>
                  </w:r>
                  <w:r>
                    <w:rPr>
                      <w:rFonts w:hint="default" w:ascii="Times New Roman" w:hAnsi="Times New Roman" w:cs="Times New Roman"/>
                      <w:color w:val="000000"/>
                      <w:szCs w:val="21"/>
                      <w:u w:val="single"/>
                    </w:rPr>
                    <w:t>2023年本</w:t>
                  </w:r>
                  <w:r>
                    <w:rPr>
                      <w:rFonts w:hint="eastAsia" w:ascii="Times New Roman" w:hAnsi="Times New Roman" w:cs="Times New Roman"/>
                      <w:color w:val="000000"/>
                      <w:szCs w:val="21"/>
                      <w:u w:val="single"/>
                      <w:lang w:eastAsia="zh-CN"/>
                    </w:rPr>
                    <w:t>）</w:t>
                  </w:r>
                  <w:r>
                    <w:rPr>
                      <w:rFonts w:hint="default" w:ascii="Times New Roman" w:hAnsi="Times New Roman" w:cs="Times New Roman"/>
                      <w:color w:val="000000"/>
                      <w:szCs w:val="21"/>
                      <w:u w:val="single"/>
                    </w:rPr>
                    <w:t>》《国家污染防治技术指导目录</w:t>
                  </w:r>
                  <w:r>
                    <w:rPr>
                      <w:rFonts w:hint="eastAsia" w:ascii="Times New Roman" w:hAnsi="Times New Roman" w:cs="Times New Roman"/>
                      <w:color w:val="000000"/>
                      <w:szCs w:val="21"/>
                      <w:u w:val="single"/>
                      <w:lang w:eastAsia="zh-CN"/>
                    </w:rPr>
                    <w:t>（</w:t>
                  </w:r>
                  <w:r>
                    <w:rPr>
                      <w:rFonts w:hint="default" w:ascii="Times New Roman" w:hAnsi="Times New Roman" w:cs="Times New Roman"/>
                      <w:color w:val="000000"/>
                      <w:szCs w:val="21"/>
                      <w:u w:val="single"/>
                    </w:rPr>
                    <w:t>2024年，限制类和淘汰类</w:t>
                  </w:r>
                  <w:r>
                    <w:rPr>
                      <w:rFonts w:hint="eastAsia" w:ascii="Times New Roman" w:hAnsi="Times New Roman" w:cs="Times New Roman"/>
                      <w:color w:val="000000"/>
                      <w:szCs w:val="21"/>
                      <w:u w:val="single"/>
                      <w:lang w:eastAsia="zh-CN"/>
                    </w:rPr>
                    <w:t>）</w:t>
                  </w:r>
                  <w:r>
                    <w:rPr>
                      <w:rFonts w:hint="default" w:ascii="Times New Roman" w:hAnsi="Times New Roman" w:cs="Times New Roman"/>
                      <w:color w:val="000000"/>
                      <w:szCs w:val="21"/>
                      <w:u w:val="single"/>
                    </w:rPr>
                    <w:t>》，加快淘汰退出落后生产工艺装备和过剩产能，列入2025年去产能计划的生产设施9月底前停止排污。全市严禁新改扩建烧结砖瓦项目，加快退出6000万标砖/年以下、城市规划区内的烧结砖及烧结空心砌块生产线，各县区在2025年4月组织开展烧结砖瓦行业专项整</w:t>
                  </w:r>
                  <w:r>
                    <w:rPr>
                      <w:rFonts w:hint="eastAsia" w:ascii="宋体" w:hAnsi="宋体" w:eastAsia="宋体" w:cs="宋体"/>
                      <w:color w:val="000000"/>
                      <w:szCs w:val="21"/>
                      <w:u w:val="single"/>
                    </w:rPr>
                    <w:t>治“回头看”，</w:t>
                  </w:r>
                  <w:r>
                    <w:rPr>
                      <w:rFonts w:hint="default" w:ascii="Times New Roman" w:hAnsi="Times New Roman" w:cs="Times New Roman"/>
                      <w:color w:val="000000"/>
                      <w:szCs w:val="21"/>
                      <w:u w:val="single"/>
                    </w:rPr>
                    <w:t>原则上对达不到B级及以上绩效水平的烧结砖瓦企业实施停产整治。持续推动生物质小锅炉关停整合。2025年4月底前，制定年度落后产能淘汰退出工作方案，认真组织开展排查，建立任务台账。2025年9月底前，淘汰12家烧结砖瓦企业共21条生产线和2台2蒸吨生物质锅炉。</w:t>
                  </w:r>
                </w:p>
              </w:tc>
              <w:tc>
                <w:tcPr>
                  <w:tcW w:w="1082" w:type="pct"/>
                  <w:noWrap w:val="0"/>
                  <w:vAlign w:val="center"/>
                </w:tcPr>
                <w:p w14:paraId="7806926E">
                  <w:pPr>
                    <w:widowControl/>
                    <w:jc w:val="both"/>
                    <w:rPr>
                      <w:rFonts w:hint="default" w:ascii="Times New Roman" w:hAnsi="Times New Roman" w:cs="Times New Roman"/>
                      <w:color w:val="000000"/>
                      <w:szCs w:val="21"/>
                      <w:u w:val="single"/>
                    </w:rPr>
                  </w:pPr>
                  <w:r>
                    <w:rPr>
                      <w:rFonts w:hint="default" w:ascii="宋体" w:hAnsi="宋体" w:eastAsia="宋体" w:cs="宋体"/>
                      <w:color w:val="000000"/>
                      <w:spacing w:val="0"/>
                      <w:sz w:val="21"/>
                      <w:szCs w:val="21"/>
                      <w:u w:val="single"/>
                      <w:lang w:eastAsia="zh-CN"/>
                    </w:rPr>
                    <w:t>本项目所属行业为塑料鞋制造、其他塑料制品制造，</w:t>
                  </w:r>
                  <w:r>
                    <w:rPr>
                      <w:rFonts w:ascii="宋体" w:hAnsi="宋体" w:eastAsia="宋体" w:cs="宋体"/>
                      <w:color w:val="000000"/>
                      <w:spacing w:val="0"/>
                      <w:sz w:val="21"/>
                      <w:szCs w:val="21"/>
                      <w:u w:val="single"/>
                    </w:rPr>
                    <w:t>不属于</w:t>
                  </w:r>
                  <w:r>
                    <w:rPr>
                      <w:rFonts w:hint="eastAsia" w:ascii="宋体" w:hAnsi="宋体" w:eastAsia="宋体" w:cs="宋体"/>
                      <w:color w:val="000000"/>
                      <w:spacing w:val="0"/>
                      <w:sz w:val="21"/>
                      <w:szCs w:val="21"/>
                      <w:u w:val="single"/>
                      <w:lang w:val="en-US" w:eastAsia="zh-CN"/>
                    </w:rPr>
                    <w:t>左侧所列限制类、淘汰类项目</w:t>
                  </w:r>
                  <w:r>
                    <w:rPr>
                      <w:rFonts w:ascii="宋体" w:hAnsi="宋体" w:eastAsia="宋体" w:cs="宋体"/>
                      <w:color w:val="000000"/>
                      <w:spacing w:val="0"/>
                      <w:sz w:val="21"/>
                      <w:szCs w:val="21"/>
                      <w:u w:val="single"/>
                    </w:rPr>
                    <w:t>。</w:t>
                  </w:r>
                </w:p>
              </w:tc>
              <w:tc>
                <w:tcPr>
                  <w:tcW w:w="467" w:type="pct"/>
                  <w:noWrap w:val="0"/>
                  <w:vAlign w:val="center"/>
                </w:tcPr>
                <w:p w14:paraId="6CC56A0B">
                  <w:pPr>
                    <w:widowControl/>
                    <w:jc w:val="center"/>
                    <w:rPr>
                      <w:rFonts w:hint="default" w:ascii="Times New Roman" w:hAnsi="Times New Roman" w:cs="Times New Roman"/>
                      <w:color w:val="000000"/>
                      <w:szCs w:val="21"/>
                      <w:u w:val="single"/>
                    </w:rPr>
                  </w:pPr>
                  <w:r>
                    <w:rPr>
                      <w:rFonts w:hint="default" w:ascii="Times New Roman" w:hAnsi="Times New Roman" w:cs="Times New Roman"/>
                      <w:bCs/>
                      <w:color w:val="000000"/>
                      <w:szCs w:val="21"/>
                      <w:u w:val="single"/>
                    </w:rPr>
                    <w:t>相符</w:t>
                  </w:r>
                </w:p>
              </w:tc>
            </w:tr>
            <w:tr w14:paraId="7644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450" w:type="pct"/>
                  <w:noWrap w:val="0"/>
                  <w:vAlign w:val="center"/>
                </w:tcPr>
                <w:p w14:paraId="5C3001A8">
                  <w:pPr>
                    <w:keepNext w:val="0"/>
                    <w:keepLines w:val="0"/>
                    <w:widowControl/>
                    <w:suppressLineNumbers w:val="0"/>
                    <w:jc w:val="both"/>
                    <w:rPr>
                      <w:rFonts w:hint="default" w:ascii="Times New Roman" w:hAnsi="Times New Roman" w:cs="Times New Roman"/>
                      <w:color w:val="000000"/>
                      <w:kern w:val="2"/>
                      <w:sz w:val="21"/>
                      <w:szCs w:val="21"/>
                      <w:u w:val="single"/>
                      <w:lang w:val="en-US" w:eastAsia="zh-CN" w:bidi="ar-SA"/>
                    </w:rPr>
                  </w:pPr>
                  <w:r>
                    <w:rPr>
                      <w:rFonts w:hint="default" w:ascii="Times New Roman" w:hAnsi="Times New Roman" w:cs="Times New Roman"/>
                      <w:color w:val="000000"/>
                      <w:szCs w:val="21"/>
                      <w:u w:val="single"/>
                    </w:rPr>
                    <w:t>12.深入开展低效失效治理设施排查整治。持续开展低效失效 大气污染治理设施排查，淘汰不成熟、不适用、无法稳定达标排放的治理工艺，整治关键组件缺失、质量低劣、自动化水平低的治理设施，纳入年度重点治理任务限期完成。2025年10月底前，完成低效失效治理设施提升改造企业200家以上，未按时完成提升改造的纳入秋冬季生产调控范围。</w:t>
                  </w:r>
                </w:p>
              </w:tc>
              <w:tc>
                <w:tcPr>
                  <w:tcW w:w="1082" w:type="pct"/>
                  <w:noWrap w:val="0"/>
                  <w:vAlign w:val="center"/>
                </w:tcPr>
                <w:p w14:paraId="5218D674">
                  <w:pPr>
                    <w:widowControl/>
                    <w:jc w:val="both"/>
                    <w:rPr>
                      <w:rFonts w:hint="default" w:ascii="Times New Roman" w:hAnsi="Times New Roman" w:cs="Times New Roman"/>
                      <w:color w:val="000000"/>
                      <w:kern w:val="2"/>
                      <w:sz w:val="21"/>
                      <w:szCs w:val="21"/>
                      <w:u w:val="single"/>
                      <w:lang w:val="en-US" w:eastAsia="zh-CN" w:bidi="ar-SA"/>
                    </w:rPr>
                  </w:pPr>
                  <w:r>
                    <w:rPr>
                      <w:rFonts w:hint="eastAsia" w:ascii="Times New Roman" w:hAnsi="Times New Roman" w:cs="Times New Roman"/>
                      <w:color w:val="000000"/>
                      <w:szCs w:val="21"/>
                      <w:u w:val="single"/>
                      <w:lang w:val="en-US" w:eastAsia="zh-CN" w:bidi="ar"/>
                    </w:rPr>
                    <w:t>本</w:t>
                  </w:r>
                  <w:r>
                    <w:rPr>
                      <w:rFonts w:hint="default" w:ascii="Times New Roman" w:hAnsi="Times New Roman" w:cs="Times New Roman"/>
                      <w:color w:val="000000"/>
                      <w:szCs w:val="21"/>
                      <w:u w:val="single"/>
                      <w:lang w:bidi="ar"/>
                    </w:rPr>
                    <w:t>项目有机废气治理措施采用</w:t>
                  </w:r>
                  <w:r>
                    <w:rPr>
                      <w:rFonts w:hint="eastAsia" w:ascii="Times New Roman" w:hAnsi="Times New Roman" w:cs="Times New Roman"/>
                      <w:color w:val="000000"/>
                      <w:szCs w:val="21"/>
                      <w:u w:val="single"/>
                      <w:lang w:val="en-US" w:eastAsia="zh-CN" w:bidi="ar"/>
                    </w:rPr>
                    <w:t>二级活性炭吸附</w:t>
                  </w:r>
                  <w:r>
                    <w:rPr>
                      <w:rFonts w:hint="default" w:ascii="Times New Roman" w:hAnsi="Times New Roman" w:cs="Times New Roman"/>
                      <w:color w:val="000000"/>
                      <w:szCs w:val="21"/>
                      <w:u w:val="single"/>
                      <w:lang w:bidi="ar"/>
                    </w:rPr>
                    <w:t>，不属于低效失效设施。</w:t>
                  </w:r>
                </w:p>
              </w:tc>
              <w:tc>
                <w:tcPr>
                  <w:tcW w:w="467" w:type="pct"/>
                  <w:noWrap w:val="0"/>
                  <w:vAlign w:val="center"/>
                </w:tcPr>
                <w:p w14:paraId="10AD9327">
                  <w:pPr>
                    <w:widowControl/>
                    <w:jc w:val="center"/>
                    <w:rPr>
                      <w:rFonts w:hint="default" w:ascii="Times New Roman" w:hAnsi="Times New Roman" w:cs="Times New Roman"/>
                      <w:color w:val="000000"/>
                      <w:kern w:val="2"/>
                      <w:sz w:val="21"/>
                      <w:szCs w:val="21"/>
                      <w:u w:val="single"/>
                      <w:lang w:val="en-US" w:eastAsia="zh-CN" w:bidi="ar-SA"/>
                    </w:rPr>
                  </w:pPr>
                  <w:r>
                    <w:rPr>
                      <w:rFonts w:hint="default" w:ascii="Times New Roman" w:hAnsi="Times New Roman" w:cs="Times New Roman"/>
                      <w:bCs/>
                      <w:color w:val="000000"/>
                      <w:szCs w:val="21"/>
                      <w:u w:val="single"/>
                    </w:rPr>
                    <w:t>相符</w:t>
                  </w:r>
                </w:p>
              </w:tc>
            </w:tr>
            <w:tr w14:paraId="0EB2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450" w:type="pct"/>
                  <w:noWrap w:val="0"/>
                  <w:vAlign w:val="center"/>
                </w:tcPr>
                <w:p w14:paraId="02680325">
                  <w:pPr>
                    <w:keepNext w:val="0"/>
                    <w:keepLines w:val="0"/>
                    <w:widowControl/>
                    <w:suppressLineNumbers w:val="0"/>
                    <w:jc w:val="both"/>
                    <w:rPr>
                      <w:rFonts w:hint="eastAsia"/>
                      <w:color w:val="000000"/>
                      <w:szCs w:val="21"/>
                      <w:u w:val="single"/>
                    </w:rPr>
                  </w:pPr>
                  <w:r>
                    <w:rPr>
                      <w:rFonts w:hint="eastAsia"/>
                      <w:color w:val="000000"/>
                      <w:szCs w:val="21"/>
                      <w:u w:val="single"/>
                    </w:rPr>
                    <w:t>29.开展环境绩效等级提升行动。加强企业绩效监管，对已评定A级、B级和绩效引领性企业开展“回头看”</w:t>
                  </w:r>
                  <w:r>
                    <w:rPr>
                      <w:rFonts w:hint="eastAsia"/>
                      <w:color w:val="000000"/>
                      <w:szCs w:val="21"/>
                      <w:u w:val="single"/>
                      <w:lang w:eastAsia="zh-CN"/>
                    </w:rPr>
                    <w:t>，</w:t>
                  </w:r>
                  <w:r>
                    <w:rPr>
                      <w:rFonts w:hint="eastAsia"/>
                      <w:color w:val="000000"/>
                      <w:szCs w:val="21"/>
                      <w:u w:val="single"/>
                    </w:rPr>
                    <w:t>对实际绩效水平达不到评定等级要求，或存在严重环境违法违规行为的企业，严格实施降级处理。开展重点行业环保绩效创A行动，充分发挥绩效A级企业引领作用，以“先进”带动“后进”</w:t>
                  </w:r>
                  <w:r>
                    <w:rPr>
                      <w:rFonts w:hint="eastAsia"/>
                      <w:color w:val="000000"/>
                      <w:szCs w:val="21"/>
                      <w:u w:val="single"/>
                      <w:lang w:eastAsia="zh-CN"/>
                    </w:rPr>
                    <w:t>，</w:t>
                  </w:r>
                  <w:r>
                    <w:rPr>
                      <w:rFonts w:hint="eastAsia"/>
                      <w:color w:val="000000"/>
                      <w:szCs w:val="21"/>
                      <w:u w:val="single"/>
                    </w:rPr>
                    <w:t>鼓励指导企业通过设备更新、技术改造、治理升级等措施，不断提升环境绩效等级。2025年全市新增A级、B级企业及绩效引领性企业60家以上。</w:t>
                  </w:r>
                </w:p>
              </w:tc>
              <w:tc>
                <w:tcPr>
                  <w:tcW w:w="1082" w:type="pct"/>
                  <w:noWrap w:val="0"/>
                  <w:vAlign w:val="center"/>
                </w:tcPr>
                <w:p w14:paraId="564F2CF9">
                  <w:pPr>
                    <w:widowControl/>
                    <w:jc w:val="both"/>
                    <w:rPr>
                      <w:rFonts w:hint="eastAsia"/>
                      <w:color w:val="000000"/>
                      <w:szCs w:val="21"/>
                      <w:u w:val="single"/>
                      <w:lang w:bidi="ar"/>
                    </w:rPr>
                  </w:pPr>
                  <w:r>
                    <w:rPr>
                      <w:rFonts w:hint="eastAsia"/>
                      <w:color w:val="000000"/>
                      <w:szCs w:val="21"/>
                      <w:u w:val="single"/>
                      <w:lang w:bidi="ar"/>
                    </w:rPr>
                    <w:t>本项目</w:t>
                  </w:r>
                  <w:r>
                    <w:rPr>
                      <w:rFonts w:hint="eastAsia"/>
                      <w:color w:val="000000"/>
                      <w:szCs w:val="21"/>
                      <w:u w:val="single"/>
                      <w:lang w:val="en-US" w:eastAsia="zh-CN" w:bidi="ar"/>
                    </w:rPr>
                    <w:t>为</w:t>
                  </w:r>
                  <w:r>
                    <w:rPr>
                      <w:rFonts w:hint="eastAsia"/>
                      <w:color w:val="000000"/>
                      <w:szCs w:val="21"/>
                      <w:u w:val="single"/>
                      <w:lang w:bidi="ar"/>
                    </w:rPr>
                    <w:t>改建项目，建成后可达到A级绩效水平。</w:t>
                  </w:r>
                </w:p>
              </w:tc>
              <w:tc>
                <w:tcPr>
                  <w:tcW w:w="467" w:type="pct"/>
                  <w:noWrap w:val="0"/>
                  <w:vAlign w:val="center"/>
                </w:tcPr>
                <w:p w14:paraId="676FB8AA">
                  <w:pPr>
                    <w:widowControl/>
                    <w:jc w:val="center"/>
                    <w:rPr>
                      <w:rFonts w:hint="eastAsia"/>
                      <w:bCs/>
                      <w:color w:val="000000"/>
                      <w:szCs w:val="21"/>
                      <w:u w:val="single"/>
                    </w:rPr>
                  </w:pPr>
                  <w:r>
                    <w:rPr>
                      <w:rFonts w:hint="eastAsia"/>
                      <w:bCs/>
                      <w:color w:val="000000"/>
                      <w:szCs w:val="21"/>
                      <w:u w:val="single"/>
                    </w:rPr>
                    <w:t>相符</w:t>
                  </w:r>
                </w:p>
              </w:tc>
            </w:tr>
            <w:tr w14:paraId="2AA4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000" w:type="pct"/>
                  <w:gridSpan w:val="3"/>
                  <w:noWrap w:val="0"/>
                  <w:vAlign w:val="center"/>
                </w:tcPr>
                <w:p w14:paraId="4A217293">
                  <w:pPr>
                    <w:widowControl/>
                    <w:jc w:val="center"/>
                    <w:rPr>
                      <w:rFonts w:hint="eastAsia"/>
                      <w:bCs/>
                      <w:color w:val="000000"/>
                      <w:szCs w:val="21"/>
                      <w:u w:val="single"/>
                    </w:rPr>
                  </w:pPr>
                  <w:r>
                    <w:rPr>
                      <w:rFonts w:hint="eastAsia"/>
                      <w:bCs/>
                      <w:color w:val="000000"/>
                      <w:szCs w:val="21"/>
                      <w:u w:val="single"/>
                      <w:lang w:val="en-US" w:eastAsia="zh-CN"/>
                    </w:rPr>
                    <w:t>洛阳市</w:t>
                  </w:r>
                  <w:r>
                    <w:rPr>
                      <w:rFonts w:hint="eastAsia"/>
                      <w:bCs/>
                      <w:color w:val="000000"/>
                      <w:szCs w:val="21"/>
                      <w:u w:val="single"/>
                    </w:rPr>
                    <w:t>2025年碧水保卫战实施方案</w:t>
                  </w:r>
                </w:p>
              </w:tc>
            </w:tr>
            <w:tr w14:paraId="5BA0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450" w:type="pct"/>
                  <w:noWrap w:val="0"/>
                  <w:vAlign w:val="center"/>
                </w:tcPr>
                <w:p w14:paraId="4AFFC643">
                  <w:pPr>
                    <w:keepNext w:val="0"/>
                    <w:keepLines w:val="0"/>
                    <w:widowControl/>
                    <w:suppressLineNumbers w:val="0"/>
                    <w:jc w:val="both"/>
                    <w:rPr>
                      <w:rFonts w:hint="eastAsia"/>
                      <w:color w:val="000000"/>
                      <w:szCs w:val="21"/>
                      <w:u w:val="single"/>
                    </w:rPr>
                  </w:pPr>
                  <w:r>
                    <w:rPr>
                      <w:rFonts w:hint="eastAsia"/>
                      <w:color w:val="000000"/>
                      <w:szCs w:val="21"/>
                      <w:u w:val="single"/>
                    </w:rPr>
                    <w:t>5.持续强化水资源节约集约利用。打造节水控水示范区，加快 推进高标准农田建设和大中型灌区建设改造；严格用水总量与强度双控管理，分解下达县区年度用水计划；推进再生水循环利用试点工作，完成支撑试点的工程项目建设，构建污染治理、生态保护、循环利用有机结合的综合治理体系；深入开展水效“领跑者”遴选工作和水效对标达标活动，进一步提升工业水资源集约节约利用水平；推动工业废水循环利用，鼓励工业企业申报可复制、可推广的工业废水循环利用典型案例。</w:t>
                  </w:r>
                </w:p>
              </w:tc>
              <w:tc>
                <w:tcPr>
                  <w:tcW w:w="1082" w:type="pct"/>
                  <w:noWrap w:val="0"/>
                  <w:vAlign w:val="center"/>
                </w:tcPr>
                <w:p w14:paraId="52E2777A">
                  <w:pPr>
                    <w:widowControl/>
                    <w:jc w:val="both"/>
                    <w:rPr>
                      <w:rFonts w:hint="eastAsia"/>
                      <w:color w:val="000000"/>
                      <w:szCs w:val="21"/>
                      <w:u w:val="single"/>
                      <w:lang w:bidi="ar"/>
                    </w:rPr>
                  </w:pPr>
                  <w:r>
                    <w:rPr>
                      <w:rFonts w:hint="default" w:ascii="Times New Roman" w:hAnsi="Times New Roman" w:eastAsia="宋体" w:cs="Times New Roman"/>
                      <w:color w:val="000000"/>
                      <w:spacing w:val="0"/>
                      <w:kern w:val="0"/>
                      <w:sz w:val="21"/>
                      <w:szCs w:val="21"/>
                      <w:u w:val="single"/>
                    </w:rPr>
                    <w:t>本项目</w:t>
                  </w:r>
                  <w:r>
                    <w:rPr>
                      <w:rFonts w:hint="eastAsia" w:ascii="Times New Roman" w:hAnsi="Times New Roman" w:eastAsia="宋体" w:cs="Times New Roman"/>
                      <w:color w:val="000000"/>
                      <w:spacing w:val="0"/>
                      <w:kern w:val="0"/>
                      <w:sz w:val="21"/>
                      <w:szCs w:val="21"/>
                      <w:u w:val="single"/>
                      <w:lang w:val="en-US" w:eastAsia="zh-CN"/>
                    </w:rPr>
                    <w:t>冷却水循环使用，冷却塔循环水池定期清理，可用于厂区洒水降尘；</w:t>
                  </w:r>
                  <w:r>
                    <w:rPr>
                      <w:rFonts w:hint="default" w:ascii="Times New Roman" w:hAnsi="Times New Roman" w:eastAsia="宋体" w:cs="Times New Roman"/>
                      <w:color w:val="000000"/>
                      <w:spacing w:val="0"/>
                      <w:kern w:val="0"/>
                      <w:sz w:val="21"/>
                      <w:szCs w:val="21"/>
                      <w:u w:val="single"/>
                    </w:rPr>
                    <w:t>生活污水经化粪池</w:t>
                  </w:r>
                  <w:r>
                    <w:rPr>
                      <w:rFonts w:hint="eastAsia" w:ascii="Times New Roman" w:hAnsi="Times New Roman" w:eastAsia="宋体" w:cs="Times New Roman"/>
                      <w:color w:val="000000"/>
                      <w:spacing w:val="0"/>
                      <w:kern w:val="0"/>
                      <w:sz w:val="21"/>
                      <w:szCs w:val="21"/>
                      <w:u w:val="single"/>
                      <w:lang w:val="en-US" w:eastAsia="zh-CN"/>
                    </w:rPr>
                    <w:t>处理后近期</w:t>
                  </w:r>
                  <w:r>
                    <w:rPr>
                      <w:rFonts w:hint="default" w:ascii="Times New Roman" w:hAnsi="Times New Roman" w:eastAsia="宋体" w:cs="Times New Roman"/>
                      <w:color w:val="000000"/>
                      <w:spacing w:val="0"/>
                      <w:kern w:val="0"/>
                      <w:sz w:val="21"/>
                      <w:szCs w:val="21"/>
                      <w:u w:val="single"/>
                    </w:rPr>
                    <w:t>定期清掏</w:t>
                  </w:r>
                  <w:r>
                    <w:rPr>
                      <w:rFonts w:hint="eastAsia" w:ascii="Times New Roman" w:hAnsi="Times New Roman" w:eastAsia="宋体" w:cs="Times New Roman"/>
                      <w:color w:val="000000"/>
                      <w:spacing w:val="0"/>
                      <w:kern w:val="0"/>
                      <w:sz w:val="21"/>
                      <w:szCs w:val="21"/>
                      <w:u w:val="single"/>
                      <w:lang w:val="en-US" w:eastAsia="zh-CN"/>
                    </w:rPr>
                    <w:t>肥田，远期排入偃师区第四污水处理厂</w:t>
                  </w:r>
                  <w:r>
                    <w:rPr>
                      <w:rFonts w:hint="default" w:ascii="Times New Roman" w:hAnsi="Times New Roman" w:eastAsia="宋体" w:cs="Times New Roman"/>
                      <w:color w:val="000000"/>
                      <w:spacing w:val="0"/>
                      <w:kern w:val="0"/>
                      <w:sz w:val="21"/>
                      <w:szCs w:val="21"/>
                      <w:u w:val="single"/>
                    </w:rPr>
                    <w:t>。</w:t>
                  </w:r>
                </w:p>
              </w:tc>
              <w:tc>
                <w:tcPr>
                  <w:tcW w:w="467" w:type="pct"/>
                  <w:noWrap w:val="0"/>
                  <w:vAlign w:val="center"/>
                </w:tcPr>
                <w:p w14:paraId="3DB413C5">
                  <w:pPr>
                    <w:widowControl/>
                    <w:jc w:val="center"/>
                    <w:rPr>
                      <w:rFonts w:hint="eastAsia"/>
                      <w:bCs/>
                      <w:color w:val="000000"/>
                      <w:szCs w:val="21"/>
                      <w:u w:val="single"/>
                    </w:rPr>
                  </w:pPr>
                  <w:r>
                    <w:rPr>
                      <w:rFonts w:hint="eastAsia"/>
                      <w:bCs/>
                      <w:color w:val="000000"/>
                      <w:szCs w:val="21"/>
                      <w:u w:val="single"/>
                    </w:rPr>
                    <w:t>相符</w:t>
                  </w:r>
                </w:p>
              </w:tc>
            </w:tr>
          </w:tbl>
          <w:p w14:paraId="3036A691">
            <w:pPr>
              <w:adjustRightInd w:val="0"/>
              <w:spacing w:line="360" w:lineRule="auto"/>
              <w:rPr>
                <w:rFonts w:hint="eastAsia"/>
                <w:b/>
                <w:color w:val="000000"/>
                <w:sz w:val="24"/>
                <w:szCs w:val="24"/>
              </w:rPr>
            </w:pPr>
            <w:r>
              <w:rPr>
                <w:rFonts w:hint="eastAsia"/>
                <w:b/>
                <w:color w:val="000000"/>
                <w:sz w:val="24"/>
                <w:szCs w:val="24"/>
                <w:lang w:val="en-US" w:eastAsia="zh-CN"/>
              </w:rPr>
              <w:t>7</w:t>
            </w:r>
            <w:r>
              <w:rPr>
                <w:rFonts w:hint="eastAsia"/>
                <w:b/>
                <w:color w:val="000000"/>
                <w:sz w:val="24"/>
                <w:szCs w:val="24"/>
              </w:rPr>
              <w:t>.《河南省生态环境厅办公室关于做好2025年夏季挥发性有机物综合治理工作的通知》（豫环办</w:t>
            </w:r>
            <w:r>
              <w:rPr>
                <w:rFonts w:hint="eastAsia"/>
                <w:b/>
                <w:color w:val="000000"/>
                <w:sz w:val="24"/>
                <w:szCs w:val="24"/>
                <w:lang w:eastAsia="zh-CN"/>
              </w:rPr>
              <w:t>〔2025〕25号</w:t>
            </w:r>
            <w:r>
              <w:rPr>
                <w:rFonts w:hint="eastAsia"/>
                <w:b/>
                <w:color w:val="000000"/>
                <w:sz w:val="24"/>
                <w:szCs w:val="24"/>
              </w:rPr>
              <w:t>）</w:t>
            </w:r>
          </w:p>
          <w:p w14:paraId="06209BFB">
            <w:pPr>
              <w:spacing w:before="93" w:beforeLines="30"/>
              <w:jc w:val="center"/>
              <w:rPr>
                <w:rFonts w:hint="eastAsia" w:ascii="黑体" w:hAnsi="黑体" w:eastAsia="黑体"/>
                <w:color w:val="000000"/>
                <w:sz w:val="24"/>
                <w:szCs w:val="24"/>
              </w:rPr>
            </w:pPr>
            <w:r>
              <w:rPr>
                <w:rFonts w:hint="eastAsia" w:ascii="黑体" w:hAnsi="黑体" w:eastAsia="黑体" w:cs="Times New Roman"/>
                <w:color w:val="000000"/>
                <w:sz w:val="24"/>
                <w:szCs w:val="24"/>
                <w:lang w:val="en-US" w:eastAsia="zh-CN"/>
              </w:rPr>
              <w:t>表13    豫环办〔2025〕25号相符性分析一览表</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5142"/>
              <w:gridCol w:w="2281"/>
              <w:gridCol w:w="758"/>
            </w:tblGrid>
            <w:tr w14:paraId="44DAA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5" w:hRule="atLeast"/>
                <w:jc w:val="center"/>
              </w:trPr>
              <w:tc>
                <w:tcPr>
                  <w:tcW w:w="3142" w:type="pct"/>
                  <w:noWrap w:val="0"/>
                  <w:vAlign w:val="center"/>
                </w:tcPr>
                <w:p w14:paraId="134CDC18">
                  <w:pPr>
                    <w:jc w:val="center"/>
                    <w:rPr>
                      <w:color w:val="000000"/>
                      <w:kern w:val="0"/>
                      <w:szCs w:val="21"/>
                    </w:rPr>
                  </w:pPr>
                  <w:r>
                    <w:rPr>
                      <w:color w:val="000000"/>
                      <w:kern w:val="0"/>
                      <w:szCs w:val="21"/>
                    </w:rPr>
                    <w:t>文件要求内容</w:t>
                  </w:r>
                </w:p>
              </w:tc>
              <w:tc>
                <w:tcPr>
                  <w:tcW w:w="1394" w:type="pct"/>
                  <w:noWrap w:val="0"/>
                  <w:vAlign w:val="center"/>
                </w:tcPr>
                <w:p w14:paraId="6E558545">
                  <w:pPr>
                    <w:jc w:val="center"/>
                    <w:rPr>
                      <w:color w:val="000000"/>
                      <w:kern w:val="0"/>
                      <w:szCs w:val="21"/>
                    </w:rPr>
                  </w:pPr>
                  <w:r>
                    <w:rPr>
                      <w:color w:val="000000"/>
                      <w:kern w:val="0"/>
                      <w:szCs w:val="21"/>
                    </w:rPr>
                    <w:t>本项目情况</w:t>
                  </w:r>
                </w:p>
              </w:tc>
              <w:tc>
                <w:tcPr>
                  <w:tcW w:w="463" w:type="pct"/>
                  <w:noWrap w:val="0"/>
                  <w:vAlign w:val="center"/>
                </w:tcPr>
                <w:p w14:paraId="022FBB24">
                  <w:pPr>
                    <w:jc w:val="center"/>
                    <w:rPr>
                      <w:color w:val="000000"/>
                      <w:kern w:val="0"/>
                      <w:szCs w:val="21"/>
                    </w:rPr>
                  </w:pPr>
                  <w:r>
                    <w:rPr>
                      <w:color w:val="000000"/>
                      <w:kern w:val="0"/>
                      <w:szCs w:val="21"/>
                    </w:rPr>
                    <w:t>相符性</w:t>
                  </w:r>
                </w:p>
              </w:tc>
            </w:tr>
            <w:tr w14:paraId="3F2FF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5" w:hRule="atLeast"/>
                <w:jc w:val="center"/>
              </w:trPr>
              <w:tc>
                <w:tcPr>
                  <w:tcW w:w="3142" w:type="pct"/>
                  <w:noWrap w:val="0"/>
                  <w:vAlign w:val="center"/>
                </w:tcPr>
                <w:p w14:paraId="24C97D24">
                  <w:pPr>
                    <w:rPr>
                      <w:rFonts w:hint="eastAsia"/>
                      <w:color w:val="000000"/>
                      <w:kern w:val="0"/>
                      <w:szCs w:val="21"/>
                    </w:rPr>
                  </w:pPr>
                  <w:r>
                    <w:rPr>
                      <w:rFonts w:hint="eastAsia"/>
                      <w:color w:val="000000"/>
                      <w:kern w:val="0"/>
                      <w:szCs w:val="21"/>
                    </w:rPr>
                    <w:t>（一）加强低VOCs含量原辅材料替代</w:t>
                  </w:r>
                </w:p>
                <w:p w14:paraId="4ADAA6A8">
                  <w:pPr>
                    <w:rPr>
                      <w:rFonts w:hint="eastAsia"/>
                      <w:color w:val="000000"/>
                      <w:kern w:val="0"/>
                      <w:szCs w:val="21"/>
                    </w:rPr>
                  </w:pPr>
                  <w:r>
                    <w:rPr>
                      <w:rFonts w:hint="eastAsia"/>
                      <w:color w:val="000000"/>
                      <w:kern w:val="0"/>
                      <w:szCs w:val="21"/>
                    </w:rPr>
                    <w:t>组织工业涂装、包装印刷、家具制造、电子制造等重点行业，加大低（无）VOCs含量原辅材料替代力度，采用符合《低挥发性有机化合物含量涂料产品技术要求》（GB/T38597-2020）、《油墨中可挥发性有机化合物含量的限值》（GB38507-2020）、《胶粘剂挥发性有机化合物限量》（GB33372-2020）、《清洗剂挥发性有机化合物含量限值》（GB38508-2020）等VOCs含量限值标准的涂料、油墨、胶粘剂、清洗剂。按照“可替尽替、应代尽代”的原则，结合行业特点和企业实际，2025年4月底前完成低（无）VOCs原辅材料替代，纳入2025年大气攻坚重点治理任务。已完成源头替代的企业要严格低（无）VOCs含量原辅材料使用管理，未完成的企业要确保达标排放。</w:t>
                  </w:r>
                </w:p>
              </w:tc>
              <w:tc>
                <w:tcPr>
                  <w:tcW w:w="1394" w:type="pct"/>
                  <w:noWrap w:val="0"/>
                  <w:vAlign w:val="center"/>
                </w:tcPr>
                <w:p w14:paraId="675FB83D">
                  <w:pPr>
                    <w:rPr>
                      <w:rFonts w:hint="eastAsia" w:eastAsia="宋体"/>
                      <w:color w:val="000000"/>
                      <w:kern w:val="0"/>
                      <w:szCs w:val="21"/>
                      <w:lang w:eastAsia="zh-CN"/>
                    </w:rPr>
                  </w:pPr>
                  <w:r>
                    <w:rPr>
                      <w:rFonts w:ascii="宋体" w:hAnsi="宋体" w:eastAsia="宋体" w:cs="宋体"/>
                      <w:color w:val="000000"/>
                      <w:spacing w:val="0"/>
                      <w:sz w:val="21"/>
                      <w:szCs w:val="21"/>
                    </w:rPr>
                    <w:t>本项目为</w:t>
                  </w:r>
                  <w:r>
                    <w:rPr>
                      <w:rFonts w:hint="eastAsia" w:ascii="宋体" w:hAnsi="宋体" w:eastAsia="宋体" w:cs="宋体"/>
                      <w:color w:val="000000"/>
                      <w:spacing w:val="0"/>
                      <w:sz w:val="21"/>
                      <w:szCs w:val="21"/>
                      <w:lang w:val="en-US" w:eastAsia="zh-CN"/>
                    </w:rPr>
                    <w:t>改建项目，属于</w:t>
                  </w:r>
                  <w:r>
                    <w:rPr>
                      <w:rFonts w:hint="default" w:ascii="Times New Roman" w:hAnsi="Times New Roman" w:cs="Times New Roman"/>
                      <w:color w:val="000000"/>
                      <w:spacing w:val="0"/>
                      <w:sz w:val="21"/>
                      <w:szCs w:val="21"/>
                      <w:u w:val="none"/>
                      <w:vertAlign w:val="baseline"/>
                      <w:lang w:eastAsia="zh-CN"/>
                    </w:rPr>
                    <w:t>塑料鞋制造、其他塑料制品制造</w:t>
                  </w:r>
                  <w:r>
                    <w:rPr>
                      <w:rFonts w:hint="eastAsia" w:ascii="Times New Roman" w:hAnsi="Times New Roman" w:cs="Times New Roman"/>
                      <w:color w:val="000000"/>
                      <w:spacing w:val="0"/>
                      <w:sz w:val="21"/>
                      <w:szCs w:val="21"/>
                      <w:u w:val="none"/>
                      <w:vertAlign w:val="baseline"/>
                      <w:lang w:val="en-US" w:eastAsia="zh-CN"/>
                    </w:rPr>
                    <w:t>行业</w:t>
                  </w:r>
                  <w:r>
                    <w:rPr>
                      <w:color w:val="000000"/>
                      <w:kern w:val="0"/>
                      <w:szCs w:val="21"/>
                    </w:rPr>
                    <w:t>，</w:t>
                  </w:r>
                  <w:r>
                    <w:rPr>
                      <w:rFonts w:hint="eastAsia"/>
                      <w:color w:val="000000"/>
                      <w:kern w:val="0"/>
                      <w:szCs w:val="21"/>
                    </w:rPr>
                    <w:t>不使用涂料、油墨、胶粘剂等</w:t>
                  </w:r>
                  <w:r>
                    <w:rPr>
                      <w:rFonts w:hint="eastAsia"/>
                      <w:color w:val="000000"/>
                      <w:kern w:val="0"/>
                      <w:szCs w:val="21"/>
                      <w:lang w:eastAsia="zh-CN"/>
                    </w:rPr>
                    <w:t>，且做好VOCs原料使用购买、使用台账记录。</w:t>
                  </w:r>
                </w:p>
              </w:tc>
              <w:tc>
                <w:tcPr>
                  <w:tcW w:w="463" w:type="pct"/>
                  <w:noWrap w:val="0"/>
                  <w:vAlign w:val="center"/>
                </w:tcPr>
                <w:p w14:paraId="2FAEDA02">
                  <w:pPr>
                    <w:jc w:val="center"/>
                    <w:rPr>
                      <w:color w:val="000000"/>
                      <w:kern w:val="0"/>
                      <w:szCs w:val="21"/>
                    </w:rPr>
                  </w:pPr>
                  <w:r>
                    <w:rPr>
                      <w:color w:val="000000"/>
                      <w:kern w:val="0"/>
                      <w:szCs w:val="21"/>
                    </w:rPr>
                    <w:t>相符</w:t>
                  </w:r>
                </w:p>
              </w:tc>
            </w:tr>
            <w:tr w14:paraId="22F77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5" w:hRule="atLeast"/>
                <w:jc w:val="center"/>
              </w:trPr>
              <w:tc>
                <w:tcPr>
                  <w:tcW w:w="3142" w:type="pct"/>
                  <w:noWrap w:val="0"/>
                  <w:vAlign w:val="center"/>
                </w:tcPr>
                <w:p w14:paraId="47C1FA30">
                  <w:pPr>
                    <w:rPr>
                      <w:rFonts w:hint="eastAsia"/>
                      <w:color w:val="000000"/>
                      <w:kern w:val="0"/>
                      <w:szCs w:val="21"/>
                    </w:rPr>
                  </w:pPr>
                  <w:r>
                    <w:rPr>
                      <w:rFonts w:hint="eastAsia"/>
                      <w:color w:val="000000"/>
                      <w:kern w:val="0"/>
                      <w:szCs w:val="21"/>
                    </w:rPr>
                    <w:t>（二）强化无组织排放管控</w:t>
                  </w:r>
                </w:p>
                <w:p w14:paraId="277C2C9F">
                  <w:pPr>
                    <w:rPr>
                      <w:color w:val="000000"/>
                      <w:kern w:val="0"/>
                      <w:szCs w:val="21"/>
                    </w:rPr>
                  </w:pPr>
                  <w:r>
                    <w:rPr>
                      <w:rFonts w:hint="eastAsia"/>
                      <w:color w:val="000000"/>
                      <w:kern w:val="0"/>
                      <w:szCs w:val="21"/>
                    </w:rPr>
                    <w:t>提升VOCs废气收集能力。指导督促企业按照“应收尽收、分质收集”的原则，科学设计废气收集系统，提升废气收集效率。产生VOCs的生产环节优先采用密闭设备、在密闭空间中操作或采用全密闭集气罩收集方式，并保持负压运行；采用集气罩、侧吸风等方式收集无组织废气的，距集气罩开口面最远处的控制风速不低于0.3米/秒或按相关行业要求规定执行；推广以生产线或设备为单位设置隔间，收集风量应确保隔间保持微负压；含VOCs物料输送应采用重力流或泵送方式，严禁敞开式转运含VOCs物料，有机液体进料鼓励采用底部、浸入管给料方式；废气收集系统的输送管道应密闭、无破损。2025年5月底前，各地对VOCs废气密闭收集能力进行全面排查，对采用集气罩、侧吸风等措施收集VOCs废气的企业开展一轮风速实测，对于敞开式生产未配备收集设施、废气收集系统控制风速达不到标准要求、废气收集系统输送管道破损泄漏严重等问题限期进行整治提升，并将整治提升任务纳入2025年大气攻坚重点治理任务。</w:t>
                  </w:r>
                </w:p>
              </w:tc>
              <w:tc>
                <w:tcPr>
                  <w:tcW w:w="1394" w:type="pct"/>
                  <w:noWrap w:val="0"/>
                  <w:vAlign w:val="center"/>
                </w:tcPr>
                <w:p w14:paraId="64B45711">
                  <w:pPr>
                    <w:widowControl/>
                    <w:rPr>
                      <w:color w:val="000000"/>
                      <w:kern w:val="0"/>
                      <w:szCs w:val="21"/>
                    </w:rPr>
                  </w:pPr>
                  <w:r>
                    <w:rPr>
                      <w:rFonts w:hint="eastAsia"/>
                      <w:color w:val="000000"/>
                      <w:kern w:val="0"/>
                      <w:szCs w:val="21"/>
                    </w:rPr>
                    <w:t>本项目产生VOCs环节主要为固化环节，固化道进口设置集气罩，废气经收集后进入二级活性炭吸附装置处理后排放，集气罩开口面最远处的控制风速不低于0.3米/秒。</w:t>
                  </w:r>
                </w:p>
              </w:tc>
              <w:tc>
                <w:tcPr>
                  <w:tcW w:w="463" w:type="pct"/>
                  <w:noWrap w:val="0"/>
                  <w:vAlign w:val="center"/>
                </w:tcPr>
                <w:p w14:paraId="7EF91C11">
                  <w:pPr>
                    <w:jc w:val="center"/>
                    <w:rPr>
                      <w:color w:val="000000"/>
                      <w:kern w:val="0"/>
                      <w:szCs w:val="21"/>
                    </w:rPr>
                  </w:pPr>
                  <w:r>
                    <w:rPr>
                      <w:color w:val="000000"/>
                      <w:kern w:val="0"/>
                      <w:szCs w:val="21"/>
                    </w:rPr>
                    <w:t>相符</w:t>
                  </w:r>
                </w:p>
              </w:tc>
            </w:tr>
            <w:tr w14:paraId="4EF74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5" w:hRule="atLeast"/>
                <w:jc w:val="center"/>
              </w:trPr>
              <w:tc>
                <w:tcPr>
                  <w:tcW w:w="3142" w:type="pct"/>
                  <w:noWrap w:val="0"/>
                  <w:vAlign w:val="center"/>
                </w:tcPr>
                <w:p w14:paraId="78B5CAD9">
                  <w:pPr>
                    <w:jc w:val="both"/>
                    <w:rPr>
                      <w:color w:val="000000"/>
                      <w:kern w:val="0"/>
                      <w:szCs w:val="21"/>
                    </w:rPr>
                  </w:pPr>
                  <w:r>
                    <w:rPr>
                      <w:color w:val="000000"/>
                      <w:kern w:val="0"/>
                      <w:szCs w:val="21"/>
                    </w:rPr>
                    <w:t>（三）提升有组织治理能力</w:t>
                  </w:r>
                </w:p>
                <w:p w14:paraId="44115B8F">
                  <w:pPr>
                    <w:jc w:val="both"/>
                    <w:rPr>
                      <w:rFonts w:hint="eastAsia" w:ascii="Times New Roman" w:hAnsi="Times New Roman" w:eastAsia="宋体" w:cs="Times New Roman"/>
                      <w:color w:val="000000"/>
                      <w:kern w:val="0"/>
                      <w:szCs w:val="21"/>
                    </w:rPr>
                  </w:pPr>
                  <w:r>
                    <w:rPr>
                      <w:rFonts w:hint="eastAsia"/>
                      <w:color w:val="000000"/>
                      <w:kern w:val="0"/>
                      <w:szCs w:val="21"/>
                    </w:rPr>
                    <w:t>1、开展低效失效污染治理设施排查整治。持续推进涉VOCs企业低效失效污染治理设施排查整治，淘汰不成熟、不适用、无法稳定达标排放的治理工艺，整治关键组件缺失、质量低劣、自动化水平低的治理设施。对于能立行立改的问题，督促企业立即整改到位。对于《国家污染防治技术指导目录（2024年，限制类和淘汰类）》（公示稿）列出的低温等离子、光催化、光氧化等淘汰类VOCs治理工艺（恶臭异味治理除外），以及不成熟、不适用、无法稳定达标排放的治理工艺，应依据排放废气特征、VOCs组分及浓度、生产工况等，通过更换适宜高效治理工艺、原辅材料源头替代等方式实施分类整治。对于采用活性炭吸附工艺的企业，应根据废气排放特征，按照相关工程技术规范设计，使废气在吸附装置中有足够的停留时间。对于治理难度大、单一治理工艺难以稳定达标的企业，宜采用多种技术的组合工艺。加大蓄热式氧化燃烧（RTO）、蓄热式催化燃烧（RCO）、催化燃烧（CO）、沸石转轮吸附浓缩等高效治理技术推广力度。2025年4月底前完成排查工作，2025年10月底前完成整治提升，将整治提升任务纳入2025年大气攻坚重点治理任</w:t>
                  </w:r>
                  <w:r>
                    <w:rPr>
                      <w:rFonts w:hint="eastAsia" w:ascii="Times New Roman" w:hAnsi="Times New Roman" w:eastAsia="宋体" w:cs="Times New Roman"/>
                      <w:color w:val="000000"/>
                      <w:kern w:val="0"/>
                      <w:szCs w:val="21"/>
                    </w:rPr>
                    <w:t>务，未按时完成的纳入秋冬季生产调控范围。</w:t>
                  </w:r>
                </w:p>
                <w:p w14:paraId="62FE1D71">
                  <w:pPr>
                    <w:jc w:val="both"/>
                    <w:rPr>
                      <w:rFonts w:hint="eastAsia"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2、做好污染治理设施耗材更新更换。组织涉VOCs企业及时更换吸附剂、吸收剂、催化剂、蓄热体、过滤棉、电器元件等治理设施耗材，确保治理设施稳定高效运行；及时清运VOCs治理设施产生的废过滤棉、废催化剂、废吸附剂、废吸收剂、废有机溶剂等，规范处理处置危险废物。做好生产设备和治理设施启停机时间、检维修情况、治理设施耗材维护更换、处置情况等台账记录。2025年4月底前组织企业开展一轮次活性炭更换。</w:t>
                  </w:r>
                </w:p>
                <w:p w14:paraId="4DA2B996">
                  <w:pPr>
                    <w:jc w:val="both"/>
                    <w:rPr>
                      <w:rFonts w:hint="eastAsia"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3、加强污染治理设施运行维护。指导督促企业加强污染治理设施运行维护管理，做到治理设施较生产设备“先启后停”。直燃式废气燃烧炉（TO）、RTO、采用高温炉（窑）处理有机废气的，废气在燃烧装置的停留时间不少于0.75s，正常运行时燃烧温度不低于760℃；CO和RCO等燃烧温度一般不低于300℃。采用催化燃烧工艺的企业催化剂床层的设计空速宜低于40000h-1。对于采用一次性吸附工艺的，宜采用颗粒活性炭作为吸附剂，并按设计要求定期更换，更换的吸附剂应封闭保存；对采用吸附—脱附再生工艺的，应定期脱附，并进行回收或销毁处理。采用活性炭吸附工艺的企业，颗粒活性炭碘值不宜低于800mg/g，蜂窝活性炭碘值不宜低于650mg/g；采用活性炭纤维作为吸附剂时，其比表面积不低于1100m</w:t>
                  </w:r>
                  <w:r>
                    <w:rPr>
                      <w:rFonts w:hint="eastAsia" w:ascii="Times New Roman" w:hAnsi="Times New Roman" w:eastAsia="宋体" w:cs="Times New Roman"/>
                      <w:color w:val="000000"/>
                      <w:kern w:val="0"/>
                      <w:szCs w:val="21"/>
                      <w:vertAlign w:val="superscript"/>
                    </w:rPr>
                    <w:t>2</w:t>
                  </w:r>
                  <w:r>
                    <w:rPr>
                      <w:rFonts w:hint="eastAsia" w:ascii="Times New Roman" w:hAnsi="Times New Roman" w:eastAsia="宋体" w:cs="Times New Roman"/>
                      <w:color w:val="000000"/>
                      <w:kern w:val="0"/>
                      <w:szCs w:val="21"/>
                    </w:rPr>
                    <w:t>/g（BE法）。采用冷凝工艺的，运行温度不应低于设计温度；油气回收的冷凝温度一般控制在-75℃以下。采用吸收工艺的，吸收剂宜选择低（无）挥发性且对废气中有机组分具有高吸收能力的介质。</w:t>
                  </w:r>
                </w:p>
              </w:tc>
              <w:tc>
                <w:tcPr>
                  <w:tcW w:w="1394" w:type="pct"/>
                  <w:noWrap w:val="0"/>
                  <w:vAlign w:val="center"/>
                </w:tcPr>
                <w:p w14:paraId="301572E5">
                  <w:pPr>
                    <w:rPr>
                      <w:rFonts w:hint="eastAsia"/>
                      <w:color w:val="000000"/>
                      <w:kern w:val="0"/>
                      <w:szCs w:val="21"/>
                    </w:rPr>
                  </w:pPr>
                  <w:r>
                    <w:rPr>
                      <w:color w:val="000000"/>
                      <w:szCs w:val="21"/>
                    </w:rPr>
                    <w:t>本</w:t>
                  </w:r>
                  <w:r>
                    <w:rPr>
                      <w:rFonts w:hint="eastAsia"/>
                      <w:color w:val="000000"/>
                      <w:szCs w:val="21"/>
                      <w:lang w:val="en-US" w:eastAsia="zh-CN"/>
                    </w:rPr>
                    <w:t>项目采用二级活性炭处理有机废气，</w:t>
                  </w:r>
                  <w:r>
                    <w:rPr>
                      <w:rFonts w:hint="eastAsia"/>
                      <w:color w:val="000000"/>
                      <w:szCs w:val="21"/>
                    </w:rPr>
                    <w:t>有机废气收集治理后达标排放；</w:t>
                  </w:r>
                  <w:r>
                    <w:rPr>
                      <w:rFonts w:hint="eastAsia" w:hAnsi="宋体"/>
                      <w:snapToGrid w:val="0"/>
                      <w:color w:val="000000"/>
                      <w:kern w:val="0"/>
                      <w:szCs w:val="21"/>
                    </w:rPr>
                    <w:t>环评要求项目运行过程中按要求定期更换活性炭，保证处理设施的处理效率；废气治理产生的废活性炭在危废暂存间暂存后，委托有资质单位处理。本项目采用</w:t>
                  </w:r>
                  <w:r>
                    <w:rPr>
                      <w:color w:val="000000"/>
                      <w:sz w:val="21"/>
                      <w:szCs w:val="21"/>
                    </w:rPr>
                    <w:t>蜂窝状</w:t>
                  </w:r>
                  <w:r>
                    <w:rPr>
                      <w:rFonts w:hint="eastAsia" w:hAnsi="宋体"/>
                      <w:snapToGrid w:val="0"/>
                      <w:color w:val="000000"/>
                      <w:kern w:val="0"/>
                      <w:szCs w:val="21"/>
                    </w:rPr>
                    <w:t>活性炭作为吸附剂，碘值不低于</w:t>
                  </w:r>
                  <w:r>
                    <w:rPr>
                      <w:rFonts w:hint="eastAsia" w:hAnsi="宋体"/>
                      <w:snapToGrid w:val="0"/>
                      <w:color w:val="000000"/>
                      <w:kern w:val="0"/>
                      <w:szCs w:val="21"/>
                      <w:lang w:val="en-US" w:eastAsia="zh-CN"/>
                    </w:rPr>
                    <w:t>65</w:t>
                  </w:r>
                  <w:r>
                    <w:rPr>
                      <w:rFonts w:hint="eastAsia" w:hAnsi="宋体"/>
                      <w:snapToGrid w:val="0"/>
                      <w:color w:val="000000"/>
                      <w:kern w:val="0"/>
                      <w:szCs w:val="21"/>
                    </w:rPr>
                    <w:t>0mg</w:t>
                  </w:r>
                  <w:r>
                    <w:rPr>
                      <w:rFonts w:hint="eastAsia" w:hAnsi="宋体"/>
                      <w:snapToGrid w:val="0"/>
                      <w:color w:val="000000"/>
                      <w:kern w:val="0"/>
                      <w:szCs w:val="21"/>
                      <w:lang w:val="en-US" w:eastAsia="zh-CN"/>
                    </w:rPr>
                    <w:t>/g</w:t>
                  </w:r>
                  <w:r>
                    <w:rPr>
                      <w:rFonts w:hint="eastAsia" w:hAnsi="宋体"/>
                      <w:snapToGrid w:val="0"/>
                      <w:color w:val="000000"/>
                      <w:kern w:val="0"/>
                      <w:szCs w:val="21"/>
                    </w:rPr>
                    <w:t>。</w:t>
                  </w:r>
                </w:p>
              </w:tc>
              <w:tc>
                <w:tcPr>
                  <w:tcW w:w="463" w:type="pct"/>
                  <w:noWrap w:val="0"/>
                  <w:vAlign w:val="center"/>
                </w:tcPr>
                <w:p w14:paraId="04E7932B">
                  <w:pPr>
                    <w:jc w:val="center"/>
                    <w:rPr>
                      <w:color w:val="000000"/>
                      <w:kern w:val="0"/>
                      <w:szCs w:val="21"/>
                    </w:rPr>
                  </w:pPr>
                  <w:r>
                    <w:rPr>
                      <w:rFonts w:hint="eastAsia"/>
                      <w:color w:val="000000"/>
                    </w:rPr>
                    <w:t>相符</w:t>
                  </w:r>
                </w:p>
              </w:tc>
            </w:tr>
          </w:tbl>
          <w:p w14:paraId="576F341D">
            <w:pPr>
              <w:autoSpaceDE w:val="0"/>
              <w:autoSpaceDN w:val="0"/>
              <w:adjustRightInd w:val="0"/>
              <w:spacing w:line="360" w:lineRule="auto"/>
              <w:ind w:firstLine="480" w:firstLineChars="200"/>
              <w:rPr>
                <w:rFonts w:hint="eastAsia"/>
                <w:color w:val="000000"/>
                <w:kern w:val="0"/>
                <w:sz w:val="24"/>
                <w:lang w:bidi="en-US"/>
              </w:rPr>
            </w:pPr>
            <w:r>
              <w:rPr>
                <w:rFonts w:hint="eastAsia"/>
                <w:color w:val="000000"/>
                <w:kern w:val="0"/>
                <w:sz w:val="24"/>
                <w:lang w:bidi="en-US"/>
              </w:rPr>
              <w:t>由上述分析可知，本项目建设符合《河南省生态环境厅办公室关于做好2025年夏季挥发性有机物综合治理工作的通知》（豫环办</w:t>
            </w:r>
            <w:r>
              <w:rPr>
                <w:rFonts w:hint="eastAsia"/>
                <w:color w:val="000000"/>
                <w:kern w:val="0"/>
                <w:sz w:val="24"/>
                <w:lang w:eastAsia="zh-CN" w:bidi="en-US"/>
              </w:rPr>
              <w:t>〔2025〕25号</w:t>
            </w:r>
            <w:r>
              <w:rPr>
                <w:rFonts w:hint="eastAsia"/>
                <w:color w:val="000000"/>
                <w:kern w:val="0"/>
                <w:sz w:val="24"/>
                <w:lang w:bidi="en-US"/>
              </w:rPr>
              <w:t>）中相关要求。</w:t>
            </w:r>
          </w:p>
          <w:p w14:paraId="4D3F4B99">
            <w:pPr>
              <w:spacing w:line="360" w:lineRule="auto"/>
              <w:rPr>
                <w:rFonts w:hint="eastAsia"/>
                <w:b/>
                <w:color w:val="000000"/>
                <w:sz w:val="24"/>
                <w:szCs w:val="24"/>
                <w:u w:val="none"/>
              </w:rPr>
            </w:pPr>
            <w:r>
              <w:rPr>
                <w:rFonts w:hint="eastAsia"/>
                <w:b/>
                <w:color w:val="000000"/>
                <w:sz w:val="24"/>
                <w:szCs w:val="24"/>
                <w:u w:val="none"/>
                <w:lang w:val="en-US" w:eastAsia="zh-CN"/>
              </w:rPr>
              <w:t>8</w:t>
            </w:r>
            <w:r>
              <w:rPr>
                <w:rFonts w:hint="eastAsia"/>
                <w:b/>
                <w:color w:val="000000"/>
                <w:sz w:val="24"/>
                <w:szCs w:val="24"/>
                <w:u w:val="none"/>
              </w:rPr>
              <w:t>.《洛阳市推动生态环境质量稳定向好三年行动实施方案（2023-2025年）》（洛政办〔2023〕42号）相符性分析</w:t>
            </w:r>
          </w:p>
          <w:p w14:paraId="485A01D1">
            <w:pPr>
              <w:spacing w:before="93" w:beforeLines="30"/>
              <w:jc w:val="center"/>
              <w:rPr>
                <w:rFonts w:hint="eastAsia" w:ascii="黑体" w:hAnsi="黑体" w:eastAsia="黑体"/>
                <w:color w:val="000000"/>
                <w:sz w:val="24"/>
                <w:szCs w:val="24"/>
                <w:u w:val="none"/>
              </w:rPr>
            </w:pPr>
            <w:r>
              <w:rPr>
                <w:rFonts w:hint="eastAsia" w:ascii="黑体" w:hAnsi="黑体" w:eastAsia="黑体" w:cs="Times New Roman"/>
                <w:color w:val="000000"/>
                <w:sz w:val="24"/>
                <w:szCs w:val="24"/>
                <w:lang w:val="en-US" w:eastAsia="zh-CN"/>
              </w:rPr>
              <w:t>表14    洛政办〔2023〕42号相符性分析</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741"/>
              <w:gridCol w:w="1662"/>
              <w:gridCol w:w="775"/>
            </w:tblGrid>
            <w:tr w14:paraId="72A5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509" w:type="pct"/>
                  <w:noWrap w:val="0"/>
                  <w:vAlign w:val="center"/>
                </w:tcPr>
                <w:p w14:paraId="01F19E4F">
                  <w:pPr>
                    <w:widowControl/>
                    <w:jc w:val="center"/>
                    <w:rPr>
                      <w:color w:val="000000"/>
                      <w:szCs w:val="21"/>
                      <w:u w:val="none"/>
                    </w:rPr>
                  </w:pPr>
                  <w:r>
                    <w:rPr>
                      <w:rFonts w:hint="eastAsia" w:ascii="宋体" w:hAnsi="宋体" w:cs="宋体"/>
                      <w:color w:val="000000"/>
                      <w:szCs w:val="21"/>
                      <w:u w:val="none"/>
                      <w:lang w:bidi="ar"/>
                    </w:rPr>
                    <w:t>文件要求</w:t>
                  </w:r>
                </w:p>
              </w:tc>
              <w:tc>
                <w:tcPr>
                  <w:tcW w:w="1016" w:type="pct"/>
                  <w:noWrap w:val="0"/>
                  <w:vAlign w:val="center"/>
                </w:tcPr>
                <w:p w14:paraId="2CC4059B">
                  <w:pPr>
                    <w:widowControl/>
                    <w:jc w:val="center"/>
                    <w:rPr>
                      <w:color w:val="000000"/>
                      <w:szCs w:val="21"/>
                      <w:u w:val="none"/>
                    </w:rPr>
                  </w:pPr>
                  <w:r>
                    <w:rPr>
                      <w:rFonts w:hint="eastAsia" w:ascii="宋体" w:hAnsi="宋体" w:cs="宋体"/>
                      <w:color w:val="000000"/>
                      <w:szCs w:val="21"/>
                      <w:u w:val="none"/>
                      <w:lang w:bidi="ar"/>
                    </w:rPr>
                    <w:t>本项目情况</w:t>
                  </w:r>
                </w:p>
              </w:tc>
              <w:tc>
                <w:tcPr>
                  <w:tcW w:w="473" w:type="pct"/>
                  <w:noWrap w:val="0"/>
                  <w:vAlign w:val="center"/>
                </w:tcPr>
                <w:p w14:paraId="45817886">
                  <w:pPr>
                    <w:widowControl/>
                    <w:jc w:val="center"/>
                    <w:rPr>
                      <w:color w:val="000000"/>
                      <w:szCs w:val="21"/>
                      <w:u w:val="none"/>
                    </w:rPr>
                  </w:pPr>
                  <w:r>
                    <w:rPr>
                      <w:rFonts w:hint="eastAsia" w:ascii="宋体" w:hAnsi="宋体" w:cs="宋体"/>
                      <w:color w:val="000000"/>
                      <w:szCs w:val="21"/>
                      <w:u w:val="none"/>
                      <w:lang w:bidi="ar"/>
                    </w:rPr>
                    <w:t>相符性</w:t>
                  </w:r>
                </w:p>
              </w:tc>
            </w:tr>
            <w:tr w14:paraId="26F7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3509" w:type="pct"/>
                  <w:noWrap w:val="0"/>
                  <w:vAlign w:val="center"/>
                </w:tcPr>
                <w:p w14:paraId="191D4720">
                  <w:pPr>
                    <w:widowControl/>
                    <w:numPr>
                      <w:ilvl w:val="0"/>
                      <w:numId w:val="3"/>
                    </w:numPr>
                    <w:rPr>
                      <w:color w:val="000000"/>
                      <w:szCs w:val="21"/>
                      <w:u w:val="none"/>
                      <w:lang w:bidi="ar"/>
                    </w:rPr>
                  </w:pPr>
                  <w:r>
                    <w:rPr>
                      <w:color w:val="000000"/>
                      <w:szCs w:val="21"/>
                      <w:u w:val="none"/>
                      <w:lang w:bidi="ar"/>
                    </w:rPr>
                    <w:t>工业行业升级改造行动</w:t>
                  </w:r>
                </w:p>
                <w:p w14:paraId="596636B2">
                  <w:pPr>
                    <w:widowControl/>
                    <w:rPr>
                      <w:color w:val="000000"/>
                      <w:szCs w:val="21"/>
                      <w:u w:val="none"/>
                    </w:rPr>
                  </w:pPr>
                  <w:r>
                    <w:rPr>
                      <w:color w:val="000000"/>
                      <w:szCs w:val="21"/>
                      <w:u w:val="none"/>
                      <w:lang w:bidi="ar"/>
                    </w:rPr>
                    <w:t>10.遏</w:t>
                  </w:r>
                  <w:r>
                    <w:rPr>
                      <w:rFonts w:hint="eastAsia" w:ascii="宋体" w:hAnsi="宋体" w:cs="宋体"/>
                      <w:color w:val="000000"/>
                      <w:szCs w:val="21"/>
                      <w:u w:val="none"/>
                      <w:lang w:bidi="ar"/>
                    </w:rPr>
                    <w:t>制“两高”项目盲目发展。严格落实国家产业规划、产业政策、“三线一单”、规</w:t>
                  </w:r>
                  <w:r>
                    <w:rPr>
                      <w:color w:val="000000"/>
                      <w:szCs w:val="21"/>
                      <w:u w:val="none"/>
                      <w:lang w:bidi="ar"/>
                    </w:rPr>
                    <w:t>划环评，以及产能置换、煤炭消费减量替代、区域污染物削减等要求，严把高耗能、高排放、低水平项目准入关口。全市严格执行国家、省关于新增钢铁、电解铝、氧化铝、水泥熟料、平板玻璃（光伏压延玻璃除外）、煤化工、焦化、铝用炭素、含烧结工序的耐火材料和砖瓦制品等行业产能的政策。强化项目环</w:t>
                  </w:r>
                  <w:r>
                    <w:rPr>
                      <w:rFonts w:hint="eastAsia" w:ascii="宋体" w:hAnsi="宋体" w:cs="宋体"/>
                      <w:color w:val="000000"/>
                      <w:szCs w:val="21"/>
                      <w:u w:val="none"/>
                      <w:lang w:bidi="ar"/>
                    </w:rPr>
                    <w:t>评及“三同时”管理</w:t>
                  </w:r>
                  <w:r>
                    <w:rPr>
                      <w:color w:val="000000"/>
                      <w:szCs w:val="21"/>
                      <w:u w:val="none"/>
                      <w:lang w:bidi="ar"/>
                    </w:rPr>
                    <w:t>，国家、省绩效分级重点行业以及涉及锅炉炉窑的其他行业，新建、扩建项目污染物排放限值、污染治理措施、无组织排放控制水平、运输方式等达到A级绩效水平，改建项目污染物排放限值、污染治理措施、无组织排放控制水平、运输方式等达到B级以上绩效水平。</w:t>
                  </w:r>
                </w:p>
              </w:tc>
              <w:tc>
                <w:tcPr>
                  <w:tcW w:w="1016" w:type="pct"/>
                  <w:noWrap w:val="0"/>
                  <w:vAlign w:val="center"/>
                </w:tcPr>
                <w:p w14:paraId="5DABC397">
                  <w:pPr>
                    <w:widowControl/>
                    <w:rPr>
                      <w:color w:val="000000"/>
                      <w:szCs w:val="21"/>
                      <w:u w:val="none"/>
                    </w:rPr>
                  </w:pPr>
                  <w:r>
                    <w:rPr>
                      <w:rFonts w:hint="eastAsia"/>
                      <w:color w:val="000000"/>
                      <w:szCs w:val="21"/>
                      <w:u w:val="none"/>
                    </w:rPr>
                    <w:t>本项目不属于两高项目，符合“三线一单”，落实重污染天气重点行业应急减排措施相关要求</w:t>
                  </w:r>
                  <w:r>
                    <w:rPr>
                      <w:rFonts w:hint="eastAsia"/>
                      <w:color w:val="000000"/>
                      <w:szCs w:val="21"/>
                      <w:u w:val="none"/>
                      <w:lang w:val="en-US" w:eastAsia="zh-CN"/>
                    </w:rPr>
                    <w:t>后，可达到绩效分级A级水平</w:t>
                  </w:r>
                  <w:r>
                    <w:rPr>
                      <w:rFonts w:hint="eastAsia"/>
                      <w:color w:val="000000"/>
                      <w:szCs w:val="21"/>
                      <w:u w:val="none"/>
                    </w:rPr>
                    <w:t>。</w:t>
                  </w:r>
                </w:p>
              </w:tc>
              <w:tc>
                <w:tcPr>
                  <w:tcW w:w="473" w:type="pct"/>
                  <w:noWrap w:val="0"/>
                  <w:vAlign w:val="center"/>
                </w:tcPr>
                <w:p w14:paraId="6115BFC2">
                  <w:pPr>
                    <w:widowControl/>
                    <w:jc w:val="center"/>
                    <w:rPr>
                      <w:color w:val="000000"/>
                      <w:szCs w:val="21"/>
                      <w:u w:val="none"/>
                    </w:rPr>
                  </w:pPr>
                  <w:r>
                    <w:rPr>
                      <w:rFonts w:hint="eastAsia" w:ascii="宋体" w:hAnsi="宋体" w:cs="宋体"/>
                      <w:color w:val="000000"/>
                      <w:szCs w:val="21"/>
                      <w:u w:val="none"/>
                      <w:lang w:bidi="ar"/>
                    </w:rPr>
                    <w:t>符合</w:t>
                  </w:r>
                </w:p>
              </w:tc>
            </w:tr>
          </w:tbl>
          <w:p w14:paraId="05B5B425">
            <w:pPr>
              <w:widowControl/>
              <w:spacing w:line="360" w:lineRule="auto"/>
              <w:ind w:firstLine="480" w:firstLineChars="200"/>
              <w:rPr>
                <w:color w:val="000000"/>
                <w:sz w:val="24"/>
                <w:u w:val="single"/>
              </w:rPr>
            </w:pPr>
            <w:r>
              <w:rPr>
                <w:rFonts w:hint="eastAsia"/>
                <w:color w:val="000000"/>
                <w:sz w:val="24"/>
                <w:u w:val="none"/>
              </w:rPr>
              <w:t>由上表分析可知，本项目建设符合《洛阳市推动生态环境质量稳定向好三年行动实施方案（2023-2025年）》（洛政办〔2023〕42号）中相关要求。</w:t>
            </w:r>
          </w:p>
          <w:p w14:paraId="6338E55B">
            <w:pPr>
              <w:autoSpaceDE w:val="0"/>
              <w:autoSpaceDN w:val="0"/>
              <w:adjustRightInd w:val="0"/>
              <w:spacing w:line="360" w:lineRule="auto"/>
              <w:rPr>
                <w:rFonts w:hint="eastAsia"/>
                <w:b/>
                <w:bCs/>
                <w:color w:val="000000"/>
                <w:szCs w:val="21"/>
                <w:u w:val="none"/>
              </w:rPr>
            </w:pPr>
            <w:r>
              <w:rPr>
                <w:rFonts w:hint="eastAsia"/>
                <w:b/>
                <w:bCs/>
                <w:color w:val="000000"/>
                <w:sz w:val="24"/>
                <w:u w:val="none"/>
                <w:lang w:val="en-US" w:eastAsia="zh-CN"/>
              </w:rPr>
              <w:t>9.《河南省生态环境厅关于印发河南省管低效失效大气污染治理设施排查整治实施方案的通知》（豫环文〔2024〕132号）</w:t>
            </w:r>
          </w:p>
          <w:p w14:paraId="216F1F3F">
            <w:pPr>
              <w:spacing w:before="93" w:beforeLines="30"/>
              <w:jc w:val="center"/>
              <w:rPr>
                <w:rFonts w:ascii="黑体" w:hAnsi="黑体" w:eastAsia="黑体"/>
                <w:color w:val="000000"/>
                <w:sz w:val="24"/>
                <w:szCs w:val="24"/>
                <w:u w:val="none"/>
              </w:rPr>
            </w:pPr>
            <w:r>
              <w:rPr>
                <w:rFonts w:hint="eastAsia" w:ascii="黑体" w:hAnsi="黑体" w:eastAsia="黑体" w:cs="Times New Roman"/>
                <w:color w:val="000000"/>
                <w:sz w:val="24"/>
                <w:szCs w:val="24"/>
                <w:lang w:val="en-US" w:eastAsia="zh-CN"/>
              </w:rPr>
              <w:t>表15    豫环文〔2024〕132号相符性分析一览表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51"/>
              <w:gridCol w:w="4295"/>
              <w:gridCol w:w="2445"/>
              <w:gridCol w:w="787"/>
            </w:tblGrid>
            <w:tr w14:paraId="5006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6" w:hRule="atLeast"/>
                <w:jc w:val="center"/>
              </w:trPr>
              <w:tc>
                <w:tcPr>
                  <w:tcW w:w="3023" w:type="pct"/>
                  <w:gridSpan w:val="2"/>
                  <w:noWrap w:val="0"/>
                  <w:vAlign w:val="center"/>
                </w:tcPr>
                <w:p w14:paraId="5D9FABE4">
                  <w:pPr>
                    <w:jc w:val="center"/>
                    <w:rPr>
                      <w:color w:val="000000"/>
                      <w:u w:val="none"/>
                    </w:rPr>
                  </w:pPr>
                  <w:r>
                    <w:rPr>
                      <w:color w:val="000000"/>
                      <w:u w:val="none"/>
                    </w:rPr>
                    <w:t>文件要求</w:t>
                  </w:r>
                </w:p>
              </w:tc>
              <w:tc>
                <w:tcPr>
                  <w:tcW w:w="1494" w:type="pct"/>
                  <w:noWrap w:val="0"/>
                  <w:vAlign w:val="center"/>
                </w:tcPr>
                <w:p w14:paraId="41906127">
                  <w:pPr>
                    <w:jc w:val="center"/>
                    <w:rPr>
                      <w:rFonts w:hint="eastAsia"/>
                      <w:color w:val="000000"/>
                      <w:u w:val="none"/>
                    </w:rPr>
                  </w:pPr>
                  <w:r>
                    <w:rPr>
                      <w:color w:val="000000"/>
                      <w:u w:val="none"/>
                    </w:rPr>
                    <w:t>本项目</w:t>
                  </w:r>
                  <w:r>
                    <w:rPr>
                      <w:rFonts w:hint="eastAsia"/>
                      <w:color w:val="000000"/>
                      <w:u w:val="none"/>
                    </w:rPr>
                    <w:t>情况</w:t>
                  </w:r>
                </w:p>
              </w:tc>
              <w:tc>
                <w:tcPr>
                  <w:tcW w:w="481" w:type="pct"/>
                  <w:noWrap w:val="0"/>
                  <w:vAlign w:val="center"/>
                </w:tcPr>
                <w:p w14:paraId="0189D17A">
                  <w:pPr>
                    <w:jc w:val="center"/>
                    <w:rPr>
                      <w:color w:val="000000"/>
                      <w:u w:val="none"/>
                    </w:rPr>
                  </w:pPr>
                  <w:r>
                    <w:rPr>
                      <w:color w:val="000000"/>
                      <w:u w:val="none"/>
                    </w:rPr>
                    <w:t>相符性</w:t>
                  </w:r>
                </w:p>
              </w:tc>
            </w:tr>
            <w:tr w14:paraId="26DA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398" w:type="pct"/>
                  <w:noWrap w:val="0"/>
                  <w:vAlign w:val="center"/>
                </w:tcPr>
                <w:p w14:paraId="06DD235B">
                  <w:pPr>
                    <w:widowControl/>
                    <w:jc w:val="center"/>
                    <w:rPr>
                      <w:rFonts w:hint="eastAsia"/>
                      <w:color w:val="000000"/>
                      <w:u w:val="none"/>
                    </w:rPr>
                  </w:pPr>
                  <w:r>
                    <w:rPr>
                      <w:rFonts w:hint="default"/>
                      <w:color w:val="000000"/>
                      <w:u w:val="none"/>
                      <w:lang w:val="en-US" w:eastAsia="zh-CN"/>
                    </w:rPr>
                    <w:t>更新升级低效VOCs治理工艺</w:t>
                  </w:r>
                </w:p>
              </w:tc>
              <w:tc>
                <w:tcPr>
                  <w:tcW w:w="2625" w:type="pct"/>
                  <w:noWrap w:val="0"/>
                  <w:vAlign w:val="center"/>
                </w:tcPr>
                <w:p w14:paraId="32BBAC63">
                  <w:pPr>
                    <w:widowControl/>
                    <w:numPr>
                      <w:ilvl w:val="0"/>
                      <w:numId w:val="0"/>
                    </w:numPr>
                    <w:rPr>
                      <w:rFonts w:hint="default"/>
                      <w:color w:val="000000"/>
                      <w:u w:val="none"/>
                      <w:lang w:val="en-US" w:eastAsia="zh-CN"/>
                    </w:rPr>
                  </w:pPr>
                  <w:r>
                    <w:rPr>
                      <w:rFonts w:hint="default"/>
                      <w:color w:val="000000"/>
                      <w:u w:val="none"/>
                      <w:lang w:val="en-US" w:eastAsia="zh-CN"/>
                    </w:rPr>
                    <w:t>依法依规淘汰不达标设备，推动单一低温等离子、光氧化、光催化、非水溶性VOCs废气采用单一水喷淋吸收及上述技术的组合工艺（除异味治理外）加快淘汰更新。</w:t>
                  </w:r>
                </w:p>
              </w:tc>
              <w:tc>
                <w:tcPr>
                  <w:tcW w:w="1494" w:type="pct"/>
                  <w:noWrap w:val="0"/>
                  <w:vAlign w:val="center"/>
                </w:tcPr>
                <w:p w14:paraId="0C71B656">
                  <w:pPr>
                    <w:widowControl/>
                    <w:rPr>
                      <w:rFonts w:hint="eastAsia" w:eastAsia="宋体"/>
                      <w:color w:val="000000"/>
                      <w:szCs w:val="21"/>
                      <w:u w:val="none"/>
                      <w:lang w:eastAsia="zh-CN" w:bidi="ar"/>
                    </w:rPr>
                  </w:pPr>
                  <w:r>
                    <w:rPr>
                      <w:color w:val="000000"/>
                      <w:szCs w:val="21"/>
                      <w:u w:val="none"/>
                    </w:rPr>
                    <w:t>本</w:t>
                  </w:r>
                  <w:r>
                    <w:rPr>
                      <w:rFonts w:hint="eastAsia"/>
                      <w:color w:val="000000"/>
                      <w:szCs w:val="21"/>
                      <w:u w:val="none"/>
                      <w:lang w:val="en-US" w:eastAsia="zh-CN"/>
                    </w:rPr>
                    <w:t>项目有机废气采用</w:t>
                  </w:r>
                  <w:r>
                    <w:rPr>
                      <w:rFonts w:hint="eastAsia"/>
                      <w:color w:val="000000"/>
                      <w:szCs w:val="21"/>
                      <w:u w:val="none"/>
                    </w:rPr>
                    <w:t>二级活性炭吸附</w:t>
                  </w:r>
                  <w:r>
                    <w:rPr>
                      <w:rFonts w:hint="eastAsia"/>
                      <w:color w:val="000000"/>
                      <w:szCs w:val="21"/>
                      <w:u w:val="none"/>
                      <w:lang w:val="en-US" w:eastAsia="zh-CN"/>
                    </w:rPr>
                    <w:t>治理后达标排放</w:t>
                  </w:r>
                  <w:r>
                    <w:rPr>
                      <w:rFonts w:hint="eastAsia"/>
                      <w:color w:val="000000"/>
                      <w:kern w:val="0"/>
                      <w:szCs w:val="21"/>
                      <w:u w:val="none"/>
                      <w:lang w:eastAsia="zh-CN"/>
                    </w:rPr>
                    <w:t>。</w:t>
                  </w:r>
                </w:p>
              </w:tc>
              <w:tc>
                <w:tcPr>
                  <w:tcW w:w="481" w:type="pct"/>
                  <w:noWrap w:val="0"/>
                  <w:vAlign w:val="center"/>
                </w:tcPr>
                <w:p w14:paraId="5579BDCD">
                  <w:pPr>
                    <w:widowControl/>
                    <w:jc w:val="center"/>
                    <w:rPr>
                      <w:rFonts w:hint="eastAsia" w:eastAsia="宋体"/>
                      <w:color w:val="000000"/>
                      <w:szCs w:val="21"/>
                      <w:u w:val="none"/>
                      <w:lang w:val="en-US" w:eastAsia="zh-CN" w:bidi="ar"/>
                    </w:rPr>
                  </w:pPr>
                  <w:r>
                    <w:rPr>
                      <w:rFonts w:hint="eastAsia"/>
                      <w:color w:val="000000"/>
                      <w:szCs w:val="21"/>
                      <w:u w:val="none"/>
                      <w:lang w:val="en-US" w:eastAsia="zh-CN" w:bidi="ar"/>
                    </w:rPr>
                    <w:t>相符</w:t>
                  </w:r>
                </w:p>
              </w:tc>
            </w:tr>
            <w:tr w14:paraId="20E4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398" w:type="pct"/>
                  <w:noWrap w:val="0"/>
                  <w:vAlign w:val="center"/>
                </w:tcPr>
                <w:p w14:paraId="2EDEDF56">
                  <w:pPr>
                    <w:widowControl/>
                    <w:jc w:val="center"/>
                    <w:rPr>
                      <w:rFonts w:hint="eastAsia"/>
                      <w:color w:val="000000"/>
                      <w:u w:val="none"/>
                    </w:rPr>
                  </w:pPr>
                  <w:r>
                    <w:rPr>
                      <w:rFonts w:hint="default"/>
                      <w:color w:val="000000"/>
                      <w:u w:val="none"/>
                      <w:lang w:val="en-US" w:eastAsia="zh-CN"/>
                    </w:rPr>
                    <w:t>提升含VOCs有机废气收集效率</w:t>
                  </w:r>
                </w:p>
              </w:tc>
              <w:tc>
                <w:tcPr>
                  <w:tcW w:w="2625" w:type="pct"/>
                  <w:noWrap w:val="0"/>
                  <w:vAlign w:val="center"/>
                </w:tcPr>
                <w:p w14:paraId="0099B998">
                  <w:pPr>
                    <w:widowControl/>
                    <w:numPr>
                      <w:ilvl w:val="0"/>
                      <w:numId w:val="0"/>
                    </w:numPr>
                    <w:rPr>
                      <w:rFonts w:hint="default"/>
                      <w:color w:val="000000"/>
                      <w:u w:val="none"/>
                      <w:lang w:val="en-US" w:eastAsia="zh-CN"/>
                    </w:rPr>
                  </w:pPr>
                  <w:r>
                    <w:rPr>
                      <w:rFonts w:hint="default"/>
                      <w:color w:val="000000"/>
                      <w:u w:val="none"/>
                      <w:lang w:val="en-US" w:eastAsia="zh-CN"/>
                    </w:rPr>
                    <w:t>企业应考虑废气性质、适宜的处理工艺和排放标准要求等因素，对VOCs废气进行分类收集。有机废气收集管道应合理布局，减少软管和法兰连接；软管连接长度不宜过长，不应缠绕、弯折；废气收集管道无破损，不应存在感官可察觉泄漏，正压管道应加强法兰、软管连接处的泄漏检测。采用车间整体换风收集的，车间厂房在确保安全的前提下应保持封闭状态，除人员、车辆、设备、物料进出时，以及依法设立的排气筒、通风口外，门窗及其他开口（孔）部位应随时保持关闭，鼓励使用双层门、自动门；涉VOCs环节的生产设施应保持微负压，鼓励安装负压计；采用集气罩、侧吸风等方式收集无组织废气的，距集气罩开口面最远处的控制风速不低于0.3米/秒或按相关行业要求规定执行。</w:t>
                  </w:r>
                </w:p>
              </w:tc>
              <w:tc>
                <w:tcPr>
                  <w:tcW w:w="1494" w:type="pct"/>
                  <w:noWrap w:val="0"/>
                  <w:vAlign w:val="center"/>
                </w:tcPr>
                <w:p w14:paraId="333520C1">
                  <w:pPr>
                    <w:widowControl/>
                    <w:rPr>
                      <w:rFonts w:hint="default" w:eastAsia="宋体"/>
                      <w:color w:val="000000"/>
                      <w:szCs w:val="21"/>
                      <w:u w:val="none"/>
                      <w:lang w:val="en-US" w:eastAsia="zh-CN" w:bidi="ar"/>
                    </w:rPr>
                  </w:pPr>
                  <w:r>
                    <w:rPr>
                      <w:rFonts w:hint="eastAsia"/>
                      <w:color w:val="000000"/>
                      <w:szCs w:val="21"/>
                      <w:u w:val="none"/>
                      <w:lang w:val="en-US" w:eastAsia="zh-CN" w:bidi="ar"/>
                    </w:rPr>
                    <w:t>本项目VOCs来源于注塑工序，VOCs产生浓度较低，采用二级活性炭吸附进行治理；建设单位拟委托专业环保设备厂家根据产污节点位置对废气治理设施合理布局，管线科学规划；建设单位应在运营期加强巡检和维护，避免管道破损等情况；集气罩</w:t>
                  </w:r>
                  <w:r>
                    <w:rPr>
                      <w:rFonts w:hint="default"/>
                      <w:color w:val="000000"/>
                      <w:u w:val="none"/>
                      <w:lang w:val="en-US" w:eastAsia="zh-CN"/>
                    </w:rPr>
                    <w:t>开口面最远处控制风速不低于0.3米/秒</w:t>
                  </w:r>
                  <w:r>
                    <w:rPr>
                      <w:rFonts w:hint="eastAsia"/>
                      <w:color w:val="000000"/>
                      <w:u w:val="none"/>
                      <w:lang w:val="en-US" w:eastAsia="zh-CN"/>
                    </w:rPr>
                    <w:t>。</w:t>
                  </w:r>
                </w:p>
              </w:tc>
              <w:tc>
                <w:tcPr>
                  <w:tcW w:w="481" w:type="pct"/>
                  <w:noWrap w:val="0"/>
                  <w:vAlign w:val="center"/>
                </w:tcPr>
                <w:p w14:paraId="08164E4B">
                  <w:pPr>
                    <w:widowControl/>
                    <w:jc w:val="center"/>
                    <w:rPr>
                      <w:rFonts w:hint="eastAsia" w:eastAsia="宋体"/>
                      <w:color w:val="000000"/>
                      <w:szCs w:val="21"/>
                      <w:u w:val="none"/>
                      <w:lang w:val="en-US" w:eastAsia="zh-CN" w:bidi="ar"/>
                    </w:rPr>
                  </w:pPr>
                  <w:r>
                    <w:rPr>
                      <w:rFonts w:hint="eastAsia"/>
                      <w:color w:val="000000"/>
                      <w:szCs w:val="21"/>
                      <w:u w:val="none"/>
                      <w:lang w:val="en-US" w:eastAsia="zh-CN" w:bidi="ar"/>
                    </w:rPr>
                    <w:t>相符</w:t>
                  </w:r>
                </w:p>
              </w:tc>
            </w:tr>
            <w:tr w14:paraId="1D4E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398" w:type="pct"/>
                  <w:noWrap w:val="0"/>
                  <w:vAlign w:val="center"/>
                </w:tcPr>
                <w:p w14:paraId="4CE21FA2">
                  <w:pPr>
                    <w:widowControl/>
                    <w:jc w:val="center"/>
                    <w:rPr>
                      <w:rFonts w:hint="eastAsia"/>
                      <w:color w:val="000000"/>
                      <w:u w:val="none"/>
                    </w:rPr>
                  </w:pPr>
                  <w:r>
                    <w:rPr>
                      <w:rFonts w:hint="default"/>
                      <w:color w:val="000000"/>
                      <w:u w:val="none"/>
                      <w:lang w:val="en-US" w:eastAsia="zh-CN"/>
                    </w:rPr>
                    <w:t>规范建设VOCs治理设施</w:t>
                  </w:r>
                </w:p>
              </w:tc>
              <w:tc>
                <w:tcPr>
                  <w:tcW w:w="2625" w:type="pct"/>
                  <w:noWrap w:val="0"/>
                  <w:vAlign w:val="center"/>
                </w:tcPr>
                <w:p w14:paraId="35F59D45">
                  <w:pPr>
                    <w:widowControl/>
                    <w:numPr>
                      <w:ilvl w:val="0"/>
                      <w:numId w:val="0"/>
                    </w:numPr>
                    <w:rPr>
                      <w:rFonts w:hint="default"/>
                      <w:color w:val="000000"/>
                      <w:u w:val="none"/>
                      <w:lang w:val="en-US" w:eastAsia="zh-CN"/>
                    </w:rPr>
                  </w:pPr>
                  <w:r>
                    <w:rPr>
                      <w:rFonts w:hint="default"/>
                      <w:color w:val="000000"/>
                      <w:u w:val="none"/>
                      <w:lang w:val="en-US" w:eastAsia="zh-CN"/>
                    </w:rPr>
                    <w:t>采用燃烧工艺的，有机废气在燃烧装置的停留时间不少于0.75s；采用催化燃烧的应使用合格的催化剂并足量添加，催化剂床层设计空速宜低于40000h</w:t>
                  </w:r>
                  <w:r>
                    <w:rPr>
                      <w:rFonts w:hint="default"/>
                      <w:color w:val="000000"/>
                      <w:u w:val="none"/>
                      <w:vertAlign w:val="superscript"/>
                      <w:lang w:val="en-US" w:eastAsia="zh-CN"/>
                    </w:rPr>
                    <w:t>-1</w:t>
                  </w:r>
                  <w:r>
                    <w:rPr>
                      <w:rFonts w:hint="default"/>
                      <w:color w:val="000000"/>
                      <w:u w:val="none"/>
                      <w:lang w:val="en-US" w:eastAsia="zh-CN"/>
                    </w:rPr>
                    <w:t>。采用吸附工艺的，应对有机废气进行必要的降温、除湿和除尘等预处理；根据废气处理量、污染物浓度以及吸附剂更换周期、动态吸附容量确定装填量。采用吸收工艺的，吸收剂宜选择低挥发性或者不挥发、对废气中有机组分具有高吸收能力的介质。治理设施的处理能力应根据满负荷运行、检维修、设备启停等多种情况下的最大废气产生量确定。鼓励采取减风增浓等措施，减少废气产生量，提高废气污染物浓度。</w:t>
                  </w:r>
                </w:p>
              </w:tc>
              <w:tc>
                <w:tcPr>
                  <w:tcW w:w="1494" w:type="pct"/>
                  <w:noWrap w:val="0"/>
                  <w:vAlign w:val="center"/>
                </w:tcPr>
                <w:p w14:paraId="543D1171">
                  <w:pPr>
                    <w:widowControl/>
                    <w:rPr>
                      <w:rFonts w:hint="default" w:eastAsia="宋体"/>
                      <w:color w:val="000000"/>
                      <w:szCs w:val="21"/>
                      <w:u w:val="none"/>
                      <w:lang w:val="en-US" w:eastAsia="zh-CN" w:bidi="ar"/>
                    </w:rPr>
                  </w:pPr>
                  <w:r>
                    <w:rPr>
                      <w:rFonts w:hint="eastAsia"/>
                      <w:color w:val="000000"/>
                      <w:szCs w:val="21"/>
                      <w:u w:val="none"/>
                      <w:lang w:val="en-US" w:eastAsia="zh-CN" w:bidi="ar"/>
                    </w:rPr>
                    <w:t>本项目采用二级活性炭吸附工艺，有机废气不含尘，产生温度和湿度均不高；</w:t>
                  </w:r>
                  <w:r>
                    <w:rPr>
                      <w:rFonts w:hint="default"/>
                      <w:color w:val="000000"/>
                      <w:u w:val="none"/>
                      <w:lang w:val="en-US" w:eastAsia="zh-CN"/>
                    </w:rPr>
                    <w:t>根据废气处理量、污染物浓度以及吸附剂更换周期、动态吸附容量确定装填量。</w:t>
                  </w:r>
                </w:p>
              </w:tc>
              <w:tc>
                <w:tcPr>
                  <w:tcW w:w="481" w:type="pct"/>
                  <w:noWrap w:val="0"/>
                  <w:vAlign w:val="center"/>
                </w:tcPr>
                <w:p w14:paraId="7F8BA15B">
                  <w:pPr>
                    <w:widowControl/>
                    <w:jc w:val="center"/>
                    <w:rPr>
                      <w:rFonts w:hint="eastAsia" w:eastAsia="宋体"/>
                      <w:color w:val="000000"/>
                      <w:szCs w:val="21"/>
                      <w:u w:val="none"/>
                      <w:lang w:val="en-US" w:eastAsia="zh-CN" w:bidi="ar"/>
                    </w:rPr>
                  </w:pPr>
                  <w:r>
                    <w:rPr>
                      <w:rFonts w:hint="eastAsia"/>
                      <w:color w:val="000000"/>
                      <w:szCs w:val="21"/>
                      <w:u w:val="none"/>
                      <w:lang w:val="en-US" w:eastAsia="zh-CN" w:bidi="ar"/>
                    </w:rPr>
                    <w:t>相符</w:t>
                  </w:r>
                </w:p>
              </w:tc>
            </w:tr>
            <w:tr w14:paraId="7637E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398" w:type="pct"/>
                  <w:noWrap w:val="0"/>
                  <w:vAlign w:val="center"/>
                </w:tcPr>
                <w:p w14:paraId="60357B84">
                  <w:pPr>
                    <w:widowControl/>
                    <w:jc w:val="center"/>
                    <w:rPr>
                      <w:rFonts w:hint="eastAsia"/>
                      <w:color w:val="000000"/>
                      <w:u w:val="none"/>
                    </w:rPr>
                  </w:pPr>
                  <w:r>
                    <w:rPr>
                      <w:rFonts w:hint="default"/>
                      <w:color w:val="000000"/>
                      <w:u w:val="none"/>
                      <w:lang w:val="en-US" w:eastAsia="zh-CN"/>
                    </w:rPr>
                    <w:t>加强VOCs治理设施运行维护</w:t>
                  </w:r>
                </w:p>
              </w:tc>
              <w:tc>
                <w:tcPr>
                  <w:tcW w:w="2625" w:type="pct"/>
                  <w:noWrap w:val="0"/>
                  <w:vAlign w:val="center"/>
                </w:tcPr>
                <w:p w14:paraId="03159690">
                  <w:pPr>
                    <w:widowControl/>
                    <w:numPr>
                      <w:ilvl w:val="0"/>
                      <w:numId w:val="0"/>
                    </w:numPr>
                    <w:rPr>
                      <w:rFonts w:hint="default"/>
                      <w:color w:val="000000"/>
                      <w:u w:val="none"/>
                      <w:lang w:val="en-US" w:eastAsia="zh-CN"/>
                    </w:rPr>
                  </w:pPr>
                  <w:r>
                    <w:rPr>
                      <w:rFonts w:hint="default"/>
                      <w:color w:val="000000"/>
                      <w:u w:val="none"/>
                      <w:lang w:val="en-US" w:eastAsia="zh-CN"/>
                    </w:rPr>
                    <w:t>除安全考虑和特殊工艺要求外，禁止开启稀释口、稀释风机。采用燃烧工艺的，有机废气浓度低或浓度波动大时需补充助燃燃料，保证燃烧设施的运行温度在设计值范围内，RTO燃烧温度不低于760℃，催化燃烧装置燃烧温度不低于300℃；对于采用将有机废气引入高温炉、窑进行焚烧的，有机废气应引入火焰区，并且同步运行。VOCs燃烧（焚烧、氧化）设备的废气排放浓度应按相关标准要求进行氧含量折算。</w:t>
                  </w:r>
                </w:p>
                <w:p w14:paraId="188527A9">
                  <w:pPr>
                    <w:widowControl/>
                    <w:numPr>
                      <w:ilvl w:val="0"/>
                      <w:numId w:val="0"/>
                    </w:numPr>
                    <w:rPr>
                      <w:rFonts w:hint="default"/>
                      <w:color w:val="000000"/>
                      <w:u w:val="none"/>
                      <w:lang w:val="en-US" w:eastAsia="zh-CN"/>
                    </w:rPr>
                  </w:pPr>
                  <w:r>
                    <w:rPr>
                      <w:rFonts w:hint="default"/>
                      <w:color w:val="000000"/>
                      <w:u w:val="none"/>
                      <w:lang w:val="en-US" w:eastAsia="zh-CN"/>
                    </w:rPr>
                    <w:t>对于采用一次性活性炭吸附工艺的，应按设计要求定期更换活性炭，颗粒状、柱状活性炭碘值不应低于800毫克/克，蜂窝状活性炭碘值不应低于650毫克/克；采用非连续吸附-脱附治理工艺的，应按设计要求及时解吸吸附的VOCs，解吸气体应采用高效处理工艺处理后达标排放，现场检查时应监测脱附期间VOCs排放浓度和去除效率达标情况。采用冷凝工艺的，不凝尾气的温度应低于尾气中主要污染物的液化温度，对于油气回收，采用单一冷凝回收工艺的，冷凝温度一般应控制在-75℃以下。对于VOCs治理产生的废吸附剂、废催化剂、废吸收剂等耗材，以及含VOCs废料、渣、液等，应密闭储存，并及时清运处置；鼓励储存库设置VOCs废气收集和治理设施。</w:t>
                  </w:r>
                </w:p>
              </w:tc>
              <w:tc>
                <w:tcPr>
                  <w:tcW w:w="1494" w:type="pct"/>
                  <w:noWrap w:val="0"/>
                  <w:vAlign w:val="center"/>
                </w:tcPr>
                <w:p w14:paraId="0076915F">
                  <w:pPr>
                    <w:widowControl/>
                    <w:rPr>
                      <w:rFonts w:hint="eastAsia" w:eastAsia="宋体"/>
                      <w:color w:val="000000"/>
                      <w:szCs w:val="21"/>
                      <w:u w:val="none"/>
                      <w:lang w:val="en-US" w:eastAsia="zh-CN" w:bidi="ar"/>
                    </w:rPr>
                  </w:pPr>
                  <w:r>
                    <w:rPr>
                      <w:rFonts w:hint="eastAsia"/>
                      <w:color w:val="000000"/>
                      <w:szCs w:val="21"/>
                      <w:u w:val="none"/>
                      <w:lang w:val="en-US" w:eastAsia="zh-CN" w:bidi="ar"/>
                    </w:rPr>
                    <w:t>本项目采用二级活性炭吸附设施处理有机废气，以蜂窝状</w:t>
                  </w:r>
                  <w:r>
                    <w:rPr>
                      <w:rFonts w:hint="eastAsia" w:hAnsi="宋体"/>
                      <w:snapToGrid w:val="0"/>
                      <w:color w:val="000000"/>
                      <w:kern w:val="0"/>
                      <w:szCs w:val="21"/>
                      <w:u w:val="none"/>
                    </w:rPr>
                    <w:t>活性炭作为吸附剂，碘值不低于</w:t>
                  </w:r>
                  <w:r>
                    <w:rPr>
                      <w:rFonts w:hint="eastAsia" w:hAnsi="宋体"/>
                      <w:snapToGrid w:val="0"/>
                      <w:color w:val="000000"/>
                      <w:kern w:val="0"/>
                      <w:szCs w:val="21"/>
                      <w:u w:val="none"/>
                      <w:lang w:val="en-US" w:eastAsia="zh-CN"/>
                    </w:rPr>
                    <w:t>65</w:t>
                  </w:r>
                  <w:r>
                    <w:rPr>
                      <w:rFonts w:hint="eastAsia" w:hAnsi="宋体"/>
                      <w:snapToGrid w:val="0"/>
                      <w:color w:val="000000"/>
                      <w:kern w:val="0"/>
                      <w:szCs w:val="21"/>
                      <w:u w:val="none"/>
                    </w:rPr>
                    <w:t>0mg</w:t>
                  </w:r>
                  <w:r>
                    <w:rPr>
                      <w:rFonts w:hint="eastAsia" w:hAnsi="宋体"/>
                      <w:snapToGrid w:val="0"/>
                      <w:color w:val="000000"/>
                      <w:kern w:val="0"/>
                      <w:szCs w:val="21"/>
                      <w:u w:val="none"/>
                      <w:lang w:val="en-US" w:eastAsia="zh-CN"/>
                    </w:rPr>
                    <w:t>/g</w:t>
                  </w:r>
                  <w:r>
                    <w:rPr>
                      <w:rFonts w:hint="eastAsia" w:hAnsi="宋体"/>
                      <w:snapToGrid w:val="0"/>
                      <w:color w:val="000000"/>
                      <w:kern w:val="0"/>
                      <w:szCs w:val="21"/>
                      <w:u w:val="none"/>
                      <w:lang w:eastAsia="zh-CN"/>
                    </w:rPr>
                    <w:t>，</w:t>
                  </w:r>
                  <w:r>
                    <w:rPr>
                      <w:rFonts w:hint="eastAsia" w:hAnsi="宋体"/>
                      <w:snapToGrid w:val="0"/>
                      <w:color w:val="000000"/>
                      <w:kern w:val="0"/>
                      <w:szCs w:val="21"/>
                      <w:u w:val="none"/>
                      <w:lang w:val="en-US" w:eastAsia="zh-CN"/>
                    </w:rPr>
                    <w:t>活性炭</w:t>
                  </w:r>
                  <w:r>
                    <w:rPr>
                      <w:rFonts w:hint="eastAsia"/>
                      <w:color w:val="000000"/>
                      <w:szCs w:val="21"/>
                      <w:u w:val="none"/>
                      <w:lang w:val="en-US" w:eastAsia="zh-CN" w:bidi="ar"/>
                    </w:rPr>
                    <w:t>每6个月更换一次。废活性炭属于危险废物，经危废暂存间收集后委托有资质的单位进行处置</w:t>
                  </w:r>
                  <w:r>
                    <w:rPr>
                      <w:rFonts w:hint="default"/>
                      <w:color w:val="000000"/>
                      <w:u w:val="none"/>
                      <w:lang w:val="en-US" w:eastAsia="zh-CN"/>
                    </w:rPr>
                    <w:t>。</w:t>
                  </w:r>
                </w:p>
              </w:tc>
              <w:tc>
                <w:tcPr>
                  <w:tcW w:w="481" w:type="pct"/>
                  <w:noWrap w:val="0"/>
                  <w:vAlign w:val="center"/>
                </w:tcPr>
                <w:p w14:paraId="472DDA93">
                  <w:pPr>
                    <w:widowControl/>
                    <w:jc w:val="center"/>
                    <w:rPr>
                      <w:rFonts w:hint="eastAsia" w:eastAsia="宋体"/>
                      <w:color w:val="000000"/>
                      <w:szCs w:val="21"/>
                      <w:u w:val="none"/>
                      <w:lang w:val="en-US" w:eastAsia="zh-CN" w:bidi="ar"/>
                    </w:rPr>
                  </w:pPr>
                  <w:r>
                    <w:rPr>
                      <w:rFonts w:hint="eastAsia"/>
                      <w:color w:val="000000"/>
                      <w:szCs w:val="21"/>
                      <w:u w:val="none"/>
                      <w:lang w:val="en-US" w:eastAsia="zh-CN" w:bidi="ar"/>
                    </w:rPr>
                    <w:t>相符</w:t>
                  </w:r>
                </w:p>
              </w:tc>
            </w:tr>
          </w:tbl>
          <w:p w14:paraId="5E5328C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00"/>
                <w:sz w:val="24"/>
                <w:u w:val="none"/>
              </w:rPr>
            </w:pPr>
            <w:r>
              <w:rPr>
                <w:rFonts w:hint="eastAsia"/>
                <w:color w:val="000000"/>
                <w:sz w:val="24"/>
                <w:u w:val="none"/>
              </w:rPr>
              <w:t>由上表分析可知，本项目建设符合《河南省生态环境厅关于印发河南省管低效失效大气污染治理设施排查整治实施方案的通知》（豫环文〔2024〕132号）中相关要求。</w:t>
            </w:r>
          </w:p>
          <w:p w14:paraId="02C4C93B">
            <w:pPr>
              <w:spacing w:line="360" w:lineRule="auto"/>
              <w:rPr>
                <w:rFonts w:hint="eastAsia"/>
                <w:b/>
                <w:color w:val="000000"/>
                <w:sz w:val="24"/>
                <w:szCs w:val="24"/>
              </w:rPr>
            </w:pPr>
            <w:r>
              <w:rPr>
                <w:rFonts w:hint="eastAsia"/>
                <w:b/>
                <w:color w:val="000000"/>
                <w:sz w:val="24"/>
                <w:szCs w:val="24"/>
              </w:rPr>
              <w:t>1</w:t>
            </w:r>
            <w:r>
              <w:rPr>
                <w:rFonts w:hint="eastAsia"/>
                <w:b/>
                <w:color w:val="000000"/>
                <w:sz w:val="24"/>
                <w:szCs w:val="24"/>
                <w:lang w:val="en-US" w:eastAsia="zh-CN"/>
              </w:rPr>
              <w:t>0</w:t>
            </w:r>
            <w:r>
              <w:rPr>
                <w:rFonts w:hint="eastAsia"/>
                <w:b/>
                <w:color w:val="000000"/>
                <w:sz w:val="24"/>
                <w:szCs w:val="24"/>
              </w:rPr>
              <w:t>.文物保护规划</w:t>
            </w:r>
          </w:p>
          <w:p w14:paraId="54807122">
            <w:pPr>
              <w:spacing w:line="360" w:lineRule="auto"/>
              <w:ind w:firstLine="480" w:firstLineChars="200"/>
              <w:rPr>
                <w:rFonts w:hint="eastAsia"/>
                <w:color w:val="000000"/>
                <w:kern w:val="0"/>
                <w:sz w:val="24"/>
                <w:lang w:bidi="en-US"/>
              </w:rPr>
            </w:pPr>
            <w:r>
              <w:rPr>
                <w:rFonts w:hint="eastAsia"/>
                <w:color w:val="000000"/>
                <w:kern w:val="0"/>
                <w:sz w:val="24"/>
                <w:lang w:bidi="en-US"/>
              </w:rPr>
              <w:t>本项目所在区域涉及的主要文物保护区划为邙山陵墓群东段的保护区及建设控制地带，具体保护范围及保护措施如下：</w:t>
            </w:r>
          </w:p>
          <w:p w14:paraId="228E978B">
            <w:pPr>
              <w:spacing w:line="360" w:lineRule="auto"/>
              <w:ind w:firstLine="480" w:firstLineChars="200"/>
              <w:rPr>
                <w:rFonts w:hint="eastAsia"/>
                <w:color w:val="000000"/>
                <w:kern w:val="0"/>
                <w:sz w:val="24"/>
                <w:lang w:bidi="en-US"/>
              </w:rPr>
            </w:pPr>
            <w:r>
              <w:rPr>
                <w:rFonts w:hint="eastAsia"/>
                <w:color w:val="000000"/>
                <w:kern w:val="0"/>
                <w:sz w:val="24"/>
                <w:lang w:bidi="en-US"/>
              </w:rPr>
              <w:t>邙山陵墓群保护区（东段）：偃师区境内，东汉、曹魏、西晋陵区。范围为：北界首阳山一线；西界偃师区首阳山镇寨后村、保庄村至偃师区首阳山镇义井村小湾自然村；东界首阳山主峰至偃师区城关镇塔庄村；南界偃师区首阳山镇义井村小湾自然村至城关镇塔庄村之间的洛河北堤。</w:t>
            </w:r>
          </w:p>
          <w:p w14:paraId="41A260FF">
            <w:pPr>
              <w:spacing w:line="360" w:lineRule="auto"/>
              <w:ind w:firstLine="480" w:firstLineChars="200"/>
              <w:rPr>
                <w:rFonts w:hint="eastAsia"/>
                <w:color w:val="000000"/>
                <w:kern w:val="0"/>
                <w:sz w:val="24"/>
                <w:lang w:bidi="en-US"/>
              </w:rPr>
            </w:pPr>
            <w:r>
              <w:rPr>
                <w:rFonts w:hint="eastAsia"/>
                <w:color w:val="000000"/>
                <w:kern w:val="0"/>
                <w:sz w:val="24"/>
                <w:lang w:bidi="en-US"/>
              </w:rPr>
              <w:t>邙山陵墓群建设控制地带（东段）：偃师区境内，东汉、曹魏、西晋陵区。范围为：北界孟津县会盟镇李家庄村、小集村至偃师区邙岭乡东蔡庄村至偃师区山化乡游殿村；西界孟津县、偃师区的分界线；东界偃师区山化乡游殿村至偃师区山化乡忠义村；南界洛河河道北堤。</w:t>
            </w:r>
          </w:p>
          <w:p w14:paraId="628450F4">
            <w:pPr>
              <w:spacing w:line="360" w:lineRule="auto"/>
              <w:ind w:firstLine="480" w:firstLineChars="200"/>
              <w:rPr>
                <w:rFonts w:hint="eastAsia"/>
                <w:color w:val="000000"/>
                <w:kern w:val="0"/>
                <w:sz w:val="24"/>
                <w:lang w:bidi="en-US"/>
              </w:rPr>
            </w:pPr>
            <w:r>
              <w:rPr>
                <w:rFonts w:hint="eastAsia"/>
                <w:color w:val="000000"/>
                <w:kern w:val="0"/>
                <w:sz w:val="24"/>
                <w:lang w:bidi="en-US"/>
              </w:rPr>
              <w:t>本项目位于</w:t>
            </w:r>
            <w:r>
              <w:rPr>
                <w:rFonts w:hint="eastAsia"/>
                <w:color w:val="000000"/>
                <w:sz w:val="24"/>
                <w:szCs w:val="24"/>
              </w:rPr>
              <w:t>洛阳市</w:t>
            </w:r>
            <w:r>
              <w:rPr>
                <w:rFonts w:hint="eastAsia" w:eastAsia="宋体"/>
                <w:color w:val="000000"/>
                <w:sz w:val="24"/>
                <w:szCs w:val="24"/>
                <w:lang w:val="en-US" w:eastAsia="zh-CN"/>
              </w:rPr>
              <w:t>偃师区顾县镇安滩村</w:t>
            </w:r>
            <w:r>
              <w:rPr>
                <w:rFonts w:hint="eastAsia"/>
                <w:color w:val="000000"/>
                <w:kern w:val="0"/>
                <w:sz w:val="24"/>
                <w:lang w:bidi="en-US"/>
              </w:rPr>
              <w:t>，</w:t>
            </w:r>
            <w:r>
              <w:rPr>
                <w:rFonts w:hint="eastAsia"/>
                <w:color w:val="000000"/>
                <w:kern w:val="0"/>
                <w:sz w:val="24"/>
                <w:lang w:val="en-US" w:eastAsia="zh-CN" w:bidi="en-US"/>
              </w:rPr>
              <w:t>不在</w:t>
            </w:r>
            <w:r>
              <w:rPr>
                <w:rFonts w:hint="eastAsia"/>
                <w:color w:val="000000"/>
                <w:kern w:val="0"/>
                <w:sz w:val="24"/>
                <w:lang w:bidi="en-US"/>
              </w:rPr>
              <w:t>邙山陵墓群（东段）</w:t>
            </w:r>
            <w:r>
              <w:rPr>
                <w:rFonts w:hint="eastAsia"/>
                <w:color w:val="000000"/>
                <w:kern w:val="0"/>
                <w:sz w:val="24"/>
                <w:lang w:val="en-US" w:eastAsia="zh-CN" w:bidi="en-US"/>
              </w:rPr>
              <w:t>保护区及</w:t>
            </w:r>
            <w:r>
              <w:rPr>
                <w:rFonts w:hint="eastAsia"/>
                <w:color w:val="000000"/>
                <w:kern w:val="0"/>
                <w:sz w:val="24"/>
                <w:lang w:bidi="en-US"/>
              </w:rPr>
              <w:t>建设控制地带内，本项目</w:t>
            </w:r>
            <w:r>
              <w:rPr>
                <w:rFonts w:hint="eastAsia"/>
                <w:color w:val="000000"/>
                <w:kern w:val="0"/>
                <w:sz w:val="24"/>
                <w:lang w:val="en-US" w:eastAsia="zh-CN" w:bidi="en-US"/>
              </w:rPr>
              <w:t>不会</w:t>
            </w:r>
            <w:r>
              <w:rPr>
                <w:rFonts w:hint="eastAsia"/>
                <w:color w:val="000000"/>
                <w:kern w:val="0"/>
                <w:sz w:val="24"/>
                <w:lang w:bidi="en-US"/>
              </w:rPr>
              <w:t>破坏文物保护单位的历史风貌。本项目厂址与</w:t>
            </w:r>
            <w:r>
              <w:rPr>
                <w:rFonts w:hint="eastAsia"/>
                <w:color w:val="000000"/>
                <w:kern w:val="0"/>
                <w:sz w:val="24"/>
                <w:lang w:val="en-US" w:eastAsia="zh-CN" w:bidi="en-US"/>
              </w:rPr>
              <w:t>邙山陵墓群文物保护区规划</w:t>
            </w:r>
            <w:r>
              <w:rPr>
                <w:rFonts w:hint="eastAsia"/>
                <w:color w:val="000000"/>
                <w:kern w:val="0"/>
                <w:sz w:val="24"/>
                <w:lang w:bidi="en-US"/>
              </w:rPr>
              <w:t>的位置关系见附图</w:t>
            </w:r>
            <w:r>
              <w:rPr>
                <w:rFonts w:hint="eastAsia"/>
                <w:color w:val="000000"/>
                <w:kern w:val="0"/>
                <w:sz w:val="24"/>
                <w:lang w:val="en-US" w:eastAsia="zh-CN" w:bidi="en-US"/>
              </w:rPr>
              <w:t>7</w:t>
            </w:r>
            <w:r>
              <w:rPr>
                <w:rFonts w:hint="eastAsia"/>
                <w:color w:val="000000"/>
                <w:kern w:val="0"/>
                <w:sz w:val="24"/>
                <w:lang w:bidi="en-US"/>
              </w:rPr>
              <w:t>。</w:t>
            </w:r>
          </w:p>
          <w:p w14:paraId="0031EC19">
            <w:pPr>
              <w:spacing w:line="360" w:lineRule="auto"/>
              <w:rPr>
                <w:b/>
                <w:color w:val="000000"/>
                <w:sz w:val="24"/>
                <w:szCs w:val="24"/>
              </w:rPr>
            </w:pPr>
            <w:r>
              <w:rPr>
                <w:rFonts w:hint="eastAsia"/>
                <w:b/>
                <w:color w:val="000000"/>
                <w:sz w:val="24"/>
                <w:szCs w:val="24"/>
              </w:rPr>
              <w:t>1</w:t>
            </w:r>
            <w:r>
              <w:rPr>
                <w:rFonts w:hint="eastAsia"/>
                <w:b/>
                <w:color w:val="000000"/>
                <w:sz w:val="24"/>
                <w:szCs w:val="24"/>
                <w:lang w:val="en-US" w:eastAsia="zh-CN"/>
              </w:rPr>
              <w:t>1</w:t>
            </w:r>
            <w:r>
              <w:rPr>
                <w:rFonts w:hint="eastAsia"/>
                <w:b/>
                <w:color w:val="000000"/>
                <w:sz w:val="24"/>
                <w:szCs w:val="24"/>
              </w:rPr>
              <w:t>.</w:t>
            </w:r>
            <w:r>
              <w:rPr>
                <w:b/>
                <w:color w:val="000000"/>
                <w:sz w:val="24"/>
                <w:szCs w:val="24"/>
              </w:rPr>
              <w:t>饮用水源地保护规划</w:t>
            </w:r>
          </w:p>
          <w:p w14:paraId="444F6347">
            <w:pPr>
              <w:spacing w:line="360" w:lineRule="auto"/>
              <w:ind w:firstLine="480" w:firstLineChars="200"/>
              <w:rPr>
                <w:rFonts w:hint="eastAsia"/>
                <w:color w:val="000000"/>
                <w:sz w:val="24"/>
                <w:szCs w:val="24"/>
              </w:rPr>
            </w:pPr>
            <w:r>
              <w:rPr>
                <w:rFonts w:hint="eastAsia"/>
                <w:color w:val="000000"/>
                <w:sz w:val="24"/>
                <w:szCs w:val="24"/>
              </w:rPr>
              <w:t>根据《河南省乡镇级集中式饮用水源保护区划（豫政办〔2016〕23号）》， 距离本项目最近的集中式饮用水水源地为</w:t>
            </w:r>
            <w:r>
              <w:rPr>
                <w:rFonts w:hint="eastAsia"/>
                <w:color w:val="000000"/>
                <w:sz w:val="24"/>
                <w:szCs w:val="24"/>
                <w:lang w:val="en-US" w:eastAsia="zh-CN"/>
              </w:rPr>
              <w:t>岳滩镇东</w:t>
            </w:r>
            <w:r>
              <w:rPr>
                <w:rFonts w:hint="eastAsia"/>
                <w:color w:val="000000"/>
                <w:sz w:val="24"/>
                <w:szCs w:val="24"/>
              </w:rPr>
              <w:t>水厂地下水饮用水源井</w:t>
            </w:r>
            <w:r>
              <w:rPr>
                <w:rFonts w:hint="eastAsia"/>
                <w:color w:val="000000"/>
                <w:sz w:val="24"/>
                <w:szCs w:val="24"/>
                <w:lang w:eastAsia="zh-CN"/>
              </w:rPr>
              <w:t>，</w:t>
            </w:r>
            <w:r>
              <w:rPr>
                <w:rFonts w:hint="eastAsia"/>
                <w:color w:val="000000"/>
                <w:sz w:val="24"/>
                <w:szCs w:val="24"/>
              </w:rPr>
              <w:t>具体保护区划分情况如下：</w:t>
            </w:r>
          </w:p>
          <w:p w14:paraId="4B9F082A">
            <w:pPr>
              <w:spacing w:line="360" w:lineRule="auto"/>
              <w:ind w:firstLine="480" w:firstLineChars="200"/>
              <w:rPr>
                <w:rFonts w:hint="eastAsia"/>
                <w:color w:val="000000"/>
                <w:sz w:val="24"/>
                <w:szCs w:val="24"/>
              </w:rPr>
            </w:pPr>
            <w:r>
              <w:rPr>
                <w:rFonts w:hint="eastAsia"/>
                <w:color w:val="000000"/>
                <w:sz w:val="24"/>
                <w:szCs w:val="24"/>
              </w:rPr>
              <w:t>岳滩镇</w:t>
            </w:r>
            <w:r>
              <w:rPr>
                <w:rFonts w:hint="eastAsia"/>
                <w:color w:val="000000"/>
                <w:sz w:val="24"/>
                <w:szCs w:val="24"/>
                <w:lang w:val="en-US" w:eastAsia="zh-CN"/>
              </w:rPr>
              <w:t>东</w:t>
            </w:r>
            <w:r>
              <w:rPr>
                <w:rFonts w:hint="eastAsia"/>
                <w:color w:val="000000"/>
                <w:sz w:val="24"/>
                <w:szCs w:val="24"/>
              </w:rPr>
              <w:t>水厂地下水井群</w:t>
            </w:r>
            <w:r>
              <w:rPr>
                <w:rFonts w:hint="eastAsia"/>
                <w:color w:val="000000"/>
                <w:sz w:val="24"/>
                <w:szCs w:val="24"/>
                <w:lang w:eastAsia="zh-CN"/>
              </w:rPr>
              <w:t>（</w:t>
            </w:r>
            <w:r>
              <w:rPr>
                <w:rFonts w:hint="eastAsia"/>
                <w:color w:val="000000"/>
                <w:sz w:val="24"/>
                <w:szCs w:val="24"/>
              </w:rPr>
              <w:t>共2眼井</w:t>
            </w:r>
            <w:r>
              <w:rPr>
                <w:rFonts w:hint="eastAsia"/>
                <w:color w:val="000000"/>
                <w:sz w:val="24"/>
                <w:szCs w:val="24"/>
                <w:lang w:eastAsia="zh-CN"/>
              </w:rPr>
              <w:t>）</w:t>
            </w:r>
            <w:r>
              <w:rPr>
                <w:rFonts w:hint="eastAsia"/>
                <w:color w:val="000000"/>
                <w:sz w:val="24"/>
                <w:szCs w:val="24"/>
              </w:rPr>
              <w:t>一级保护区范围</w:t>
            </w:r>
            <w:r>
              <w:rPr>
                <w:rFonts w:hint="eastAsia"/>
                <w:color w:val="000000"/>
                <w:sz w:val="24"/>
                <w:szCs w:val="24"/>
                <w:lang w:eastAsia="zh-CN"/>
              </w:rPr>
              <w:t>：</w:t>
            </w:r>
            <w:r>
              <w:rPr>
                <w:rFonts w:hint="eastAsia"/>
                <w:color w:val="000000"/>
                <w:sz w:val="24"/>
                <w:szCs w:val="24"/>
              </w:rPr>
              <w:t>水厂厂区及外围东200，西170，南180，北200至310国道</w:t>
            </w:r>
            <w:r>
              <w:rPr>
                <w:rFonts w:hint="eastAsia"/>
                <w:color w:val="000000"/>
                <w:sz w:val="24"/>
                <w:szCs w:val="24"/>
                <w:lang w:eastAsia="zh-CN"/>
              </w:rPr>
              <w:t>。</w:t>
            </w:r>
          </w:p>
          <w:p w14:paraId="19785BE3">
            <w:pPr>
              <w:adjustRightInd w:val="0"/>
              <w:spacing w:line="360" w:lineRule="auto"/>
              <w:ind w:firstLine="480" w:firstLineChars="200"/>
              <w:rPr>
                <w:rFonts w:hint="default" w:eastAsia="宋体"/>
                <w:color w:val="000000"/>
                <w:sz w:val="24"/>
                <w:szCs w:val="24"/>
                <w:lang w:val="en-US" w:eastAsia="zh-CN"/>
              </w:rPr>
            </w:pPr>
            <w:r>
              <w:rPr>
                <w:rFonts w:hint="eastAsia"/>
                <w:color w:val="000000"/>
                <w:sz w:val="24"/>
                <w:szCs w:val="24"/>
              </w:rPr>
              <w:t>本项目位于洛阳市</w:t>
            </w:r>
            <w:r>
              <w:rPr>
                <w:rFonts w:hint="eastAsia" w:eastAsia="宋体"/>
                <w:color w:val="000000"/>
                <w:sz w:val="24"/>
                <w:szCs w:val="24"/>
                <w:lang w:val="en-US" w:eastAsia="zh-CN"/>
              </w:rPr>
              <w:t>偃师区顾县镇安滩村</w:t>
            </w:r>
            <w:r>
              <w:rPr>
                <w:rFonts w:hint="eastAsia"/>
                <w:color w:val="000000"/>
                <w:sz w:val="24"/>
                <w:szCs w:val="24"/>
              </w:rPr>
              <w:t>，距离岳滩镇</w:t>
            </w:r>
            <w:r>
              <w:rPr>
                <w:rFonts w:hint="eastAsia"/>
                <w:color w:val="000000"/>
                <w:sz w:val="24"/>
                <w:szCs w:val="24"/>
                <w:lang w:val="en-US" w:eastAsia="zh-CN"/>
              </w:rPr>
              <w:t>东</w:t>
            </w:r>
            <w:r>
              <w:rPr>
                <w:rFonts w:hint="eastAsia"/>
                <w:color w:val="000000"/>
                <w:sz w:val="24"/>
                <w:szCs w:val="24"/>
              </w:rPr>
              <w:t>水厂地下水井群</w:t>
            </w:r>
            <w:r>
              <w:rPr>
                <w:rFonts w:hint="eastAsia"/>
                <w:color w:val="000000"/>
                <w:sz w:val="24"/>
                <w:szCs w:val="24"/>
                <w:lang w:eastAsia="zh-CN"/>
              </w:rPr>
              <w:t>（</w:t>
            </w:r>
            <w:r>
              <w:rPr>
                <w:rFonts w:hint="eastAsia"/>
                <w:color w:val="000000"/>
                <w:sz w:val="24"/>
                <w:szCs w:val="24"/>
              </w:rPr>
              <w:t>共2眼井</w:t>
            </w:r>
            <w:r>
              <w:rPr>
                <w:rFonts w:hint="eastAsia"/>
                <w:color w:val="000000"/>
                <w:sz w:val="24"/>
                <w:szCs w:val="24"/>
                <w:lang w:eastAsia="zh-CN"/>
              </w:rPr>
              <w:t>）</w:t>
            </w:r>
            <w:r>
              <w:rPr>
                <w:rFonts w:hint="eastAsia"/>
                <w:color w:val="000000"/>
                <w:sz w:val="24"/>
                <w:szCs w:val="24"/>
              </w:rPr>
              <w:t>一级保护区</w:t>
            </w:r>
            <w:r>
              <w:rPr>
                <w:rFonts w:hint="eastAsia"/>
                <w:color w:val="000000"/>
                <w:sz w:val="24"/>
                <w:szCs w:val="24"/>
                <w:lang w:val="en-US" w:eastAsia="zh-CN"/>
              </w:rPr>
              <w:t>东边界1268m，</w:t>
            </w:r>
            <w:r>
              <w:rPr>
                <w:bCs/>
                <w:color w:val="000000"/>
                <w:sz w:val="24"/>
                <w:szCs w:val="24"/>
              </w:rPr>
              <w:t>不在水源井保护区范围内，</w:t>
            </w:r>
            <w:r>
              <w:rPr>
                <w:color w:val="000000"/>
                <w:sz w:val="24"/>
                <w:szCs w:val="24"/>
              </w:rPr>
              <w:t>符合水源保护区划要求</w:t>
            </w:r>
            <w:r>
              <w:rPr>
                <w:bCs/>
                <w:color w:val="000000"/>
                <w:sz w:val="24"/>
                <w:szCs w:val="24"/>
              </w:rPr>
              <w:t>。</w:t>
            </w:r>
            <w:r>
              <w:rPr>
                <w:rFonts w:hint="eastAsia"/>
                <w:bCs/>
                <w:color w:val="000000"/>
                <w:sz w:val="24"/>
                <w:szCs w:val="24"/>
                <w:lang w:val="en-US" w:eastAsia="zh-CN"/>
              </w:rPr>
              <w:t>本项目厂址与饮用水源保护区位置关系见附图8。</w:t>
            </w:r>
          </w:p>
          <w:p w14:paraId="37310B3E">
            <w:pPr>
              <w:autoSpaceDE w:val="0"/>
              <w:autoSpaceDN w:val="0"/>
              <w:adjustRightInd w:val="0"/>
              <w:spacing w:line="360" w:lineRule="auto"/>
              <w:ind w:firstLine="480" w:firstLineChars="200"/>
              <w:rPr>
                <w:rFonts w:hint="eastAsia"/>
                <w:color w:val="000000"/>
                <w:sz w:val="24"/>
                <w:szCs w:val="24"/>
              </w:rPr>
            </w:pPr>
          </w:p>
          <w:p w14:paraId="39C7B852">
            <w:pPr>
              <w:autoSpaceDE w:val="0"/>
              <w:autoSpaceDN w:val="0"/>
              <w:adjustRightInd w:val="0"/>
              <w:spacing w:line="360" w:lineRule="auto"/>
              <w:ind w:firstLine="480" w:firstLineChars="200"/>
              <w:rPr>
                <w:rFonts w:hint="eastAsia"/>
                <w:color w:val="000000"/>
                <w:sz w:val="24"/>
                <w:szCs w:val="24"/>
              </w:rPr>
            </w:pPr>
          </w:p>
          <w:p w14:paraId="723C3312">
            <w:pPr>
              <w:autoSpaceDE w:val="0"/>
              <w:autoSpaceDN w:val="0"/>
              <w:adjustRightInd w:val="0"/>
              <w:spacing w:line="360" w:lineRule="auto"/>
              <w:ind w:firstLine="480" w:firstLineChars="200"/>
              <w:rPr>
                <w:rFonts w:hint="eastAsia"/>
                <w:color w:val="000000"/>
                <w:sz w:val="24"/>
                <w:szCs w:val="24"/>
              </w:rPr>
            </w:pPr>
          </w:p>
          <w:p w14:paraId="4BF93F17">
            <w:pPr>
              <w:autoSpaceDE w:val="0"/>
              <w:autoSpaceDN w:val="0"/>
              <w:adjustRightInd w:val="0"/>
              <w:spacing w:line="360" w:lineRule="auto"/>
              <w:ind w:firstLine="480" w:firstLineChars="200"/>
              <w:rPr>
                <w:rFonts w:hint="eastAsia"/>
                <w:color w:val="000000"/>
                <w:sz w:val="24"/>
                <w:szCs w:val="24"/>
              </w:rPr>
            </w:pPr>
          </w:p>
          <w:p w14:paraId="3C377D69">
            <w:pPr>
              <w:autoSpaceDE w:val="0"/>
              <w:autoSpaceDN w:val="0"/>
              <w:adjustRightInd w:val="0"/>
              <w:spacing w:line="360" w:lineRule="auto"/>
              <w:ind w:firstLine="480" w:firstLineChars="200"/>
              <w:rPr>
                <w:rFonts w:hint="eastAsia"/>
                <w:color w:val="000000"/>
                <w:sz w:val="24"/>
                <w:szCs w:val="24"/>
              </w:rPr>
            </w:pPr>
          </w:p>
          <w:p w14:paraId="06BED8B0">
            <w:pPr>
              <w:autoSpaceDE w:val="0"/>
              <w:autoSpaceDN w:val="0"/>
              <w:adjustRightInd w:val="0"/>
              <w:spacing w:line="360" w:lineRule="auto"/>
              <w:ind w:firstLine="480" w:firstLineChars="200"/>
              <w:rPr>
                <w:rFonts w:hint="eastAsia"/>
                <w:color w:val="000000"/>
                <w:sz w:val="24"/>
                <w:szCs w:val="24"/>
              </w:rPr>
            </w:pPr>
          </w:p>
          <w:p w14:paraId="29FDA4EF">
            <w:pPr>
              <w:autoSpaceDE w:val="0"/>
              <w:autoSpaceDN w:val="0"/>
              <w:adjustRightInd w:val="0"/>
              <w:spacing w:line="360" w:lineRule="auto"/>
              <w:ind w:firstLine="480" w:firstLineChars="200"/>
              <w:rPr>
                <w:rFonts w:hint="eastAsia"/>
                <w:color w:val="000000"/>
                <w:sz w:val="24"/>
                <w:szCs w:val="24"/>
              </w:rPr>
            </w:pPr>
          </w:p>
          <w:p w14:paraId="2545D4A7">
            <w:pPr>
              <w:autoSpaceDE w:val="0"/>
              <w:autoSpaceDN w:val="0"/>
              <w:adjustRightInd w:val="0"/>
              <w:spacing w:line="360" w:lineRule="auto"/>
              <w:ind w:firstLine="480" w:firstLineChars="200"/>
              <w:rPr>
                <w:rFonts w:hint="eastAsia"/>
                <w:color w:val="000000"/>
                <w:sz w:val="24"/>
                <w:szCs w:val="24"/>
              </w:rPr>
            </w:pPr>
          </w:p>
          <w:p w14:paraId="34751D26">
            <w:pPr>
              <w:autoSpaceDE w:val="0"/>
              <w:autoSpaceDN w:val="0"/>
              <w:adjustRightInd w:val="0"/>
              <w:spacing w:line="360" w:lineRule="auto"/>
              <w:ind w:firstLine="480" w:firstLineChars="200"/>
              <w:rPr>
                <w:rFonts w:hint="eastAsia"/>
                <w:color w:val="000000"/>
                <w:sz w:val="24"/>
                <w:szCs w:val="24"/>
              </w:rPr>
            </w:pPr>
          </w:p>
          <w:p w14:paraId="78E14118">
            <w:pPr>
              <w:autoSpaceDE w:val="0"/>
              <w:autoSpaceDN w:val="0"/>
              <w:adjustRightInd w:val="0"/>
              <w:spacing w:line="360" w:lineRule="auto"/>
              <w:ind w:firstLine="480" w:firstLineChars="200"/>
              <w:rPr>
                <w:rFonts w:hint="eastAsia"/>
                <w:color w:val="000000"/>
                <w:sz w:val="24"/>
                <w:szCs w:val="24"/>
              </w:rPr>
            </w:pPr>
          </w:p>
          <w:p w14:paraId="7CA42DC4">
            <w:pPr>
              <w:autoSpaceDE w:val="0"/>
              <w:autoSpaceDN w:val="0"/>
              <w:adjustRightInd w:val="0"/>
              <w:spacing w:line="360" w:lineRule="auto"/>
              <w:ind w:firstLine="480" w:firstLineChars="200"/>
              <w:rPr>
                <w:rFonts w:hint="eastAsia"/>
                <w:color w:val="000000"/>
                <w:sz w:val="24"/>
                <w:szCs w:val="24"/>
              </w:rPr>
            </w:pPr>
          </w:p>
          <w:p w14:paraId="34FF4077">
            <w:pPr>
              <w:autoSpaceDE w:val="0"/>
              <w:autoSpaceDN w:val="0"/>
              <w:adjustRightInd w:val="0"/>
              <w:spacing w:line="360" w:lineRule="auto"/>
              <w:ind w:firstLine="480" w:firstLineChars="200"/>
              <w:rPr>
                <w:rFonts w:hint="eastAsia"/>
                <w:color w:val="000000"/>
                <w:sz w:val="24"/>
                <w:szCs w:val="24"/>
              </w:rPr>
            </w:pPr>
          </w:p>
          <w:p w14:paraId="357E77B6">
            <w:pPr>
              <w:autoSpaceDE w:val="0"/>
              <w:autoSpaceDN w:val="0"/>
              <w:adjustRightInd w:val="0"/>
              <w:spacing w:line="360" w:lineRule="auto"/>
              <w:ind w:firstLine="480" w:firstLineChars="200"/>
              <w:rPr>
                <w:rFonts w:hint="eastAsia"/>
                <w:color w:val="000000"/>
                <w:sz w:val="24"/>
                <w:szCs w:val="24"/>
              </w:rPr>
            </w:pPr>
          </w:p>
          <w:p w14:paraId="5137C948">
            <w:pPr>
              <w:autoSpaceDE w:val="0"/>
              <w:autoSpaceDN w:val="0"/>
              <w:adjustRightInd w:val="0"/>
              <w:spacing w:line="360" w:lineRule="auto"/>
              <w:ind w:firstLine="480" w:firstLineChars="200"/>
              <w:rPr>
                <w:rFonts w:hint="eastAsia"/>
                <w:color w:val="000000"/>
                <w:sz w:val="24"/>
                <w:szCs w:val="24"/>
              </w:rPr>
            </w:pPr>
          </w:p>
          <w:p w14:paraId="29C8DFAC">
            <w:pPr>
              <w:rPr>
                <w:rFonts w:hint="eastAsia"/>
                <w:color w:val="000000"/>
              </w:rPr>
            </w:pPr>
          </w:p>
          <w:p w14:paraId="62C3321A">
            <w:pPr>
              <w:keepNext w:val="0"/>
              <w:keepLines w:val="0"/>
              <w:pageBreakBefore w:val="0"/>
              <w:widowControl w:val="0"/>
              <w:kinsoku/>
              <w:wordWrap/>
              <w:overflowPunct/>
              <w:topLinePunct w:val="0"/>
              <w:autoSpaceDE/>
              <w:autoSpaceDN/>
              <w:bidi w:val="0"/>
              <w:adjustRightInd/>
              <w:snapToGrid w:val="0"/>
              <w:textAlignment w:val="auto"/>
              <w:rPr>
                <w:rFonts w:hint="eastAsia"/>
                <w:color w:val="000000"/>
              </w:rPr>
            </w:pPr>
          </w:p>
        </w:tc>
      </w:tr>
    </w:tbl>
    <w:p w14:paraId="396656D0">
      <w:pPr>
        <w:snapToGrid w:val="0"/>
        <w:jc w:val="center"/>
        <w:rPr>
          <w:rFonts w:hint="eastAsia" w:ascii="黑体" w:hAnsi="黑体" w:eastAsia="黑体"/>
          <w:snapToGrid w:val="0"/>
          <w:color w:val="000000"/>
          <w:sz w:val="10"/>
          <w:szCs w:val="10"/>
        </w:rPr>
        <w:sectPr>
          <w:pgSz w:w="11906" w:h="16838"/>
          <w:pgMar w:top="1701" w:right="1531" w:bottom="1701" w:left="1531" w:header="851" w:footer="992" w:gutter="0"/>
          <w:pgBorders>
            <w:top w:val="none" w:sz="0" w:space="0"/>
            <w:left w:val="none" w:sz="0" w:space="0"/>
            <w:bottom w:val="none" w:sz="0" w:space="0"/>
            <w:right w:val="none" w:sz="0" w:space="0"/>
          </w:pgBorders>
          <w:cols w:space="720" w:num="1"/>
          <w:docGrid w:type="linesAndChars" w:linePitch="312" w:charSpace="117"/>
        </w:sectPr>
      </w:pPr>
    </w:p>
    <w:p w14:paraId="637D8585">
      <w:pPr>
        <w:snapToGrid w:val="0"/>
        <w:spacing w:after="124" w:afterLines="40"/>
        <w:jc w:val="center"/>
        <w:rPr>
          <w:rFonts w:hint="eastAsia"/>
          <w:color w:val="000000"/>
          <w:sz w:val="24"/>
          <w:szCs w:val="24"/>
        </w:rPr>
      </w:pPr>
      <w:r>
        <w:rPr>
          <w:rFonts w:hint="eastAsia" w:ascii="黑体" w:hAnsi="黑体" w:eastAsia="黑体"/>
          <w:snapToGrid w:val="0"/>
          <w:color w:val="000000"/>
          <w:sz w:val="30"/>
          <w:szCs w:val="30"/>
        </w:rPr>
        <w:t>二、建设项目工程分析</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595"/>
        <w:gridCol w:w="8419"/>
      </w:tblGrid>
      <w:tr w14:paraId="038D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362" w:type="pct"/>
            <w:noWrap w:val="0"/>
            <w:vAlign w:val="center"/>
          </w:tcPr>
          <w:p w14:paraId="63ADB658">
            <w:pPr>
              <w:jc w:val="center"/>
              <w:rPr>
                <w:rFonts w:hint="eastAsia"/>
                <w:color w:val="000000"/>
                <w:sz w:val="24"/>
                <w:szCs w:val="24"/>
              </w:rPr>
            </w:pPr>
            <w:r>
              <w:rPr>
                <w:rFonts w:hint="eastAsia" w:cs="宋体"/>
                <w:color w:val="000000"/>
                <w:sz w:val="24"/>
                <w:szCs w:val="24"/>
              </w:rPr>
              <w:t>建设内容</w:t>
            </w:r>
          </w:p>
        </w:tc>
        <w:tc>
          <w:tcPr>
            <w:tcW w:w="4637" w:type="pct"/>
            <w:noWrap w:val="0"/>
            <w:vAlign w:val="top"/>
          </w:tcPr>
          <w:p w14:paraId="575C0B71">
            <w:pPr>
              <w:spacing w:line="360" w:lineRule="auto"/>
              <w:rPr>
                <w:rFonts w:hint="eastAsia"/>
                <w:b/>
                <w:color w:val="000000"/>
                <w:sz w:val="24"/>
                <w:szCs w:val="24"/>
              </w:rPr>
            </w:pPr>
            <w:r>
              <w:rPr>
                <w:rFonts w:hint="eastAsia"/>
                <w:b/>
                <w:color w:val="000000"/>
                <w:sz w:val="24"/>
                <w:szCs w:val="24"/>
              </w:rPr>
              <w:t>1.项目由来</w:t>
            </w:r>
          </w:p>
          <w:p w14:paraId="44340D5E">
            <w:pPr>
              <w:spacing w:line="360" w:lineRule="auto"/>
              <w:ind w:firstLine="480" w:firstLineChars="200"/>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洛阳豫容鑫鞋业有限公司成立于2021年9月，位于法人代表马起飞，主要从事鞋料和鞋底的制造、销售。因经营需要，洛阳豫容鑫鞋业有限公司拟利用偃师市中原制桶有限公司现有车间（地号08-07-221），对原有偃师市中原制桶有限公司年产90万只钢桶项目（豫洛偃师制造〔2016〕16848）进行改建，在现有生产车间内新增注塑机、搅拌锅等设备，通过注塑工艺生产塑料制品，建设改建完成后可年产50万双PVC鞋底及300吨PVC颗粒料。原有偃师市中原制桶有限公司年产90万只钢桶项目</w:t>
            </w:r>
            <w:r>
              <w:rPr>
                <w:rFonts w:hint="eastAsia"/>
                <w:bCs/>
                <w:color w:val="000000"/>
                <w:sz w:val="24"/>
                <w:szCs w:val="24"/>
                <w:u w:val="none"/>
                <w:lang w:val="en-US" w:eastAsia="zh-CN"/>
              </w:rPr>
              <w:t>已于2023年全部拆除</w:t>
            </w:r>
            <w:r>
              <w:rPr>
                <w:rFonts w:hint="eastAsia" w:cs="Times New Roman"/>
                <w:color w:val="000000"/>
                <w:sz w:val="24"/>
                <w:szCs w:val="24"/>
                <w:lang w:val="en-US" w:eastAsia="zh-CN"/>
              </w:rPr>
              <w:t>，不再对原有项目进行分析，</w:t>
            </w:r>
          </w:p>
          <w:p w14:paraId="49353EB2">
            <w:pPr>
              <w:spacing w:line="360" w:lineRule="auto"/>
              <w:ind w:firstLine="480" w:firstLineChars="200"/>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本项目位于洛阳市偃师区顾县镇安滩村，租赁偃师市中原制桶有限公司车间进行建设，车间占地面积1500m</w:t>
            </w:r>
            <w:r>
              <w:rPr>
                <w:rFonts w:hint="eastAsia" w:ascii="Times New Roman" w:hAnsi="Times New Roman" w:eastAsia="宋体" w:cs="Times New Roman"/>
                <w:color w:val="000000"/>
                <w:sz w:val="24"/>
                <w:szCs w:val="24"/>
                <w:vertAlign w:val="superscript"/>
                <w:lang w:val="en-US" w:eastAsia="zh-CN"/>
              </w:rPr>
              <w:t>2</w:t>
            </w:r>
            <w:r>
              <w:rPr>
                <w:rFonts w:hint="eastAsia" w:ascii="Times New Roman" w:hAnsi="Times New Roman" w:eastAsia="宋体" w:cs="Times New Roman"/>
                <w:color w:val="000000"/>
                <w:sz w:val="24"/>
                <w:szCs w:val="24"/>
                <w:lang w:val="en-US" w:eastAsia="zh-CN"/>
              </w:rPr>
              <w:t>，项目所在车间中心经度112度46分43.932秒，纬度34度40分41.154秒，根据偃集用（2010）第2010074号土地使用证（见附件4），项目所在厂区土地性质为工业用地。项目所在厂区北侧为空地，西侧为闲置厂房，东侧为郑州宇光符合材料有限公司，南侧为道路。距离厂区较近的居民点为南侧136m处的安滩村和东侧310m东地村。项目地理位置见附图1，项目周边环境示意图见附图2。</w:t>
            </w:r>
          </w:p>
          <w:p w14:paraId="3893EF91">
            <w:pPr>
              <w:spacing w:line="360" w:lineRule="auto"/>
              <w:ind w:firstLine="480" w:firstLineChars="200"/>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根据《中华人民共和国环境影响评价法》国务院令第682号《建设项目环境保护管理条例》及生态环境部令第16号《建设项目环境影响评价分类管理名录（2021年版）》的有关规定和要求，本次改建项目属于二十六、橡胶和塑料制品业—53塑料制品业292中其他和十六、皮革、毛皮、羽毛及其他制品和制鞋业—32制鞋业195中有塑料注塑工艺的，应编制环境影响报告表。</w:t>
            </w:r>
          </w:p>
          <w:p w14:paraId="49A04D05">
            <w:pPr>
              <w:pStyle w:val="47"/>
              <w:keepNext w:val="0"/>
              <w:keepLines w:val="0"/>
              <w:suppressLineNumbers w:val="0"/>
              <w:spacing w:before="93" w:beforeAutospacing="0" w:after="0" w:afterAutospacing="0"/>
              <w:ind w:right="0"/>
              <w:rPr>
                <w:rFonts w:hint="eastAsia" w:cs="Times New Roman"/>
                <w:color w:val="000000"/>
                <w:sz w:val="24"/>
                <w:szCs w:val="24"/>
              </w:rPr>
            </w:pPr>
            <w:r>
              <w:rPr>
                <w:rFonts w:hint="default" w:cs="Times New Roman"/>
                <w:color w:val="000000"/>
                <w:sz w:val="24"/>
                <w:szCs w:val="24"/>
              </w:rPr>
              <w:t>表</w:t>
            </w:r>
            <w:r>
              <w:rPr>
                <w:rFonts w:hint="eastAsia" w:cs="Times New Roman"/>
                <w:color w:val="000000"/>
                <w:sz w:val="24"/>
                <w:szCs w:val="24"/>
                <w:lang w:val="en-US" w:eastAsia="zh-CN"/>
              </w:rPr>
              <w:t>16</w:t>
            </w:r>
            <w:r>
              <w:rPr>
                <w:rFonts w:hint="default" w:cs="Times New Roman"/>
                <w:color w:val="000000"/>
                <w:sz w:val="24"/>
                <w:szCs w:val="24"/>
              </w:rPr>
              <w:t xml:space="preserve">   </w:t>
            </w:r>
            <w:r>
              <w:rPr>
                <w:rFonts w:hint="eastAsia" w:cs="Times New Roman"/>
                <w:color w:val="000000"/>
                <w:sz w:val="24"/>
                <w:szCs w:val="24"/>
              </w:rPr>
              <w:t xml:space="preserve"> </w:t>
            </w:r>
            <w:r>
              <w:rPr>
                <w:rFonts w:hint="eastAsia" w:cs="Times New Roman"/>
                <w:color w:val="000000"/>
                <w:sz w:val="24"/>
                <w:szCs w:val="24"/>
                <w:lang w:val="en-US" w:eastAsia="zh-CN"/>
              </w:rPr>
              <w:t>环评类别判定</w:t>
            </w:r>
            <w:r>
              <w:rPr>
                <w:rFonts w:hint="eastAsia" w:cs="Times New Roman"/>
                <w:color w:val="000000"/>
                <w:sz w:val="24"/>
                <w:szCs w:val="24"/>
              </w:rPr>
              <w:t>表</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471"/>
              <w:gridCol w:w="1596"/>
              <w:gridCol w:w="3133"/>
              <w:gridCol w:w="2262"/>
              <w:gridCol w:w="774"/>
            </w:tblGrid>
            <w:tr w14:paraId="6FBC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255" w:type="pct"/>
                  <w:gridSpan w:val="2"/>
                  <w:tcBorders>
                    <w:tl2br w:val="single" w:color="auto" w:sz="4" w:space="0"/>
                  </w:tcBorders>
                  <w:noWrap w:val="0"/>
                  <w:vAlign w:val="center"/>
                </w:tcPr>
                <w:p w14:paraId="7469B648">
                  <w:pPr>
                    <w:pStyle w:val="48"/>
                    <w:keepNext w:val="0"/>
                    <w:keepLines w:val="0"/>
                    <w:suppressLineNumbers w:val="0"/>
                    <w:spacing w:before="0" w:beforeAutospacing="0" w:after="0" w:afterAutospacing="0"/>
                    <w:ind w:left="0" w:right="0"/>
                    <w:jc w:val="right"/>
                    <w:rPr>
                      <w:rFonts w:hint="eastAsia" w:cs="Times New Roman"/>
                      <w:color w:val="000000"/>
                    </w:rPr>
                  </w:pPr>
                  <w:r>
                    <w:rPr>
                      <w:rFonts w:hint="eastAsia" w:cs="Times New Roman"/>
                      <w:color w:val="000000"/>
                    </w:rPr>
                    <w:t>环评类别</w:t>
                  </w:r>
                </w:p>
                <w:p w14:paraId="52483BB0">
                  <w:pPr>
                    <w:pStyle w:val="48"/>
                    <w:keepNext w:val="0"/>
                    <w:keepLines w:val="0"/>
                    <w:suppressLineNumbers w:val="0"/>
                    <w:spacing w:before="0" w:beforeAutospacing="0" w:after="0" w:afterAutospacing="0"/>
                    <w:ind w:left="0" w:right="0"/>
                    <w:jc w:val="left"/>
                    <w:rPr>
                      <w:rFonts w:hint="eastAsia" w:cs="Times New Roman"/>
                      <w:color w:val="000000"/>
                    </w:rPr>
                  </w:pPr>
                  <w:r>
                    <w:rPr>
                      <w:rFonts w:hint="eastAsia" w:cs="Times New Roman"/>
                      <w:color w:val="000000"/>
                    </w:rPr>
                    <w:t>项目类别</w:t>
                  </w:r>
                </w:p>
              </w:tc>
              <w:tc>
                <w:tcPr>
                  <w:tcW w:w="1902" w:type="pct"/>
                  <w:noWrap w:val="0"/>
                  <w:vAlign w:val="center"/>
                </w:tcPr>
                <w:p w14:paraId="4627A3E9">
                  <w:pPr>
                    <w:pStyle w:val="48"/>
                    <w:keepNext w:val="0"/>
                    <w:keepLines w:val="0"/>
                    <w:suppressLineNumbers w:val="0"/>
                    <w:spacing w:before="0" w:beforeAutospacing="0" w:after="0" w:afterAutospacing="0"/>
                    <w:ind w:left="0" w:right="0"/>
                    <w:rPr>
                      <w:rFonts w:hint="eastAsia" w:cs="Times New Roman"/>
                      <w:color w:val="000000"/>
                    </w:rPr>
                  </w:pPr>
                  <w:r>
                    <w:rPr>
                      <w:rFonts w:hint="eastAsia" w:cs="Times New Roman"/>
                      <w:color w:val="000000"/>
                    </w:rPr>
                    <w:t>报告书</w:t>
                  </w:r>
                </w:p>
              </w:tc>
              <w:tc>
                <w:tcPr>
                  <w:tcW w:w="1373" w:type="pct"/>
                  <w:noWrap w:val="0"/>
                  <w:vAlign w:val="center"/>
                </w:tcPr>
                <w:p w14:paraId="466A82AA">
                  <w:pPr>
                    <w:pStyle w:val="48"/>
                    <w:keepNext w:val="0"/>
                    <w:keepLines w:val="0"/>
                    <w:suppressLineNumbers w:val="0"/>
                    <w:spacing w:before="0" w:beforeAutospacing="0" w:after="0" w:afterAutospacing="0"/>
                    <w:ind w:left="0" w:right="0"/>
                    <w:rPr>
                      <w:rFonts w:hint="eastAsia" w:cs="Times New Roman"/>
                      <w:color w:val="000000"/>
                    </w:rPr>
                  </w:pPr>
                  <w:r>
                    <w:rPr>
                      <w:rFonts w:hint="eastAsia" w:cs="Times New Roman"/>
                      <w:color w:val="000000"/>
                    </w:rPr>
                    <w:t>报告表</w:t>
                  </w:r>
                </w:p>
              </w:tc>
              <w:tc>
                <w:tcPr>
                  <w:tcW w:w="468" w:type="pct"/>
                  <w:noWrap w:val="0"/>
                  <w:vAlign w:val="center"/>
                </w:tcPr>
                <w:p w14:paraId="5732990C">
                  <w:pPr>
                    <w:pStyle w:val="48"/>
                    <w:keepNext w:val="0"/>
                    <w:keepLines w:val="0"/>
                    <w:suppressLineNumbers w:val="0"/>
                    <w:spacing w:before="0" w:beforeAutospacing="0" w:after="0" w:afterAutospacing="0"/>
                    <w:ind w:left="0" w:right="0"/>
                    <w:rPr>
                      <w:rFonts w:hint="eastAsia" w:cs="Times New Roman"/>
                      <w:color w:val="000000"/>
                    </w:rPr>
                  </w:pPr>
                  <w:r>
                    <w:rPr>
                      <w:rFonts w:hint="eastAsia" w:cs="Times New Roman"/>
                      <w:color w:val="000000"/>
                    </w:rPr>
                    <w:t>登记表</w:t>
                  </w:r>
                </w:p>
              </w:tc>
            </w:tr>
            <w:tr w14:paraId="7BDF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000" w:type="pct"/>
                  <w:gridSpan w:val="5"/>
                  <w:noWrap w:val="0"/>
                  <w:vAlign w:val="center"/>
                </w:tcPr>
                <w:p w14:paraId="74AB37A4">
                  <w:pPr>
                    <w:pStyle w:val="48"/>
                    <w:keepNext w:val="0"/>
                    <w:keepLines w:val="0"/>
                    <w:suppressLineNumbers w:val="0"/>
                    <w:spacing w:before="0" w:beforeAutospacing="0" w:after="0" w:afterAutospacing="0"/>
                    <w:ind w:left="0" w:right="0"/>
                    <w:jc w:val="both"/>
                    <w:rPr>
                      <w:rFonts w:hint="default" w:eastAsia="宋体" w:cs="Times New Roman"/>
                      <w:color w:val="000000"/>
                      <w:lang w:val="en-US" w:eastAsia="zh-CN"/>
                    </w:rPr>
                  </w:pPr>
                  <w:r>
                    <w:rPr>
                      <w:rFonts w:hint="default" w:eastAsia="宋体" w:cs="Times New Roman"/>
                      <w:color w:val="000000"/>
                      <w:lang w:val="en-US" w:eastAsia="zh-CN"/>
                    </w:rPr>
                    <w:t>二十六、橡胶和塑料制品业29</w:t>
                  </w:r>
                </w:p>
              </w:tc>
            </w:tr>
            <w:tr w14:paraId="5035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86" w:type="pct"/>
                  <w:shd w:val="clear" w:color="auto" w:fill="auto"/>
                  <w:noWrap w:val="0"/>
                  <w:vAlign w:val="center"/>
                </w:tcPr>
                <w:p w14:paraId="0DC76CA2">
                  <w:pPr>
                    <w:pStyle w:val="48"/>
                    <w:keepNext w:val="0"/>
                    <w:keepLines w:val="0"/>
                    <w:suppressLineNumbers w:val="0"/>
                    <w:spacing w:before="0" w:beforeAutospacing="0" w:after="0" w:afterAutospacing="0"/>
                    <w:ind w:left="0" w:right="0"/>
                    <w:rPr>
                      <w:rFonts w:hint="default" w:eastAsia="宋体" w:cs="Times New Roman"/>
                      <w:color w:val="000000"/>
                      <w:lang w:val="en-US" w:eastAsia="zh-CN"/>
                    </w:rPr>
                  </w:pPr>
                  <w:r>
                    <w:rPr>
                      <w:rFonts w:hint="eastAsia" w:eastAsia="宋体" w:cs="Times New Roman"/>
                      <w:color w:val="000000"/>
                      <w:lang w:val="en-US" w:eastAsia="zh-CN"/>
                    </w:rPr>
                    <w:t>53</w:t>
                  </w:r>
                </w:p>
              </w:tc>
              <w:tc>
                <w:tcPr>
                  <w:tcW w:w="969" w:type="pct"/>
                  <w:shd w:val="clear" w:color="auto" w:fill="auto"/>
                  <w:noWrap w:val="0"/>
                  <w:vAlign w:val="center"/>
                </w:tcPr>
                <w:p w14:paraId="3E549F88">
                  <w:pPr>
                    <w:pStyle w:val="48"/>
                    <w:keepNext w:val="0"/>
                    <w:keepLines w:val="0"/>
                    <w:suppressLineNumbers w:val="0"/>
                    <w:spacing w:before="0" w:beforeAutospacing="0" w:after="0" w:afterAutospacing="0"/>
                    <w:ind w:left="0" w:right="0"/>
                    <w:jc w:val="both"/>
                    <w:rPr>
                      <w:rFonts w:hint="default" w:cs="Times New Roman"/>
                      <w:color w:val="000000"/>
                      <w:lang w:val="en-US"/>
                    </w:rPr>
                  </w:pPr>
                  <w:r>
                    <w:rPr>
                      <w:rFonts w:hint="default" w:cs="Times New Roman"/>
                      <w:color w:val="000000"/>
                      <w:lang w:val="en-US"/>
                    </w:rPr>
                    <w:t>塑料制品业292</w:t>
                  </w:r>
                </w:p>
              </w:tc>
              <w:tc>
                <w:tcPr>
                  <w:tcW w:w="1902" w:type="pct"/>
                  <w:shd w:val="clear" w:color="auto" w:fill="auto"/>
                  <w:noWrap w:val="0"/>
                  <w:vAlign w:val="center"/>
                </w:tcPr>
                <w:p w14:paraId="5F98771D">
                  <w:pPr>
                    <w:pStyle w:val="48"/>
                    <w:keepNext w:val="0"/>
                    <w:keepLines w:val="0"/>
                    <w:suppressLineNumbers w:val="0"/>
                    <w:spacing w:before="0" w:beforeAutospacing="0" w:after="0" w:afterAutospacing="0"/>
                    <w:ind w:left="0" w:right="0"/>
                    <w:rPr>
                      <w:rFonts w:hint="default" w:eastAsia="宋体" w:cs="Times New Roman"/>
                      <w:color w:val="000000"/>
                      <w:lang w:val="en-US" w:eastAsia="zh-CN"/>
                    </w:rPr>
                  </w:pPr>
                  <w:r>
                    <w:rPr>
                      <w:rFonts w:hint="eastAsia" w:cs="Times New Roman"/>
                      <w:color w:val="000000"/>
                      <w:lang w:val="en-US" w:eastAsia="zh-CN"/>
                    </w:rPr>
                    <w:t>以再生塑料为原料生产的；有电镀工艺的；年用溶剂型胶粘剂10吨及以上的；年用溶剂型涂料（含稀释剂）10吨及以上的</w:t>
                  </w:r>
                </w:p>
              </w:tc>
              <w:tc>
                <w:tcPr>
                  <w:tcW w:w="1373" w:type="pct"/>
                  <w:shd w:val="clear" w:color="auto" w:fill="D9D9D9"/>
                  <w:noWrap w:val="0"/>
                  <w:vAlign w:val="center"/>
                </w:tcPr>
                <w:p w14:paraId="119AEFA7">
                  <w:pPr>
                    <w:pStyle w:val="48"/>
                    <w:keepNext w:val="0"/>
                    <w:keepLines w:val="0"/>
                    <w:suppressLineNumbers w:val="0"/>
                    <w:spacing w:before="0" w:beforeAutospacing="0" w:after="0" w:afterAutospacing="0"/>
                    <w:ind w:left="0" w:right="0"/>
                    <w:rPr>
                      <w:rFonts w:hint="default" w:eastAsia="宋体" w:cs="Times New Roman"/>
                      <w:color w:val="000000"/>
                      <w:lang w:val="en-US" w:eastAsia="zh-CN"/>
                    </w:rPr>
                  </w:pPr>
                  <w:r>
                    <w:rPr>
                      <w:rFonts w:hint="eastAsia" w:eastAsia="宋体" w:cs="Times New Roman"/>
                      <w:color w:val="000000"/>
                      <w:lang w:val="en-US" w:eastAsia="zh-CN"/>
                    </w:rPr>
                    <w:t>其他（年用非溶剂型低VOCs含量涂料10吨以下的除外）</w:t>
                  </w:r>
                </w:p>
              </w:tc>
              <w:tc>
                <w:tcPr>
                  <w:tcW w:w="468" w:type="pct"/>
                  <w:noWrap w:val="0"/>
                  <w:vAlign w:val="center"/>
                </w:tcPr>
                <w:p w14:paraId="60C2AD73">
                  <w:pPr>
                    <w:pStyle w:val="48"/>
                    <w:keepNext w:val="0"/>
                    <w:keepLines w:val="0"/>
                    <w:suppressLineNumbers w:val="0"/>
                    <w:spacing w:before="0" w:beforeAutospacing="0" w:after="0" w:afterAutospacing="0"/>
                    <w:ind w:left="0" w:right="0"/>
                    <w:rPr>
                      <w:rFonts w:hint="eastAsia" w:cs="Times New Roman"/>
                      <w:color w:val="000000"/>
                    </w:rPr>
                  </w:pPr>
                  <w:r>
                    <w:rPr>
                      <w:rFonts w:hint="eastAsia" w:cs="Times New Roman"/>
                      <w:color w:val="000000"/>
                    </w:rPr>
                    <w:t>/</w:t>
                  </w:r>
                </w:p>
              </w:tc>
            </w:tr>
            <w:tr w14:paraId="0805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000" w:type="pct"/>
                  <w:gridSpan w:val="5"/>
                  <w:noWrap w:val="0"/>
                  <w:vAlign w:val="center"/>
                </w:tcPr>
                <w:p w14:paraId="12D071C9">
                  <w:pPr>
                    <w:pStyle w:val="48"/>
                    <w:keepNext w:val="0"/>
                    <w:keepLines w:val="0"/>
                    <w:suppressLineNumbers w:val="0"/>
                    <w:spacing w:before="0" w:beforeAutospacing="0" w:after="0" w:afterAutospacing="0"/>
                    <w:ind w:left="0" w:right="0"/>
                    <w:jc w:val="left"/>
                    <w:rPr>
                      <w:rFonts w:hint="eastAsia" w:cs="Times New Roman"/>
                      <w:color w:val="000000"/>
                    </w:rPr>
                  </w:pPr>
                  <w:r>
                    <w:rPr>
                      <w:rFonts w:hint="eastAsia" w:cs="Times New Roman"/>
                      <w:color w:val="000000"/>
                    </w:rPr>
                    <w:t>十六、皮革、毛皮、羽毛及其制品和制鞋业19</w:t>
                  </w:r>
                </w:p>
              </w:tc>
            </w:tr>
            <w:tr w14:paraId="0251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86" w:type="pct"/>
                  <w:shd w:val="clear" w:color="auto" w:fill="auto"/>
                  <w:noWrap w:val="0"/>
                  <w:vAlign w:val="center"/>
                </w:tcPr>
                <w:p w14:paraId="3C5EEC33">
                  <w:pPr>
                    <w:pStyle w:val="48"/>
                    <w:keepNext w:val="0"/>
                    <w:keepLines w:val="0"/>
                    <w:suppressLineNumbers w:val="0"/>
                    <w:spacing w:before="0" w:beforeAutospacing="0" w:after="0" w:afterAutospacing="0"/>
                    <w:ind w:left="0" w:right="0"/>
                    <w:rPr>
                      <w:rFonts w:hint="default" w:eastAsia="宋体" w:cs="Times New Roman"/>
                      <w:color w:val="000000"/>
                      <w:lang w:val="en-US" w:eastAsia="zh-CN"/>
                    </w:rPr>
                  </w:pPr>
                  <w:r>
                    <w:rPr>
                      <w:rFonts w:hint="eastAsia" w:eastAsia="宋体" w:cs="Times New Roman"/>
                      <w:color w:val="000000"/>
                      <w:lang w:val="en-US" w:eastAsia="zh-CN"/>
                    </w:rPr>
                    <w:t>32</w:t>
                  </w:r>
                </w:p>
              </w:tc>
              <w:tc>
                <w:tcPr>
                  <w:tcW w:w="969" w:type="pct"/>
                  <w:shd w:val="clear" w:color="auto" w:fill="auto"/>
                  <w:noWrap w:val="0"/>
                  <w:vAlign w:val="center"/>
                </w:tcPr>
                <w:p w14:paraId="0E5DA0DE">
                  <w:pPr>
                    <w:pStyle w:val="48"/>
                    <w:keepNext w:val="0"/>
                    <w:keepLines w:val="0"/>
                    <w:suppressLineNumbers w:val="0"/>
                    <w:spacing w:before="0" w:beforeAutospacing="0" w:after="0" w:afterAutospacing="0"/>
                    <w:ind w:left="0" w:right="0"/>
                    <w:jc w:val="both"/>
                    <w:rPr>
                      <w:rFonts w:hint="default" w:cs="Times New Roman"/>
                      <w:color w:val="000000"/>
                      <w:lang w:val="en-US"/>
                    </w:rPr>
                  </w:pPr>
                  <w:r>
                    <w:rPr>
                      <w:rFonts w:hint="default" w:cs="Times New Roman"/>
                      <w:color w:val="000000"/>
                      <w:lang w:val="en-US"/>
                    </w:rPr>
                    <w:t>制鞋业195</w:t>
                  </w:r>
                </w:p>
              </w:tc>
              <w:tc>
                <w:tcPr>
                  <w:tcW w:w="1902" w:type="pct"/>
                  <w:shd w:val="clear" w:color="auto" w:fill="auto"/>
                  <w:noWrap w:val="0"/>
                  <w:vAlign w:val="center"/>
                </w:tcPr>
                <w:p w14:paraId="02D31602">
                  <w:pPr>
                    <w:pStyle w:val="48"/>
                    <w:keepNext w:val="0"/>
                    <w:keepLines w:val="0"/>
                    <w:suppressLineNumbers w:val="0"/>
                    <w:spacing w:before="0" w:beforeAutospacing="0" w:after="0" w:afterAutospacing="0"/>
                    <w:ind w:left="0" w:right="0"/>
                    <w:rPr>
                      <w:rFonts w:hint="default" w:cs="Times New Roman"/>
                      <w:color w:val="000000"/>
                      <w:lang w:val="en-US" w:eastAsia="zh-CN"/>
                    </w:rPr>
                  </w:pPr>
                  <w:r>
                    <w:rPr>
                      <w:rFonts w:hint="eastAsia" w:cs="Times New Roman"/>
                      <w:color w:val="000000"/>
                      <w:lang w:val="en-US" w:eastAsia="zh-CN"/>
                    </w:rPr>
                    <w:t>/</w:t>
                  </w:r>
                </w:p>
              </w:tc>
              <w:tc>
                <w:tcPr>
                  <w:tcW w:w="1373" w:type="pct"/>
                  <w:shd w:val="clear" w:color="auto" w:fill="D9D9D9"/>
                  <w:noWrap w:val="0"/>
                  <w:vAlign w:val="center"/>
                </w:tcPr>
                <w:p w14:paraId="48B1B3E1">
                  <w:pPr>
                    <w:pStyle w:val="48"/>
                    <w:keepNext w:val="0"/>
                    <w:keepLines w:val="0"/>
                    <w:suppressLineNumbers w:val="0"/>
                    <w:spacing w:before="0" w:beforeAutospacing="0" w:after="0" w:afterAutospacing="0"/>
                    <w:ind w:left="0" w:right="0"/>
                    <w:rPr>
                      <w:rFonts w:hint="eastAsia" w:eastAsia="宋体" w:cs="Times New Roman"/>
                      <w:color w:val="000000"/>
                      <w:lang w:val="en-US" w:eastAsia="zh-CN"/>
                    </w:rPr>
                  </w:pPr>
                  <w:r>
                    <w:rPr>
                      <w:rFonts w:hint="eastAsia" w:eastAsia="宋体" w:cs="Times New Roman"/>
                      <w:color w:val="000000"/>
                      <w:lang w:val="en-US" w:eastAsia="zh-CN"/>
                    </w:rPr>
                    <w:t>有橡胶硫化工艺、塑料注塑工艺的；年用溶剂型胶粘剂10吨及以上的，或年用溶剂型处理剂3吨及以上的。</w:t>
                  </w:r>
                </w:p>
              </w:tc>
              <w:tc>
                <w:tcPr>
                  <w:tcW w:w="468" w:type="pct"/>
                  <w:noWrap w:val="0"/>
                  <w:vAlign w:val="center"/>
                </w:tcPr>
                <w:p w14:paraId="25F56A2E">
                  <w:pPr>
                    <w:pStyle w:val="48"/>
                    <w:keepNext w:val="0"/>
                    <w:keepLines w:val="0"/>
                    <w:suppressLineNumbers w:val="0"/>
                    <w:spacing w:before="0" w:beforeAutospacing="0" w:after="0" w:afterAutospacing="0"/>
                    <w:ind w:left="0" w:right="0"/>
                    <w:rPr>
                      <w:rFonts w:hint="eastAsia" w:eastAsia="宋体" w:cs="Times New Roman"/>
                      <w:color w:val="000000"/>
                      <w:lang w:val="en-US" w:eastAsia="zh-CN"/>
                    </w:rPr>
                  </w:pPr>
                  <w:r>
                    <w:rPr>
                      <w:rFonts w:hint="eastAsia" w:cs="Times New Roman"/>
                      <w:color w:val="000000"/>
                      <w:lang w:val="en-US" w:eastAsia="zh-CN"/>
                    </w:rPr>
                    <w:t>/</w:t>
                  </w:r>
                </w:p>
              </w:tc>
            </w:tr>
          </w:tbl>
          <w:p w14:paraId="741AA951">
            <w:pPr>
              <w:spacing w:line="360" w:lineRule="auto"/>
              <w:rPr>
                <w:b/>
                <w:color w:val="000000"/>
                <w:sz w:val="24"/>
                <w:szCs w:val="24"/>
              </w:rPr>
            </w:pPr>
            <w:r>
              <w:rPr>
                <w:rFonts w:hint="eastAsia"/>
                <w:b/>
                <w:color w:val="000000"/>
                <w:sz w:val="24"/>
                <w:szCs w:val="24"/>
              </w:rPr>
              <w:t>2</w:t>
            </w:r>
            <w:r>
              <w:rPr>
                <w:b/>
                <w:color w:val="000000"/>
                <w:sz w:val="24"/>
                <w:szCs w:val="24"/>
              </w:rPr>
              <w:t>.工程内容</w:t>
            </w:r>
          </w:p>
          <w:p w14:paraId="785CAB18">
            <w:pPr>
              <w:spacing w:line="360" w:lineRule="auto"/>
              <w:ind w:firstLine="480" w:firstLineChars="200"/>
              <w:rPr>
                <w:rFonts w:hint="eastAsia"/>
                <w:color w:val="000000"/>
                <w:sz w:val="24"/>
                <w:szCs w:val="24"/>
              </w:rPr>
            </w:pPr>
            <w:r>
              <w:rPr>
                <w:rFonts w:hint="eastAsia"/>
                <w:color w:val="000000"/>
                <w:sz w:val="24"/>
                <w:szCs w:val="24"/>
              </w:rPr>
              <w:t>本项目</w:t>
            </w:r>
            <w:r>
              <w:rPr>
                <w:rFonts w:hint="eastAsia"/>
                <w:color w:val="000000"/>
                <w:sz w:val="24"/>
                <w:szCs w:val="24"/>
                <w:lang w:val="en-US" w:eastAsia="zh-CN"/>
              </w:rPr>
              <w:t>在原有厂房内进行改建，项目</w:t>
            </w:r>
            <w:r>
              <w:rPr>
                <w:rFonts w:hint="eastAsia"/>
                <w:color w:val="000000"/>
                <w:sz w:val="24"/>
                <w:szCs w:val="24"/>
              </w:rPr>
              <w:t>主要工程内容为生产车间</w:t>
            </w:r>
            <w:r>
              <w:rPr>
                <w:rFonts w:hint="eastAsia"/>
                <w:color w:val="000000"/>
                <w:sz w:val="24"/>
                <w:szCs w:val="24"/>
                <w:lang w:eastAsia="zh-CN"/>
              </w:rPr>
              <w:t>，</w:t>
            </w:r>
            <w:r>
              <w:rPr>
                <w:rFonts w:hint="eastAsia"/>
                <w:color w:val="000000"/>
                <w:sz w:val="24"/>
                <w:szCs w:val="24"/>
              </w:rPr>
              <w:t>具体工程建设内容见下表。</w:t>
            </w:r>
          </w:p>
          <w:p w14:paraId="6A8294A8">
            <w:pPr>
              <w:spacing w:before="93" w:beforeLines="30"/>
              <w:jc w:val="center"/>
              <w:rPr>
                <w:rFonts w:hint="eastAsia" w:ascii="黑体" w:eastAsia="黑体"/>
                <w:color w:val="000000"/>
                <w:sz w:val="24"/>
                <w:szCs w:val="24"/>
              </w:rPr>
            </w:pPr>
            <w:r>
              <w:rPr>
                <w:rFonts w:hint="eastAsia" w:ascii="黑体" w:eastAsia="黑体"/>
                <w:color w:val="000000"/>
                <w:sz w:val="24"/>
                <w:szCs w:val="24"/>
              </w:rPr>
              <w:t>表1</w:t>
            </w:r>
            <w:r>
              <w:rPr>
                <w:rFonts w:hint="eastAsia" w:ascii="黑体" w:eastAsia="黑体"/>
                <w:color w:val="000000"/>
                <w:sz w:val="24"/>
                <w:szCs w:val="24"/>
                <w:lang w:val="en-US" w:eastAsia="zh-CN"/>
              </w:rPr>
              <w:t>7</w:t>
            </w:r>
            <w:r>
              <w:rPr>
                <w:rFonts w:hint="eastAsia" w:ascii="黑体" w:eastAsia="黑体"/>
                <w:color w:val="000000"/>
                <w:sz w:val="24"/>
                <w:szCs w:val="24"/>
              </w:rPr>
              <w:t xml:space="preserve">    改建后工程概况一览表</w:t>
            </w:r>
          </w:p>
          <w:tbl>
            <w:tblPr>
              <w:tblStyle w:val="18"/>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440"/>
              <w:gridCol w:w="1346"/>
              <w:gridCol w:w="3482"/>
              <w:gridCol w:w="2969"/>
            </w:tblGrid>
            <w:tr w14:paraId="7DD91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1084" w:type="pct"/>
                  <w:gridSpan w:val="2"/>
                  <w:noWrap w:val="0"/>
                  <w:vAlign w:val="center"/>
                </w:tcPr>
                <w:p w14:paraId="5DB2C624">
                  <w:pPr>
                    <w:jc w:val="center"/>
                    <w:rPr>
                      <w:color w:val="000000"/>
                      <w:szCs w:val="21"/>
                      <w:highlight w:val="none"/>
                      <w:u w:val="none"/>
                    </w:rPr>
                  </w:pPr>
                  <w:r>
                    <w:rPr>
                      <w:color w:val="000000"/>
                      <w:szCs w:val="21"/>
                      <w:highlight w:val="none"/>
                      <w:u w:val="none"/>
                    </w:rPr>
                    <w:t>名称</w:t>
                  </w:r>
                </w:p>
              </w:tc>
              <w:tc>
                <w:tcPr>
                  <w:tcW w:w="2113" w:type="pct"/>
                  <w:noWrap w:val="0"/>
                  <w:vAlign w:val="center"/>
                </w:tcPr>
                <w:p w14:paraId="3AD8C0A4">
                  <w:pPr>
                    <w:jc w:val="center"/>
                    <w:rPr>
                      <w:color w:val="000000"/>
                      <w:szCs w:val="21"/>
                      <w:highlight w:val="none"/>
                      <w:u w:val="none"/>
                    </w:rPr>
                  </w:pPr>
                  <w:r>
                    <w:rPr>
                      <w:rFonts w:hint="eastAsia"/>
                      <w:color w:val="000000"/>
                      <w:szCs w:val="21"/>
                      <w:highlight w:val="none"/>
                      <w:u w:val="none"/>
                    </w:rPr>
                    <w:t>改建后情况</w:t>
                  </w:r>
                </w:p>
              </w:tc>
              <w:tc>
                <w:tcPr>
                  <w:tcW w:w="1802" w:type="pct"/>
                  <w:noWrap w:val="0"/>
                  <w:vAlign w:val="center"/>
                </w:tcPr>
                <w:p w14:paraId="6FA189CF">
                  <w:pPr>
                    <w:jc w:val="center"/>
                    <w:rPr>
                      <w:color w:val="000000"/>
                      <w:szCs w:val="21"/>
                      <w:highlight w:val="none"/>
                      <w:u w:val="none"/>
                    </w:rPr>
                  </w:pPr>
                  <w:r>
                    <w:rPr>
                      <w:rFonts w:hint="eastAsia"/>
                      <w:color w:val="000000"/>
                      <w:szCs w:val="21"/>
                      <w:highlight w:val="none"/>
                      <w:u w:val="none"/>
                    </w:rPr>
                    <w:t>备注</w:t>
                  </w:r>
                </w:p>
              </w:tc>
            </w:tr>
            <w:tr w14:paraId="7FB48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0" w:hRule="atLeast"/>
                <w:jc w:val="center"/>
              </w:trPr>
              <w:tc>
                <w:tcPr>
                  <w:tcW w:w="267" w:type="pct"/>
                  <w:noWrap w:val="0"/>
                  <w:vAlign w:val="center"/>
                </w:tcPr>
                <w:p w14:paraId="483701C4">
                  <w:pPr>
                    <w:jc w:val="center"/>
                    <w:rPr>
                      <w:color w:val="000000"/>
                      <w:szCs w:val="21"/>
                      <w:highlight w:val="none"/>
                      <w:u w:val="none"/>
                    </w:rPr>
                  </w:pPr>
                  <w:r>
                    <w:rPr>
                      <w:color w:val="000000"/>
                      <w:szCs w:val="21"/>
                      <w:highlight w:val="none"/>
                      <w:u w:val="none"/>
                    </w:rPr>
                    <w:t>主体工程</w:t>
                  </w:r>
                </w:p>
              </w:tc>
              <w:tc>
                <w:tcPr>
                  <w:tcW w:w="816" w:type="pct"/>
                  <w:noWrap w:val="0"/>
                  <w:vAlign w:val="center"/>
                </w:tcPr>
                <w:p w14:paraId="167D57DD">
                  <w:pPr>
                    <w:adjustRightInd w:val="0"/>
                    <w:jc w:val="center"/>
                    <w:rPr>
                      <w:color w:val="000000"/>
                      <w:kern w:val="0"/>
                      <w:szCs w:val="21"/>
                      <w:highlight w:val="none"/>
                      <w:u w:val="none"/>
                    </w:rPr>
                  </w:pPr>
                  <w:r>
                    <w:rPr>
                      <w:rFonts w:hint="eastAsia"/>
                      <w:color w:val="000000"/>
                      <w:kern w:val="0"/>
                      <w:szCs w:val="21"/>
                      <w:highlight w:val="none"/>
                      <w:u w:val="none"/>
                    </w:rPr>
                    <w:t>生产车间</w:t>
                  </w:r>
                </w:p>
              </w:tc>
              <w:tc>
                <w:tcPr>
                  <w:tcW w:w="2113" w:type="pct"/>
                  <w:noWrap w:val="0"/>
                  <w:vAlign w:val="center"/>
                </w:tcPr>
                <w:p w14:paraId="147C2FF4">
                  <w:pPr>
                    <w:adjustRightInd w:val="0"/>
                    <w:jc w:val="center"/>
                    <w:rPr>
                      <w:rFonts w:hint="default"/>
                      <w:color w:val="000000"/>
                      <w:kern w:val="0"/>
                      <w:szCs w:val="21"/>
                      <w:highlight w:val="none"/>
                      <w:u w:val="none"/>
                      <w:lang w:val="en-US"/>
                    </w:rPr>
                  </w:pPr>
                  <w:r>
                    <w:rPr>
                      <w:rFonts w:hint="eastAsia"/>
                      <w:color w:val="000000"/>
                      <w:kern w:val="0"/>
                      <w:szCs w:val="21"/>
                      <w:highlight w:val="none"/>
                      <w:u w:val="none"/>
                      <w:lang w:val="en-US" w:eastAsia="zh-CN"/>
                    </w:rPr>
                    <w:t>本次仅改建厂区东侧车间，占地面积1500</w:t>
                  </w:r>
                  <w:r>
                    <w:rPr>
                      <w:rFonts w:hint="eastAsia"/>
                      <w:color w:val="000000"/>
                      <w:kern w:val="0"/>
                      <w:szCs w:val="21"/>
                      <w:highlight w:val="none"/>
                      <w:u w:val="none"/>
                    </w:rPr>
                    <w:t>m</w:t>
                  </w:r>
                  <w:r>
                    <w:rPr>
                      <w:rFonts w:hint="eastAsia"/>
                      <w:color w:val="000000"/>
                      <w:kern w:val="0"/>
                      <w:szCs w:val="21"/>
                      <w:highlight w:val="none"/>
                      <w:u w:val="none"/>
                      <w:vertAlign w:val="superscript"/>
                    </w:rPr>
                    <w:t>2</w:t>
                  </w:r>
                  <w:r>
                    <w:rPr>
                      <w:rFonts w:hint="eastAsia"/>
                      <w:color w:val="000000"/>
                      <w:kern w:val="0"/>
                      <w:szCs w:val="21"/>
                      <w:highlight w:val="none"/>
                      <w:u w:val="none"/>
                    </w:rPr>
                    <w:t>，共</w:t>
                  </w:r>
                  <w:r>
                    <w:rPr>
                      <w:rFonts w:hint="eastAsia"/>
                      <w:color w:val="000000"/>
                      <w:kern w:val="0"/>
                      <w:szCs w:val="21"/>
                      <w:highlight w:val="none"/>
                      <w:u w:val="none"/>
                      <w:lang w:val="en-US" w:eastAsia="zh-CN"/>
                    </w:rPr>
                    <w:t>一</w:t>
                  </w:r>
                  <w:r>
                    <w:rPr>
                      <w:rFonts w:hint="eastAsia"/>
                      <w:color w:val="000000"/>
                      <w:kern w:val="0"/>
                      <w:szCs w:val="21"/>
                      <w:highlight w:val="none"/>
                      <w:u w:val="none"/>
                    </w:rPr>
                    <w:t>层</w:t>
                  </w:r>
                  <w:r>
                    <w:rPr>
                      <w:rFonts w:hint="eastAsia"/>
                      <w:color w:val="000000"/>
                      <w:kern w:val="0"/>
                      <w:szCs w:val="21"/>
                      <w:highlight w:val="none"/>
                      <w:u w:val="none"/>
                      <w:vertAlign w:val="baseline"/>
                      <w:lang w:val="en-US" w:eastAsia="zh-CN"/>
                    </w:rPr>
                    <w:t>，北侧主要布局生产设备，南侧为仓库</w:t>
                  </w:r>
                </w:p>
              </w:tc>
              <w:tc>
                <w:tcPr>
                  <w:tcW w:w="1802" w:type="pct"/>
                  <w:noWrap w:val="0"/>
                  <w:vAlign w:val="center"/>
                </w:tcPr>
                <w:p w14:paraId="5DB04726">
                  <w:pPr>
                    <w:adjustRightInd w:val="0"/>
                    <w:snapToGrid w:val="0"/>
                    <w:spacing w:line="340" w:lineRule="exact"/>
                    <w:jc w:val="center"/>
                    <w:rPr>
                      <w:rFonts w:hint="default" w:eastAsia="宋体"/>
                      <w:color w:val="000000"/>
                      <w:kern w:val="0"/>
                      <w:szCs w:val="21"/>
                      <w:highlight w:val="none"/>
                      <w:u w:val="none"/>
                      <w:lang w:val="en-US" w:eastAsia="zh-CN"/>
                    </w:rPr>
                  </w:pPr>
                  <w:r>
                    <w:rPr>
                      <w:rFonts w:hint="eastAsia"/>
                      <w:color w:val="000000"/>
                      <w:kern w:val="0"/>
                      <w:szCs w:val="21"/>
                      <w:highlight w:val="none"/>
                      <w:u w:val="none"/>
                      <w:lang w:val="en-US" w:eastAsia="zh-CN"/>
                    </w:rPr>
                    <w:t>原有项目生产设施已全部拆除，本次改建对车间布局进行重新规划</w:t>
                  </w:r>
                </w:p>
              </w:tc>
            </w:tr>
            <w:tr w14:paraId="43F5F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267" w:type="pct"/>
                  <w:vMerge w:val="restart"/>
                  <w:noWrap w:val="0"/>
                  <w:vAlign w:val="center"/>
                </w:tcPr>
                <w:p w14:paraId="19B76CBB">
                  <w:pPr>
                    <w:jc w:val="center"/>
                    <w:rPr>
                      <w:color w:val="000000"/>
                      <w:szCs w:val="21"/>
                      <w:highlight w:val="none"/>
                      <w:u w:val="none"/>
                    </w:rPr>
                  </w:pPr>
                  <w:r>
                    <w:rPr>
                      <w:color w:val="000000"/>
                      <w:szCs w:val="21"/>
                      <w:highlight w:val="none"/>
                      <w:u w:val="none"/>
                    </w:rPr>
                    <w:t>公用工程</w:t>
                  </w:r>
                </w:p>
              </w:tc>
              <w:tc>
                <w:tcPr>
                  <w:tcW w:w="816" w:type="pct"/>
                  <w:noWrap w:val="0"/>
                  <w:vAlign w:val="center"/>
                </w:tcPr>
                <w:p w14:paraId="114AD8D2">
                  <w:pPr>
                    <w:adjustRightInd w:val="0"/>
                    <w:snapToGrid w:val="0"/>
                    <w:spacing w:line="340" w:lineRule="exact"/>
                    <w:jc w:val="center"/>
                    <w:rPr>
                      <w:rFonts w:hint="eastAsia"/>
                      <w:color w:val="000000"/>
                      <w:kern w:val="0"/>
                      <w:szCs w:val="21"/>
                      <w:highlight w:val="none"/>
                      <w:u w:val="none"/>
                    </w:rPr>
                  </w:pPr>
                  <w:r>
                    <w:rPr>
                      <w:color w:val="000000"/>
                      <w:kern w:val="0"/>
                      <w:szCs w:val="21"/>
                      <w:highlight w:val="none"/>
                      <w:u w:val="none"/>
                    </w:rPr>
                    <w:t>给水</w:t>
                  </w:r>
                </w:p>
              </w:tc>
              <w:tc>
                <w:tcPr>
                  <w:tcW w:w="2113" w:type="pct"/>
                  <w:noWrap w:val="0"/>
                  <w:vAlign w:val="center"/>
                </w:tcPr>
                <w:p w14:paraId="4CC7C354">
                  <w:pPr>
                    <w:jc w:val="center"/>
                    <w:rPr>
                      <w:color w:val="000000"/>
                      <w:szCs w:val="21"/>
                      <w:highlight w:val="none"/>
                      <w:u w:val="none"/>
                    </w:rPr>
                  </w:pPr>
                  <w:r>
                    <w:rPr>
                      <w:rFonts w:hint="eastAsia"/>
                      <w:color w:val="000000"/>
                      <w:szCs w:val="21"/>
                      <w:highlight w:val="none"/>
                      <w:u w:val="none"/>
                    </w:rPr>
                    <w:t>无变化</w:t>
                  </w:r>
                </w:p>
              </w:tc>
              <w:tc>
                <w:tcPr>
                  <w:tcW w:w="1802" w:type="pct"/>
                  <w:noWrap w:val="0"/>
                  <w:vAlign w:val="center"/>
                </w:tcPr>
                <w:p w14:paraId="6DFBE356">
                  <w:pPr>
                    <w:adjustRightInd w:val="0"/>
                    <w:snapToGrid w:val="0"/>
                    <w:spacing w:line="340" w:lineRule="exact"/>
                    <w:jc w:val="center"/>
                    <w:rPr>
                      <w:color w:val="000000"/>
                      <w:szCs w:val="21"/>
                      <w:highlight w:val="none"/>
                      <w:u w:val="none"/>
                    </w:rPr>
                  </w:pPr>
                  <w:r>
                    <w:rPr>
                      <w:rFonts w:hint="eastAsia"/>
                      <w:color w:val="000000"/>
                      <w:szCs w:val="21"/>
                      <w:highlight w:val="none"/>
                      <w:u w:val="none"/>
                    </w:rPr>
                    <w:t>依托已有设施</w:t>
                  </w:r>
                </w:p>
              </w:tc>
            </w:tr>
            <w:tr w14:paraId="44C5F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267" w:type="pct"/>
                  <w:vMerge w:val="continue"/>
                  <w:noWrap w:val="0"/>
                  <w:vAlign w:val="center"/>
                </w:tcPr>
                <w:p w14:paraId="293617A3">
                  <w:pPr>
                    <w:jc w:val="center"/>
                    <w:rPr>
                      <w:color w:val="000000"/>
                      <w:szCs w:val="21"/>
                      <w:highlight w:val="none"/>
                      <w:u w:val="none"/>
                    </w:rPr>
                  </w:pPr>
                </w:p>
              </w:tc>
              <w:tc>
                <w:tcPr>
                  <w:tcW w:w="816" w:type="pct"/>
                  <w:noWrap w:val="0"/>
                  <w:vAlign w:val="center"/>
                </w:tcPr>
                <w:p w14:paraId="69807F95">
                  <w:pPr>
                    <w:adjustRightInd w:val="0"/>
                    <w:snapToGrid w:val="0"/>
                    <w:spacing w:line="340" w:lineRule="exact"/>
                    <w:jc w:val="center"/>
                    <w:rPr>
                      <w:rFonts w:hint="eastAsia"/>
                      <w:color w:val="000000"/>
                      <w:kern w:val="0"/>
                      <w:szCs w:val="21"/>
                      <w:highlight w:val="none"/>
                      <w:u w:val="none"/>
                    </w:rPr>
                  </w:pPr>
                  <w:r>
                    <w:rPr>
                      <w:color w:val="000000"/>
                      <w:kern w:val="0"/>
                      <w:szCs w:val="21"/>
                      <w:highlight w:val="none"/>
                      <w:u w:val="none"/>
                    </w:rPr>
                    <w:t>排水</w:t>
                  </w:r>
                </w:p>
              </w:tc>
              <w:tc>
                <w:tcPr>
                  <w:tcW w:w="2113" w:type="pct"/>
                  <w:noWrap w:val="0"/>
                  <w:vAlign w:val="center"/>
                </w:tcPr>
                <w:p w14:paraId="3DEC9227">
                  <w:pPr>
                    <w:jc w:val="center"/>
                    <w:rPr>
                      <w:rFonts w:hint="eastAsia"/>
                      <w:color w:val="000000"/>
                      <w:szCs w:val="21"/>
                      <w:highlight w:val="none"/>
                      <w:u w:val="none"/>
                    </w:rPr>
                  </w:pPr>
                  <w:r>
                    <w:rPr>
                      <w:rFonts w:hint="eastAsia"/>
                      <w:color w:val="000000"/>
                      <w:szCs w:val="21"/>
                      <w:highlight w:val="none"/>
                      <w:u w:val="none"/>
                    </w:rPr>
                    <w:t>无变化</w:t>
                  </w:r>
                </w:p>
              </w:tc>
              <w:tc>
                <w:tcPr>
                  <w:tcW w:w="1802" w:type="pct"/>
                  <w:noWrap w:val="0"/>
                  <w:vAlign w:val="center"/>
                </w:tcPr>
                <w:p w14:paraId="014CD252">
                  <w:pPr>
                    <w:adjustRightInd w:val="0"/>
                    <w:snapToGrid w:val="0"/>
                    <w:spacing w:line="340" w:lineRule="exact"/>
                    <w:jc w:val="center"/>
                    <w:rPr>
                      <w:rFonts w:hint="default" w:eastAsia="宋体"/>
                      <w:color w:val="000000"/>
                      <w:szCs w:val="21"/>
                      <w:highlight w:val="none"/>
                      <w:u w:val="none"/>
                      <w:lang w:val="en-US" w:eastAsia="zh-CN"/>
                    </w:rPr>
                  </w:pPr>
                  <w:r>
                    <w:rPr>
                      <w:rFonts w:hint="eastAsia"/>
                      <w:color w:val="000000"/>
                      <w:szCs w:val="21"/>
                      <w:highlight w:val="none"/>
                      <w:u w:val="none"/>
                    </w:rPr>
                    <w:t>依托已有设施</w:t>
                  </w:r>
                </w:p>
              </w:tc>
            </w:tr>
            <w:tr w14:paraId="31A25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267" w:type="pct"/>
                  <w:vMerge w:val="continue"/>
                  <w:noWrap w:val="0"/>
                  <w:vAlign w:val="center"/>
                </w:tcPr>
                <w:p w14:paraId="6150E452">
                  <w:pPr>
                    <w:jc w:val="center"/>
                    <w:rPr>
                      <w:color w:val="000000"/>
                      <w:szCs w:val="21"/>
                      <w:highlight w:val="none"/>
                      <w:u w:val="none"/>
                    </w:rPr>
                  </w:pPr>
                </w:p>
              </w:tc>
              <w:tc>
                <w:tcPr>
                  <w:tcW w:w="816" w:type="pct"/>
                  <w:noWrap w:val="0"/>
                  <w:vAlign w:val="center"/>
                </w:tcPr>
                <w:p w14:paraId="56919154">
                  <w:pPr>
                    <w:adjustRightInd w:val="0"/>
                    <w:snapToGrid w:val="0"/>
                    <w:spacing w:line="340" w:lineRule="exact"/>
                    <w:jc w:val="center"/>
                    <w:rPr>
                      <w:rFonts w:hint="eastAsia"/>
                      <w:color w:val="000000"/>
                      <w:kern w:val="0"/>
                      <w:szCs w:val="21"/>
                      <w:highlight w:val="none"/>
                      <w:u w:val="none"/>
                    </w:rPr>
                  </w:pPr>
                  <w:r>
                    <w:rPr>
                      <w:color w:val="000000"/>
                      <w:kern w:val="0"/>
                      <w:szCs w:val="21"/>
                      <w:highlight w:val="none"/>
                      <w:u w:val="none"/>
                    </w:rPr>
                    <w:t>供电</w:t>
                  </w:r>
                </w:p>
              </w:tc>
              <w:tc>
                <w:tcPr>
                  <w:tcW w:w="2113" w:type="pct"/>
                  <w:noWrap w:val="0"/>
                  <w:vAlign w:val="center"/>
                </w:tcPr>
                <w:p w14:paraId="32FCC846">
                  <w:pPr>
                    <w:jc w:val="center"/>
                    <w:rPr>
                      <w:rFonts w:hint="eastAsia"/>
                      <w:color w:val="000000"/>
                      <w:szCs w:val="21"/>
                      <w:highlight w:val="none"/>
                      <w:u w:val="none"/>
                    </w:rPr>
                  </w:pPr>
                  <w:r>
                    <w:rPr>
                      <w:rFonts w:hint="eastAsia"/>
                      <w:color w:val="000000"/>
                      <w:szCs w:val="21"/>
                      <w:highlight w:val="none"/>
                      <w:u w:val="none"/>
                    </w:rPr>
                    <w:t>无变化</w:t>
                  </w:r>
                </w:p>
              </w:tc>
              <w:tc>
                <w:tcPr>
                  <w:tcW w:w="1802" w:type="pct"/>
                  <w:noWrap w:val="0"/>
                  <w:vAlign w:val="center"/>
                </w:tcPr>
                <w:p w14:paraId="39FF3EB6">
                  <w:pPr>
                    <w:adjustRightInd w:val="0"/>
                    <w:snapToGrid w:val="0"/>
                    <w:spacing w:line="340" w:lineRule="exact"/>
                    <w:jc w:val="center"/>
                    <w:rPr>
                      <w:color w:val="000000"/>
                      <w:szCs w:val="21"/>
                      <w:highlight w:val="none"/>
                      <w:u w:val="none"/>
                    </w:rPr>
                  </w:pPr>
                  <w:r>
                    <w:rPr>
                      <w:rFonts w:hint="eastAsia"/>
                      <w:color w:val="000000"/>
                      <w:szCs w:val="21"/>
                      <w:highlight w:val="none"/>
                      <w:u w:val="none"/>
                    </w:rPr>
                    <w:t>依托已有设施</w:t>
                  </w:r>
                </w:p>
              </w:tc>
            </w:tr>
            <w:tr w14:paraId="5C4D5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267" w:type="pct"/>
                  <w:vMerge w:val="restart"/>
                  <w:noWrap w:val="0"/>
                  <w:vAlign w:val="center"/>
                </w:tcPr>
                <w:p w14:paraId="7FFF3626">
                  <w:pPr>
                    <w:jc w:val="center"/>
                    <w:rPr>
                      <w:color w:val="000000"/>
                      <w:szCs w:val="21"/>
                      <w:highlight w:val="none"/>
                      <w:u w:val="none"/>
                    </w:rPr>
                  </w:pPr>
                  <w:r>
                    <w:rPr>
                      <w:color w:val="000000"/>
                      <w:szCs w:val="21"/>
                      <w:highlight w:val="none"/>
                      <w:u w:val="none"/>
                    </w:rPr>
                    <w:t>环保工程</w:t>
                  </w:r>
                </w:p>
              </w:tc>
              <w:tc>
                <w:tcPr>
                  <w:tcW w:w="816" w:type="pct"/>
                  <w:vMerge w:val="restart"/>
                  <w:noWrap w:val="0"/>
                  <w:vAlign w:val="center"/>
                </w:tcPr>
                <w:p w14:paraId="70DDF8EA">
                  <w:pPr>
                    <w:adjustRightInd w:val="0"/>
                    <w:jc w:val="center"/>
                    <w:rPr>
                      <w:color w:val="000000"/>
                      <w:kern w:val="0"/>
                      <w:szCs w:val="21"/>
                      <w:highlight w:val="none"/>
                      <w:u w:val="none"/>
                    </w:rPr>
                  </w:pPr>
                  <w:r>
                    <w:rPr>
                      <w:rFonts w:hint="eastAsia"/>
                      <w:color w:val="000000"/>
                      <w:kern w:val="0"/>
                      <w:szCs w:val="21"/>
                      <w:highlight w:val="none"/>
                      <w:u w:val="none"/>
                    </w:rPr>
                    <w:t>废气</w:t>
                  </w:r>
                </w:p>
              </w:tc>
              <w:tc>
                <w:tcPr>
                  <w:tcW w:w="2113" w:type="pct"/>
                  <w:noWrap w:val="0"/>
                  <w:vAlign w:val="center"/>
                </w:tcPr>
                <w:p w14:paraId="1550A4A0">
                  <w:pPr>
                    <w:jc w:val="center"/>
                    <w:rPr>
                      <w:rFonts w:hint="eastAsia"/>
                      <w:color w:val="000000"/>
                      <w:szCs w:val="21"/>
                      <w:highlight w:val="none"/>
                      <w:u w:val="none"/>
                    </w:rPr>
                  </w:pPr>
                  <w:r>
                    <w:rPr>
                      <w:rFonts w:hint="eastAsia"/>
                      <w:color w:val="000000"/>
                      <w:kern w:val="0"/>
                      <w:szCs w:val="21"/>
                      <w:highlight w:val="none"/>
                      <w:u w:val="none"/>
                      <w:lang w:val="en-US" w:eastAsia="zh-CN"/>
                    </w:rPr>
                    <w:t>注塑废气：</w:t>
                  </w:r>
                  <w:r>
                    <w:rPr>
                      <w:rFonts w:hint="eastAsia"/>
                      <w:color w:val="000000"/>
                      <w:kern w:val="0"/>
                      <w:szCs w:val="21"/>
                      <w:highlight w:val="none"/>
                      <w:u w:val="none"/>
                    </w:rPr>
                    <w:t>二级活性炭</w:t>
                  </w:r>
                  <w:r>
                    <w:rPr>
                      <w:rFonts w:hint="eastAsia"/>
                      <w:snapToGrid w:val="0"/>
                      <w:color w:val="000000"/>
                      <w:kern w:val="0"/>
                      <w:szCs w:val="21"/>
                      <w:highlight w:val="none"/>
                      <w:u w:val="none"/>
                      <w:lang w:val="en-US" w:eastAsia="zh-CN"/>
                    </w:rPr>
                    <w:t>1</w:t>
                  </w:r>
                  <w:r>
                    <w:rPr>
                      <w:rFonts w:hint="eastAsia"/>
                      <w:snapToGrid w:val="0"/>
                      <w:color w:val="000000"/>
                      <w:kern w:val="0"/>
                      <w:szCs w:val="21"/>
                      <w:highlight w:val="none"/>
                      <w:u w:val="none"/>
                    </w:rPr>
                    <w:t>套</w:t>
                  </w:r>
                  <w:r>
                    <w:rPr>
                      <w:rFonts w:hint="eastAsia"/>
                      <w:snapToGrid w:val="0"/>
                      <w:color w:val="000000"/>
                      <w:kern w:val="0"/>
                      <w:szCs w:val="21"/>
                      <w:highlight w:val="none"/>
                      <w:u w:val="none"/>
                      <w:lang w:eastAsia="zh-CN"/>
                    </w:rPr>
                    <w:t>，</w:t>
                  </w:r>
                  <w:r>
                    <w:rPr>
                      <w:rFonts w:hint="eastAsia"/>
                      <w:snapToGrid w:val="0"/>
                      <w:color w:val="000000"/>
                      <w:kern w:val="0"/>
                      <w:szCs w:val="21"/>
                      <w:highlight w:val="none"/>
                      <w:u w:val="none"/>
                      <w:lang w:val="en-US" w:eastAsia="zh-CN"/>
                    </w:rPr>
                    <w:t>1根</w:t>
                  </w:r>
                  <w:r>
                    <w:rPr>
                      <w:color w:val="000000"/>
                      <w:kern w:val="0"/>
                      <w:szCs w:val="21"/>
                      <w:highlight w:val="none"/>
                      <w:u w:val="none"/>
                    </w:rPr>
                    <w:t>15m排气筒</w:t>
                  </w:r>
                </w:p>
              </w:tc>
              <w:tc>
                <w:tcPr>
                  <w:tcW w:w="1802" w:type="pct"/>
                  <w:vMerge w:val="restart"/>
                  <w:noWrap w:val="0"/>
                  <w:vAlign w:val="center"/>
                </w:tcPr>
                <w:p w14:paraId="155212E6">
                  <w:pPr>
                    <w:jc w:val="center"/>
                    <w:rPr>
                      <w:color w:val="000000"/>
                      <w:szCs w:val="21"/>
                      <w:highlight w:val="none"/>
                      <w:u w:val="none"/>
                    </w:rPr>
                  </w:pPr>
                  <w:r>
                    <w:rPr>
                      <w:rFonts w:hint="eastAsia"/>
                      <w:color w:val="000000"/>
                      <w:kern w:val="0"/>
                      <w:szCs w:val="21"/>
                      <w:highlight w:val="none"/>
                      <w:u w:val="none"/>
                      <w:lang w:val="en-US" w:eastAsia="zh-CN"/>
                    </w:rPr>
                    <w:t>原有项目废气治理设施已全部拆除，本次改建根据需要重新配备相应治理设施</w:t>
                  </w:r>
                </w:p>
              </w:tc>
            </w:tr>
            <w:tr w14:paraId="01A38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267" w:type="pct"/>
                  <w:vMerge w:val="continue"/>
                  <w:noWrap w:val="0"/>
                  <w:vAlign w:val="center"/>
                </w:tcPr>
                <w:p w14:paraId="2606C171">
                  <w:pPr>
                    <w:jc w:val="center"/>
                    <w:rPr>
                      <w:color w:val="000000"/>
                      <w:szCs w:val="21"/>
                      <w:highlight w:val="none"/>
                      <w:u w:val="none"/>
                    </w:rPr>
                  </w:pPr>
                </w:p>
              </w:tc>
              <w:tc>
                <w:tcPr>
                  <w:tcW w:w="816" w:type="pct"/>
                  <w:vMerge w:val="continue"/>
                  <w:noWrap w:val="0"/>
                  <w:vAlign w:val="center"/>
                </w:tcPr>
                <w:p w14:paraId="1744C39F">
                  <w:pPr>
                    <w:adjustRightInd w:val="0"/>
                    <w:jc w:val="center"/>
                    <w:rPr>
                      <w:rFonts w:hint="eastAsia"/>
                      <w:color w:val="000000"/>
                      <w:kern w:val="0"/>
                      <w:szCs w:val="21"/>
                      <w:highlight w:val="none"/>
                      <w:u w:val="none"/>
                    </w:rPr>
                  </w:pPr>
                </w:p>
              </w:tc>
              <w:tc>
                <w:tcPr>
                  <w:tcW w:w="2113" w:type="pct"/>
                  <w:noWrap w:val="0"/>
                  <w:vAlign w:val="center"/>
                </w:tcPr>
                <w:p w14:paraId="52468772">
                  <w:pPr>
                    <w:jc w:val="center"/>
                    <w:rPr>
                      <w:rFonts w:hint="default" w:eastAsia="宋体"/>
                      <w:color w:val="000000"/>
                      <w:kern w:val="0"/>
                      <w:szCs w:val="21"/>
                      <w:highlight w:val="none"/>
                      <w:u w:val="none"/>
                      <w:lang w:val="en-US" w:eastAsia="zh-CN"/>
                    </w:rPr>
                  </w:pPr>
                  <w:r>
                    <w:rPr>
                      <w:rFonts w:hint="eastAsia"/>
                      <w:color w:val="000000"/>
                      <w:kern w:val="0"/>
                      <w:szCs w:val="21"/>
                      <w:highlight w:val="none"/>
                      <w:u w:val="none"/>
                      <w:lang w:val="en-US" w:eastAsia="zh-CN"/>
                    </w:rPr>
                    <w:t>投料、粉碎废气：袋式除尘器</w:t>
                  </w:r>
                  <w:r>
                    <w:rPr>
                      <w:rFonts w:hint="eastAsia"/>
                      <w:snapToGrid w:val="0"/>
                      <w:color w:val="000000"/>
                      <w:kern w:val="0"/>
                      <w:szCs w:val="21"/>
                      <w:highlight w:val="none"/>
                      <w:u w:val="none"/>
                      <w:lang w:val="en-US" w:eastAsia="zh-CN"/>
                    </w:rPr>
                    <w:t>1</w:t>
                  </w:r>
                  <w:r>
                    <w:rPr>
                      <w:rFonts w:hint="eastAsia"/>
                      <w:snapToGrid w:val="0"/>
                      <w:color w:val="000000"/>
                      <w:kern w:val="0"/>
                      <w:szCs w:val="21"/>
                      <w:highlight w:val="none"/>
                      <w:u w:val="none"/>
                    </w:rPr>
                    <w:t>套</w:t>
                  </w:r>
                  <w:r>
                    <w:rPr>
                      <w:rFonts w:hint="eastAsia"/>
                      <w:snapToGrid w:val="0"/>
                      <w:color w:val="000000"/>
                      <w:kern w:val="0"/>
                      <w:szCs w:val="21"/>
                      <w:highlight w:val="none"/>
                      <w:u w:val="none"/>
                      <w:lang w:eastAsia="zh-CN"/>
                    </w:rPr>
                    <w:t>，</w:t>
                  </w:r>
                  <w:r>
                    <w:rPr>
                      <w:rFonts w:hint="eastAsia"/>
                      <w:snapToGrid w:val="0"/>
                      <w:color w:val="000000"/>
                      <w:kern w:val="0"/>
                      <w:szCs w:val="21"/>
                      <w:highlight w:val="none"/>
                      <w:u w:val="none"/>
                      <w:lang w:val="en-US" w:eastAsia="zh-CN"/>
                    </w:rPr>
                    <w:t>1根</w:t>
                  </w:r>
                  <w:r>
                    <w:rPr>
                      <w:color w:val="000000"/>
                      <w:kern w:val="0"/>
                      <w:szCs w:val="21"/>
                      <w:highlight w:val="none"/>
                      <w:u w:val="none"/>
                    </w:rPr>
                    <w:t>15m排气筒</w:t>
                  </w:r>
                </w:p>
              </w:tc>
              <w:tc>
                <w:tcPr>
                  <w:tcW w:w="1802" w:type="pct"/>
                  <w:vMerge w:val="continue"/>
                  <w:noWrap w:val="0"/>
                  <w:vAlign w:val="center"/>
                </w:tcPr>
                <w:p w14:paraId="4C609541">
                  <w:pPr>
                    <w:jc w:val="center"/>
                    <w:rPr>
                      <w:rFonts w:hint="eastAsia"/>
                      <w:color w:val="000000"/>
                      <w:kern w:val="0"/>
                      <w:szCs w:val="21"/>
                      <w:highlight w:val="none"/>
                      <w:u w:val="none"/>
                      <w:lang w:val="en-US" w:eastAsia="zh-CN"/>
                    </w:rPr>
                  </w:pPr>
                </w:p>
              </w:tc>
            </w:tr>
            <w:tr w14:paraId="2763F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267" w:type="pct"/>
                  <w:vMerge w:val="continue"/>
                  <w:noWrap w:val="0"/>
                  <w:vAlign w:val="center"/>
                </w:tcPr>
                <w:p w14:paraId="213BA2C1">
                  <w:pPr>
                    <w:jc w:val="center"/>
                    <w:rPr>
                      <w:color w:val="000000"/>
                      <w:szCs w:val="21"/>
                      <w:highlight w:val="none"/>
                      <w:u w:val="none"/>
                    </w:rPr>
                  </w:pPr>
                </w:p>
              </w:tc>
              <w:tc>
                <w:tcPr>
                  <w:tcW w:w="816" w:type="pct"/>
                  <w:noWrap w:val="0"/>
                  <w:vAlign w:val="center"/>
                </w:tcPr>
                <w:p w14:paraId="7C1A303A">
                  <w:pPr>
                    <w:adjustRightInd w:val="0"/>
                    <w:jc w:val="center"/>
                    <w:rPr>
                      <w:rFonts w:hint="eastAsia"/>
                      <w:color w:val="000000"/>
                      <w:kern w:val="0"/>
                      <w:szCs w:val="21"/>
                      <w:highlight w:val="none"/>
                      <w:u w:val="none"/>
                    </w:rPr>
                  </w:pPr>
                  <w:r>
                    <w:rPr>
                      <w:rFonts w:hint="eastAsia"/>
                      <w:color w:val="000000"/>
                      <w:kern w:val="0"/>
                      <w:szCs w:val="21"/>
                      <w:highlight w:val="none"/>
                      <w:u w:val="none"/>
                    </w:rPr>
                    <w:t>废水</w:t>
                  </w:r>
                </w:p>
              </w:tc>
              <w:tc>
                <w:tcPr>
                  <w:tcW w:w="2113" w:type="pct"/>
                  <w:noWrap w:val="0"/>
                  <w:vAlign w:val="center"/>
                </w:tcPr>
                <w:p w14:paraId="186F01CA">
                  <w:pPr>
                    <w:adjustRightInd w:val="0"/>
                    <w:jc w:val="center"/>
                    <w:rPr>
                      <w:color w:val="000000"/>
                      <w:kern w:val="0"/>
                      <w:szCs w:val="21"/>
                      <w:highlight w:val="none"/>
                      <w:u w:val="none"/>
                    </w:rPr>
                  </w:pPr>
                  <w:r>
                    <w:rPr>
                      <w:rFonts w:hint="eastAsia"/>
                      <w:color w:val="000000"/>
                      <w:kern w:val="0"/>
                      <w:szCs w:val="21"/>
                      <w:highlight w:val="none"/>
                      <w:u w:val="none"/>
                    </w:rPr>
                    <w:t>无变化</w:t>
                  </w:r>
                </w:p>
              </w:tc>
              <w:tc>
                <w:tcPr>
                  <w:tcW w:w="1802" w:type="pct"/>
                  <w:noWrap w:val="0"/>
                  <w:vAlign w:val="center"/>
                </w:tcPr>
                <w:p w14:paraId="19BAC802">
                  <w:pPr>
                    <w:adjustRightInd w:val="0"/>
                    <w:jc w:val="center"/>
                    <w:rPr>
                      <w:color w:val="000000"/>
                      <w:kern w:val="0"/>
                      <w:szCs w:val="21"/>
                      <w:highlight w:val="none"/>
                      <w:u w:val="none"/>
                    </w:rPr>
                  </w:pPr>
                  <w:r>
                    <w:rPr>
                      <w:rFonts w:hint="eastAsia"/>
                      <w:color w:val="000000"/>
                      <w:kern w:val="0"/>
                      <w:szCs w:val="21"/>
                      <w:highlight w:val="none"/>
                      <w:u w:val="none"/>
                    </w:rPr>
                    <w:t>依托已有化粪池</w:t>
                  </w:r>
                </w:p>
              </w:tc>
            </w:tr>
            <w:tr w14:paraId="14586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267" w:type="pct"/>
                  <w:vMerge w:val="continue"/>
                  <w:noWrap w:val="0"/>
                  <w:vAlign w:val="center"/>
                </w:tcPr>
                <w:p w14:paraId="173ABDE7">
                  <w:pPr>
                    <w:jc w:val="center"/>
                    <w:rPr>
                      <w:color w:val="000000"/>
                      <w:szCs w:val="21"/>
                      <w:highlight w:val="none"/>
                      <w:u w:val="none"/>
                    </w:rPr>
                  </w:pPr>
                </w:p>
              </w:tc>
              <w:tc>
                <w:tcPr>
                  <w:tcW w:w="816" w:type="pct"/>
                  <w:noWrap w:val="0"/>
                  <w:vAlign w:val="center"/>
                </w:tcPr>
                <w:p w14:paraId="2B3AADE9">
                  <w:pPr>
                    <w:adjustRightInd w:val="0"/>
                    <w:jc w:val="center"/>
                    <w:rPr>
                      <w:color w:val="000000"/>
                      <w:kern w:val="0"/>
                      <w:szCs w:val="21"/>
                      <w:highlight w:val="none"/>
                      <w:u w:val="none"/>
                    </w:rPr>
                  </w:pPr>
                  <w:r>
                    <w:rPr>
                      <w:color w:val="000000"/>
                      <w:kern w:val="0"/>
                      <w:szCs w:val="21"/>
                      <w:highlight w:val="none"/>
                      <w:u w:val="none"/>
                    </w:rPr>
                    <w:t>危废暂存间</w:t>
                  </w:r>
                </w:p>
              </w:tc>
              <w:tc>
                <w:tcPr>
                  <w:tcW w:w="2113" w:type="pct"/>
                  <w:noWrap w:val="0"/>
                  <w:vAlign w:val="center"/>
                </w:tcPr>
                <w:p w14:paraId="74238DD0">
                  <w:pPr>
                    <w:adjustRightInd w:val="0"/>
                    <w:jc w:val="center"/>
                    <w:rPr>
                      <w:color w:val="000000"/>
                      <w:kern w:val="0"/>
                      <w:szCs w:val="21"/>
                      <w:highlight w:val="none"/>
                      <w:u w:val="none"/>
                      <w:vertAlign w:val="superscript"/>
                    </w:rPr>
                  </w:pPr>
                  <w:r>
                    <w:rPr>
                      <w:rFonts w:hint="eastAsia"/>
                      <w:color w:val="000000"/>
                      <w:szCs w:val="21"/>
                      <w:highlight w:val="none"/>
                      <w:u w:val="none"/>
                      <w:lang w:val="en-US" w:eastAsia="zh-CN"/>
                    </w:rPr>
                    <w:t>10</w:t>
                  </w:r>
                  <w:r>
                    <w:rPr>
                      <w:color w:val="000000"/>
                      <w:szCs w:val="21"/>
                      <w:highlight w:val="none"/>
                      <w:u w:val="none"/>
                    </w:rPr>
                    <w:t>m</w:t>
                  </w:r>
                  <w:r>
                    <w:rPr>
                      <w:rFonts w:hint="eastAsia"/>
                      <w:color w:val="000000"/>
                      <w:szCs w:val="21"/>
                      <w:highlight w:val="none"/>
                      <w:u w:val="none"/>
                      <w:vertAlign w:val="superscript"/>
                    </w:rPr>
                    <w:t>2</w:t>
                  </w:r>
                </w:p>
              </w:tc>
              <w:tc>
                <w:tcPr>
                  <w:tcW w:w="1802" w:type="pct"/>
                  <w:noWrap w:val="0"/>
                  <w:vAlign w:val="center"/>
                </w:tcPr>
                <w:p w14:paraId="35125749">
                  <w:pPr>
                    <w:adjustRightInd w:val="0"/>
                    <w:jc w:val="center"/>
                    <w:rPr>
                      <w:rFonts w:hint="default" w:eastAsia="宋体"/>
                      <w:color w:val="000000"/>
                      <w:kern w:val="0"/>
                      <w:szCs w:val="21"/>
                      <w:highlight w:val="none"/>
                      <w:u w:val="none"/>
                      <w:lang w:val="en-US" w:eastAsia="zh-CN"/>
                    </w:rPr>
                  </w:pPr>
                  <w:r>
                    <w:rPr>
                      <w:rFonts w:hint="eastAsia"/>
                      <w:color w:val="000000"/>
                      <w:kern w:val="0"/>
                      <w:szCs w:val="21"/>
                      <w:highlight w:val="none"/>
                      <w:u w:val="none"/>
                      <w:lang w:val="en-US" w:eastAsia="zh-CN"/>
                    </w:rPr>
                    <w:t>拆除原有危废暂存间，重新规划建设</w:t>
                  </w:r>
                </w:p>
              </w:tc>
            </w:tr>
            <w:tr w14:paraId="4BDBC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267" w:type="pct"/>
                  <w:vMerge w:val="continue"/>
                  <w:noWrap w:val="0"/>
                  <w:vAlign w:val="center"/>
                </w:tcPr>
                <w:p w14:paraId="636B09C8">
                  <w:pPr>
                    <w:jc w:val="center"/>
                    <w:rPr>
                      <w:color w:val="000000"/>
                      <w:szCs w:val="21"/>
                      <w:highlight w:val="none"/>
                      <w:u w:val="none"/>
                    </w:rPr>
                  </w:pPr>
                </w:p>
              </w:tc>
              <w:tc>
                <w:tcPr>
                  <w:tcW w:w="816" w:type="pct"/>
                  <w:noWrap w:val="0"/>
                  <w:vAlign w:val="center"/>
                </w:tcPr>
                <w:p w14:paraId="036E7310">
                  <w:pPr>
                    <w:adjustRightInd w:val="0"/>
                    <w:jc w:val="center"/>
                    <w:rPr>
                      <w:color w:val="000000"/>
                      <w:kern w:val="0"/>
                      <w:szCs w:val="21"/>
                      <w:highlight w:val="none"/>
                      <w:u w:val="none"/>
                    </w:rPr>
                  </w:pPr>
                  <w:r>
                    <w:rPr>
                      <w:color w:val="000000"/>
                      <w:kern w:val="0"/>
                      <w:szCs w:val="21"/>
                      <w:highlight w:val="none"/>
                      <w:u w:val="none"/>
                    </w:rPr>
                    <w:t>一般固废暂存区</w:t>
                  </w:r>
                </w:p>
              </w:tc>
              <w:tc>
                <w:tcPr>
                  <w:tcW w:w="2113" w:type="pct"/>
                  <w:noWrap w:val="0"/>
                  <w:vAlign w:val="center"/>
                </w:tcPr>
                <w:p w14:paraId="4510D5A5">
                  <w:pPr>
                    <w:adjustRightInd w:val="0"/>
                    <w:jc w:val="center"/>
                    <w:rPr>
                      <w:rFonts w:hint="eastAsia"/>
                      <w:color w:val="000000"/>
                      <w:kern w:val="0"/>
                      <w:szCs w:val="21"/>
                      <w:highlight w:val="none"/>
                      <w:u w:val="none"/>
                    </w:rPr>
                  </w:pPr>
                  <w:r>
                    <w:rPr>
                      <w:rFonts w:hint="eastAsia"/>
                      <w:color w:val="000000"/>
                      <w:szCs w:val="21"/>
                      <w:highlight w:val="none"/>
                      <w:u w:val="none"/>
                    </w:rPr>
                    <w:t>10</w:t>
                  </w:r>
                  <w:r>
                    <w:rPr>
                      <w:color w:val="000000"/>
                      <w:szCs w:val="21"/>
                      <w:highlight w:val="none"/>
                      <w:u w:val="none"/>
                    </w:rPr>
                    <w:t>m</w:t>
                  </w:r>
                  <w:r>
                    <w:rPr>
                      <w:rFonts w:hint="eastAsia"/>
                      <w:color w:val="000000"/>
                      <w:szCs w:val="21"/>
                      <w:highlight w:val="none"/>
                      <w:u w:val="none"/>
                      <w:vertAlign w:val="superscript"/>
                    </w:rPr>
                    <w:t>2</w:t>
                  </w:r>
                </w:p>
              </w:tc>
              <w:tc>
                <w:tcPr>
                  <w:tcW w:w="1802" w:type="pct"/>
                  <w:noWrap w:val="0"/>
                  <w:vAlign w:val="center"/>
                </w:tcPr>
                <w:p w14:paraId="006B46A8">
                  <w:pPr>
                    <w:adjustRightInd w:val="0"/>
                    <w:jc w:val="center"/>
                    <w:rPr>
                      <w:color w:val="000000"/>
                      <w:kern w:val="0"/>
                      <w:szCs w:val="21"/>
                      <w:highlight w:val="none"/>
                      <w:u w:val="none"/>
                    </w:rPr>
                  </w:pPr>
                  <w:r>
                    <w:rPr>
                      <w:rFonts w:hint="eastAsia"/>
                      <w:color w:val="000000"/>
                      <w:kern w:val="0"/>
                      <w:szCs w:val="21"/>
                      <w:highlight w:val="none"/>
                      <w:u w:val="none"/>
                      <w:lang w:val="en-US" w:eastAsia="zh-CN"/>
                    </w:rPr>
                    <w:t>拆除原有一般固废暂存区，重新规划建设</w:t>
                  </w:r>
                </w:p>
              </w:tc>
            </w:tr>
          </w:tbl>
          <w:p w14:paraId="466AEB9B">
            <w:pPr>
              <w:spacing w:line="360" w:lineRule="auto"/>
              <w:ind w:firstLine="480" w:firstLineChars="200"/>
              <w:rPr>
                <w:rFonts w:hint="eastAsia"/>
                <w:color w:val="000000"/>
                <w:sz w:val="24"/>
                <w:szCs w:val="24"/>
                <w:lang w:val="en-US" w:eastAsia="zh-CN"/>
              </w:rPr>
            </w:pPr>
            <w:r>
              <w:rPr>
                <w:rFonts w:hint="eastAsia"/>
                <w:color w:val="000000"/>
                <w:sz w:val="24"/>
                <w:szCs w:val="24"/>
                <w:lang w:val="en-US" w:eastAsia="zh-CN"/>
              </w:rPr>
              <w:t>项目调查期间，生产车间内原有生产设备设施及环境治理设施已全部清空。</w:t>
            </w:r>
          </w:p>
          <w:p w14:paraId="03B99CD9">
            <w:pPr>
              <w:spacing w:line="360" w:lineRule="auto"/>
              <w:rPr>
                <w:b/>
                <w:color w:val="000000"/>
                <w:sz w:val="24"/>
                <w:szCs w:val="24"/>
              </w:rPr>
            </w:pPr>
            <w:r>
              <w:rPr>
                <w:rFonts w:hint="eastAsia"/>
                <w:b/>
                <w:color w:val="000000"/>
                <w:sz w:val="24"/>
                <w:szCs w:val="24"/>
              </w:rPr>
              <w:t>3</w:t>
            </w:r>
            <w:r>
              <w:rPr>
                <w:b/>
                <w:color w:val="000000"/>
                <w:sz w:val="24"/>
                <w:szCs w:val="24"/>
              </w:rPr>
              <w:t>.主要产品及产能</w:t>
            </w:r>
          </w:p>
          <w:p w14:paraId="5990EE76">
            <w:pPr>
              <w:spacing w:line="360" w:lineRule="auto"/>
              <w:ind w:firstLine="480" w:firstLineChars="200"/>
              <w:rPr>
                <w:color w:val="000000"/>
                <w:sz w:val="24"/>
                <w:szCs w:val="24"/>
              </w:rPr>
            </w:pPr>
            <w:r>
              <w:rPr>
                <w:rFonts w:hint="eastAsia"/>
                <w:color w:val="000000"/>
                <w:sz w:val="24"/>
                <w:szCs w:val="24"/>
                <w:lang w:val="en-US" w:eastAsia="zh-CN"/>
              </w:rPr>
              <w:t>本次改建拟对设备去旧换新，新增全自动注塑射出机、搅拌锅等设备，用于生产鞋料及鞋底</w:t>
            </w:r>
            <w:r>
              <w:rPr>
                <w:rFonts w:hint="eastAsia"/>
                <w:color w:val="000000"/>
                <w:sz w:val="24"/>
                <w:szCs w:val="24"/>
              </w:rPr>
              <w:t>。改建后</w:t>
            </w:r>
            <w:r>
              <w:rPr>
                <w:color w:val="000000"/>
                <w:sz w:val="24"/>
                <w:szCs w:val="24"/>
              </w:rPr>
              <w:t>产品方案</w:t>
            </w:r>
            <w:r>
              <w:rPr>
                <w:rFonts w:hint="eastAsia"/>
                <w:color w:val="000000"/>
                <w:sz w:val="24"/>
                <w:szCs w:val="24"/>
              </w:rPr>
              <w:t>对比情况</w:t>
            </w:r>
            <w:r>
              <w:rPr>
                <w:color w:val="000000"/>
                <w:sz w:val="24"/>
                <w:szCs w:val="24"/>
              </w:rPr>
              <w:t>见下表。</w:t>
            </w:r>
          </w:p>
          <w:p w14:paraId="234286B6">
            <w:pPr>
              <w:spacing w:before="93" w:beforeLines="30"/>
              <w:jc w:val="center"/>
              <w:rPr>
                <w:rFonts w:ascii="黑体" w:eastAsia="黑体"/>
                <w:color w:val="000000"/>
                <w:sz w:val="24"/>
                <w:szCs w:val="24"/>
              </w:rPr>
            </w:pPr>
            <w:r>
              <w:rPr>
                <w:rFonts w:hint="eastAsia" w:ascii="黑体" w:eastAsia="黑体"/>
                <w:color w:val="000000"/>
                <w:sz w:val="24"/>
                <w:szCs w:val="24"/>
              </w:rPr>
              <w:t>表1</w:t>
            </w:r>
            <w:r>
              <w:rPr>
                <w:rFonts w:hint="eastAsia" w:ascii="黑体" w:eastAsia="黑体"/>
                <w:color w:val="000000"/>
                <w:sz w:val="24"/>
                <w:szCs w:val="24"/>
                <w:lang w:val="en-US" w:eastAsia="zh-CN"/>
              </w:rPr>
              <w:t>8</w:t>
            </w:r>
            <w:r>
              <w:rPr>
                <w:rFonts w:hint="eastAsia" w:ascii="黑体" w:eastAsia="黑体"/>
                <w:color w:val="000000"/>
                <w:sz w:val="24"/>
                <w:szCs w:val="24"/>
              </w:rPr>
              <w:t xml:space="preserve">    改建后产品方案一览表</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3248"/>
              <w:gridCol w:w="2140"/>
              <w:gridCol w:w="2851"/>
            </w:tblGrid>
            <w:tr w14:paraId="46553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0" w:hRule="atLeast"/>
                <w:jc w:val="center"/>
              </w:trPr>
              <w:tc>
                <w:tcPr>
                  <w:tcW w:w="5000" w:type="pct"/>
                  <w:gridSpan w:val="3"/>
                  <w:noWrap w:val="0"/>
                  <w:vAlign w:val="center"/>
                </w:tcPr>
                <w:p w14:paraId="6D5E2C8A">
                  <w:pPr>
                    <w:jc w:val="center"/>
                    <w:rPr>
                      <w:rFonts w:hint="eastAsia"/>
                      <w:color w:val="000000"/>
                      <w:szCs w:val="21"/>
                      <w:u w:val="single"/>
                    </w:rPr>
                  </w:pPr>
                  <w:r>
                    <w:rPr>
                      <w:rFonts w:hint="eastAsia"/>
                      <w:color w:val="000000"/>
                      <w:szCs w:val="21"/>
                      <w:u w:val="single"/>
                    </w:rPr>
                    <w:t>改建后产品方案</w:t>
                  </w:r>
                </w:p>
              </w:tc>
            </w:tr>
            <w:tr w14:paraId="48442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0" w:hRule="atLeast"/>
                <w:jc w:val="center"/>
              </w:trPr>
              <w:tc>
                <w:tcPr>
                  <w:tcW w:w="1971" w:type="pct"/>
                  <w:noWrap w:val="0"/>
                  <w:vAlign w:val="center"/>
                </w:tcPr>
                <w:p w14:paraId="2A49C4F9">
                  <w:pPr>
                    <w:jc w:val="center"/>
                    <w:rPr>
                      <w:color w:val="000000"/>
                      <w:szCs w:val="21"/>
                      <w:u w:val="single"/>
                    </w:rPr>
                  </w:pPr>
                  <w:r>
                    <w:rPr>
                      <w:rFonts w:hint="eastAsia"/>
                      <w:color w:val="000000"/>
                      <w:szCs w:val="21"/>
                      <w:u w:val="single"/>
                    </w:rPr>
                    <w:t>产品名称</w:t>
                  </w:r>
                </w:p>
              </w:tc>
              <w:tc>
                <w:tcPr>
                  <w:tcW w:w="1299" w:type="pct"/>
                  <w:noWrap w:val="0"/>
                  <w:vAlign w:val="center"/>
                </w:tcPr>
                <w:p w14:paraId="626BE9B0">
                  <w:pPr>
                    <w:jc w:val="center"/>
                    <w:rPr>
                      <w:color w:val="000000"/>
                      <w:szCs w:val="21"/>
                      <w:u w:val="single"/>
                    </w:rPr>
                  </w:pPr>
                  <w:r>
                    <w:rPr>
                      <w:rFonts w:hint="eastAsia"/>
                      <w:color w:val="000000"/>
                      <w:szCs w:val="21"/>
                      <w:u w:val="single"/>
                    </w:rPr>
                    <w:t>年产量</w:t>
                  </w:r>
                </w:p>
              </w:tc>
              <w:tc>
                <w:tcPr>
                  <w:tcW w:w="1728" w:type="pct"/>
                  <w:noWrap w:val="0"/>
                  <w:vAlign w:val="center"/>
                </w:tcPr>
                <w:p w14:paraId="33A91E1B">
                  <w:pPr>
                    <w:jc w:val="center"/>
                    <w:rPr>
                      <w:rFonts w:hint="eastAsia" w:eastAsia="宋体"/>
                      <w:color w:val="000000"/>
                      <w:szCs w:val="21"/>
                      <w:u w:val="single"/>
                      <w:lang w:val="en-US" w:eastAsia="zh-CN"/>
                    </w:rPr>
                  </w:pPr>
                  <w:r>
                    <w:rPr>
                      <w:rFonts w:hint="eastAsia"/>
                      <w:color w:val="000000"/>
                      <w:szCs w:val="21"/>
                      <w:u w:val="single"/>
                      <w:lang w:val="en-US" w:eastAsia="zh-CN"/>
                    </w:rPr>
                    <w:t>备注</w:t>
                  </w:r>
                </w:p>
              </w:tc>
            </w:tr>
            <w:tr w14:paraId="6FDFF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0" w:hRule="atLeast"/>
                <w:jc w:val="center"/>
              </w:trPr>
              <w:tc>
                <w:tcPr>
                  <w:tcW w:w="1971" w:type="pct"/>
                  <w:noWrap w:val="0"/>
                  <w:vAlign w:val="center"/>
                </w:tcPr>
                <w:p w14:paraId="35B0DB5F">
                  <w:pPr>
                    <w:pStyle w:val="41"/>
                    <w:spacing w:line="240" w:lineRule="auto"/>
                    <w:rPr>
                      <w:rFonts w:hint="eastAsia" w:ascii="Times New Roman" w:hAnsi="Times New Roman" w:eastAsia="宋体" w:cs="Times New Roman"/>
                      <w:color w:val="000000"/>
                      <w:kern w:val="0"/>
                      <w:u w:val="single"/>
                      <w:lang w:val="en-US" w:eastAsia="zh-CN"/>
                    </w:rPr>
                  </w:pPr>
                  <w:r>
                    <w:rPr>
                      <w:rFonts w:hint="default" w:ascii="Times New Roman" w:hAnsi="Times New Roman" w:eastAsia="宋体" w:cs="Times New Roman"/>
                      <w:color w:val="000000"/>
                      <w:kern w:val="0"/>
                      <w:u w:val="single"/>
                      <w:lang w:val="en-US" w:eastAsia="zh-CN"/>
                    </w:rPr>
                    <w:t>PVC鞋底</w:t>
                  </w:r>
                </w:p>
              </w:tc>
              <w:tc>
                <w:tcPr>
                  <w:tcW w:w="1299" w:type="pct"/>
                  <w:noWrap w:val="0"/>
                  <w:vAlign w:val="center"/>
                </w:tcPr>
                <w:p w14:paraId="793CCCEA">
                  <w:pPr>
                    <w:pStyle w:val="41"/>
                    <w:spacing w:line="240" w:lineRule="auto"/>
                    <w:rPr>
                      <w:rFonts w:hint="default" w:ascii="Times New Roman" w:hAnsi="Times New Roman" w:eastAsia="宋体" w:cs="Times New Roman"/>
                      <w:color w:val="000000"/>
                      <w:kern w:val="0"/>
                      <w:u w:val="single"/>
                      <w:lang w:val="en-US" w:eastAsia="zh-CN"/>
                    </w:rPr>
                  </w:pPr>
                  <w:r>
                    <w:rPr>
                      <w:rFonts w:hint="eastAsia" w:ascii="Times New Roman" w:hAnsi="Times New Roman" w:eastAsia="宋体" w:cs="Times New Roman"/>
                      <w:color w:val="000000"/>
                      <w:kern w:val="0"/>
                      <w:u w:val="single"/>
                      <w:lang w:val="en-US" w:eastAsia="zh-CN"/>
                    </w:rPr>
                    <w:t>50万双</w:t>
                  </w:r>
                </w:p>
              </w:tc>
              <w:tc>
                <w:tcPr>
                  <w:tcW w:w="1728" w:type="pct"/>
                  <w:noWrap w:val="0"/>
                  <w:vAlign w:val="center"/>
                </w:tcPr>
                <w:p w14:paraId="14A1DA71">
                  <w:pPr>
                    <w:pStyle w:val="41"/>
                    <w:spacing w:line="240" w:lineRule="auto"/>
                    <w:rPr>
                      <w:rFonts w:hint="default" w:ascii="Times New Roman" w:hAnsi="Times New Roman" w:eastAsia="宋体" w:cs="Times New Roman"/>
                      <w:color w:val="000000"/>
                      <w:kern w:val="0"/>
                      <w:u w:val="single"/>
                      <w:lang w:val="en-US" w:eastAsia="zh-CN"/>
                    </w:rPr>
                  </w:pPr>
                  <w:r>
                    <w:rPr>
                      <w:rFonts w:hint="eastAsia" w:cs="Times New Roman"/>
                      <w:color w:val="000000"/>
                      <w:kern w:val="0"/>
                      <w:u w:val="single"/>
                      <w:lang w:val="en-US" w:eastAsia="zh-CN"/>
                    </w:rPr>
                    <w:t>利用82.5tPVC鞋料生产</w:t>
                  </w:r>
                </w:p>
              </w:tc>
            </w:tr>
            <w:tr w14:paraId="498A7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0" w:hRule="atLeast"/>
                <w:jc w:val="center"/>
              </w:trPr>
              <w:tc>
                <w:tcPr>
                  <w:tcW w:w="1971" w:type="pct"/>
                  <w:noWrap w:val="0"/>
                  <w:vAlign w:val="center"/>
                </w:tcPr>
                <w:p w14:paraId="65BAC79A">
                  <w:pPr>
                    <w:pStyle w:val="41"/>
                    <w:spacing w:line="240" w:lineRule="auto"/>
                    <w:rPr>
                      <w:rFonts w:hint="eastAsia" w:ascii="Times New Roman" w:hAnsi="Times New Roman" w:eastAsia="宋体" w:cs="Times New Roman"/>
                      <w:color w:val="000000"/>
                      <w:kern w:val="0"/>
                      <w:u w:val="single"/>
                      <w:lang w:val="en-US" w:eastAsia="zh-CN"/>
                    </w:rPr>
                  </w:pPr>
                  <w:r>
                    <w:rPr>
                      <w:rFonts w:hint="default" w:ascii="Times New Roman" w:hAnsi="Times New Roman" w:eastAsia="宋体" w:cs="Times New Roman"/>
                      <w:color w:val="000000"/>
                      <w:kern w:val="0"/>
                      <w:u w:val="single"/>
                      <w:lang w:val="en-US" w:eastAsia="zh-CN"/>
                    </w:rPr>
                    <w:t>PVC</w:t>
                  </w:r>
                  <w:r>
                    <w:rPr>
                      <w:rFonts w:hint="eastAsia" w:ascii="Times New Roman" w:hAnsi="Times New Roman" w:eastAsia="宋体" w:cs="Times New Roman"/>
                      <w:color w:val="000000"/>
                      <w:kern w:val="0"/>
                      <w:u w:val="single"/>
                      <w:lang w:val="en-US" w:eastAsia="zh-CN"/>
                    </w:rPr>
                    <w:t>鞋料</w:t>
                  </w:r>
                </w:p>
              </w:tc>
              <w:tc>
                <w:tcPr>
                  <w:tcW w:w="1299" w:type="pct"/>
                  <w:noWrap w:val="0"/>
                  <w:vAlign w:val="center"/>
                </w:tcPr>
                <w:p w14:paraId="69946461">
                  <w:pPr>
                    <w:pStyle w:val="41"/>
                    <w:spacing w:line="240" w:lineRule="auto"/>
                    <w:rPr>
                      <w:rFonts w:hint="default" w:ascii="Times New Roman" w:hAnsi="Times New Roman" w:eastAsia="宋体" w:cs="Times New Roman"/>
                      <w:color w:val="000000"/>
                      <w:kern w:val="0"/>
                      <w:u w:val="single"/>
                      <w:lang w:val="en-US" w:eastAsia="zh-CN"/>
                    </w:rPr>
                  </w:pPr>
                  <w:r>
                    <w:rPr>
                      <w:rFonts w:hint="eastAsia" w:ascii="Times New Roman" w:hAnsi="Times New Roman" w:eastAsia="宋体" w:cs="Times New Roman"/>
                      <w:color w:val="000000"/>
                      <w:kern w:val="0"/>
                      <w:u w:val="single"/>
                      <w:lang w:val="en-US" w:eastAsia="zh-CN"/>
                    </w:rPr>
                    <w:t>300吨</w:t>
                  </w:r>
                </w:p>
              </w:tc>
              <w:tc>
                <w:tcPr>
                  <w:tcW w:w="1728" w:type="pct"/>
                  <w:noWrap w:val="0"/>
                  <w:vAlign w:val="center"/>
                </w:tcPr>
                <w:p w14:paraId="10E4DD39">
                  <w:pPr>
                    <w:pStyle w:val="41"/>
                    <w:spacing w:line="240" w:lineRule="auto"/>
                    <w:rPr>
                      <w:rFonts w:hint="default" w:ascii="Times New Roman" w:hAnsi="Times New Roman" w:eastAsia="宋体" w:cs="Times New Roman"/>
                      <w:color w:val="000000"/>
                      <w:kern w:val="0"/>
                      <w:u w:val="single"/>
                      <w:lang w:val="en-US" w:eastAsia="zh-CN"/>
                    </w:rPr>
                  </w:pPr>
                  <w:r>
                    <w:rPr>
                      <w:rFonts w:hint="eastAsia" w:cs="Times New Roman"/>
                      <w:color w:val="000000"/>
                      <w:kern w:val="0"/>
                      <w:u w:val="single"/>
                      <w:lang w:val="en-US" w:eastAsia="zh-CN"/>
                    </w:rPr>
                    <w:t>217.5t</w:t>
                  </w:r>
                  <w:r>
                    <w:rPr>
                      <w:rFonts w:hint="default" w:ascii="Times New Roman" w:hAnsi="Times New Roman" w:eastAsia="宋体" w:cs="Times New Roman"/>
                      <w:color w:val="000000"/>
                      <w:kern w:val="0"/>
                      <w:u w:val="single"/>
                      <w:lang w:val="en-US" w:eastAsia="zh-CN"/>
                    </w:rPr>
                    <w:t>PVC</w:t>
                  </w:r>
                  <w:r>
                    <w:rPr>
                      <w:rFonts w:hint="eastAsia" w:ascii="Times New Roman" w:hAnsi="Times New Roman" w:eastAsia="宋体" w:cs="Times New Roman"/>
                      <w:color w:val="000000"/>
                      <w:kern w:val="0"/>
                      <w:u w:val="single"/>
                      <w:lang w:val="en-US" w:eastAsia="zh-CN"/>
                    </w:rPr>
                    <w:t>鞋料</w:t>
                  </w:r>
                  <w:r>
                    <w:rPr>
                      <w:rFonts w:hint="eastAsia" w:cs="Times New Roman"/>
                      <w:color w:val="000000"/>
                      <w:kern w:val="0"/>
                      <w:u w:val="single"/>
                      <w:lang w:val="en-US" w:eastAsia="zh-CN"/>
                    </w:rPr>
                    <w:t>外售</w:t>
                  </w:r>
                </w:p>
              </w:tc>
            </w:tr>
          </w:tbl>
          <w:p w14:paraId="2EB922E4">
            <w:pPr>
              <w:spacing w:line="360" w:lineRule="auto"/>
              <w:rPr>
                <w:rFonts w:hint="eastAsia"/>
                <w:b/>
                <w:color w:val="000000"/>
                <w:sz w:val="24"/>
                <w:szCs w:val="24"/>
                <w:u w:val="none"/>
              </w:rPr>
            </w:pPr>
            <w:r>
              <w:rPr>
                <w:rFonts w:hint="eastAsia"/>
                <w:b/>
                <w:color w:val="000000"/>
                <w:sz w:val="24"/>
                <w:szCs w:val="24"/>
                <w:u w:val="none"/>
              </w:rPr>
              <w:t>4</w:t>
            </w:r>
            <w:r>
              <w:rPr>
                <w:b/>
                <w:color w:val="000000"/>
                <w:sz w:val="24"/>
                <w:szCs w:val="24"/>
                <w:u w:val="none"/>
              </w:rPr>
              <w:t>.主要生产</w:t>
            </w:r>
            <w:r>
              <w:rPr>
                <w:rFonts w:hint="eastAsia"/>
                <w:b/>
                <w:color w:val="000000"/>
                <w:sz w:val="24"/>
                <w:szCs w:val="24"/>
                <w:u w:val="none"/>
              </w:rPr>
              <w:t>设备</w:t>
            </w:r>
          </w:p>
          <w:p w14:paraId="4DA86F40">
            <w:pPr>
              <w:adjustRightInd w:val="0"/>
              <w:spacing w:line="360" w:lineRule="auto"/>
              <w:ind w:firstLine="435"/>
              <w:rPr>
                <w:rFonts w:hint="eastAsia"/>
                <w:color w:val="000000"/>
                <w:sz w:val="24"/>
                <w:szCs w:val="24"/>
                <w:u w:val="none"/>
              </w:rPr>
            </w:pPr>
            <w:r>
              <w:rPr>
                <w:rFonts w:hint="eastAsia"/>
                <w:bCs/>
                <w:color w:val="000000"/>
                <w:sz w:val="24"/>
                <w:szCs w:val="24"/>
                <w:u w:val="none"/>
              </w:rPr>
              <w:t>本次改建</w:t>
            </w:r>
            <w:r>
              <w:rPr>
                <w:rFonts w:hint="eastAsia"/>
                <w:bCs/>
                <w:color w:val="000000"/>
                <w:sz w:val="24"/>
                <w:szCs w:val="24"/>
                <w:u w:val="none"/>
                <w:lang w:val="en-US" w:eastAsia="zh-CN"/>
              </w:rPr>
              <w:t>拟对现有设备去旧换新，</w:t>
            </w:r>
            <w:r>
              <w:rPr>
                <w:rFonts w:hint="eastAsia"/>
                <w:color w:val="000000"/>
                <w:sz w:val="24"/>
                <w:szCs w:val="24"/>
                <w:lang w:val="en-US" w:eastAsia="zh-CN"/>
              </w:rPr>
              <w:t>新增全自动注塑射出机、投料搅拌锅等设备</w:t>
            </w:r>
            <w:r>
              <w:rPr>
                <w:rFonts w:hint="eastAsia"/>
                <w:bCs/>
                <w:color w:val="000000"/>
                <w:sz w:val="24"/>
                <w:szCs w:val="24"/>
                <w:u w:val="none"/>
                <w:lang w:val="en-US" w:eastAsia="zh-CN"/>
              </w:rPr>
              <w:t>，同时根据需要配备废气治理设施。现有工程主要生产设备为冲床、开平线、剪板机等，项目调查期间，现有工程生产设备及环保设施已全部清理完毕，生产车间已全部清空。本项目主要</w:t>
            </w:r>
            <w:r>
              <w:rPr>
                <w:rFonts w:hint="eastAsia"/>
                <w:bCs/>
                <w:color w:val="000000"/>
                <w:sz w:val="24"/>
                <w:szCs w:val="24"/>
                <w:u w:val="none"/>
              </w:rPr>
              <w:t>设备见</w:t>
            </w:r>
            <w:r>
              <w:rPr>
                <w:bCs/>
                <w:color w:val="000000"/>
                <w:sz w:val="24"/>
                <w:szCs w:val="24"/>
                <w:u w:val="none"/>
              </w:rPr>
              <w:t>下表。</w:t>
            </w:r>
          </w:p>
          <w:p w14:paraId="10368ED2">
            <w:pPr>
              <w:spacing w:before="93" w:beforeLines="30"/>
              <w:jc w:val="center"/>
              <w:rPr>
                <w:rFonts w:hint="eastAsia"/>
                <w:bCs/>
                <w:color w:val="000000"/>
                <w:sz w:val="24"/>
                <w:szCs w:val="24"/>
                <w:u w:val="none"/>
              </w:rPr>
            </w:pPr>
            <w:r>
              <w:rPr>
                <w:rFonts w:hint="eastAsia" w:ascii="黑体" w:eastAsia="黑体"/>
                <w:color w:val="000000"/>
                <w:sz w:val="24"/>
                <w:szCs w:val="24"/>
                <w:u w:val="none"/>
              </w:rPr>
              <w:t>表</w:t>
            </w:r>
            <w:r>
              <w:rPr>
                <w:rFonts w:hint="eastAsia" w:ascii="黑体" w:eastAsia="黑体"/>
                <w:color w:val="000000"/>
                <w:sz w:val="24"/>
                <w:u w:val="none"/>
              </w:rPr>
              <w:t>1</w:t>
            </w:r>
            <w:r>
              <w:rPr>
                <w:rFonts w:hint="eastAsia" w:ascii="黑体" w:eastAsia="黑体"/>
                <w:color w:val="000000"/>
                <w:sz w:val="24"/>
                <w:u w:val="none"/>
                <w:lang w:val="en-US" w:eastAsia="zh-CN"/>
              </w:rPr>
              <w:t>9</w:t>
            </w:r>
            <w:r>
              <w:rPr>
                <w:rFonts w:hint="eastAsia" w:ascii="黑体" w:eastAsia="黑体"/>
                <w:color w:val="000000"/>
                <w:sz w:val="24"/>
                <w:u w:val="none"/>
              </w:rPr>
              <w:t xml:space="preserve">    </w:t>
            </w:r>
            <w:r>
              <w:rPr>
                <w:rFonts w:hint="eastAsia" w:ascii="黑体" w:eastAsia="黑体"/>
                <w:color w:val="000000"/>
                <w:sz w:val="24"/>
                <w:u w:val="none"/>
                <w:lang w:val="en-US" w:eastAsia="zh-CN"/>
              </w:rPr>
              <w:t>改建后</w:t>
            </w:r>
            <w:r>
              <w:rPr>
                <w:rFonts w:hint="eastAsia" w:ascii="黑体" w:eastAsia="黑体"/>
                <w:color w:val="000000"/>
                <w:sz w:val="24"/>
                <w:szCs w:val="24"/>
                <w:u w:val="none"/>
              </w:rPr>
              <w:t>主要生产设备一览表</w:t>
            </w:r>
          </w:p>
          <w:tbl>
            <w:tblPr>
              <w:tblStyle w:val="18"/>
              <w:tblW w:w="499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57" w:type="dxa"/>
                <w:bottom w:w="0" w:type="dxa"/>
                <w:right w:w="57" w:type="dxa"/>
              </w:tblCellMar>
            </w:tblPr>
            <w:tblGrid>
              <w:gridCol w:w="639"/>
              <w:gridCol w:w="2113"/>
              <w:gridCol w:w="1856"/>
              <w:gridCol w:w="1036"/>
              <w:gridCol w:w="2587"/>
            </w:tblGrid>
            <w:tr w14:paraId="2874F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90" w:hRule="atLeast"/>
                <w:jc w:val="center"/>
              </w:trPr>
              <w:tc>
                <w:tcPr>
                  <w:tcW w:w="388" w:type="pct"/>
                  <w:tcBorders>
                    <w:tl2br w:val="nil"/>
                    <w:tr2bl w:val="nil"/>
                  </w:tcBorders>
                  <w:noWrap w:val="0"/>
                  <w:vAlign w:val="center"/>
                </w:tcPr>
                <w:p w14:paraId="702231E6">
                  <w:pPr>
                    <w:pStyle w:val="5"/>
                    <w:spacing w:line="240" w:lineRule="auto"/>
                    <w:ind w:firstLine="0" w:firstLineChars="0"/>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序号</w:t>
                  </w:r>
                </w:p>
              </w:tc>
              <w:tc>
                <w:tcPr>
                  <w:tcW w:w="1283" w:type="pct"/>
                  <w:tcBorders>
                    <w:tl2br w:val="nil"/>
                    <w:tr2bl w:val="nil"/>
                  </w:tcBorders>
                  <w:noWrap w:val="0"/>
                  <w:vAlign w:val="center"/>
                </w:tcPr>
                <w:p w14:paraId="68688C35">
                  <w:pPr>
                    <w:pStyle w:val="5"/>
                    <w:spacing w:line="240" w:lineRule="auto"/>
                    <w:ind w:firstLine="0" w:firstLineChars="0"/>
                    <w:jc w:val="center"/>
                    <w:rPr>
                      <w:rFonts w:hint="eastAsia" w:ascii="Times New Roman" w:hAnsi="Times New Roman" w:eastAsia="宋体" w:cs="Times New Roman"/>
                      <w:color w:val="000000"/>
                      <w:sz w:val="21"/>
                      <w:szCs w:val="21"/>
                      <w:u w:val="none"/>
                      <w:lang w:eastAsia="zh-CN"/>
                    </w:rPr>
                  </w:pPr>
                  <w:r>
                    <w:rPr>
                      <w:rFonts w:hint="eastAsia" w:cs="Times New Roman"/>
                      <w:color w:val="000000"/>
                      <w:sz w:val="21"/>
                      <w:szCs w:val="21"/>
                      <w:u w:val="none"/>
                      <w:lang w:val="en-US" w:eastAsia="zh-CN"/>
                    </w:rPr>
                    <w:t>名称</w:t>
                  </w:r>
                </w:p>
              </w:tc>
              <w:tc>
                <w:tcPr>
                  <w:tcW w:w="1127" w:type="pct"/>
                  <w:tcBorders>
                    <w:tl2br w:val="nil"/>
                    <w:tr2bl w:val="nil"/>
                  </w:tcBorders>
                  <w:noWrap w:val="0"/>
                  <w:vAlign w:val="center"/>
                </w:tcPr>
                <w:p w14:paraId="2BDDCD19">
                  <w:pPr>
                    <w:pStyle w:val="5"/>
                    <w:spacing w:line="240" w:lineRule="auto"/>
                    <w:ind w:firstLine="0" w:firstLineChars="0"/>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rPr>
                    <w:t>设施参数/型号</w:t>
                  </w:r>
                </w:p>
              </w:tc>
              <w:tc>
                <w:tcPr>
                  <w:tcW w:w="629" w:type="pct"/>
                  <w:tcBorders>
                    <w:tl2br w:val="nil"/>
                    <w:tr2bl w:val="nil"/>
                  </w:tcBorders>
                  <w:noWrap w:val="0"/>
                  <w:vAlign w:val="center"/>
                </w:tcPr>
                <w:p w14:paraId="6EB86813">
                  <w:pPr>
                    <w:pStyle w:val="5"/>
                    <w:spacing w:line="240" w:lineRule="auto"/>
                    <w:ind w:firstLine="0" w:firstLineChars="0"/>
                    <w:jc w:val="center"/>
                    <w:rPr>
                      <w:rFonts w:hint="default" w:ascii="Times New Roman" w:hAnsi="Times New Roman" w:cs="Times New Roman"/>
                      <w:color w:val="000000"/>
                      <w:kern w:val="2"/>
                      <w:sz w:val="21"/>
                      <w:szCs w:val="21"/>
                      <w:u w:val="none"/>
                      <w:lang w:val="en-US" w:eastAsia="zh-CN" w:bidi="ar-SA"/>
                    </w:rPr>
                  </w:pPr>
                  <w:r>
                    <w:rPr>
                      <w:rFonts w:hint="default" w:ascii="Times New Roman" w:hAnsi="Times New Roman" w:cs="Times New Roman"/>
                      <w:color w:val="000000"/>
                      <w:sz w:val="21"/>
                      <w:szCs w:val="21"/>
                      <w:u w:val="none"/>
                    </w:rPr>
                    <w:t>数量</w:t>
                  </w:r>
                </w:p>
              </w:tc>
              <w:tc>
                <w:tcPr>
                  <w:tcW w:w="1571" w:type="pct"/>
                  <w:tcBorders>
                    <w:tl2br w:val="nil"/>
                    <w:tr2bl w:val="nil"/>
                  </w:tcBorders>
                  <w:noWrap w:val="0"/>
                  <w:vAlign w:val="center"/>
                </w:tcPr>
                <w:p w14:paraId="47A486AD">
                  <w:pPr>
                    <w:pStyle w:val="5"/>
                    <w:spacing w:line="240" w:lineRule="auto"/>
                    <w:ind w:firstLine="0" w:firstLineChars="0"/>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备注</w:t>
                  </w:r>
                </w:p>
              </w:tc>
            </w:tr>
            <w:tr w14:paraId="7A1D40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90" w:hRule="atLeast"/>
                <w:jc w:val="center"/>
              </w:trPr>
              <w:tc>
                <w:tcPr>
                  <w:tcW w:w="388" w:type="pct"/>
                  <w:tcBorders>
                    <w:tl2br w:val="nil"/>
                    <w:tr2bl w:val="nil"/>
                  </w:tcBorders>
                  <w:noWrap w:val="0"/>
                  <w:vAlign w:val="center"/>
                </w:tcPr>
                <w:p w14:paraId="7B0C7ACC">
                  <w:pPr>
                    <w:pStyle w:val="5"/>
                    <w:spacing w:line="240" w:lineRule="auto"/>
                    <w:ind w:firstLine="0" w:firstLineChars="0"/>
                    <w:jc w:val="center"/>
                    <w:rPr>
                      <w:rFonts w:hint="default" w:ascii="Times New Roman" w:hAnsi="Times New Roman" w:cs="Times New Roman"/>
                      <w:color w:val="000000"/>
                      <w:kern w:val="2"/>
                      <w:sz w:val="21"/>
                      <w:szCs w:val="21"/>
                      <w:u w:val="none"/>
                      <w:lang w:val="en-US" w:eastAsia="zh-CN" w:bidi="ar-SA"/>
                    </w:rPr>
                  </w:pPr>
                  <w:r>
                    <w:rPr>
                      <w:rFonts w:hint="default" w:ascii="Times New Roman" w:hAnsi="Times New Roman" w:cs="Times New Roman"/>
                      <w:color w:val="000000"/>
                      <w:kern w:val="2"/>
                      <w:sz w:val="21"/>
                      <w:szCs w:val="21"/>
                      <w:u w:val="none"/>
                      <w:lang w:val="en-US" w:eastAsia="zh-CN" w:bidi="ar-SA"/>
                    </w:rPr>
                    <w:t>1</w:t>
                  </w:r>
                </w:p>
              </w:tc>
              <w:tc>
                <w:tcPr>
                  <w:tcW w:w="1283" w:type="pct"/>
                  <w:tcBorders>
                    <w:tl2br w:val="nil"/>
                    <w:tr2bl w:val="nil"/>
                  </w:tcBorders>
                  <w:noWrap w:val="0"/>
                  <w:vAlign w:val="center"/>
                </w:tcPr>
                <w:p w14:paraId="1289A8F9">
                  <w:pPr>
                    <w:pStyle w:val="5"/>
                    <w:spacing w:line="240" w:lineRule="auto"/>
                    <w:ind w:firstLine="0" w:firstLineChars="0"/>
                    <w:jc w:val="center"/>
                    <w:rPr>
                      <w:rFonts w:hint="default" w:ascii="Times New Roman" w:hAnsi="Times New Roman" w:cs="Times New Roman"/>
                      <w:color w:val="000000"/>
                      <w:kern w:val="2"/>
                      <w:sz w:val="21"/>
                      <w:szCs w:val="21"/>
                      <w:u w:val="none"/>
                      <w:lang w:val="en-US" w:eastAsia="zh-CN" w:bidi="ar-SA"/>
                    </w:rPr>
                  </w:pPr>
                  <w:r>
                    <w:rPr>
                      <w:rFonts w:hint="default" w:ascii="Times New Roman" w:hAnsi="Times New Roman" w:cs="Times New Roman"/>
                      <w:color w:val="000000"/>
                      <w:kern w:val="2"/>
                      <w:sz w:val="21"/>
                      <w:szCs w:val="21"/>
                      <w:u w:val="none"/>
                      <w:lang w:val="en-US" w:eastAsia="zh-CN" w:bidi="ar-SA"/>
                    </w:rPr>
                    <w:t>全自动注塑射出机</w:t>
                  </w:r>
                </w:p>
              </w:tc>
              <w:tc>
                <w:tcPr>
                  <w:tcW w:w="1127" w:type="pct"/>
                  <w:tcBorders>
                    <w:tl2br w:val="nil"/>
                    <w:tr2bl w:val="nil"/>
                  </w:tcBorders>
                  <w:noWrap w:val="0"/>
                  <w:vAlign w:val="center"/>
                </w:tcPr>
                <w:p w14:paraId="491D0E39">
                  <w:pPr>
                    <w:pStyle w:val="5"/>
                    <w:spacing w:line="240" w:lineRule="auto"/>
                    <w:ind w:firstLine="0" w:firstLineChars="0"/>
                    <w:jc w:val="center"/>
                    <w:rPr>
                      <w:rFonts w:hint="default" w:ascii="Times New Roman" w:hAnsi="Times New Roman" w:eastAsia="宋体"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500M8-SII</w:t>
                  </w:r>
                </w:p>
              </w:tc>
              <w:tc>
                <w:tcPr>
                  <w:tcW w:w="629" w:type="pct"/>
                  <w:tcBorders>
                    <w:tl2br w:val="nil"/>
                    <w:tr2bl w:val="nil"/>
                  </w:tcBorders>
                  <w:noWrap w:val="0"/>
                  <w:vAlign w:val="center"/>
                </w:tcPr>
                <w:p w14:paraId="38B9F494">
                  <w:pPr>
                    <w:pStyle w:val="5"/>
                    <w:spacing w:line="240" w:lineRule="auto"/>
                    <w:ind w:firstLine="0" w:firstLineChars="0"/>
                    <w:jc w:val="center"/>
                    <w:rPr>
                      <w:rFonts w:hint="default" w:ascii="Times New Roman" w:hAnsi="Times New Roman" w:cs="Times New Roman"/>
                      <w:color w:val="000000"/>
                      <w:sz w:val="21"/>
                      <w:szCs w:val="21"/>
                      <w:u w:val="none"/>
                    </w:rPr>
                  </w:pPr>
                  <w:r>
                    <w:rPr>
                      <w:rFonts w:hint="default" w:ascii="Times New Roman" w:hAnsi="Times New Roman" w:cs="Times New Roman"/>
                      <w:color w:val="000000"/>
                      <w:sz w:val="21"/>
                      <w:szCs w:val="21"/>
                      <w:u w:val="none"/>
                      <w:lang w:val="en-US" w:eastAsia="zh-CN"/>
                    </w:rPr>
                    <w:t>4</w:t>
                  </w:r>
                  <w:r>
                    <w:rPr>
                      <w:rFonts w:hint="default" w:ascii="Times New Roman" w:hAnsi="Times New Roman" w:cs="Times New Roman"/>
                      <w:color w:val="000000"/>
                      <w:sz w:val="21"/>
                      <w:szCs w:val="21"/>
                      <w:u w:val="none"/>
                    </w:rPr>
                    <w:t>台</w:t>
                  </w:r>
                </w:p>
              </w:tc>
              <w:tc>
                <w:tcPr>
                  <w:tcW w:w="1571" w:type="pct"/>
                  <w:tcBorders>
                    <w:tl2br w:val="nil"/>
                    <w:tr2bl w:val="nil"/>
                  </w:tcBorders>
                  <w:noWrap w:val="0"/>
                  <w:vAlign w:val="center"/>
                </w:tcPr>
                <w:p w14:paraId="1A56EDB3">
                  <w:pPr>
                    <w:pStyle w:val="5"/>
                    <w:spacing w:line="240" w:lineRule="auto"/>
                    <w:ind w:firstLine="0" w:firstLineChars="0"/>
                    <w:jc w:val="center"/>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配套热压机和烘干机</w:t>
                  </w:r>
                </w:p>
              </w:tc>
            </w:tr>
            <w:tr w14:paraId="533E63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90" w:hRule="atLeast"/>
                <w:jc w:val="center"/>
              </w:trPr>
              <w:tc>
                <w:tcPr>
                  <w:tcW w:w="388" w:type="pct"/>
                  <w:tcBorders>
                    <w:tl2br w:val="nil"/>
                    <w:tr2bl w:val="nil"/>
                  </w:tcBorders>
                  <w:noWrap w:val="0"/>
                  <w:vAlign w:val="center"/>
                </w:tcPr>
                <w:p w14:paraId="6E1887B1">
                  <w:pPr>
                    <w:pStyle w:val="5"/>
                    <w:spacing w:line="240" w:lineRule="auto"/>
                    <w:ind w:firstLine="0" w:firstLineChars="0"/>
                    <w:jc w:val="center"/>
                    <w:rPr>
                      <w:rFonts w:hint="default" w:ascii="Times New Roman" w:hAnsi="Times New Roman" w:cs="Times New Roman"/>
                      <w:color w:val="000000"/>
                      <w:kern w:val="2"/>
                      <w:sz w:val="21"/>
                      <w:szCs w:val="21"/>
                      <w:u w:val="none"/>
                      <w:lang w:val="en-US" w:eastAsia="zh-CN" w:bidi="ar-SA"/>
                    </w:rPr>
                  </w:pPr>
                  <w:r>
                    <w:rPr>
                      <w:rFonts w:hint="default" w:ascii="Times New Roman" w:hAnsi="Times New Roman" w:cs="Times New Roman"/>
                      <w:color w:val="000000"/>
                      <w:kern w:val="2"/>
                      <w:sz w:val="21"/>
                      <w:szCs w:val="21"/>
                      <w:u w:val="none"/>
                      <w:lang w:val="en-US" w:eastAsia="zh-CN" w:bidi="ar-SA"/>
                    </w:rPr>
                    <w:t>2</w:t>
                  </w:r>
                </w:p>
              </w:tc>
              <w:tc>
                <w:tcPr>
                  <w:tcW w:w="1283" w:type="pct"/>
                  <w:tcBorders>
                    <w:tl2br w:val="nil"/>
                    <w:tr2bl w:val="nil"/>
                  </w:tcBorders>
                  <w:noWrap w:val="0"/>
                  <w:vAlign w:val="center"/>
                </w:tcPr>
                <w:p w14:paraId="2587B175">
                  <w:pPr>
                    <w:pStyle w:val="5"/>
                    <w:spacing w:line="240" w:lineRule="auto"/>
                    <w:ind w:firstLine="0" w:firstLineChars="0"/>
                    <w:jc w:val="center"/>
                    <w:rPr>
                      <w:rFonts w:hint="default" w:ascii="Times New Roman" w:hAnsi="Times New Roman" w:cs="Times New Roman"/>
                      <w:color w:val="000000"/>
                      <w:kern w:val="2"/>
                      <w:sz w:val="21"/>
                      <w:szCs w:val="21"/>
                      <w:u w:val="none"/>
                      <w:lang w:val="en-US" w:eastAsia="zh-CN" w:bidi="ar-SA"/>
                    </w:rPr>
                  </w:pPr>
                  <w:r>
                    <w:rPr>
                      <w:rFonts w:hint="default" w:ascii="Times New Roman" w:hAnsi="Times New Roman" w:cs="Times New Roman"/>
                      <w:color w:val="000000"/>
                      <w:kern w:val="2"/>
                      <w:sz w:val="21"/>
                      <w:szCs w:val="21"/>
                      <w:u w:val="none"/>
                      <w:lang w:val="en-US" w:eastAsia="zh-CN" w:bidi="ar-SA"/>
                    </w:rPr>
                    <w:t>投料搅拌锅</w:t>
                  </w:r>
                </w:p>
              </w:tc>
              <w:tc>
                <w:tcPr>
                  <w:tcW w:w="1127" w:type="pct"/>
                  <w:tcBorders>
                    <w:tl2br w:val="nil"/>
                    <w:tr2bl w:val="nil"/>
                  </w:tcBorders>
                  <w:noWrap w:val="0"/>
                  <w:vAlign w:val="center"/>
                </w:tcPr>
                <w:p w14:paraId="64E7F32A">
                  <w:pPr>
                    <w:pStyle w:val="5"/>
                    <w:spacing w:line="240" w:lineRule="auto"/>
                    <w:ind w:firstLine="0" w:firstLineChars="0"/>
                    <w:jc w:val="center"/>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highlight w:val="none"/>
                      <w:u w:val="none"/>
                      <w:lang w:val="en-US" w:eastAsia="zh-CN"/>
                    </w:rPr>
                    <w:t>功率5.0kW</w:t>
                  </w:r>
                </w:p>
              </w:tc>
              <w:tc>
                <w:tcPr>
                  <w:tcW w:w="629" w:type="pct"/>
                  <w:tcBorders>
                    <w:tl2br w:val="nil"/>
                    <w:tr2bl w:val="nil"/>
                  </w:tcBorders>
                  <w:noWrap w:val="0"/>
                  <w:vAlign w:val="center"/>
                </w:tcPr>
                <w:p w14:paraId="3575EB87">
                  <w:pPr>
                    <w:pStyle w:val="5"/>
                    <w:spacing w:line="240" w:lineRule="auto"/>
                    <w:ind w:firstLine="0" w:firstLineChars="0"/>
                    <w:jc w:val="center"/>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2台</w:t>
                  </w:r>
                </w:p>
              </w:tc>
              <w:tc>
                <w:tcPr>
                  <w:tcW w:w="1571" w:type="pct"/>
                  <w:tcBorders>
                    <w:tl2br w:val="nil"/>
                    <w:tr2bl w:val="nil"/>
                  </w:tcBorders>
                  <w:noWrap w:val="0"/>
                  <w:vAlign w:val="center"/>
                </w:tcPr>
                <w:p w14:paraId="5D399DFF">
                  <w:pPr>
                    <w:pStyle w:val="5"/>
                    <w:spacing w:line="240" w:lineRule="auto"/>
                    <w:ind w:firstLine="0" w:firstLineChars="0"/>
                    <w:jc w:val="center"/>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w:t>
                  </w:r>
                </w:p>
              </w:tc>
            </w:tr>
            <w:tr w14:paraId="546150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90" w:hRule="atLeast"/>
                <w:jc w:val="center"/>
              </w:trPr>
              <w:tc>
                <w:tcPr>
                  <w:tcW w:w="388" w:type="pct"/>
                  <w:tcBorders>
                    <w:tl2br w:val="nil"/>
                    <w:tr2bl w:val="nil"/>
                  </w:tcBorders>
                  <w:noWrap w:val="0"/>
                  <w:vAlign w:val="center"/>
                </w:tcPr>
                <w:p w14:paraId="36F5CB89">
                  <w:pPr>
                    <w:pStyle w:val="5"/>
                    <w:spacing w:line="240" w:lineRule="auto"/>
                    <w:ind w:firstLine="0" w:firstLineChars="0"/>
                    <w:jc w:val="center"/>
                    <w:rPr>
                      <w:rFonts w:hint="default" w:ascii="Times New Roman" w:hAnsi="Times New Roman" w:cs="Times New Roman"/>
                      <w:color w:val="000000"/>
                      <w:kern w:val="2"/>
                      <w:sz w:val="21"/>
                      <w:szCs w:val="21"/>
                      <w:u w:val="none"/>
                      <w:lang w:val="en-US" w:eastAsia="zh-CN" w:bidi="ar-SA"/>
                    </w:rPr>
                  </w:pPr>
                  <w:r>
                    <w:rPr>
                      <w:rFonts w:hint="default" w:ascii="Times New Roman" w:hAnsi="Times New Roman" w:cs="Times New Roman"/>
                      <w:color w:val="000000"/>
                      <w:kern w:val="2"/>
                      <w:sz w:val="21"/>
                      <w:szCs w:val="21"/>
                      <w:u w:val="none"/>
                      <w:lang w:val="en-US" w:eastAsia="zh-CN" w:bidi="ar-SA"/>
                    </w:rPr>
                    <w:t>3</w:t>
                  </w:r>
                </w:p>
              </w:tc>
              <w:tc>
                <w:tcPr>
                  <w:tcW w:w="1283" w:type="pct"/>
                  <w:tcBorders>
                    <w:tl2br w:val="nil"/>
                    <w:tr2bl w:val="nil"/>
                  </w:tcBorders>
                  <w:noWrap w:val="0"/>
                  <w:vAlign w:val="center"/>
                </w:tcPr>
                <w:p w14:paraId="5317F609">
                  <w:pPr>
                    <w:pStyle w:val="5"/>
                    <w:spacing w:line="240" w:lineRule="auto"/>
                    <w:ind w:firstLine="0" w:firstLineChars="0"/>
                    <w:jc w:val="center"/>
                    <w:rPr>
                      <w:rFonts w:hint="default" w:ascii="Times New Roman" w:hAnsi="Times New Roman" w:cs="Times New Roman"/>
                      <w:color w:val="000000"/>
                      <w:kern w:val="2"/>
                      <w:sz w:val="21"/>
                      <w:szCs w:val="21"/>
                      <w:u w:val="none"/>
                      <w:lang w:val="en-US" w:eastAsia="zh-CN" w:bidi="ar-SA"/>
                    </w:rPr>
                  </w:pPr>
                  <w:r>
                    <w:rPr>
                      <w:rFonts w:hint="default" w:ascii="Times New Roman" w:hAnsi="Times New Roman" w:cs="Times New Roman"/>
                      <w:color w:val="000000"/>
                      <w:kern w:val="2"/>
                      <w:sz w:val="21"/>
                      <w:szCs w:val="21"/>
                      <w:u w:val="none"/>
                      <w:lang w:val="en-US" w:eastAsia="zh-CN" w:bidi="ar-SA"/>
                    </w:rPr>
                    <w:t>搅拌锅</w:t>
                  </w:r>
                </w:p>
              </w:tc>
              <w:tc>
                <w:tcPr>
                  <w:tcW w:w="1127" w:type="pct"/>
                  <w:tcBorders>
                    <w:tl2br w:val="nil"/>
                    <w:tr2bl w:val="nil"/>
                  </w:tcBorders>
                  <w:noWrap w:val="0"/>
                  <w:vAlign w:val="center"/>
                </w:tcPr>
                <w:p w14:paraId="3E4CA082">
                  <w:pPr>
                    <w:pStyle w:val="5"/>
                    <w:spacing w:line="240" w:lineRule="auto"/>
                    <w:ind w:firstLine="0" w:firstLineChars="0"/>
                    <w:jc w:val="center"/>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highlight w:val="none"/>
                      <w:u w:val="none"/>
                      <w:lang w:val="en-US" w:eastAsia="zh-CN"/>
                    </w:rPr>
                    <w:t>功率2.0kw</w:t>
                  </w:r>
                </w:p>
              </w:tc>
              <w:tc>
                <w:tcPr>
                  <w:tcW w:w="629" w:type="pct"/>
                  <w:tcBorders>
                    <w:tl2br w:val="nil"/>
                    <w:tr2bl w:val="nil"/>
                  </w:tcBorders>
                  <w:noWrap w:val="0"/>
                  <w:vAlign w:val="center"/>
                </w:tcPr>
                <w:p w14:paraId="65760AB2">
                  <w:pPr>
                    <w:pStyle w:val="5"/>
                    <w:spacing w:line="240" w:lineRule="auto"/>
                    <w:ind w:firstLine="0" w:firstLineChars="0"/>
                    <w:jc w:val="center"/>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4台</w:t>
                  </w:r>
                </w:p>
              </w:tc>
              <w:tc>
                <w:tcPr>
                  <w:tcW w:w="1571" w:type="pct"/>
                  <w:tcBorders>
                    <w:tl2br w:val="nil"/>
                    <w:tr2bl w:val="nil"/>
                  </w:tcBorders>
                  <w:noWrap w:val="0"/>
                  <w:vAlign w:val="center"/>
                </w:tcPr>
                <w:p w14:paraId="148B82A8">
                  <w:pPr>
                    <w:spacing w:line="240" w:lineRule="auto"/>
                    <w:ind w:firstLine="0" w:firstLineChars="0"/>
                    <w:jc w:val="center"/>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w:t>
                  </w:r>
                </w:p>
              </w:tc>
            </w:tr>
            <w:tr w14:paraId="24DCDA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90" w:hRule="atLeast"/>
                <w:jc w:val="center"/>
              </w:trPr>
              <w:tc>
                <w:tcPr>
                  <w:tcW w:w="388" w:type="pct"/>
                  <w:tcBorders>
                    <w:tl2br w:val="nil"/>
                    <w:tr2bl w:val="nil"/>
                  </w:tcBorders>
                  <w:noWrap w:val="0"/>
                  <w:vAlign w:val="center"/>
                </w:tcPr>
                <w:p w14:paraId="4FE549AE">
                  <w:pPr>
                    <w:pStyle w:val="5"/>
                    <w:spacing w:line="240" w:lineRule="auto"/>
                    <w:ind w:firstLine="0" w:firstLineChars="0"/>
                    <w:jc w:val="center"/>
                    <w:rPr>
                      <w:rFonts w:hint="default" w:ascii="Times New Roman" w:hAnsi="Times New Roman" w:cs="Times New Roman"/>
                      <w:color w:val="000000"/>
                      <w:kern w:val="2"/>
                      <w:sz w:val="21"/>
                      <w:szCs w:val="21"/>
                      <w:u w:val="none"/>
                      <w:lang w:val="en-US" w:eastAsia="zh-CN" w:bidi="ar-SA"/>
                    </w:rPr>
                  </w:pPr>
                  <w:r>
                    <w:rPr>
                      <w:rFonts w:hint="default" w:ascii="Times New Roman" w:hAnsi="Times New Roman" w:cs="Times New Roman"/>
                      <w:color w:val="000000"/>
                      <w:kern w:val="2"/>
                      <w:sz w:val="21"/>
                      <w:szCs w:val="21"/>
                      <w:u w:val="none"/>
                      <w:lang w:val="en-US" w:eastAsia="zh-CN" w:bidi="ar-SA"/>
                    </w:rPr>
                    <w:t>4</w:t>
                  </w:r>
                </w:p>
              </w:tc>
              <w:tc>
                <w:tcPr>
                  <w:tcW w:w="1283" w:type="pct"/>
                  <w:tcBorders>
                    <w:tl2br w:val="nil"/>
                    <w:tr2bl w:val="nil"/>
                  </w:tcBorders>
                  <w:noWrap w:val="0"/>
                  <w:vAlign w:val="center"/>
                </w:tcPr>
                <w:p w14:paraId="3325FFD3">
                  <w:pPr>
                    <w:pStyle w:val="5"/>
                    <w:spacing w:line="240" w:lineRule="auto"/>
                    <w:ind w:firstLine="0" w:firstLineChars="0"/>
                    <w:jc w:val="center"/>
                    <w:rPr>
                      <w:rFonts w:hint="default" w:ascii="Times New Roman" w:hAnsi="Times New Roman" w:cs="Times New Roman"/>
                      <w:color w:val="000000"/>
                      <w:kern w:val="2"/>
                      <w:sz w:val="21"/>
                      <w:szCs w:val="21"/>
                      <w:u w:val="none"/>
                      <w:lang w:val="en-US" w:eastAsia="zh-CN" w:bidi="ar-SA"/>
                    </w:rPr>
                  </w:pPr>
                  <w:r>
                    <w:rPr>
                      <w:rFonts w:hint="default" w:ascii="Times New Roman" w:hAnsi="Times New Roman" w:cs="Times New Roman"/>
                      <w:color w:val="000000"/>
                      <w:kern w:val="2"/>
                      <w:sz w:val="21"/>
                      <w:szCs w:val="21"/>
                      <w:u w:val="none"/>
                      <w:lang w:val="en-US" w:eastAsia="zh-CN" w:bidi="ar-SA"/>
                    </w:rPr>
                    <w:t>破碎机</w:t>
                  </w:r>
                </w:p>
              </w:tc>
              <w:tc>
                <w:tcPr>
                  <w:tcW w:w="1127" w:type="pct"/>
                  <w:tcBorders>
                    <w:tl2br w:val="nil"/>
                    <w:tr2bl w:val="nil"/>
                  </w:tcBorders>
                  <w:noWrap w:val="0"/>
                  <w:vAlign w:val="center"/>
                </w:tcPr>
                <w:p w14:paraId="080A45E1">
                  <w:pPr>
                    <w:pStyle w:val="5"/>
                    <w:spacing w:line="240" w:lineRule="auto"/>
                    <w:ind w:firstLine="0" w:firstLineChars="0"/>
                    <w:jc w:val="center"/>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w:t>
                  </w:r>
                </w:p>
              </w:tc>
              <w:tc>
                <w:tcPr>
                  <w:tcW w:w="629" w:type="pct"/>
                  <w:tcBorders>
                    <w:tl2br w:val="nil"/>
                    <w:tr2bl w:val="nil"/>
                  </w:tcBorders>
                  <w:noWrap w:val="0"/>
                  <w:vAlign w:val="center"/>
                </w:tcPr>
                <w:p w14:paraId="2E85190A">
                  <w:pPr>
                    <w:pStyle w:val="5"/>
                    <w:spacing w:line="240" w:lineRule="auto"/>
                    <w:ind w:firstLine="0" w:firstLineChars="0"/>
                    <w:jc w:val="center"/>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4台</w:t>
                  </w:r>
                </w:p>
              </w:tc>
              <w:tc>
                <w:tcPr>
                  <w:tcW w:w="1571" w:type="pct"/>
                  <w:tcBorders>
                    <w:tl2br w:val="nil"/>
                    <w:tr2bl w:val="nil"/>
                  </w:tcBorders>
                  <w:noWrap w:val="0"/>
                  <w:vAlign w:val="center"/>
                </w:tcPr>
                <w:p w14:paraId="46643DF3">
                  <w:pPr>
                    <w:spacing w:line="240" w:lineRule="auto"/>
                    <w:ind w:firstLine="0" w:firstLineChars="0"/>
                    <w:jc w:val="center"/>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w:t>
                  </w:r>
                </w:p>
              </w:tc>
            </w:tr>
            <w:tr w14:paraId="25D376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90" w:hRule="atLeast"/>
                <w:jc w:val="center"/>
              </w:trPr>
              <w:tc>
                <w:tcPr>
                  <w:tcW w:w="388" w:type="pct"/>
                  <w:tcBorders>
                    <w:tl2br w:val="nil"/>
                    <w:tr2bl w:val="nil"/>
                  </w:tcBorders>
                  <w:noWrap w:val="0"/>
                  <w:vAlign w:val="center"/>
                </w:tcPr>
                <w:p w14:paraId="6843D0BB">
                  <w:pPr>
                    <w:pStyle w:val="5"/>
                    <w:spacing w:line="240" w:lineRule="auto"/>
                    <w:ind w:firstLine="0" w:firstLineChars="0"/>
                    <w:jc w:val="center"/>
                    <w:rPr>
                      <w:rFonts w:hint="default" w:ascii="Times New Roman" w:hAnsi="Times New Roman" w:cs="Times New Roman"/>
                      <w:color w:val="000000"/>
                      <w:kern w:val="2"/>
                      <w:sz w:val="21"/>
                      <w:szCs w:val="21"/>
                      <w:u w:val="none"/>
                      <w:lang w:val="en-US" w:eastAsia="zh-CN" w:bidi="ar-SA"/>
                    </w:rPr>
                  </w:pPr>
                  <w:r>
                    <w:rPr>
                      <w:rFonts w:hint="default" w:ascii="Times New Roman" w:hAnsi="Times New Roman" w:cs="Times New Roman"/>
                      <w:color w:val="000000"/>
                      <w:kern w:val="2"/>
                      <w:sz w:val="21"/>
                      <w:szCs w:val="21"/>
                      <w:u w:val="none"/>
                      <w:lang w:val="en-US" w:eastAsia="zh-CN" w:bidi="ar-SA"/>
                    </w:rPr>
                    <w:t>5</w:t>
                  </w:r>
                </w:p>
              </w:tc>
              <w:tc>
                <w:tcPr>
                  <w:tcW w:w="1283" w:type="pct"/>
                  <w:tcBorders>
                    <w:tl2br w:val="nil"/>
                    <w:tr2bl w:val="nil"/>
                  </w:tcBorders>
                  <w:noWrap w:val="0"/>
                  <w:vAlign w:val="center"/>
                </w:tcPr>
                <w:p w14:paraId="6DF0686B">
                  <w:pPr>
                    <w:pStyle w:val="5"/>
                    <w:spacing w:line="240" w:lineRule="auto"/>
                    <w:ind w:firstLine="0" w:firstLineChars="0"/>
                    <w:jc w:val="center"/>
                    <w:rPr>
                      <w:rFonts w:hint="default" w:ascii="Times New Roman" w:hAnsi="Times New Roman" w:cs="Times New Roman"/>
                      <w:color w:val="000000"/>
                      <w:kern w:val="2"/>
                      <w:sz w:val="21"/>
                      <w:szCs w:val="21"/>
                      <w:u w:val="none"/>
                      <w:lang w:val="en-US" w:eastAsia="zh-CN" w:bidi="ar-SA"/>
                    </w:rPr>
                  </w:pPr>
                  <w:r>
                    <w:rPr>
                      <w:rFonts w:hint="default" w:ascii="Times New Roman" w:hAnsi="Times New Roman" w:cs="Times New Roman"/>
                      <w:color w:val="000000"/>
                      <w:kern w:val="2"/>
                      <w:sz w:val="21"/>
                      <w:szCs w:val="21"/>
                      <w:u w:val="none"/>
                      <w:lang w:val="en-US" w:eastAsia="zh-CN" w:bidi="ar-SA"/>
                    </w:rPr>
                    <w:t>凉水塔</w:t>
                  </w:r>
                </w:p>
              </w:tc>
              <w:tc>
                <w:tcPr>
                  <w:tcW w:w="1127" w:type="pct"/>
                  <w:tcBorders>
                    <w:tl2br w:val="nil"/>
                    <w:tr2bl w:val="nil"/>
                  </w:tcBorders>
                  <w:noWrap w:val="0"/>
                  <w:vAlign w:val="center"/>
                </w:tcPr>
                <w:p w14:paraId="61A88285">
                  <w:pPr>
                    <w:pStyle w:val="5"/>
                    <w:spacing w:line="240" w:lineRule="auto"/>
                    <w:ind w:firstLine="0" w:firstLineChars="0"/>
                    <w:jc w:val="center"/>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w:t>
                  </w:r>
                </w:p>
              </w:tc>
              <w:tc>
                <w:tcPr>
                  <w:tcW w:w="629" w:type="pct"/>
                  <w:tcBorders>
                    <w:tl2br w:val="nil"/>
                    <w:tr2bl w:val="nil"/>
                  </w:tcBorders>
                  <w:noWrap w:val="0"/>
                  <w:vAlign w:val="center"/>
                </w:tcPr>
                <w:p w14:paraId="790D396A">
                  <w:pPr>
                    <w:pStyle w:val="5"/>
                    <w:spacing w:line="240" w:lineRule="auto"/>
                    <w:ind w:firstLine="0" w:firstLineChars="0"/>
                    <w:jc w:val="center"/>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2台</w:t>
                  </w:r>
                </w:p>
              </w:tc>
              <w:tc>
                <w:tcPr>
                  <w:tcW w:w="1571" w:type="pct"/>
                  <w:tcBorders>
                    <w:tl2br w:val="nil"/>
                    <w:tr2bl w:val="nil"/>
                  </w:tcBorders>
                  <w:noWrap w:val="0"/>
                  <w:vAlign w:val="center"/>
                </w:tcPr>
                <w:p w14:paraId="0A36F9A3">
                  <w:pPr>
                    <w:spacing w:line="240" w:lineRule="auto"/>
                    <w:ind w:firstLine="0" w:firstLineChars="0"/>
                    <w:jc w:val="center"/>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w:t>
                  </w:r>
                </w:p>
              </w:tc>
            </w:tr>
            <w:tr w14:paraId="5D7A5B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90" w:hRule="atLeast"/>
                <w:jc w:val="center"/>
              </w:trPr>
              <w:tc>
                <w:tcPr>
                  <w:tcW w:w="388" w:type="pct"/>
                  <w:tcBorders>
                    <w:tl2br w:val="nil"/>
                    <w:tr2bl w:val="nil"/>
                  </w:tcBorders>
                  <w:noWrap w:val="0"/>
                  <w:vAlign w:val="center"/>
                </w:tcPr>
                <w:p w14:paraId="5F6EA6CC">
                  <w:pPr>
                    <w:pStyle w:val="5"/>
                    <w:spacing w:line="240" w:lineRule="auto"/>
                    <w:ind w:firstLine="0" w:firstLineChars="0"/>
                    <w:jc w:val="center"/>
                    <w:rPr>
                      <w:rFonts w:hint="default" w:ascii="Times New Roman" w:hAnsi="Times New Roman" w:cs="Times New Roman"/>
                      <w:color w:val="000000"/>
                      <w:kern w:val="2"/>
                      <w:sz w:val="21"/>
                      <w:szCs w:val="21"/>
                      <w:u w:val="none"/>
                      <w:lang w:val="en-US" w:eastAsia="zh-CN" w:bidi="ar-SA"/>
                    </w:rPr>
                  </w:pPr>
                  <w:r>
                    <w:rPr>
                      <w:rFonts w:hint="default" w:ascii="Times New Roman" w:hAnsi="Times New Roman" w:cs="Times New Roman"/>
                      <w:color w:val="000000"/>
                      <w:kern w:val="2"/>
                      <w:sz w:val="21"/>
                      <w:szCs w:val="21"/>
                      <w:u w:val="none"/>
                      <w:lang w:val="en-US" w:eastAsia="zh-CN" w:bidi="ar-SA"/>
                    </w:rPr>
                    <w:t>6</w:t>
                  </w:r>
                </w:p>
              </w:tc>
              <w:tc>
                <w:tcPr>
                  <w:tcW w:w="1283" w:type="pct"/>
                  <w:tcBorders>
                    <w:tl2br w:val="nil"/>
                    <w:tr2bl w:val="nil"/>
                  </w:tcBorders>
                  <w:noWrap w:val="0"/>
                  <w:vAlign w:val="center"/>
                </w:tcPr>
                <w:p w14:paraId="29D77571">
                  <w:pPr>
                    <w:pStyle w:val="5"/>
                    <w:spacing w:line="240" w:lineRule="auto"/>
                    <w:ind w:firstLine="0" w:firstLineChars="0"/>
                    <w:jc w:val="center"/>
                    <w:rPr>
                      <w:rFonts w:hint="default" w:ascii="Times New Roman" w:hAnsi="Times New Roman" w:cs="Times New Roman"/>
                      <w:color w:val="000000"/>
                      <w:kern w:val="2"/>
                      <w:sz w:val="21"/>
                      <w:szCs w:val="21"/>
                      <w:u w:val="none"/>
                      <w:lang w:val="en-US" w:eastAsia="zh-CN" w:bidi="ar-SA"/>
                    </w:rPr>
                  </w:pPr>
                  <w:r>
                    <w:rPr>
                      <w:rFonts w:hint="default" w:ascii="Times New Roman" w:hAnsi="Times New Roman" w:cs="Times New Roman"/>
                      <w:color w:val="000000"/>
                      <w:kern w:val="2"/>
                      <w:sz w:val="21"/>
                      <w:szCs w:val="21"/>
                      <w:u w:val="none"/>
                      <w:lang w:val="en-US" w:eastAsia="zh-CN" w:bidi="ar-SA"/>
                    </w:rPr>
                    <w:t>砂轮机</w:t>
                  </w:r>
                </w:p>
              </w:tc>
              <w:tc>
                <w:tcPr>
                  <w:tcW w:w="1127" w:type="pct"/>
                  <w:tcBorders>
                    <w:tl2br w:val="nil"/>
                    <w:tr2bl w:val="nil"/>
                  </w:tcBorders>
                  <w:noWrap w:val="0"/>
                  <w:vAlign w:val="center"/>
                </w:tcPr>
                <w:p w14:paraId="7C0A0466">
                  <w:pPr>
                    <w:pStyle w:val="5"/>
                    <w:spacing w:line="240" w:lineRule="auto"/>
                    <w:ind w:firstLine="0" w:firstLineChars="0"/>
                    <w:jc w:val="center"/>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w:t>
                  </w:r>
                </w:p>
              </w:tc>
              <w:tc>
                <w:tcPr>
                  <w:tcW w:w="629" w:type="pct"/>
                  <w:tcBorders>
                    <w:tl2br w:val="nil"/>
                    <w:tr2bl w:val="nil"/>
                  </w:tcBorders>
                  <w:noWrap w:val="0"/>
                  <w:vAlign w:val="center"/>
                </w:tcPr>
                <w:p w14:paraId="38949C6D">
                  <w:pPr>
                    <w:pStyle w:val="5"/>
                    <w:spacing w:line="240" w:lineRule="auto"/>
                    <w:ind w:firstLine="0" w:firstLineChars="0"/>
                    <w:jc w:val="center"/>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4台</w:t>
                  </w:r>
                </w:p>
              </w:tc>
              <w:tc>
                <w:tcPr>
                  <w:tcW w:w="1571" w:type="pct"/>
                  <w:tcBorders>
                    <w:tl2br w:val="nil"/>
                    <w:tr2bl w:val="nil"/>
                  </w:tcBorders>
                  <w:noWrap w:val="0"/>
                  <w:vAlign w:val="center"/>
                </w:tcPr>
                <w:p w14:paraId="6671E9F7">
                  <w:pPr>
                    <w:spacing w:line="240" w:lineRule="auto"/>
                    <w:ind w:firstLine="0" w:firstLineChars="0"/>
                    <w:jc w:val="center"/>
                    <w:rPr>
                      <w:rFonts w:hint="default" w:ascii="Times New Roman" w:hAnsi="Times New Roman" w:cs="Times New Roman"/>
                      <w:color w:val="000000"/>
                      <w:sz w:val="21"/>
                      <w:szCs w:val="21"/>
                      <w:u w:val="none"/>
                      <w:lang w:val="en-US" w:eastAsia="zh-CN"/>
                    </w:rPr>
                  </w:pPr>
                  <w:r>
                    <w:rPr>
                      <w:rFonts w:hint="default" w:ascii="Times New Roman" w:hAnsi="Times New Roman" w:cs="Times New Roman"/>
                      <w:color w:val="000000"/>
                      <w:sz w:val="21"/>
                      <w:szCs w:val="21"/>
                      <w:u w:val="none"/>
                      <w:lang w:val="en-US" w:eastAsia="zh-CN"/>
                    </w:rPr>
                    <w:t>/</w:t>
                  </w:r>
                </w:p>
              </w:tc>
            </w:tr>
            <w:tr w14:paraId="1C35D1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18" w:hRule="atLeast"/>
                <w:jc w:val="center"/>
              </w:trPr>
              <w:tc>
                <w:tcPr>
                  <w:tcW w:w="388" w:type="pct"/>
                  <w:tcBorders>
                    <w:tl2br w:val="nil"/>
                    <w:tr2bl w:val="nil"/>
                  </w:tcBorders>
                  <w:noWrap w:val="0"/>
                  <w:vAlign w:val="center"/>
                </w:tcPr>
                <w:p w14:paraId="295479D7">
                  <w:pPr>
                    <w:pStyle w:val="5"/>
                    <w:spacing w:line="240" w:lineRule="auto"/>
                    <w:ind w:firstLine="0" w:firstLineChars="0"/>
                    <w:jc w:val="center"/>
                    <w:rPr>
                      <w:rFonts w:hint="default" w:ascii="Times New Roman" w:hAnsi="Times New Roman" w:eastAsia="宋体" w:cs="Times New Roman"/>
                      <w:color w:val="000000"/>
                      <w:kern w:val="0"/>
                      <w:sz w:val="21"/>
                      <w:szCs w:val="21"/>
                      <w:highlight w:val="none"/>
                      <w:u w:val="none"/>
                      <w:lang w:val="en-US" w:eastAsia="zh-CN"/>
                    </w:rPr>
                  </w:pPr>
                  <w:r>
                    <w:rPr>
                      <w:rFonts w:hint="default" w:ascii="Times New Roman" w:hAnsi="Times New Roman" w:cs="Times New Roman"/>
                      <w:color w:val="000000"/>
                      <w:kern w:val="0"/>
                      <w:sz w:val="21"/>
                      <w:szCs w:val="21"/>
                      <w:highlight w:val="none"/>
                      <w:u w:val="none"/>
                      <w:lang w:val="en-US" w:eastAsia="zh-CN"/>
                    </w:rPr>
                    <w:t>7</w:t>
                  </w:r>
                </w:p>
              </w:tc>
              <w:tc>
                <w:tcPr>
                  <w:tcW w:w="1283" w:type="pct"/>
                  <w:tcBorders>
                    <w:tl2br w:val="nil"/>
                    <w:tr2bl w:val="nil"/>
                  </w:tcBorders>
                  <w:noWrap w:val="0"/>
                  <w:vAlign w:val="center"/>
                </w:tcPr>
                <w:p w14:paraId="11D04E34">
                  <w:pPr>
                    <w:pStyle w:val="5"/>
                    <w:spacing w:line="240" w:lineRule="auto"/>
                    <w:ind w:firstLine="0" w:firstLineChars="0"/>
                    <w:jc w:val="center"/>
                    <w:rPr>
                      <w:rFonts w:hint="default" w:ascii="Times New Roman" w:hAnsi="Times New Roman" w:cs="Times New Roman"/>
                      <w:color w:val="000000"/>
                      <w:kern w:val="2"/>
                      <w:sz w:val="21"/>
                      <w:szCs w:val="21"/>
                      <w:highlight w:val="none"/>
                      <w:u w:val="none"/>
                      <w:lang w:val="en-US" w:eastAsia="zh-CN" w:bidi="ar-SA"/>
                    </w:rPr>
                  </w:pPr>
                  <w:r>
                    <w:rPr>
                      <w:rFonts w:hint="default" w:ascii="Times New Roman" w:hAnsi="Times New Roman" w:cs="Times New Roman"/>
                      <w:color w:val="000000"/>
                      <w:kern w:val="0"/>
                      <w:sz w:val="21"/>
                      <w:szCs w:val="21"/>
                      <w:highlight w:val="none"/>
                      <w:u w:val="none"/>
                    </w:rPr>
                    <w:t>二级活性炭吸附装置</w:t>
                  </w:r>
                </w:p>
              </w:tc>
              <w:tc>
                <w:tcPr>
                  <w:tcW w:w="1127" w:type="pct"/>
                  <w:tcBorders>
                    <w:tl2br w:val="nil"/>
                    <w:tr2bl w:val="nil"/>
                  </w:tcBorders>
                  <w:noWrap w:val="0"/>
                  <w:vAlign w:val="center"/>
                </w:tcPr>
                <w:p w14:paraId="129E2B6B">
                  <w:pPr>
                    <w:pStyle w:val="5"/>
                    <w:spacing w:line="240" w:lineRule="auto"/>
                    <w:ind w:firstLine="0" w:firstLineChars="0"/>
                    <w:jc w:val="center"/>
                    <w:rPr>
                      <w:rFonts w:hint="default" w:ascii="Times New Roman" w:hAnsi="Times New Roman" w:cs="Times New Roman"/>
                      <w:color w:val="000000"/>
                      <w:kern w:val="2"/>
                      <w:sz w:val="21"/>
                      <w:szCs w:val="21"/>
                      <w:highlight w:val="none"/>
                      <w:u w:val="none"/>
                      <w:lang w:val="en-US" w:eastAsia="zh-CN" w:bidi="ar-SA"/>
                    </w:rPr>
                  </w:pPr>
                  <w:r>
                    <w:rPr>
                      <w:rFonts w:hint="default" w:ascii="Times New Roman" w:hAnsi="Times New Roman" w:cs="Times New Roman"/>
                      <w:color w:val="000000"/>
                      <w:spacing w:val="-6"/>
                      <w:sz w:val="21"/>
                      <w:szCs w:val="21"/>
                      <w:highlight w:val="none"/>
                      <w:u w:val="none"/>
                    </w:rPr>
                    <w:t>风量</w:t>
                  </w:r>
                  <w:r>
                    <w:rPr>
                      <w:rFonts w:hint="default" w:ascii="Times New Roman" w:hAnsi="Times New Roman" w:cs="Times New Roman"/>
                      <w:color w:val="000000"/>
                      <w:spacing w:val="-6"/>
                      <w:sz w:val="21"/>
                      <w:szCs w:val="21"/>
                      <w:highlight w:val="none"/>
                      <w:u w:val="none"/>
                      <w:lang w:val="en-US" w:eastAsia="zh-CN"/>
                    </w:rPr>
                    <w:t>5</w:t>
                  </w:r>
                  <w:r>
                    <w:rPr>
                      <w:rFonts w:hint="default" w:ascii="Times New Roman" w:hAnsi="Times New Roman" w:cs="Times New Roman"/>
                      <w:color w:val="000000"/>
                      <w:spacing w:val="-6"/>
                      <w:sz w:val="21"/>
                      <w:szCs w:val="21"/>
                      <w:highlight w:val="none"/>
                      <w:u w:val="none"/>
                    </w:rPr>
                    <w:t>000m</w:t>
                  </w:r>
                  <w:r>
                    <w:rPr>
                      <w:rFonts w:hint="default" w:ascii="Times New Roman" w:hAnsi="Times New Roman" w:cs="Times New Roman"/>
                      <w:color w:val="000000"/>
                      <w:spacing w:val="-6"/>
                      <w:sz w:val="21"/>
                      <w:szCs w:val="21"/>
                      <w:highlight w:val="none"/>
                      <w:u w:val="none"/>
                      <w:vertAlign w:val="superscript"/>
                    </w:rPr>
                    <w:t>3</w:t>
                  </w:r>
                  <w:r>
                    <w:rPr>
                      <w:rFonts w:hint="default" w:ascii="Times New Roman" w:hAnsi="Times New Roman" w:cs="Times New Roman"/>
                      <w:color w:val="000000"/>
                      <w:spacing w:val="-6"/>
                      <w:sz w:val="21"/>
                      <w:szCs w:val="21"/>
                      <w:highlight w:val="none"/>
                      <w:u w:val="none"/>
                    </w:rPr>
                    <w:t>/h</w:t>
                  </w:r>
                </w:p>
              </w:tc>
              <w:tc>
                <w:tcPr>
                  <w:tcW w:w="629" w:type="pct"/>
                  <w:tcBorders>
                    <w:tl2br w:val="nil"/>
                    <w:tr2bl w:val="nil"/>
                  </w:tcBorders>
                  <w:noWrap w:val="0"/>
                  <w:vAlign w:val="center"/>
                </w:tcPr>
                <w:p w14:paraId="33FBF129">
                  <w:pPr>
                    <w:pStyle w:val="5"/>
                    <w:spacing w:line="240" w:lineRule="auto"/>
                    <w:ind w:firstLine="0" w:firstLineChars="0"/>
                    <w:jc w:val="center"/>
                    <w:rPr>
                      <w:rFonts w:hint="default" w:ascii="Times New Roman" w:hAnsi="Times New Roman" w:cs="Times New Roman"/>
                      <w:color w:val="000000"/>
                      <w:kern w:val="2"/>
                      <w:sz w:val="21"/>
                      <w:szCs w:val="21"/>
                      <w:highlight w:val="none"/>
                      <w:u w:val="none"/>
                      <w:lang w:val="en-US" w:eastAsia="zh-CN" w:bidi="ar-SA"/>
                    </w:rPr>
                  </w:pPr>
                  <w:r>
                    <w:rPr>
                      <w:rFonts w:hint="default" w:ascii="Times New Roman" w:hAnsi="Times New Roman" w:cs="Times New Roman"/>
                      <w:color w:val="000000"/>
                      <w:sz w:val="21"/>
                      <w:szCs w:val="21"/>
                      <w:highlight w:val="none"/>
                      <w:u w:val="none"/>
                      <w:lang w:val="en-US" w:eastAsia="zh-CN"/>
                    </w:rPr>
                    <w:t>1</w:t>
                  </w:r>
                  <w:r>
                    <w:rPr>
                      <w:rFonts w:hint="default" w:ascii="Times New Roman" w:hAnsi="Times New Roman" w:cs="Times New Roman"/>
                      <w:color w:val="000000"/>
                      <w:sz w:val="21"/>
                      <w:szCs w:val="21"/>
                      <w:highlight w:val="none"/>
                      <w:u w:val="none"/>
                    </w:rPr>
                    <w:t>套</w:t>
                  </w:r>
                </w:p>
              </w:tc>
              <w:tc>
                <w:tcPr>
                  <w:tcW w:w="1571" w:type="pct"/>
                  <w:tcBorders>
                    <w:tl2br w:val="nil"/>
                    <w:tr2bl w:val="nil"/>
                  </w:tcBorders>
                  <w:noWrap w:val="0"/>
                  <w:vAlign w:val="center"/>
                </w:tcPr>
                <w:p w14:paraId="783581E0">
                  <w:pPr>
                    <w:spacing w:line="240" w:lineRule="auto"/>
                    <w:ind w:firstLine="0" w:firstLineChars="0"/>
                    <w:jc w:val="center"/>
                    <w:rPr>
                      <w:rFonts w:hint="default" w:ascii="Times New Roman" w:hAnsi="Times New Roman" w:cs="Times New Roman"/>
                      <w:color w:val="000000"/>
                      <w:sz w:val="21"/>
                      <w:szCs w:val="21"/>
                      <w:highlight w:val="yellow"/>
                      <w:u w:val="none"/>
                      <w:lang w:val="en-US" w:eastAsia="zh-CN"/>
                    </w:rPr>
                  </w:pPr>
                  <w:r>
                    <w:rPr>
                      <w:rFonts w:hint="default" w:ascii="Times New Roman" w:hAnsi="Times New Roman" w:cs="Times New Roman"/>
                      <w:color w:val="000000"/>
                      <w:sz w:val="21"/>
                      <w:szCs w:val="21"/>
                      <w:u w:val="none"/>
                      <w:lang w:val="en-US" w:eastAsia="zh-CN"/>
                    </w:rPr>
                    <w:t>/</w:t>
                  </w:r>
                </w:p>
              </w:tc>
            </w:tr>
            <w:tr w14:paraId="5FA259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90" w:hRule="atLeast"/>
                <w:jc w:val="center"/>
              </w:trPr>
              <w:tc>
                <w:tcPr>
                  <w:tcW w:w="388" w:type="pct"/>
                  <w:tcBorders>
                    <w:tl2br w:val="nil"/>
                    <w:tr2bl w:val="nil"/>
                  </w:tcBorders>
                  <w:noWrap w:val="0"/>
                  <w:vAlign w:val="center"/>
                </w:tcPr>
                <w:p w14:paraId="606AF7F9">
                  <w:pPr>
                    <w:pStyle w:val="5"/>
                    <w:spacing w:line="240" w:lineRule="auto"/>
                    <w:ind w:firstLine="0" w:firstLineChars="0"/>
                    <w:jc w:val="center"/>
                    <w:rPr>
                      <w:rFonts w:hint="default" w:ascii="Times New Roman" w:hAnsi="Times New Roman" w:cs="Times New Roman"/>
                      <w:color w:val="000000"/>
                      <w:kern w:val="0"/>
                      <w:sz w:val="21"/>
                      <w:szCs w:val="21"/>
                      <w:highlight w:val="none"/>
                      <w:u w:val="none"/>
                      <w:lang w:val="en-US" w:eastAsia="zh-CN"/>
                    </w:rPr>
                  </w:pPr>
                  <w:r>
                    <w:rPr>
                      <w:rFonts w:hint="default" w:ascii="Times New Roman" w:hAnsi="Times New Roman" w:cs="Times New Roman"/>
                      <w:color w:val="000000"/>
                      <w:kern w:val="0"/>
                      <w:sz w:val="21"/>
                      <w:szCs w:val="21"/>
                      <w:highlight w:val="none"/>
                      <w:u w:val="none"/>
                      <w:lang w:val="en-US" w:eastAsia="zh-CN"/>
                    </w:rPr>
                    <w:t>8</w:t>
                  </w:r>
                </w:p>
              </w:tc>
              <w:tc>
                <w:tcPr>
                  <w:tcW w:w="1283" w:type="pct"/>
                  <w:tcBorders>
                    <w:tl2br w:val="nil"/>
                    <w:tr2bl w:val="nil"/>
                  </w:tcBorders>
                  <w:noWrap w:val="0"/>
                  <w:vAlign w:val="center"/>
                </w:tcPr>
                <w:p w14:paraId="155069A8">
                  <w:pPr>
                    <w:pStyle w:val="5"/>
                    <w:spacing w:line="240" w:lineRule="auto"/>
                    <w:ind w:firstLine="0" w:firstLineChars="0"/>
                    <w:jc w:val="center"/>
                    <w:rPr>
                      <w:rFonts w:hint="default" w:ascii="Times New Roman" w:hAnsi="Times New Roman" w:eastAsia="宋体" w:cs="Times New Roman"/>
                      <w:color w:val="000000"/>
                      <w:kern w:val="0"/>
                      <w:sz w:val="21"/>
                      <w:szCs w:val="21"/>
                      <w:highlight w:val="none"/>
                      <w:u w:val="none"/>
                      <w:lang w:eastAsia="zh-CN"/>
                    </w:rPr>
                  </w:pPr>
                  <w:r>
                    <w:rPr>
                      <w:rFonts w:hint="default" w:ascii="Times New Roman" w:hAnsi="Times New Roman" w:cs="Times New Roman"/>
                      <w:color w:val="000000"/>
                      <w:kern w:val="0"/>
                      <w:sz w:val="21"/>
                      <w:szCs w:val="21"/>
                      <w:highlight w:val="none"/>
                      <w:u w:val="none"/>
                      <w:lang w:val="en-US" w:eastAsia="zh-CN"/>
                    </w:rPr>
                    <w:t>袋式除尘器</w:t>
                  </w:r>
                </w:p>
              </w:tc>
              <w:tc>
                <w:tcPr>
                  <w:tcW w:w="1127" w:type="pct"/>
                  <w:tcBorders>
                    <w:tl2br w:val="nil"/>
                    <w:tr2bl w:val="nil"/>
                  </w:tcBorders>
                  <w:noWrap w:val="0"/>
                  <w:vAlign w:val="center"/>
                </w:tcPr>
                <w:p w14:paraId="471E9606">
                  <w:pPr>
                    <w:pStyle w:val="5"/>
                    <w:spacing w:line="240" w:lineRule="auto"/>
                    <w:ind w:firstLine="0" w:firstLineChars="0"/>
                    <w:jc w:val="center"/>
                    <w:rPr>
                      <w:rFonts w:hint="default" w:ascii="Times New Roman" w:hAnsi="Times New Roman" w:cs="Times New Roman"/>
                      <w:color w:val="000000"/>
                      <w:spacing w:val="-6"/>
                      <w:sz w:val="21"/>
                      <w:szCs w:val="21"/>
                      <w:highlight w:val="none"/>
                      <w:u w:val="none"/>
                    </w:rPr>
                  </w:pPr>
                  <w:r>
                    <w:rPr>
                      <w:rFonts w:hint="default" w:ascii="Times New Roman" w:hAnsi="Times New Roman" w:cs="Times New Roman"/>
                      <w:color w:val="000000"/>
                      <w:spacing w:val="-6"/>
                      <w:sz w:val="21"/>
                      <w:szCs w:val="21"/>
                      <w:highlight w:val="none"/>
                      <w:u w:val="none"/>
                    </w:rPr>
                    <w:t>风量</w:t>
                  </w:r>
                  <w:r>
                    <w:rPr>
                      <w:rFonts w:hint="default" w:ascii="Times New Roman" w:hAnsi="Times New Roman" w:cs="Times New Roman"/>
                      <w:color w:val="000000"/>
                      <w:spacing w:val="-6"/>
                      <w:sz w:val="21"/>
                      <w:szCs w:val="21"/>
                      <w:highlight w:val="none"/>
                      <w:u w:val="none"/>
                      <w:lang w:val="en-US" w:eastAsia="zh-CN"/>
                    </w:rPr>
                    <w:t>9000</w:t>
                  </w:r>
                  <w:r>
                    <w:rPr>
                      <w:rFonts w:hint="default" w:ascii="Times New Roman" w:hAnsi="Times New Roman" w:cs="Times New Roman"/>
                      <w:color w:val="000000"/>
                      <w:spacing w:val="-6"/>
                      <w:sz w:val="21"/>
                      <w:szCs w:val="21"/>
                      <w:highlight w:val="none"/>
                      <w:u w:val="none"/>
                    </w:rPr>
                    <w:t>m</w:t>
                  </w:r>
                  <w:r>
                    <w:rPr>
                      <w:rFonts w:hint="default" w:ascii="Times New Roman" w:hAnsi="Times New Roman" w:cs="Times New Roman"/>
                      <w:color w:val="000000"/>
                      <w:spacing w:val="-6"/>
                      <w:sz w:val="21"/>
                      <w:szCs w:val="21"/>
                      <w:highlight w:val="none"/>
                      <w:u w:val="none"/>
                      <w:vertAlign w:val="superscript"/>
                    </w:rPr>
                    <w:t>3</w:t>
                  </w:r>
                  <w:r>
                    <w:rPr>
                      <w:rFonts w:hint="default" w:ascii="Times New Roman" w:hAnsi="Times New Roman" w:cs="Times New Roman"/>
                      <w:color w:val="000000"/>
                      <w:spacing w:val="-6"/>
                      <w:sz w:val="21"/>
                      <w:szCs w:val="21"/>
                      <w:highlight w:val="none"/>
                      <w:u w:val="none"/>
                    </w:rPr>
                    <w:t>/h</w:t>
                  </w:r>
                </w:p>
              </w:tc>
              <w:tc>
                <w:tcPr>
                  <w:tcW w:w="629" w:type="pct"/>
                  <w:tcBorders>
                    <w:tl2br w:val="nil"/>
                    <w:tr2bl w:val="nil"/>
                  </w:tcBorders>
                  <w:noWrap w:val="0"/>
                  <w:vAlign w:val="center"/>
                </w:tcPr>
                <w:p w14:paraId="50C32FA6">
                  <w:pPr>
                    <w:pStyle w:val="5"/>
                    <w:spacing w:line="240" w:lineRule="auto"/>
                    <w:ind w:firstLine="0" w:firstLineChars="0"/>
                    <w:jc w:val="center"/>
                    <w:rPr>
                      <w:rFonts w:hint="default" w:ascii="Times New Roman" w:hAnsi="Times New Roman" w:cs="Times New Roman"/>
                      <w:color w:val="000000"/>
                      <w:sz w:val="21"/>
                      <w:szCs w:val="21"/>
                      <w:highlight w:val="none"/>
                      <w:u w:val="none"/>
                      <w:lang w:val="en-US" w:eastAsia="zh-CN"/>
                    </w:rPr>
                  </w:pPr>
                  <w:r>
                    <w:rPr>
                      <w:rFonts w:hint="default" w:ascii="Times New Roman" w:hAnsi="Times New Roman" w:cs="Times New Roman"/>
                      <w:color w:val="000000"/>
                      <w:sz w:val="21"/>
                      <w:szCs w:val="21"/>
                      <w:highlight w:val="none"/>
                      <w:u w:val="none"/>
                      <w:lang w:val="en-US" w:eastAsia="zh-CN"/>
                    </w:rPr>
                    <w:t>1</w:t>
                  </w:r>
                  <w:r>
                    <w:rPr>
                      <w:rFonts w:hint="default" w:ascii="Times New Roman" w:hAnsi="Times New Roman" w:cs="Times New Roman"/>
                      <w:color w:val="000000"/>
                      <w:sz w:val="21"/>
                      <w:szCs w:val="21"/>
                      <w:highlight w:val="none"/>
                      <w:u w:val="none"/>
                    </w:rPr>
                    <w:t>套</w:t>
                  </w:r>
                </w:p>
              </w:tc>
              <w:tc>
                <w:tcPr>
                  <w:tcW w:w="1571" w:type="pct"/>
                  <w:tcBorders>
                    <w:tl2br w:val="nil"/>
                    <w:tr2bl w:val="nil"/>
                  </w:tcBorders>
                  <w:noWrap w:val="0"/>
                  <w:vAlign w:val="center"/>
                </w:tcPr>
                <w:p w14:paraId="238BE70E">
                  <w:pPr>
                    <w:spacing w:line="240" w:lineRule="auto"/>
                    <w:ind w:firstLine="0" w:firstLineChars="0"/>
                    <w:jc w:val="center"/>
                    <w:rPr>
                      <w:rFonts w:hint="default" w:ascii="Times New Roman" w:hAnsi="Times New Roman" w:cs="Times New Roman"/>
                      <w:color w:val="000000"/>
                      <w:sz w:val="21"/>
                      <w:szCs w:val="21"/>
                      <w:highlight w:val="yellow"/>
                      <w:u w:val="none"/>
                      <w:lang w:val="en-US" w:eastAsia="zh-CN"/>
                    </w:rPr>
                  </w:pPr>
                  <w:r>
                    <w:rPr>
                      <w:rFonts w:hint="default" w:ascii="Times New Roman" w:hAnsi="Times New Roman" w:cs="Times New Roman"/>
                      <w:color w:val="000000"/>
                      <w:sz w:val="21"/>
                      <w:szCs w:val="21"/>
                      <w:u w:val="none"/>
                      <w:lang w:val="en-US" w:eastAsia="zh-CN"/>
                    </w:rPr>
                    <w:t>/</w:t>
                  </w:r>
                </w:p>
              </w:tc>
            </w:tr>
          </w:tbl>
          <w:p w14:paraId="698BD4D2">
            <w:pPr>
              <w:adjustRightInd w:val="0"/>
              <w:spacing w:line="360" w:lineRule="auto"/>
              <w:ind w:firstLine="435"/>
              <w:rPr>
                <w:rFonts w:hint="eastAsia"/>
                <w:b/>
                <w:color w:val="000000"/>
                <w:sz w:val="24"/>
                <w:szCs w:val="24"/>
              </w:rPr>
            </w:pPr>
            <w:r>
              <w:rPr>
                <w:rFonts w:hint="eastAsia"/>
                <w:color w:val="000000"/>
                <w:sz w:val="24"/>
                <w:szCs w:val="24"/>
                <w:u w:val="none"/>
              </w:rPr>
              <w:t>对比《产业结构调整指导目录（2024年本）》、《高耗能落后机电设备（产品）淘汰目录（</w:t>
            </w:r>
            <w:r>
              <w:rPr>
                <w:rFonts w:hint="eastAsia"/>
                <w:color w:val="000000" w:themeColor="text1"/>
                <w:sz w:val="24"/>
                <w:szCs w:val="24"/>
                <w:u w:val="none"/>
                <w14:textFill>
                  <w14:solidFill>
                    <w14:schemeClr w14:val="tx1"/>
                  </w14:solidFill>
                </w14:textFill>
              </w:rPr>
              <w:t>第一批、第二批、第三批、第四批）》和《河南省部分工业行业淘汰落后生产工艺装备和产品目录》，本次改</w:t>
            </w:r>
            <w:r>
              <w:rPr>
                <w:rFonts w:hint="eastAsia"/>
                <w:color w:val="000000"/>
                <w:sz w:val="24"/>
                <w:szCs w:val="24"/>
                <w:u w:val="none"/>
              </w:rPr>
              <w:t>建完成后全厂无淘汰落后设备。</w:t>
            </w:r>
          </w:p>
          <w:p w14:paraId="5941685A">
            <w:pPr>
              <w:spacing w:line="360" w:lineRule="auto"/>
              <w:rPr>
                <w:b/>
                <w:color w:val="000000"/>
                <w:sz w:val="24"/>
                <w:szCs w:val="24"/>
              </w:rPr>
            </w:pPr>
            <w:r>
              <w:rPr>
                <w:rFonts w:hint="eastAsia"/>
                <w:b/>
                <w:color w:val="000000"/>
                <w:sz w:val="24"/>
                <w:szCs w:val="24"/>
              </w:rPr>
              <w:t>5</w:t>
            </w:r>
            <w:r>
              <w:rPr>
                <w:b/>
                <w:color w:val="000000"/>
                <w:sz w:val="24"/>
                <w:szCs w:val="24"/>
              </w:rPr>
              <w:t>.主要原辅材料种类和用量</w:t>
            </w:r>
          </w:p>
          <w:p w14:paraId="7CB90F50">
            <w:pPr>
              <w:spacing w:line="360" w:lineRule="auto"/>
              <w:ind w:firstLine="480" w:firstLineChars="200"/>
              <w:rPr>
                <w:color w:val="000000"/>
                <w:sz w:val="24"/>
                <w:szCs w:val="24"/>
              </w:rPr>
            </w:pPr>
            <w:r>
              <w:rPr>
                <w:rFonts w:hint="eastAsia"/>
                <w:color w:val="000000"/>
                <w:sz w:val="24"/>
                <w:szCs w:val="24"/>
              </w:rPr>
              <w:t>本次改建</w:t>
            </w:r>
            <w:r>
              <w:rPr>
                <w:rFonts w:hint="eastAsia"/>
                <w:color w:val="000000"/>
                <w:sz w:val="24"/>
                <w:szCs w:val="24"/>
                <w:lang w:val="en-US" w:eastAsia="zh-CN"/>
              </w:rPr>
              <w:t>拟生产PVC鞋料和PVC鞋底，现有工程所有生产设备设施去旧换新，原辅材料不再使用。</w:t>
            </w:r>
            <w:r>
              <w:rPr>
                <w:color w:val="000000"/>
                <w:sz w:val="24"/>
                <w:szCs w:val="24"/>
              </w:rPr>
              <w:t>本项目</w:t>
            </w:r>
            <w:r>
              <w:rPr>
                <w:rFonts w:hint="eastAsia"/>
                <w:color w:val="000000"/>
                <w:sz w:val="24"/>
                <w:szCs w:val="24"/>
              </w:rPr>
              <w:t>改建后</w:t>
            </w:r>
            <w:r>
              <w:rPr>
                <w:color w:val="000000"/>
                <w:sz w:val="24"/>
                <w:szCs w:val="24"/>
              </w:rPr>
              <w:t>主要原辅材料及资</w:t>
            </w:r>
            <w:r>
              <w:rPr>
                <w:rFonts w:hint="eastAsia"/>
                <w:color w:val="000000"/>
                <w:sz w:val="24"/>
                <w:szCs w:val="24"/>
              </w:rPr>
              <w:t>（</w:t>
            </w:r>
            <w:r>
              <w:rPr>
                <w:color w:val="000000"/>
                <w:sz w:val="24"/>
                <w:szCs w:val="24"/>
              </w:rPr>
              <w:t>能</w:t>
            </w:r>
            <w:r>
              <w:rPr>
                <w:rFonts w:hint="eastAsia"/>
                <w:color w:val="000000"/>
                <w:sz w:val="24"/>
                <w:szCs w:val="24"/>
              </w:rPr>
              <w:t>）</w:t>
            </w:r>
            <w:r>
              <w:rPr>
                <w:color w:val="000000"/>
                <w:sz w:val="24"/>
                <w:szCs w:val="24"/>
              </w:rPr>
              <w:t>源</w:t>
            </w:r>
            <w:r>
              <w:rPr>
                <w:rFonts w:hint="eastAsia"/>
                <w:color w:val="000000"/>
                <w:sz w:val="24"/>
                <w:szCs w:val="24"/>
                <w:lang w:val="en-US" w:eastAsia="zh-CN"/>
              </w:rPr>
              <w:t>消耗情况</w:t>
            </w:r>
            <w:r>
              <w:rPr>
                <w:color w:val="000000"/>
                <w:sz w:val="24"/>
                <w:szCs w:val="24"/>
              </w:rPr>
              <w:t>见下表。</w:t>
            </w:r>
          </w:p>
          <w:p w14:paraId="7D2C633F">
            <w:pPr>
              <w:spacing w:before="93" w:beforeLines="30"/>
              <w:jc w:val="center"/>
              <w:rPr>
                <w:rFonts w:ascii="黑体" w:eastAsia="黑体"/>
                <w:color w:val="000000"/>
                <w:sz w:val="24"/>
                <w:szCs w:val="24"/>
              </w:rPr>
            </w:pPr>
            <w:r>
              <w:rPr>
                <w:rFonts w:hint="eastAsia" w:ascii="黑体" w:eastAsia="黑体"/>
                <w:color w:val="000000"/>
                <w:sz w:val="24"/>
                <w:szCs w:val="24"/>
              </w:rPr>
              <w:t>表</w:t>
            </w:r>
            <w:r>
              <w:rPr>
                <w:rFonts w:hint="eastAsia" w:ascii="黑体" w:eastAsia="黑体"/>
                <w:color w:val="000000"/>
                <w:sz w:val="24"/>
                <w:szCs w:val="24"/>
                <w:lang w:val="en-US" w:eastAsia="zh-CN"/>
              </w:rPr>
              <w:t>20</w:t>
            </w:r>
            <w:r>
              <w:rPr>
                <w:rFonts w:hint="eastAsia" w:ascii="黑体" w:eastAsia="黑体"/>
                <w:color w:val="000000"/>
                <w:sz w:val="24"/>
                <w:szCs w:val="24"/>
              </w:rPr>
              <w:t xml:space="preserve">    改建后原辅材料消耗情况一览表</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587"/>
              <w:gridCol w:w="3317"/>
              <w:gridCol w:w="3333"/>
            </w:tblGrid>
            <w:tr w14:paraId="6AFD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63" w:type="pct"/>
                  <w:vMerge w:val="restart"/>
                  <w:noWrap w:val="0"/>
                  <w:vAlign w:val="center"/>
                </w:tcPr>
                <w:p w14:paraId="706FDEEE">
                  <w:pPr>
                    <w:snapToGrid w:val="0"/>
                    <w:spacing w:before="31" w:beforeLines="10" w:after="31" w:afterLines="10"/>
                    <w:jc w:val="center"/>
                    <w:rPr>
                      <w:color w:val="000000"/>
                      <w:sz w:val="21"/>
                      <w:szCs w:val="21"/>
                      <w:u w:val="single"/>
                    </w:rPr>
                  </w:pPr>
                  <w:r>
                    <w:rPr>
                      <w:color w:val="000000"/>
                      <w:sz w:val="21"/>
                      <w:szCs w:val="21"/>
                      <w:u w:val="single"/>
                    </w:rPr>
                    <w:t>类型</w:t>
                  </w:r>
                </w:p>
              </w:tc>
              <w:tc>
                <w:tcPr>
                  <w:tcW w:w="4036" w:type="pct"/>
                  <w:gridSpan w:val="2"/>
                  <w:noWrap w:val="0"/>
                  <w:vAlign w:val="center"/>
                </w:tcPr>
                <w:p w14:paraId="716DFCFB">
                  <w:pPr>
                    <w:pStyle w:val="5"/>
                    <w:snapToGrid w:val="0"/>
                    <w:spacing w:before="31" w:beforeLines="10" w:after="31" w:afterLines="10" w:line="240" w:lineRule="auto"/>
                    <w:ind w:firstLine="0" w:firstLineChars="0"/>
                    <w:jc w:val="center"/>
                    <w:rPr>
                      <w:rFonts w:hint="eastAsia"/>
                      <w:color w:val="000000"/>
                      <w:sz w:val="21"/>
                      <w:szCs w:val="21"/>
                      <w:u w:val="single"/>
                      <w:lang w:val="en-US" w:eastAsia="zh-CN"/>
                    </w:rPr>
                  </w:pPr>
                  <w:r>
                    <w:rPr>
                      <w:rFonts w:hint="eastAsia"/>
                      <w:color w:val="000000"/>
                      <w:sz w:val="21"/>
                      <w:szCs w:val="21"/>
                      <w:u w:val="single"/>
                      <w:lang w:val="en-US" w:eastAsia="zh-CN"/>
                    </w:rPr>
                    <w:t>改建完成后全厂消耗情况</w:t>
                  </w:r>
                </w:p>
              </w:tc>
            </w:tr>
            <w:tr w14:paraId="48EB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63" w:type="pct"/>
                  <w:vMerge w:val="continue"/>
                  <w:noWrap w:val="0"/>
                  <w:vAlign w:val="center"/>
                </w:tcPr>
                <w:p w14:paraId="191F02BF">
                  <w:pPr>
                    <w:snapToGrid w:val="0"/>
                    <w:spacing w:before="31" w:beforeLines="10" w:after="31" w:afterLines="10"/>
                    <w:jc w:val="center"/>
                    <w:rPr>
                      <w:color w:val="000000"/>
                      <w:sz w:val="21"/>
                      <w:szCs w:val="21"/>
                      <w:u w:val="single"/>
                    </w:rPr>
                  </w:pPr>
                </w:p>
              </w:tc>
              <w:tc>
                <w:tcPr>
                  <w:tcW w:w="2013" w:type="pct"/>
                  <w:noWrap w:val="0"/>
                  <w:vAlign w:val="center"/>
                </w:tcPr>
                <w:p w14:paraId="087EE22A">
                  <w:pPr>
                    <w:pStyle w:val="5"/>
                    <w:snapToGrid w:val="0"/>
                    <w:spacing w:before="31" w:beforeLines="10" w:after="31" w:afterLines="10" w:line="240" w:lineRule="auto"/>
                    <w:ind w:firstLine="0" w:firstLineChars="0"/>
                    <w:jc w:val="center"/>
                    <w:rPr>
                      <w:rFonts w:hint="eastAsia"/>
                      <w:color w:val="000000"/>
                      <w:sz w:val="21"/>
                      <w:szCs w:val="21"/>
                      <w:u w:val="single"/>
                    </w:rPr>
                  </w:pPr>
                  <w:r>
                    <w:rPr>
                      <w:rFonts w:hint="eastAsia"/>
                      <w:color w:val="000000"/>
                      <w:kern w:val="2"/>
                      <w:sz w:val="21"/>
                      <w:szCs w:val="21"/>
                      <w:u w:val="single"/>
                      <w:lang w:val="en-US" w:eastAsia="zh-CN" w:bidi="ar-SA"/>
                    </w:rPr>
                    <w:t>名称</w:t>
                  </w:r>
                </w:p>
              </w:tc>
              <w:tc>
                <w:tcPr>
                  <w:tcW w:w="2023" w:type="pct"/>
                  <w:noWrap w:val="0"/>
                  <w:vAlign w:val="center"/>
                </w:tcPr>
                <w:p w14:paraId="37C4C69A">
                  <w:pPr>
                    <w:pStyle w:val="5"/>
                    <w:snapToGrid w:val="0"/>
                    <w:spacing w:before="31" w:beforeLines="10" w:after="31" w:afterLines="10" w:line="240" w:lineRule="auto"/>
                    <w:ind w:firstLine="0" w:firstLineChars="0"/>
                    <w:jc w:val="center"/>
                    <w:rPr>
                      <w:rFonts w:hint="eastAsia" w:eastAsia="宋体"/>
                      <w:color w:val="000000"/>
                      <w:sz w:val="21"/>
                      <w:szCs w:val="21"/>
                      <w:u w:val="single"/>
                      <w:lang w:val="en-US" w:eastAsia="zh-CN"/>
                    </w:rPr>
                  </w:pPr>
                  <w:r>
                    <w:rPr>
                      <w:rFonts w:hint="eastAsia"/>
                      <w:color w:val="000000"/>
                      <w:sz w:val="21"/>
                      <w:szCs w:val="21"/>
                      <w:u w:val="single"/>
                      <w:lang w:val="en-US" w:eastAsia="zh-CN"/>
                    </w:rPr>
                    <w:t>年</w:t>
                  </w:r>
                  <w:r>
                    <w:rPr>
                      <w:rFonts w:hint="eastAsia"/>
                      <w:color w:val="000000"/>
                      <w:sz w:val="21"/>
                      <w:szCs w:val="21"/>
                      <w:u w:val="single"/>
                    </w:rPr>
                    <w:t>用量</w:t>
                  </w:r>
                </w:p>
              </w:tc>
            </w:tr>
            <w:tr w14:paraId="01BDA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 w:hRule="atLeast"/>
                <w:jc w:val="center"/>
              </w:trPr>
              <w:tc>
                <w:tcPr>
                  <w:tcW w:w="963" w:type="pct"/>
                  <w:vMerge w:val="restart"/>
                  <w:noWrap w:val="0"/>
                  <w:vAlign w:val="center"/>
                </w:tcPr>
                <w:p w14:paraId="544498C3">
                  <w:pPr>
                    <w:snapToGrid w:val="0"/>
                    <w:spacing w:before="31" w:beforeLines="10" w:after="31" w:afterLines="10"/>
                    <w:jc w:val="center"/>
                    <w:rPr>
                      <w:color w:val="000000"/>
                      <w:sz w:val="21"/>
                      <w:szCs w:val="21"/>
                      <w:u w:val="single"/>
                    </w:rPr>
                  </w:pPr>
                  <w:r>
                    <w:rPr>
                      <w:color w:val="000000"/>
                      <w:sz w:val="21"/>
                      <w:szCs w:val="21"/>
                      <w:u w:val="single"/>
                    </w:rPr>
                    <w:t>原料</w:t>
                  </w:r>
                </w:p>
              </w:tc>
              <w:tc>
                <w:tcPr>
                  <w:tcW w:w="2013" w:type="pct"/>
                  <w:noWrap w:val="0"/>
                  <w:vAlign w:val="center"/>
                </w:tcPr>
                <w:p w14:paraId="519D2D33">
                  <w:pPr>
                    <w:keepNext w:val="0"/>
                    <w:keepLines w:val="0"/>
                    <w:suppressLineNumbers w:val="0"/>
                    <w:snapToGrid w:val="0"/>
                    <w:spacing w:before="0" w:beforeAutospacing="0" w:after="0" w:afterAutospacing="0"/>
                    <w:ind w:left="0" w:leftChars="0" w:right="0" w:rightChars="0"/>
                    <w:jc w:val="center"/>
                    <w:rPr>
                      <w:rFonts w:hint="eastAsia"/>
                      <w:color w:val="000000"/>
                      <w:sz w:val="21"/>
                      <w:szCs w:val="21"/>
                      <w:u w:val="single"/>
                      <w:lang w:val="en-US" w:eastAsia="zh-CN"/>
                    </w:rPr>
                  </w:pPr>
                  <w:r>
                    <w:rPr>
                      <w:rFonts w:hint="default"/>
                      <w:bCs/>
                      <w:color w:val="000000"/>
                      <w:szCs w:val="21"/>
                      <w:u w:val="single"/>
                      <w:lang w:bidi="ar"/>
                    </w:rPr>
                    <w:t>PVC树脂</w:t>
                  </w:r>
                </w:p>
              </w:tc>
              <w:tc>
                <w:tcPr>
                  <w:tcW w:w="2023" w:type="pct"/>
                  <w:noWrap w:val="0"/>
                  <w:vAlign w:val="center"/>
                </w:tcPr>
                <w:p w14:paraId="372B4E5E">
                  <w:pPr>
                    <w:pStyle w:val="39"/>
                    <w:bidi w:val="0"/>
                    <w:rPr>
                      <w:rFonts w:hint="eastAsia"/>
                      <w:color w:val="000000"/>
                      <w:sz w:val="21"/>
                      <w:szCs w:val="21"/>
                      <w:u w:val="single"/>
                      <w:lang w:val="en-US" w:eastAsia="zh-CN"/>
                    </w:rPr>
                  </w:pPr>
                  <w:r>
                    <w:rPr>
                      <w:rFonts w:hint="eastAsia"/>
                      <w:color w:val="000000"/>
                      <w:u w:val="single"/>
                      <w:lang w:val="en-US" w:eastAsia="zh-CN"/>
                    </w:rPr>
                    <w:t xml:space="preserve">153t </w:t>
                  </w:r>
                </w:p>
              </w:tc>
            </w:tr>
            <w:tr w14:paraId="692D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 w:hRule="atLeast"/>
                <w:jc w:val="center"/>
              </w:trPr>
              <w:tc>
                <w:tcPr>
                  <w:tcW w:w="963" w:type="pct"/>
                  <w:vMerge w:val="continue"/>
                  <w:noWrap w:val="0"/>
                  <w:vAlign w:val="center"/>
                </w:tcPr>
                <w:p w14:paraId="02D1E5CC">
                  <w:pPr>
                    <w:snapToGrid w:val="0"/>
                    <w:spacing w:before="31" w:beforeLines="10" w:after="31" w:afterLines="10"/>
                    <w:jc w:val="center"/>
                    <w:rPr>
                      <w:color w:val="000000"/>
                      <w:sz w:val="21"/>
                      <w:szCs w:val="21"/>
                      <w:u w:val="single"/>
                    </w:rPr>
                  </w:pPr>
                </w:p>
              </w:tc>
              <w:tc>
                <w:tcPr>
                  <w:tcW w:w="2013" w:type="pct"/>
                  <w:noWrap w:val="0"/>
                  <w:vAlign w:val="center"/>
                </w:tcPr>
                <w:p w14:paraId="4DE24083">
                  <w:pPr>
                    <w:keepNext w:val="0"/>
                    <w:keepLines w:val="0"/>
                    <w:suppressLineNumbers w:val="0"/>
                    <w:snapToGrid w:val="0"/>
                    <w:spacing w:before="0" w:beforeAutospacing="0" w:after="0" w:afterAutospacing="0"/>
                    <w:ind w:left="0" w:leftChars="0" w:right="0" w:rightChars="0"/>
                    <w:jc w:val="center"/>
                    <w:rPr>
                      <w:color w:val="000000"/>
                      <w:sz w:val="21"/>
                      <w:szCs w:val="21"/>
                      <w:u w:val="single"/>
                    </w:rPr>
                  </w:pPr>
                  <w:r>
                    <w:rPr>
                      <w:rFonts w:hint="default"/>
                      <w:bCs/>
                      <w:color w:val="000000"/>
                      <w:szCs w:val="21"/>
                      <w:u w:val="single"/>
                      <w:lang w:bidi="ar"/>
                    </w:rPr>
                    <w:t>钙粉</w:t>
                  </w:r>
                </w:p>
              </w:tc>
              <w:tc>
                <w:tcPr>
                  <w:tcW w:w="2023" w:type="pct"/>
                  <w:noWrap w:val="0"/>
                  <w:vAlign w:val="center"/>
                </w:tcPr>
                <w:p w14:paraId="0F47E06D">
                  <w:pPr>
                    <w:pStyle w:val="39"/>
                    <w:bidi w:val="0"/>
                    <w:rPr>
                      <w:color w:val="000000"/>
                      <w:sz w:val="21"/>
                      <w:szCs w:val="21"/>
                      <w:u w:val="single"/>
                    </w:rPr>
                  </w:pPr>
                  <w:r>
                    <w:rPr>
                      <w:rFonts w:hint="eastAsia"/>
                      <w:color w:val="000000"/>
                      <w:u w:val="single"/>
                      <w:lang w:val="en-US" w:eastAsia="zh-CN"/>
                    </w:rPr>
                    <w:t xml:space="preserve">36t </w:t>
                  </w:r>
                </w:p>
              </w:tc>
            </w:tr>
            <w:tr w14:paraId="1995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63" w:type="pct"/>
                  <w:vMerge w:val="continue"/>
                  <w:noWrap w:val="0"/>
                  <w:vAlign w:val="center"/>
                </w:tcPr>
                <w:p w14:paraId="42938B2C">
                  <w:pPr>
                    <w:snapToGrid w:val="0"/>
                    <w:spacing w:before="31" w:beforeLines="10" w:after="31" w:afterLines="10"/>
                    <w:jc w:val="center"/>
                    <w:rPr>
                      <w:color w:val="000000"/>
                      <w:sz w:val="21"/>
                      <w:szCs w:val="21"/>
                      <w:u w:val="single"/>
                    </w:rPr>
                  </w:pPr>
                </w:p>
              </w:tc>
              <w:tc>
                <w:tcPr>
                  <w:tcW w:w="2013" w:type="pct"/>
                  <w:noWrap w:val="0"/>
                  <w:vAlign w:val="center"/>
                </w:tcPr>
                <w:p w14:paraId="1BE33811">
                  <w:pPr>
                    <w:keepNext w:val="0"/>
                    <w:keepLines w:val="0"/>
                    <w:suppressLineNumbers w:val="0"/>
                    <w:snapToGrid w:val="0"/>
                    <w:spacing w:before="0" w:beforeAutospacing="0" w:after="0" w:afterAutospacing="0"/>
                    <w:ind w:left="0" w:leftChars="0" w:right="0" w:rightChars="0"/>
                    <w:jc w:val="center"/>
                    <w:rPr>
                      <w:color w:val="000000"/>
                      <w:sz w:val="21"/>
                      <w:szCs w:val="21"/>
                      <w:u w:val="single"/>
                    </w:rPr>
                  </w:pPr>
                  <w:r>
                    <w:rPr>
                      <w:rFonts w:hint="default"/>
                      <w:bCs/>
                      <w:color w:val="000000"/>
                      <w:szCs w:val="21"/>
                      <w:u w:val="single"/>
                      <w:lang w:bidi="ar"/>
                    </w:rPr>
                    <w:t>丁酯</w:t>
                  </w:r>
                </w:p>
              </w:tc>
              <w:tc>
                <w:tcPr>
                  <w:tcW w:w="2023" w:type="pct"/>
                  <w:noWrap w:val="0"/>
                  <w:vAlign w:val="center"/>
                </w:tcPr>
                <w:p w14:paraId="1A972608">
                  <w:pPr>
                    <w:pStyle w:val="39"/>
                    <w:bidi w:val="0"/>
                    <w:rPr>
                      <w:color w:val="000000"/>
                      <w:sz w:val="21"/>
                      <w:szCs w:val="21"/>
                      <w:u w:val="single"/>
                    </w:rPr>
                  </w:pPr>
                  <w:r>
                    <w:rPr>
                      <w:rFonts w:hint="eastAsia"/>
                      <w:color w:val="000000"/>
                      <w:u w:val="single"/>
                      <w:lang w:val="en-US" w:eastAsia="zh-CN"/>
                    </w:rPr>
                    <w:t xml:space="preserve">77t </w:t>
                  </w:r>
                </w:p>
              </w:tc>
            </w:tr>
            <w:tr w14:paraId="00EC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63" w:type="pct"/>
                  <w:vMerge w:val="continue"/>
                  <w:noWrap w:val="0"/>
                  <w:vAlign w:val="center"/>
                </w:tcPr>
                <w:p w14:paraId="56DBCA4B">
                  <w:pPr>
                    <w:snapToGrid w:val="0"/>
                    <w:spacing w:before="31" w:beforeLines="10" w:after="31" w:afterLines="10"/>
                    <w:jc w:val="center"/>
                    <w:rPr>
                      <w:color w:val="000000"/>
                      <w:sz w:val="21"/>
                      <w:szCs w:val="21"/>
                      <w:u w:val="single"/>
                    </w:rPr>
                  </w:pPr>
                </w:p>
              </w:tc>
              <w:tc>
                <w:tcPr>
                  <w:tcW w:w="2013" w:type="pct"/>
                  <w:noWrap w:val="0"/>
                  <w:vAlign w:val="center"/>
                </w:tcPr>
                <w:p w14:paraId="1D497D5A">
                  <w:pPr>
                    <w:keepNext w:val="0"/>
                    <w:keepLines w:val="0"/>
                    <w:suppressLineNumbers w:val="0"/>
                    <w:snapToGrid w:val="0"/>
                    <w:spacing w:before="0" w:beforeAutospacing="0" w:after="0" w:afterAutospacing="0"/>
                    <w:ind w:left="0" w:leftChars="0" w:right="0" w:rightChars="0"/>
                    <w:jc w:val="center"/>
                    <w:rPr>
                      <w:color w:val="000000"/>
                      <w:sz w:val="21"/>
                      <w:szCs w:val="21"/>
                      <w:u w:val="single"/>
                    </w:rPr>
                  </w:pPr>
                  <w:r>
                    <w:rPr>
                      <w:rFonts w:hint="default"/>
                      <w:bCs/>
                      <w:color w:val="000000"/>
                      <w:szCs w:val="21"/>
                      <w:u w:val="single"/>
                      <w:lang w:bidi="ar"/>
                    </w:rPr>
                    <w:t>硬脂酸</w:t>
                  </w:r>
                </w:p>
              </w:tc>
              <w:tc>
                <w:tcPr>
                  <w:tcW w:w="2023" w:type="pct"/>
                  <w:noWrap w:val="0"/>
                  <w:vAlign w:val="center"/>
                </w:tcPr>
                <w:p w14:paraId="62112FC3">
                  <w:pPr>
                    <w:pStyle w:val="39"/>
                    <w:bidi w:val="0"/>
                    <w:rPr>
                      <w:color w:val="000000"/>
                      <w:sz w:val="21"/>
                      <w:szCs w:val="21"/>
                      <w:u w:val="single"/>
                    </w:rPr>
                  </w:pPr>
                  <w:r>
                    <w:rPr>
                      <w:rFonts w:hint="eastAsia"/>
                      <w:color w:val="000000"/>
                      <w:u w:val="single"/>
                      <w:lang w:val="en-US" w:eastAsia="zh-CN"/>
                    </w:rPr>
                    <w:t xml:space="preserve">12t </w:t>
                  </w:r>
                </w:p>
              </w:tc>
            </w:tr>
            <w:tr w14:paraId="2F78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63" w:type="pct"/>
                  <w:vMerge w:val="continue"/>
                  <w:noWrap w:val="0"/>
                  <w:vAlign w:val="center"/>
                </w:tcPr>
                <w:p w14:paraId="7BA62523">
                  <w:pPr>
                    <w:snapToGrid w:val="0"/>
                    <w:spacing w:before="31" w:beforeLines="10" w:after="31" w:afterLines="10"/>
                    <w:jc w:val="center"/>
                    <w:rPr>
                      <w:color w:val="000000"/>
                      <w:sz w:val="21"/>
                      <w:szCs w:val="21"/>
                      <w:u w:val="single"/>
                    </w:rPr>
                  </w:pPr>
                </w:p>
              </w:tc>
              <w:tc>
                <w:tcPr>
                  <w:tcW w:w="2013" w:type="pct"/>
                  <w:noWrap w:val="0"/>
                  <w:vAlign w:val="center"/>
                </w:tcPr>
                <w:p w14:paraId="520A380F">
                  <w:pPr>
                    <w:keepNext w:val="0"/>
                    <w:keepLines w:val="0"/>
                    <w:suppressLineNumbers w:val="0"/>
                    <w:snapToGrid w:val="0"/>
                    <w:spacing w:before="0" w:beforeAutospacing="0" w:after="0" w:afterAutospacing="0"/>
                    <w:ind w:left="0" w:leftChars="0" w:right="0" w:rightChars="0"/>
                    <w:jc w:val="center"/>
                    <w:rPr>
                      <w:rFonts w:hint="eastAsia"/>
                      <w:color w:val="000000"/>
                      <w:sz w:val="21"/>
                      <w:szCs w:val="21"/>
                      <w:u w:val="single"/>
                      <w:lang w:val="en-US" w:eastAsia="zh-CN"/>
                    </w:rPr>
                  </w:pPr>
                  <w:r>
                    <w:rPr>
                      <w:rFonts w:hint="default"/>
                      <w:b w:val="0"/>
                      <w:bCs/>
                      <w:color w:val="000000"/>
                      <w:szCs w:val="21"/>
                      <w:u w:val="single"/>
                      <w:lang w:bidi="ar"/>
                    </w:rPr>
                    <w:t>稳定剂</w:t>
                  </w:r>
                </w:p>
              </w:tc>
              <w:tc>
                <w:tcPr>
                  <w:tcW w:w="2023" w:type="pct"/>
                  <w:noWrap w:val="0"/>
                  <w:vAlign w:val="center"/>
                </w:tcPr>
                <w:p w14:paraId="37F6E828">
                  <w:pPr>
                    <w:pStyle w:val="39"/>
                    <w:bidi w:val="0"/>
                    <w:rPr>
                      <w:rFonts w:hint="default" w:ascii="Times New Roman" w:hAnsi="Times New Roman" w:eastAsia="宋体" w:cs="Times New Roman"/>
                      <w:i w:val="0"/>
                      <w:iCs w:val="0"/>
                      <w:color w:val="000000"/>
                      <w:kern w:val="0"/>
                      <w:sz w:val="21"/>
                      <w:szCs w:val="21"/>
                      <w:u w:val="single"/>
                      <w:lang w:val="en-US" w:eastAsia="zh-CN" w:bidi="ar"/>
                    </w:rPr>
                  </w:pPr>
                  <w:r>
                    <w:rPr>
                      <w:rFonts w:hint="eastAsia"/>
                      <w:color w:val="000000"/>
                      <w:u w:val="single"/>
                      <w:lang w:val="en-US" w:eastAsia="zh-CN"/>
                    </w:rPr>
                    <w:t xml:space="preserve">12t </w:t>
                  </w:r>
                </w:p>
              </w:tc>
            </w:tr>
            <w:tr w14:paraId="0D58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63" w:type="pct"/>
                  <w:vMerge w:val="continue"/>
                  <w:noWrap w:val="0"/>
                  <w:vAlign w:val="center"/>
                </w:tcPr>
                <w:p w14:paraId="595AAD6A">
                  <w:pPr>
                    <w:snapToGrid w:val="0"/>
                    <w:spacing w:before="31" w:beforeLines="10" w:after="31" w:afterLines="10"/>
                    <w:jc w:val="center"/>
                    <w:rPr>
                      <w:color w:val="000000"/>
                      <w:sz w:val="21"/>
                      <w:szCs w:val="21"/>
                      <w:u w:val="single"/>
                    </w:rPr>
                  </w:pPr>
                </w:p>
              </w:tc>
              <w:tc>
                <w:tcPr>
                  <w:tcW w:w="2013" w:type="pct"/>
                  <w:noWrap w:val="0"/>
                  <w:vAlign w:val="center"/>
                </w:tcPr>
                <w:p w14:paraId="759B7BEC">
                  <w:pPr>
                    <w:keepNext w:val="0"/>
                    <w:keepLines w:val="0"/>
                    <w:suppressLineNumbers w:val="0"/>
                    <w:snapToGrid w:val="0"/>
                    <w:spacing w:before="0" w:beforeAutospacing="0" w:after="0" w:afterAutospacing="0"/>
                    <w:ind w:left="0" w:leftChars="0" w:right="0" w:rightChars="0"/>
                    <w:jc w:val="center"/>
                    <w:rPr>
                      <w:rFonts w:hint="eastAsia"/>
                      <w:color w:val="000000"/>
                      <w:sz w:val="21"/>
                      <w:szCs w:val="21"/>
                      <w:u w:val="single"/>
                      <w:lang w:val="en-US" w:eastAsia="zh-CN"/>
                    </w:rPr>
                  </w:pPr>
                  <w:r>
                    <w:rPr>
                      <w:rFonts w:hint="default"/>
                      <w:b w:val="0"/>
                      <w:bCs/>
                      <w:color w:val="000000"/>
                      <w:szCs w:val="21"/>
                      <w:u w:val="single"/>
                      <w:lang w:bidi="ar"/>
                    </w:rPr>
                    <w:t>钛白粉</w:t>
                  </w:r>
                </w:p>
              </w:tc>
              <w:tc>
                <w:tcPr>
                  <w:tcW w:w="2023" w:type="pct"/>
                  <w:noWrap w:val="0"/>
                  <w:vAlign w:val="center"/>
                </w:tcPr>
                <w:p w14:paraId="0ACB7483">
                  <w:pPr>
                    <w:pStyle w:val="39"/>
                    <w:bidi w:val="0"/>
                    <w:rPr>
                      <w:rFonts w:hint="eastAsia" w:ascii="Times New Roman" w:hAnsi="Times New Roman" w:eastAsia="宋体" w:cs="Times New Roman"/>
                      <w:i w:val="0"/>
                      <w:iCs w:val="0"/>
                      <w:color w:val="000000"/>
                      <w:kern w:val="0"/>
                      <w:sz w:val="21"/>
                      <w:szCs w:val="21"/>
                      <w:u w:val="single"/>
                      <w:lang w:val="en-US" w:eastAsia="zh-CN" w:bidi="ar"/>
                    </w:rPr>
                  </w:pPr>
                  <w:r>
                    <w:rPr>
                      <w:rFonts w:hint="eastAsia"/>
                      <w:color w:val="000000"/>
                      <w:u w:val="single"/>
                      <w:lang w:val="en-US" w:eastAsia="zh-CN"/>
                    </w:rPr>
                    <w:t xml:space="preserve">5t </w:t>
                  </w:r>
                </w:p>
              </w:tc>
            </w:tr>
            <w:tr w14:paraId="37D99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63" w:type="pct"/>
                  <w:vMerge w:val="continue"/>
                  <w:noWrap w:val="0"/>
                  <w:vAlign w:val="center"/>
                </w:tcPr>
                <w:p w14:paraId="2516A22E">
                  <w:pPr>
                    <w:snapToGrid w:val="0"/>
                    <w:spacing w:before="31" w:beforeLines="10" w:after="31" w:afterLines="10"/>
                    <w:jc w:val="center"/>
                    <w:rPr>
                      <w:color w:val="000000"/>
                      <w:sz w:val="21"/>
                      <w:szCs w:val="21"/>
                      <w:u w:val="single"/>
                    </w:rPr>
                  </w:pPr>
                </w:p>
              </w:tc>
              <w:tc>
                <w:tcPr>
                  <w:tcW w:w="2013" w:type="pct"/>
                  <w:noWrap w:val="0"/>
                  <w:vAlign w:val="center"/>
                </w:tcPr>
                <w:p w14:paraId="3F8125D1">
                  <w:pPr>
                    <w:keepNext w:val="0"/>
                    <w:keepLines w:val="0"/>
                    <w:suppressLineNumbers w:val="0"/>
                    <w:snapToGrid w:val="0"/>
                    <w:spacing w:before="0" w:beforeAutospacing="0" w:after="0" w:afterAutospacing="0"/>
                    <w:ind w:left="0" w:leftChars="0" w:right="0" w:rightChars="0"/>
                    <w:jc w:val="center"/>
                    <w:rPr>
                      <w:rFonts w:hint="eastAsia"/>
                      <w:color w:val="000000"/>
                      <w:sz w:val="21"/>
                      <w:szCs w:val="21"/>
                      <w:u w:val="single"/>
                      <w:lang w:val="en-US" w:eastAsia="zh-CN"/>
                    </w:rPr>
                  </w:pPr>
                  <w:r>
                    <w:rPr>
                      <w:rFonts w:hint="default"/>
                      <w:bCs/>
                      <w:color w:val="000000"/>
                      <w:szCs w:val="21"/>
                      <w:u w:val="single"/>
                      <w:lang w:bidi="ar"/>
                    </w:rPr>
                    <w:t>发泡剂</w:t>
                  </w:r>
                </w:p>
              </w:tc>
              <w:tc>
                <w:tcPr>
                  <w:tcW w:w="2023" w:type="pct"/>
                  <w:noWrap w:val="0"/>
                  <w:vAlign w:val="center"/>
                </w:tcPr>
                <w:p w14:paraId="0E05A6D6">
                  <w:pPr>
                    <w:pStyle w:val="39"/>
                    <w:bidi w:val="0"/>
                    <w:rPr>
                      <w:rFonts w:hint="eastAsia" w:ascii="Times New Roman" w:hAnsi="Times New Roman" w:eastAsia="宋体" w:cs="Times New Roman"/>
                      <w:i w:val="0"/>
                      <w:iCs w:val="0"/>
                      <w:color w:val="000000"/>
                      <w:kern w:val="0"/>
                      <w:sz w:val="21"/>
                      <w:szCs w:val="21"/>
                      <w:u w:val="single"/>
                      <w:lang w:val="en-US" w:eastAsia="zh-CN" w:bidi="ar"/>
                    </w:rPr>
                  </w:pPr>
                  <w:r>
                    <w:rPr>
                      <w:rFonts w:hint="eastAsia"/>
                      <w:color w:val="000000"/>
                      <w:u w:val="single"/>
                      <w:lang w:val="en-US" w:eastAsia="zh-CN"/>
                    </w:rPr>
                    <w:t xml:space="preserve">5t </w:t>
                  </w:r>
                </w:p>
              </w:tc>
            </w:tr>
            <w:tr w14:paraId="6A68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63" w:type="pct"/>
                  <w:vMerge w:val="continue"/>
                  <w:noWrap w:val="0"/>
                  <w:vAlign w:val="center"/>
                </w:tcPr>
                <w:p w14:paraId="2460E06C">
                  <w:pPr>
                    <w:snapToGrid w:val="0"/>
                    <w:spacing w:before="31" w:beforeLines="10" w:after="31" w:afterLines="10"/>
                    <w:jc w:val="center"/>
                    <w:rPr>
                      <w:color w:val="000000"/>
                      <w:sz w:val="21"/>
                      <w:szCs w:val="21"/>
                      <w:u w:val="single"/>
                    </w:rPr>
                  </w:pPr>
                </w:p>
              </w:tc>
              <w:tc>
                <w:tcPr>
                  <w:tcW w:w="2013" w:type="pct"/>
                  <w:noWrap w:val="0"/>
                  <w:vAlign w:val="center"/>
                </w:tcPr>
                <w:p w14:paraId="0C829158">
                  <w:pPr>
                    <w:keepNext w:val="0"/>
                    <w:keepLines w:val="0"/>
                    <w:suppressLineNumbers w:val="0"/>
                    <w:snapToGrid w:val="0"/>
                    <w:spacing w:before="0" w:beforeAutospacing="0" w:after="0" w:afterAutospacing="0"/>
                    <w:ind w:left="0" w:leftChars="0" w:right="0" w:rightChars="0"/>
                    <w:jc w:val="center"/>
                    <w:rPr>
                      <w:rFonts w:hint="eastAsia"/>
                      <w:color w:val="000000"/>
                      <w:sz w:val="21"/>
                      <w:szCs w:val="21"/>
                      <w:u w:val="single"/>
                      <w:lang w:val="en-US" w:eastAsia="zh-CN"/>
                    </w:rPr>
                  </w:pPr>
                  <w:r>
                    <w:rPr>
                      <w:rFonts w:hint="default"/>
                      <w:bCs/>
                      <w:color w:val="000000"/>
                      <w:szCs w:val="21"/>
                      <w:u w:val="single"/>
                      <w:lang w:bidi="ar"/>
                    </w:rPr>
                    <w:t>增白剂</w:t>
                  </w:r>
                </w:p>
              </w:tc>
              <w:tc>
                <w:tcPr>
                  <w:tcW w:w="2023" w:type="pct"/>
                  <w:noWrap w:val="0"/>
                  <w:vAlign w:val="center"/>
                </w:tcPr>
                <w:p w14:paraId="0BCB2B8E">
                  <w:pPr>
                    <w:pStyle w:val="39"/>
                    <w:bidi w:val="0"/>
                    <w:rPr>
                      <w:rFonts w:hint="eastAsia" w:ascii="Times New Roman" w:hAnsi="Times New Roman" w:eastAsia="宋体" w:cs="Times New Roman"/>
                      <w:i w:val="0"/>
                      <w:iCs w:val="0"/>
                      <w:color w:val="000000"/>
                      <w:kern w:val="0"/>
                      <w:sz w:val="21"/>
                      <w:szCs w:val="21"/>
                      <w:u w:val="single"/>
                      <w:lang w:val="en-US" w:eastAsia="zh-CN" w:bidi="ar"/>
                    </w:rPr>
                  </w:pPr>
                  <w:r>
                    <w:rPr>
                      <w:rFonts w:hint="eastAsia"/>
                      <w:color w:val="000000"/>
                      <w:u w:val="single"/>
                      <w:lang w:val="en-US" w:eastAsia="zh-CN"/>
                    </w:rPr>
                    <w:t>2t</w:t>
                  </w:r>
                </w:p>
              </w:tc>
            </w:tr>
            <w:tr w14:paraId="31F0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63" w:type="pct"/>
                  <w:vMerge w:val="restart"/>
                  <w:noWrap w:val="0"/>
                  <w:vAlign w:val="center"/>
                </w:tcPr>
                <w:p w14:paraId="17C13AB5">
                  <w:pPr>
                    <w:snapToGrid w:val="0"/>
                    <w:spacing w:before="31" w:beforeLines="10" w:after="31" w:afterLines="10"/>
                    <w:jc w:val="center"/>
                    <w:rPr>
                      <w:color w:val="000000"/>
                      <w:sz w:val="21"/>
                      <w:szCs w:val="21"/>
                      <w:u w:val="single"/>
                    </w:rPr>
                  </w:pPr>
                  <w:r>
                    <w:rPr>
                      <w:color w:val="000000"/>
                      <w:sz w:val="21"/>
                      <w:szCs w:val="21"/>
                      <w:u w:val="single"/>
                    </w:rPr>
                    <w:t>辅料</w:t>
                  </w:r>
                </w:p>
              </w:tc>
              <w:tc>
                <w:tcPr>
                  <w:tcW w:w="2013" w:type="pct"/>
                  <w:noWrap w:val="0"/>
                  <w:vAlign w:val="center"/>
                </w:tcPr>
                <w:p w14:paraId="23F89972">
                  <w:pPr>
                    <w:snapToGrid w:val="0"/>
                    <w:spacing w:before="31" w:beforeLines="10" w:after="31" w:afterLines="10"/>
                    <w:jc w:val="center"/>
                    <w:rPr>
                      <w:color w:val="000000"/>
                      <w:sz w:val="21"/>
                      <w:szCs w:val="21"/>
                      <w:u w:val="single"/>
                    </w:rPr>
                  </w:pPr>
                  <w:r>
                    <w:rPr>
                      <w:color w:val="000000"/>
                      <w:sz w:val="21"/>
                      <w:szCs w:val="21"/>
                      <w:u w:val="single"/>
                    </w:rPr>
                    <w:t>活性炭</w:t>
                  </w:r>
                </w:p>
              </w:tc>
              <w:tc>
                <w:tcPr>
                  <w:tcW w:w="2023" w:type="pct"/>
                  <w:noWrap w:val="0"/>
                  <w:vAlign w:val="center"/>
                </w:tcPr>
                <w:p w14:paraId="45F4DB82">
                  <w:pPr>
                    <w:snapToGrid w:val="0"/>
                    <w:spacing w:before="31" w:beforeLines="10" w:after="31" w:afterLines="10"/>
                    <w:jc w:val="center"/>
                    <w:rPr>
                      <w:color w:val="000000"/>
                      <w:sz w:val="21"/>
                      <w:szCs w:val="21"/>
                      <w:u w:val="single"/>
                    </w:rPr>
                  </w:pPr>
                  <w:r>
                    <w:rPr>
                      <w:rFonts w:hint="eastAsia"/>
                      <w:color w:val="000000"/>
                      <w:sz w:val="21"/>
                      <w:szCs w:val="21"/>
                      <w:u w:val="single"/>
                      <w:lang w:val="en-US" w:eastAsia="zh-CN"/>
                    </w:rPr>
                    <w:t>1.5</w:t>
                  </w:r>
                  <w:r>
                    <w:rPr>
                      <w:rFonts w:hint="eastAsia"/>
                      <w:color w:val="000000"/>
                      <w:sz w:val="21"/>
                      <w:szCs w:val="21"/>
                      <w:u w:val="single"/>
                    </w:rPr>
                    <w:t>t</w:t>
                  </w:r>
                </w:p>
              </w:tc>
            </w:tr>
            <w:tr w14:paraId="493E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63" w:type="pct"/>
                  <w:vMerge w:val="continue"/>
                  <w:noWrap w:val="0"/>
                  <w:vAlign w:val="center"/>
                </w:tcPr>
                <w:p w14:paraId="548B1449">
                  <w:pPr>
                    <w:snapToGrid w:val="0"/>
                    <w:spacing w:before="31" w:beforeLines="10" w:after="31" w:afterLines="10"/>
                    <w:jc w:val="center"/>
                    <w:rPr>
                      <w:color w:val="000000"/>
                      <w:sz w:val="21"/>
                      <w:szCs w:val="21"/>
                      <w:u w:val="single"/>
                    </w:rPr>
                  </w:pPr>
                </w:p>
              </w:tc>
              <w:tc>
                <w:tcPr>
                  <w:tcW w:w="2013" w:type="pct"/>
                  <w:noWrap w:val="0"/>
                  <w:vAlign w:val="center"/>
                </w:tcPr>
                <w:p w14:paraId="0D55F465">
                  <w:pPr>
                    <w:snapToGrid w:val="0"/>
                    <w:spacing w:before="31" w:beforeLines="10" w:after="31" w:afterLines="10"/>
                    <w:jc w:val="center"/>
                    <w:rPr>
                      <w:color w:val="000000"/>
                      <w:sz w:val="21"/>
                      <w:szCs w:val="21"/>
                      <w:u w:val="single"/>
                    </w:rPr>
                  </w:pPr>
                  <w:r>
                    <w:rPr>
                      <w:rFonts w:hint="eastAsia"/>
                      <w:color w:val="000000"/>
                      <w:sz w:val="21"/>
                      <w:szCs w:val="21"/>
                      <w:u w:val="single"/>
                      <w:lang w:val="en-US" w:eastAsia="zh-CN"/>
                    </w:rPr>
                    <w:t>机油</w:t>
                  </w:r>
                </w:p>
              </w:tc>
              <w:tc>
                <w:tcPr>
                  <w:tcW w:w="2023" w:type="pct"/>
                  <w:noWrap w:val="0"/>
                  <w:vAlign w:val="center"/>
                </w:tcPr>
                <w:p w14:paraId="3BF3D09C">
                  <w:pPr>
                    <w:snapToGrid w:val="0"/>
                    <w:spacing w:before="31" w:beforeLines="10" w:after="31" w:afterLines="10"/>
                    <w:jc w:val="center"/>
                    <w:rPr>
                      <w:rFonts w:hint="eastAsia"/>
                      <w:color w:val="000000"/>
                      <w:sz w:val="21"/>
                      <w:szCs w:val="21"/>
                      <w:u w:val="single"/>
                      <w:lang w:val="en-US" w:eastAsia="zh-CN"/>
                    </w:rPr>
                  </w:pPr>
                  <w:r>
                    <w:rPr>
                      <w:rFonts w:hint="eastAsia"/>
                      <w:color w:val="000000"/>
                      <w:sz w:val="21"/>
                      <w:szCs w:val="21"/>
                      <w:u w:val="single"/>
                      <w:lang w:val="en-US" w:eastAsia="zh-CN"/>
                    </w:rPr>
                    <w:t>0.01t</w:t>
                  </w:r>
                </w:p>
              </w:tc>
            </w:tr>
            <w:tr w14:paraId="1A47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63" w:type="pct"/>
                  <w:vMerge w:val="restart"/>
                  <w:noWrap w:val="0"/>
                  <w:vAlign w:val="center"/>
                </w:tcPr>
                <w:p w14:paraId="7777DA1C">
                  <w:pPr>
                    <w:snapToGrid w:val="0"/>
                    <w:spacing w:before="31" w:beforeLines="10" w:after="31" w:afterLines="10"/>
                    <w:jc w:val="center"/>
                    <w:rPr>
                      <w:color w:val="000000"/>
                      <w:sz w:val="21"/>
                      <w:szCs w:val="21"/>
                      <w:u w:val="single"/>
                    </w:rPr>
                  </w:pPr>
                  <w:r>
                    <w:rPr>
                      <w:color w:val="000000"/>
                      <w:sz w:val="21"/>
                      <w:szCs w:val="21"/>
                      <w:u w:val="single"/>
                    </w:rPr>
                    <w:t>资</w:t>
                  </w:r>
                  <w:r>
                    <w:rPr>
                      <w:rFonts w:hint="eastAsia"/>
                      <w:color w:val="000000"/>
                      <w:sz w:val="21"/>
                      <w:szCs w:val="21"/>
                      <w:u w:val="single"/>
                    </w:rPr>
                    <w:t>、</w:t>
                  </w:r>
                  <w:r>
                    <w:rPr>
                      <w:color w:val="000000"/>
                      <w:sz w:val="21"/>
                      <w:szCs w:val="21"/>
                      <w:u w:val="single"/>
                    </w:rPr>
                    <w:t>能源</w:t>
                  </w:r>
                </w:p>
              </w:tc>
              <w:tc>
                <w:tcPr>
                  <w:tcW w:w="2013" w:type="pct"/>
                  <w:noWrap w:val="0"/>
                  <w:vAlign w:val="center"/>
                </w:tcPr>
                <w:p w14:paraId="4DEF501B">
                  <w:pPr>
                    <w:snapToGrid w:val="0"/>
                    <w:spacing w:before="31" w:beforeLines="10" w:after="31" w:afterLines="10"/>
                    <w:jc w:val="center"/>
                    <w:rPr>
                      <w:rFonts w:hint="eastAsia"/>
                      <w:color w:val="000000"/>
                      <w:sz w:val="21"/>
                      <w:szCs w:val="21"/>
                      <w:u w:val="single"/>
                    </w:rPr>
                  </w:pPr>
                  <w:r>
                    <w:rPr>
                      <w:color w:val="000000"/>
                      <w:sz w:val="21"/>
                      <w:szCs w:val="21"/>
                      <w:u w:val="single"/>
                    </w:rPr>
                    <w:t>水</w:t>
                  </w:r>
                </w:p>
              </w:tc>
              <w:tc>
                <w:tcPr>
                  <w:tcW w:w="2023" w:type="pct"/>
                  <w:noWrap w:val="0"/>
                  <w:vAlign w:val="center"/>
                </w:tcPr>
                <w:p w14:paraId="553DFD7C">
                  <w:pPr>
                    <w:snapToGrid w:val="0"/>
                    <w:spacing w:before="31" w:beforeLines="10" w:after="31" w:afterLines="10"/>
                    <w:jc w:val="center"/>
                    <w:rPr>
                      <w:rFonts w:hint="eastAsia"/>
                      <w:color w:val="000000"/>
                      <w:sz w:val="21"/>
                      <w:szCs w:val="21"/>
                      <w:u w:val="single"/>
                    </w:rPr>
                  </w:pPr>
                  <w:r>
                    <w:rPr>
                      <w:rFonts w:hint="eastAsia"/>
                      <w:color w:val="000000"/>
                      <w:sz w:val="21"/>
                      <w:szCs w:val="21"/>
                      <w:u w:val="single"/>
                      <w:lang w:val="en-US" w:eastAsia="zh-CN"/>
                    </w:rPr>
                    <w:t>270</w:t>
                  </w:r>
                  <w:r>
                    <w:rPr>
                      <w:rFonts w:hint="eastAsia"/>
                      <w:color w:val="000000"/>
                      <w:sz w:val="21"/>
                      <w:szCs w:val="21"/>
                      <w:u w:val="single"/>
                    </w:rPr>
                    <w:t>t</w:t>
                  </w:r>
                </w:p>
              </w:tc>
            </w:tr>
            <w:tr w14:paraId="5B97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63" w:type="pct"/>
                  <w:vMerge w:val="continue"/>
                  <w:noWrap w:val="0"/>
                  <w:vAlign w:val="center"/>
                </w:tcPr>
                <w:p w14:paraId="6B9BAC87">
                  <w:pPr>
                    <w:snapToGrid w:val="0"/>
                    <w:spacing w:before="31" w:beforeLines="10" w:after="31" w:afterLines="10"/>
                    <w:jc w:val="center"/>
                    <w:rPr>
                      <w:color w:val="000000"/>
                      <w:sz w:val="21"/>
                      <w:szCs w:val="21"/>
                      <w:u w:val="single"/>
                    </w:rPr>
                  </w:pPr>
                </w:p>
              </w:tc>
              <w:tc>
                <w:tcPr>
                  <w:tcW w:w="2013" w:type="pct"/>
                  <w:noWrap w:val="0"/>
                  <w:vAlign w:val="center"/>
                </w:tcPr>
                <w:p w14:paraId="6D133FED">
                  <w:pPr>
                    <w:snapToGrid w:val="0"/>
                    <w:spacing w:before="31" w:beforeLines="10" w:after="31" w:afterLines="10"/>
                    <w:jc w:val="center"/>
                    <w:rPr>
                      <w:rFonts w:hint="eastAsia"/>
                      <w:color w:val="000000"/>
                      <w:sz w:val="21"/>
                      <w:szCs w:val="21"/>
                      <w:u w:val="single"/>
                      <w:lang w:val="en-US" w:eastAsia="zh-CN"/>
                    </w:rPr>
                  </w:pPr>
                  <w:r>
                    <w:rPr>
                      <w:color w:val="000000"/>
                      <w:sz w:val="21"/>
                      <w:szCs w:val="21"/>
                      <w:u w:val="single"/>
                    </w:rPr>
                    <w:t>电</w:t>
                  </w:r>
                </w:p>
              </w:tc>
              <w:tc>
                <w:tcPr>
                  <w:tcW w:w="2023" w:type="pct"/>
                  <w:noWrap w:val="0"/>
                  <w:vAlign w:val="center"/>
                </w:tcPr>
                <w:p w14:paraId="1E2356CE">
                  <w:pPr>
                    <w:snapToGrid w:val="0"/>
                    <w:spacing w:before="31" w:beforeLines="10" w:after="31" w:afterLines="10"/>
                    <w:jc w:val="center"/>
                    <w:rPr>
                      <w:rFonts w:hint="eastAsia"/>
                      <w:color w:val="000000"/>
                      <w:sz w:val="21"/>
                      <w:szCs w:val="21"/>
                      <w:u w:val="single"/>
                      <w:lang w:val="en-US" w:eastAsia="zh-CN"/>
                    </w:rPr>
                  </w:pPr>
                  <w:r>
                    <w:rPr>
                      <w:rFonts w:hint="eastAsia"/>
                      <w:color w:val="000000"/>
                      <w:sz w:val="21"/>
                      <w:szCs w:val="21"/>
                      <w:u w:val="single"/>
                      <w:lang w:val="en-US" w:eastAsia="zh-CN"/>
                    </w:rPr>
                    <w:t>2</w:t>
                  </w:r>
                  <w:r>
                    <w:rPr>
                      <w:color w:val="000000"/>
                      <w:sz w:val="21"/>
                      <w:szCs w:val="21"/>
                      <w:u w:val="single"/>
                    </w:rPr>
                    <w:t>万k</w:t>
                  </w:r>
                  <w:r>
                    <w:rPr>
                      <w:rFonts w:hint="eastAsia"/>
                      <w:color w:val="000000"/>
                      <w:sz w:val="21"/>
                      <w:szCs w:val="21"/>
                      <w:u w:val="single"/>
                    </w:rPr>
                    <w:t>W</w:t>
                  </w:r>
                  <w:r>
                    <w:rPr>
                      <w:rFonts w:hint="default" w:ascii="Times New Roman" w:hAnsi="Times New Roman" w:cs="Times New Roman"/>
                      <w:color w:val="000000"/>
                      <w:sz w:val="21"/>
                      <w:szCs w:val="21"/>
                      <w:u w:val="single"/>
                      <w:lang w:val="en-US" w:eastAsia="zh-CN"/>
                    </w:rPr>
                    <w:t>·</w:t>
                  </w:r>
                  <w:r>
                    <w:rPr>
                      <w:color w:val="000000"/>
                      <w:sz w:val="21"/>
                      <w:szCs w:val="21"/>
                      <w:u w:val="single"/>
                    </w:rPr>
                    <w:t>h</w:t>
                  </w:r>
                </w:p>
              </w:tc>
            </w:tr>
          </w:tbl>
          <w:p w14:paraId="04443E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bCs/>
                <w:color w:val="000000"/>
                <w:sz w:val="24"/>
                <w:u w:val="none"/>
              </w:rPr>
            </w:pPr>
            <w:r>
              <w:rPr>
                <w:rFonts w:hint="default" w:ascii="Times New Roman" w:hAnsi="Times New Roman" w:eastAsia="宋体" w:cs="Times New Roman"/>
                <w:b/>
                <w:bCs/>
                <w:color w:val="000000"/>
                <w:sz w:val="24"/>
                <w:u w:val="none"/>
              </w:rPr>
              <w:t>主要原辅材理化性质：</w:t>
            </w:r>
          </w:p>
          <w:p w14:paraId="10B74A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color w:val="000000"/>
                <w:sz w:val="24"/>
                <w:szCs w:val="24"/>
                <w:u w:val="none"/>
                <w:lang w:val="en-US" w:eastAsia="zh-CN"/>
              </w:rPr>
            </w:pPr>
            <w:r>
              <w:rPr>
                <w:rFonts w:hint="default"/>
                <w:color w:val="000000"/>
                <w:sz w:val="24"/>
                <w:szCs w:val="24"/>
                <w:u w:val="none"/>
                <w:lang w:val="en-US" w:eastAsia="zh-CN"/>
              </w:rPr>
              <w:t>PVC树脂</w:t>
            </w:r>
            <w:r>
              <w:rPr>
                <w:rFonts w:hint="eastAsia"/>
                <w:color w:val="000000"/>
                <w:sz w:val="24"/>
                <w:szCs w:val="24"/>
                <w:u w:val="none"/>
                <w:lang w:val="en-US" w:eastAsia="zh-CN"/>
              </w:rPr>
              <w:t>：</w:t>
            </w:r>
            <w:r>
              <w:rPr>
                <w:rFonts w:hint="default"/>
                <w:color w:val="000000"/>
                <w:sz w:val="24"/>
                <w:szCs w:val="24"/>
                <w:u w:val="none"/>
                <w:lang w:val="en-US" w:eastAsia="zh-CN"/>
              </w:rPr>
              <w:t>聚氯乙烯树脂，为氯乙烯单体在过氧化物、偶氮化合物等引发剂或在光、热作用下按自由基聚合反应机理聚合而成的聚合物，是世界上产量最大的通用塑料。为无定形结构，粒径为60-250μm白色粉末，支化度较小，相对密度1.4左右，玻璃化温度77-90℃，对光和热的稳定性较差，在实际应用中必须加入稳定剂以提高对热和光的稳定性。</w:t>
            </w:r>
          </w:p>
          <w:p w14:paraId="2D1C9B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color w:val="000000"/>
                <w:sz w:val="24"/>
                <w:szCs w:val="24"/>
                <w:u w:val="none"/>
                <w:lang w:val="en-US" w:eastAsia="zh-CN"/>
              </w:rPr>
            </w:pPr>
            <w:r>
              <w:rPr>
                <w:rFonts w:hint="default"/>
                <w:color w:val="000000"/>
                <w:sz w:val="24"/>
                <w:szCs w:val="24"/>
                <w:u w:val="none"/>
                <w:lang w:val="en-US" w:eastAsia="zh-CN"/>
              </w:rPr>
              <w:t>钙粉</w:t>
            </w:r>
            <w:r>
              <w:rPr>
                <w:rFonts w:hint="eastAsia"/>
                <w:color w:val="000000"/>
                <w:sz w:val="24"/>
                <w:szCs w:val="24"/>
                <w:u w:val="none"/>
                <w:lang w:val="en-US" w:eastAsia="zh-CN"/>
              </w:rPr>
              <w:t>：</w:t>
            </w:r>
            <w:r>
              <w:rPr>
                <w:rFonts w:hint="default"/>
                <w:color w:val="000000"/>
                <w:sz w:val="24"/>
                <w:szCs w:val="24"/>
                <w:u w:val="none"/>
                <w:lang w:val="en-US" w:eastAsia="zh-CN"/>
              </w:rPr>
              <w:t>采用轻质碳酸钙，用化学加工方法制得的，由于它的沉降体积（2.4~2.8mL/g）比用机械方法生产的重质碳酸钙沉降体积（1.1~1.9mL/g）大，因此被称为轻质碳酸钙。其特点为白色粉末或无色结晶、无气味，粒径为0.5~15μm。碳酸钙在塑料制品中能起到一种骨架作用，对塑料制品尺寸的稳定性有很大作用。能提高制品的硬度，还可以提高制品的表面光泽和表面平整性。在一般塑料制品中添加碳酸钙耐热性可以提高，由于碳酸钙白度在90%以上，还可以取代昂贵的白色颜料起到增白作用。</w:t>
            </w:r>
          </w:p>
          <w:p w14:paraId="44D1DFD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color w:val="000000"/>
                <w:sz w:val="24"/>
                <w:szCs w:val="24"/>
                <w:u w:val="none"/>
                <w:lang w:val="en-US" w:eastAsia="zh-CN"/>
              </w:rPr>
            </w:pPr>
            <w:r>
              <w:rPr>
                <w:rFonts w:hint="default"/>
                <w:color w:val="000000"/>
                <w:sz w:val="24"/>
                <w:szCs w:val="24"/>
                <w:u w:val="none"/>
                <w:lang w:val="en-US" w:eastAsia="zh-CN"/>
              </w:rPr>
              <w:t>丁酯</w:t>
            </w:r>
            <w:r>
              <w:rPr>
                <w:rFonts w:hint="eastAsia"/>
                <w:color w:val="000000"/>
                <w:sz w:val="24"/>
                <w:szCs w:val="24"/>
                <w:u w:val="none"/>
                <w:lang w:val="en-US" w:eastAsia="zh-CN"/>
              </w:rPr>
              <w:t>：</w:t>
            </w:r>
            <w:r>
              <w:rPr>
                <w:rFonts w:hint="default"/>
                <w:color w:val="000000"/>
                <w:sz w:val="24"/>
                <w:szCs w:val="24"/>
                <w:u w:val="none"/>
                <w:lang w:val="en-US" w:eastAsia="zh-CN"/>
              </w:rPr>
              <w:t>通常指乙酸丁酯或醋酸丁酯，分子式：C</w:t>
            </w:r>
            <w:r>
              <w:rPr>
                <w:rFonts w:hint="default"/>
                <w:color w:val="000000"/>
                <w:sz w:val="24"/>
                <w:szCs w:val="24"/>
                <w:u w:val="none"/>
                <w:vertAlign w:val="subscript"/>
                <w:lang w:val="en-US" w:eastAsia="zh-CN"/>
              </w:rPr>
              <w:t>6</w:t>
            </w:r>
            <w:r>
              <w:rPr>
                <w:rFonts w:hint="default"/>
                <w:color w:val="000000"/>
                <w:sz w:val="24"/>
                <w:szCs w:val="24"/>
                <w:u w:val="none"/>
                <w:lang w:val="en-US" w:eastAsia="zh-CN"/>
              </w:rPr>
              <w:t>H</w:t>
            </w:r>
            <w:r>
              <w:rPr>
                <w:rFonts w:hint="default"/>
                <w:color w:val="000000"/>
                <w:sz w:val="24"/>
                <w:szCs w:val="24"/>
                <w:u w:val="none"/>
                <w:vertAlign w:val="subscript"/>
                <w:lang w:val="en-US" w:eastAsia="zh-CN"/>
              </w:rPr>
              <w:t>12</w:t>
            </w:r>
            <w:r>
              <w:rPr>
                <w:rFonts w:hint="default"/>
                <w:color w:val="000000"/>
                <w:sz w:val="24"/>
                <w:szCs w:val="24"/>
                <w:u w:val="none"/>
                <w:lang w:val="en-US" w:eastAsia="zh-CN"/>
              </w:rPr>
              <w:t>O</w:t>
            </w:r>
            <w:r>
              <w:rPr>
                <w:rFonts w:hint="default"/>
                <w:color w:val="000000"/>
                <w:sz w:val="24"/>
                <w:szCs w:val="24"/>
                <w:u w:val="none"/>
                <w:vertAlign w:val="subscript"/>
                <w:lang w:val="en-US" w:eastAsia="zh-CN"/>
              </w:rPr>
              <w:t>2</w:t>
            </w:r>
            <w:r>
              <w:rPr>
                <w:rFonts w:hint="default"/>
                <w:color w:val="000000"/>
                <w:sz w:val="24"/>
                <w:szCs w:val="24"/>
                <w:u w:val="none"/>
                <w:lang w:val="en-US" w:eastAsia="zh-CN"/>
              </w:rPr>
              <w:t>相对分子量：116.16性状：无色透明液体，有水果香气。能与乙醇和乙醚混溶，溶于大多数烃类化合物，25℃时溶于约120份水。其蒸气比空气重，相对密度0.8826。凝固点-77℃。沸点125-126℃，比热容（20℃）1.91KJ/（kgK）。折射率1.3951。闪点（闭杯）22℃。易燃，燃点421℃。粘度（20℃）0.734mPas。蒸气能与空气形成爆炸性混合物，爆炸极限1.4%-8.0%（体积）。有刺激性，高浓度时有麻醉性。</w:t>
            </w:r>
          </w:p>
          <w:p w14:paraId="112ADB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color w:val="000000"/>
                <w:sz w:val="24"/>
                <w:szCs w:val="24"/>
                <w:u w:val="none"/>
                <w:lang w:val="en-US" w:eastAsia="zh-CN"/>
              </w:rPr>
            </w:pPr>
            <w:r>
              <w:rPr>
                <w:rFonts w:hint="default"/>
                <w:color w:val="000000"/>
                <w:sz w:val="24"/>
                <w:szCs w:val="24"/>
                <w:u w:val="none"/>
                <w:lang w:val="en-US" w:eastAsia="zh-CN"/>
              </w:rPr>
              <w:t>硬脂酸</w:t>
            </w:r>
            <w:r>
              <w:rPr>
                <w:rFonts w:hint="eastAsia"/>
                <w:color w:val="000000"/>
                <w:sz w:val="24"/>
                <w:szCs w:val="24"/>
                <w:u w:val="none"/>
                <w:lang w:val="en-US" w:eastAsia="zh-CN"/>
              </w:rPr>
              <w:t>：</w:t>
            </w:r>
            <w:r>
              <w:rPr>
                <w:rFonts w:hint="default"/>
                <w:color w:val="000000"/>
                <w:sz w:val="24"/>
                <w:szCs w:val="24"/>
                <w:u w:val="none"/>
                <w:lang w:val="en-US" w:eastAsia="zh-CN"/>
              </w:rPr>
              <w:t>即十八烷酸，分子式C</w:t>
            </w:r>
            <w:r>
              <w:rPr>
                <w:rFonts w:hint="default"/>
                <w:color w:val="000000"/>
                <w:sz w:val="24"/>
                <w:szCs w:val="24"/>
                <w:u w:val="none"/>
                <w:vertAlign w:val="subscript"/>
                <w:lang w:val="en-US" w:eastAsia="zh-CN"/>
              </w:rPr>
              <w:t>18</w:t>
            </w:r>
            <w:r>
              <w:rPr>
                <w:rFonts w:hint="default"/>
                <w:color w:val="000000"/>
                <w:sz w:val="24"/>
                <w:szCs w:val="24"/>
                <w:u w:val="none"/>
                <w:lang w:val="en-US" w:eastAsia="zh-CN"/>
              </w:rPr>
              <w:t>H</w:t>
            </w:r>
            <w:r>
              <w:rPr>
                <w:rFonts w:hint="default"/>
                <w:color w:val="000000"/>
                <w:sz w:val="24"/>
                <w:szCs w:val="24"/>
                <w:u w:val="none"/>
                <w:vertAlign w:val="subscript"/>
                <w:lang w:val="en-US" w:eastAsia="zh-CN"/>
              </w:rPr>
              <w:t>36</w:t>
            </w:r>
            <w:r>
              <w:rPr>
                <w:rFonts w:hint="default"/>
                <w:color w:val="000000"/>
                <w:sz w:val="24"/>
                <w:szCs w:val="24"/>
                <w:u w:val="none"/>
                <w:lang w:val="en-US" w:eastAsia="zh-CN"/>
              </w:rPr>
              <w:t>O</w:t>
            </w:r>
            <w:r>
              <w:rPr>
                <w:rFonts w:hint="default"/>
                <w:color w:val="000000"/>
                <w:sz w:val="24"/>
                <w:szCs w:val="24"/>
                <w:u w:val="none"/>
                <w:vertAlign w:val="subscript"/>
                <w:lang w:val="en-US" w:eastAsia="zh-CN"/>
              </w:rPr>
              <w:t>2</w:t>
            </w:r>
            <w:r>
              <w:rPr>
                <w:rFonts w:hint="default"/>
                <w:color w:val="000000"/>
                <w:sz w:val="24"/>
                <w:szCs w:val="24"/>
                <w:u w:val="none"/>
                <w:lang w:val="en-US" w:eastAsia="zh-CN"/>
              </w:rPr>
              <w:t>，由油脂水解生产，主要用于生产硬脂酸盐。</w:t>
            </w:r>
            <w:r>
              <w:rPr>
                <w:rFonts w:hint="eastAsia"/>
                <w:color w:val="000000"/>
                <w:sz w:val="24"/>
                <w:szCs w:val="24"/>
                <w:u w:val="none"/>
                <w:lang w:val="en-US" w:eastAsia="zh-CN"/>
              </w:rPr>
              <w:t>外观</w:t>
            </w:r>
            <w:r>
              <w:rPr>
                <w:rFonts w:hint="default"/>
                <w:color w:val="000000"/>
                <w:sz w:val="24"/>
                <w:szCs w:val="24"/>
                <w:u w:val="none"/>
                <w:lang w:val="en-US" w:eastAsia="zh-CN"/>
              </w:rPr>
              <w:t>为白色或类白色有滑腻感的粉末或结晶性硬块，其剖面有微带光泽的细针状结晶；有类似油脂的微臭，无味无毒。本品在氯仿或乙醚中易溶，在乙醇中溶解，在水中几乎不溶。硬脂酸的凝点不低于54℃、碘值不大于4、酸值为203~210，易与镁离子和钙离子反应生成硬脂酸镁和硬脂酸钙</w:t>
            </w:r>
            <w:r>
              <w:rPr>
                <w:rFonts w:hint="eastAsia"/>
                <w:color w:val="000000"/>
                <w:sz w:val="24"/>
                <w:szCs w:val="24"/>
                <w:u w:val="none"/>
                <w:lang w:val="en-US" w:eastAsia="zh-CN"/>
              </w:rPr>
              <w:t>（</w:t>
            </w:r>
            <w:r>
              <w:rPr>
                <w:rFonts w:hint="default"/>
                <w:color w:val="000000"/>
                <w:sz w:val="24"/>
                <w:szCs w:val="24"/>
                <w:u w:val="none"/>
                <w:lang w:val="en-US" w:eastAsia="zh-CN"/>
              </w:rPr>
              <w:t>白色沉淀</w:t>
            </w:r>
            <w:r>
              <w:rPr>
                <w:rFonts w:hint="eastAsia"/>
                <w:color w:val="000000"/>
                <w:sz w:val="24"/>
                <w:szCs w:val="24"/>
                <w:u w:val="none"/>
                <w:lang w:val="en-US" w:eastAsia="zh-CN"/>
              </w:rPr>
              <w:t>）</w:t>
            </w:r>
            <w:r>
              <w:rPr>
                <w:rFonts w:hint="default"/>
                <w:color w:val="000000"/>
                <w:sz w:val="24"/>
                <w:szCs w:val="24"/>
                <w:u w:val="none"/>
                <w:lang w:val="en-US" w:eastAsia="zh-CN"/>
              </w:rPr>
              <w:t>。</w:t>
            </w:r>
          </w:p>
          <w:p w14:paraId="47F775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color w:val="000000"/>
                <w:sz w:val="24"/>
                <w:szCs w:val="24"/>
                <w:u w:val="none"/>
                <w:lang w:val="en-US" w:eastAsia="zh-CN"/>
              </w:rPr>
            </w:pPr>
            <w:r>
              <w:rPr>
                <w:rFonts w:hint="default"/>
                <w:color w:val="000000"/>
                <w:sz w:val="24"/>
                <w:szCs w:val="24"/>
                <w:u w:val="none"/>
                <w:lang w:val="en-US" w:eastAsia="zh-CN"/>
              </w:rPr>
              <w:t>稳定剂</w:t>
            </w:r>
            <w:r>
              <w:rPr>
                <w:rFonts w:hint="eastAsia"/>
                <w:color w:val="000000"/>
                <w:sz w:val="24"/>
                <w:szCs w:val="24"/>
                <w:u w:val="none"/>
                <w:lang w:val="en-US" w:eastAsia="zh-CN"/>
              </w:rPr>
              <w:t>：</w:t>
            </w:r>
            <w:r>
              <w:rPr>
                <w:rFonts w:hint="default"/>
                <w:color w:val="000000"/>
                <w:sz w:val="24"/>
                <w:szCs w:val="24"/>
                <w:u w:val="none"/>
                <w:lang w:val="en-US" w:eastAsia="zh-CN"/>
              </w:rPr>
              <w:t>稳定剂主要由钙盐、锌盐、润滑剂、抗氧剂等为主要组分采用特殊复合工艺而合成。它不但可以取代铅镉盐类和有机锡类等有毒稳定剂，而且具有相当好的热稳定性、光稳定性和透明性及着色力。实践证明，在PVC树脂制品中，加工性能好，热稳定作用相当于铅盐类稳定剂，是一种良好的无毒稳定剂。</w:t>
            </w:r>
          </w:p>
          <w:p w14:paraId="556EE4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color w:val="000000"/>
                <w:sz w:val="24"/>
                <w:szCs w:val="24"/>
                <w:u w:val="none"/>
                <w:lang w:val="en-US" w:eastAsia="zh-CN"/>
              </w:rPr>
            </w:pPr>
            <w:r>
              <w:rPr>
                <w:rFonts w:hint="default"/>
                <w:color w:val="000000"/>
                <w:sz w:val="24"/>
                <w:szCs w:val="24"/>
                <w:u w:val="none"/>
                <w:lang w:val="en-US" w:eastAsia="zh-CN"/>
              </w:rPr>
              <w:t>钛白粉</w:t>
            </w:r>
            <w:r>
              <w:rPr>
                <w:rFonts w:hint="eastAsia"/>
                <w:color w:val="000000"/>
                <w:sz w:val="24"/>
                <w:szCs w:val="24"/>
                <w:u w:val="none"/>
                <w:lang w:val="en-US" w:eastAsia="zh-CN"/>
              </w:rPr>
              <w:t>：</w:t>
            </w:r>
            <w:r>
              <w:rPr>
                <w:rFonts w:hint="default"/>
                <w:color w:val="000000"/>
                <w:sz w:val="24"/>
                <w:szCs w:val="24"/>
                <w:u w:val="none"/>
                <w:lang w:val="en-US" w:eastAsia="zh-CN"/>
              </w:rPr>
              <w:t>钛白粉</w:t>
            </w:r>
            <w:r>
              <w:rPr>
                <w:rFonts w:hint="eastAsia"/>
                <w:color w:val="000000"/>
                <w:sz w:val="24"/>
                <w:szCs w:val="24"/>
                <w:u w:val="none"/>
                <w:lang w:val="en-US" w:eastAsia="zh-CN"/>
              </w:rPr>
              <w:t>（</w:t>
            </w:r>
            <w:r>
              <w:rPr>
                <w:rFonts w:hint="default"/>
                <w:color w:val="000000"/>
                <w:sz w:val="24"/>
                <w:szCs w:val="24"/>
                <w:u w:val="none"/>
                <w:lang w:val="en-US" w:eastAsia="zh-CN"/>
              </w:rPr>
              <w:t>TiO</w:t>
            </w:r>
            <w:r>
              <w:rPr>
                <w:rFonts w:hint="default"/>
                <w:color w:val="000000"/>
                <w:sz w:val="24"/>
                <w:szCs w:val="24"/>
                <w:u w:val="none"/>
                <w:vertAlign w:val="subscript"/>
                <w:lang w:val="en-US" w:eastAsia="zh-CN"/>
              </w:rPr>
              <w:t>2</w:t>
            </w:r>
            <w:r>
              <w:rPr>
                <w:rFonts w:hint="eastAsia"/>
                <w:color w:val="000000"/>
                <w:sz w:val="24"/>
                <w:szCs w:val="24"/>
                <w:u w:val="none"/>
                <w:lang w:val="en-US" w:eastAsia="zh-CN"/>
              </w:rPr>
              <w:t>）</w:t>
            </w:r>
            <w:r>
              <w:rPr>
                <w:rFonts w:hint="default"/>
                <w:color w:val="000000"/>
                <w:sz w:val="24"/>
                <w:szCs w:val="24"/>
                <w:u w:val="none"/>
                <w:lang w:val="en-US" w:eastAsia="zh-CN"/>
              </w:rPr>
              <w:t>是一种重要的无机化工产品，在涂料、油墨、造纸、塑料橡胶、化纤、陶瓷等工业中有重要用途。由于锐钛型在高温下会转变成金红石型，因此锐钛型二氧化钛的熔点和沸点实际上是不存在的。只有金红石型二氧化钛有熔点和沸点，金红石型二氧化钛的熔点为1850℃、空气中的熔点为</w:t>
            </w:r>
            <w:r>
              <w:rPr>
                <w:rFonts w:hint="eastAsia"/>
                <w:color w:val="000000"/>
                <w:sz w:val="24"/>
                <w:szCs w:val="24"/>
                <w:u w:val="none"/>
                <w:lang w:val="en-US" w:eastAsia="zh-CN"/>
              </w:rPr>
              <w:t>（</w:t>
            </w:r>
            <w:r>
              <w:rPr>
                <w:rFonts w:hint="default"/>
                <w:color w:val="000000"/>
                <w:sz w:val="24"/>
                <w:szCs w:val="24"/>
                <w:u w:val="none"/>
                <w:lang w:val="en-US" w:eastAsia="zh-CN"/>
              </w:rPr>
              <w:t>1830±15</w:t>
            </w:r>
            <w:r>
              <w:rPr>
                <w:rFonts w:hint="eastAsia"/>
                <w:color w:val="000000"/>
                <w:sz w:val="24"/>
                <w:szCs w:val="24"/>
                <w:u w:val="none"/>
                <w:lang w:val="en-US" w:eastAsia="zh-CN"/>
              </w:rPr>
              <w:t>）</w:t>
            </w:r>
            <w:r>
              <w:rPr>
                <w:rFonts w:hint="default"/>
                <w:color w:val="000000"/>
                <w:sz w:val="24"/>
                <w:szCs w:val="24"/>
                <w:u w:val="none"/>
                <w:lang w:val="en-US" w:eastAsia="zh-CN"/>
              </w:rPr>
              <w:t>℃、富氧中的熔点为1879℃，熔点与二氧化钛的纯度有关。金红石型二氧化钛的沸点为</w:t>
            </w:r>
            <w:r>
              <w:rPr>
                <w:rFonts w:hint="eastAsia"/>
                <w:color w:val="000000"/>
                <w:sz w:val="24"/>
                <w:szCs w:val="24"/>
                <w:u w:val="none"/>
                <w:lang w:val="en-US" w:eastAsia="zh-CN"/>
              </w:rPr>
              <w:t>（</w:t>
            </w:r>
            <w:r>
              <w:rPr>
                <w:rFonts w:hint="default"/>
                <w:color w:val="000000"/>
                <w:sz w:val="24"/>
                <w:szCs w:val="24"/>
                <w:u w:val="none"/>
                <w:lang w:val="en-US" w:eastAsia="zh-CN"/>
              </w:rPr>
              <w:t>3200±300</w:t>
            </w:r>
            <w:r>
              <w:rPr>
                <w:rFonts w:hint="eastAsia"/>
                <w:color w:val="000000"/>
                <w:sz w:val="24"/>
                <w:szCs w:val="24"/>
                <w:u w:val="none"/>
                <w:lang w:val="en-US" w:eastAsia="zh-CN"/>
              </w:rPr>
              <w:t>）</w:t>
            </w:r>
            <w:r>
              <w:rPr>
                <w:rFonts w:hint="default"/>
                <w:color w:val="000000"/>
                <w:sz w:val="24"/>
                <w:szCs w:val="24"/>
                <w:u w:val="none"/>
                <w:lang w:val="en-US" w:eastAsia="zh-CN"/>
              </w:rPr>
              <w:t>℃，在此高温下二氧化钛稍有挥发性。</w:t>
            </w:r>
          </w:p>
          <w:p w14:paraId="664873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color w:val="000000"/>
                <w:sz w:val="24"/>
                <w:szCs w:val="24"/>
                <w:u w:val="none"/>
                <w:lang w:val="en-US" w:eastAsia="zh-CN"/>
              </w:rPr>
            </w:pPr>
            <w:r>
              <w:rPr>
                <w:rFonts w:hint="default"/>
                <w:color w:val="000000"/>
                <w:sz w:val="24"/>
                <w:szCs w:val="24"/>
                <w:u w:val="none"/>
                <w:lang w:val="en-US" w:eastAsia="zh-CN"/>
              </w:rPr>
              <w:t>发泡剂</w:t>
            </w:r>
            <w:r>
              <w:rPr>
                <w:rFonts w:hint="eastAsia"/>
                <w:color w:val="000000"/>
                <w:sz w:val="24"/>
                <w:szCs w:val="24"/>
                <w:u w:val="none"/>
                <w:lang w:val="en-US" w:eastAsia="zh-CN"/>
              </w:rPr>
              <w:t>：</w:t>
            </w:r>
            <w:r>
              <w:rPr>
                <w:rFonts w:hint="default"/>
                <w:color w:val="000000"/>
                <w:sz w:val="24"/>
                <w:szCs w:val="24"/>
                <w:u w:val="none"/>
                <w:lang w:val="en-US" w:eastAsia="zh-CN"/>
              </w:rPr>
              <w:t>学名偶氮二甲酰胺，又称偶氮甲酰胺，英文名：Azobisformamide或Azodicarbonamide简称ABFA，分子式：C2H4N4O2，分子量：116.08。外观呈淡黄色的结晶粉末，相对密度1.65，属于偶氮系列分解温度较高的有机热分解型发泡剂分解温度200~220℃，加热到120℃则徐徐分解，由于分解是热反应，故一旦分解开始便自动连续进行，达到最终分解温度，此时产生大量气体。分解气体组成氮气65%，一氧化碳32%，二氧化碳3.5%和小量氨气，残渣部分为尿唑34%，联二脲2%，三聚氰酸26%及其他。它不溶于酸、醇、苯、汽油、吡啶等溶剂，难溶于水，而溶于甲基亚砜、二甲基甲酰胺和氢氧化钠溶液。该产品性质稳定，常温下可经久贮存，本身无毒、无臭，不污染，不变色，不变质。</w:t>
            </w:r>
          </w:p>
          <w:p w14:paraId="79ED11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color w:val="000000"/>
                <w:sz w:val="24"/>
                <w:szCs w:val="24"/>
                <w:u w:val="none"/>
                <w:lang w:val="en-US" w:eastAsia="zh-CN"/>
              </w:rPr>
            </w:pPr>
            <w:r>
              <w:rPr>
                <w:rFonts w:hint="default"/>
                <w:color w:val="000000"/>
                <w:sz w:val="24"/>
                <w:szCs w:val="24"/>
                <w:u w:val="none"/>
                <w:lang w:val="en-US" w:eastAsia="zh-CN"/>
              </w:rPr>
              <w:t>增白剂</w:t>
            </w:r>
            <w:r>
              <w:rPr>
                <w:rFonts w:hint="eastAsia"/>
                <w:color w:val="000000"/>
                <w:sz w:val="24"/>
                <w:szCs w:val="24"/>
                <w:u w:val="none"/>
                <w:lang w:val="en-US" w:eastAsia="zh-CN"/>
              </w:rPr>
              <w:t>：</w:t>
            </w:r>
            <w:r>
              <w:rPr>
                <w:rFonts w:hint="default"/>
                <w:color w:val="000000"/>
                <w:sz w:val="24"/>
                <w:szCs w:val="24"/>
                <w:u w:val="none"/>
                <w:lang w:val="en-US" w:eastAsia="zh-CN"/>
              </w:rPr>
              <w:t>中文名荧光增白剂184，中文名荧光增白剂，CAS号为7128-64-5，主要成分2.5-双</w:t>
            </w:r>
            <w:r>
              <w:rPr>
                <w:rFonts w:hint="eastAsia"/>
                <w:color w:val="000000"/>
                <w:sz w:val="24"/>
                <w:szCs w:val="24"/>
                <w:u w:val="none"/>
                <w:lang w:val="en-US" w:eastAsia="zh-CN"/>
              </w:rPr>
              <w:t>（</w:t>
            </w:r>
            <w:r>
              <w:rPr>
                <w:rFonts w:hint="default"/>
                <w:color w:val="000000"/>
                <w:sz w:val="24"/>
                <w:szCs w:val="24"/>
                <w:u w:val="none"/>
                <w:lang w:val="en-US" w:eastAsia="zh-CN"/>
              </w:rPr>
              <w:t>5-叔丁基-1.3-苯并噁唑-2-基</w:t>
            </w:r>
            <w:r>
              <w:rPr>
                <w:rFonts w:hint="eastAsia"/>
                <w:color w:val="000000"/>
                <w:sz w:val="24"/>
                <w:szCs w:val="24"/>
                <w:u w:val="none"/>
                <w:lang w:val="en-US" w:eastAsia="zh-CN"/>
              </w:rPr>
              <w:t>）</w:t>
            </w:r>
            <w:r>
              <w:rPr>
                <w:rFonts w:hint="default"/>
                <w:color w:val="000000"/>
                <w:sz w:val="24"/>
                <w:szCs w:val="24"/>
                <w:u w:val="none"/>
                <w:lang w:val="en-US" w:eastAsia="zh-CN"/>
              </w:rPr>
              <w:t>噻酚；分子式C</w:t>
            </w:r>
            <w:r>
              <w:rPr>
                <w:rFonts w:hint="default"/>
                <w:color w:val="000000"/>
                <w:sz w:val="24"/>
                <w:szCs w:val="24"/>
                <w:u w:val="none"/>
                <w:vertAlign w:val="subscript"/>
                <w:lang w:val="en-US" w:eastAsia="zh-CN"/>
              </w:rPr>
              <w:t>26</w:t>
            </w:r>
            <w:r>
              <w:rPr>
                <w:rFonts w:hint="default"/>
                <w:color w:val="000000"/>
                <w:sz w:val="24"/>
                <w:szCs w:val="24"/>
                <w:u w:val="none"/>
                <w:lang w:val="en-US" w:eastAsia="zh-CN"/>
              </w:rPr>
              <w:t>H</w:t>
            </w:r>
            <w:r>
              <w:rPr>
                <w:rFonts w:hint="default"/>
                <w:color w:val="000000"/>
                <w:sz w:val="24"/>
                <w:szCs w:val="24"/>
                <w:u w:val="none"/>
                <w:vertAlign w:val="subscript"/>
                <w:lang w:val="en-US" w:eastAsia="zh-CN"/>
              </w:rPr>
              <w:t>26</w:t>
            </w:r>
            <w:r>
              <w:rPr>
                <w:rFonts w:hint="default"/>
                <w:color w:val="000000"/>
                <w:sz w:val="24"/>
                <w:szCs w:val="24"/>
                <w:u w:val="none"/>
                <w:lang w:val="en-US" w:eastAsia="zh-CN"/>
              </w:rPr>
              <w:t>N</w:t>
            </w:r>
            <w:r>
              <w:rPr>
                <w:rFonts w:hint="default"/>
                <w:color w:val="000000"/>
                <w:sz w:val="24"/>
                <w:szCs w:val="24"/>
                <w:u w:val="none"/>
                <w:vertAlign w:val="subscript"/>
                <w:lang w:val="en-US" w:eastAsia="zh-CN"/>
              </w:rPr>
              <w:t>2</w:t>
            </w:r>
            <w:r>
              <w:rPr>
                <w:rFonts w:hint="default"/>
                <w:color w:val="000000"/>
                <w:sz w:val="24"/>
                <w:szCs w:val="24"/>
                <w:u w:val="none"/>
                <w:lang w:val="en-US" w:eastAsia="zh-CN"/>
              </w:rPr>
              <w:t>O</w:t>
            </w:r>
            <w:r>
              <w:rPr>
                <w:rFonts w:hint="default"/>
                <w:color w:val="000000"/>
                <w:sz w:val="24"/>
                <w:szCs w:val="24"/>
                <w:u w:val="none"/>
                <w:vertAlign w:val="subscript"/>
                <w:lang w:val="en-US" w:eastAsia="zh-CN"/>
              </w:rPr>
              <w:t>2</w:t>
            </w:r>
            <w:r>
              <w:rPr>
                <w:rFonts w:hint="default"/>
                <w:color w:val="000000"/>
                <w:sz w:val="24"/>
                <w:szCs w:val="24"/>
                <w:u w:val="none"/>
                <w:lang w:val="en-US" w:eastAsia="zh-CN"/>
              </w:rPr>
              <w:t>S，用于PVC、PS、PE、PP、ABS等塑料及醋酸纤维、油漆、涂料、油墨等增白</w:t>
            </w:r>
            <w:r>
              <w:rPr>
                <w:rFonts w:hint="eastAsia"/>
                <w:color w:val="000000"/>
                <w:sz w:val="24"/>
                <w:szCs w:val="24"/>
                <w:u w:val="none"/>
                <w:lang w:val="en-US" w:eastAsia="zh-CN"/>
              </w:rPr>
              <w:t>。</w:t>
            </w:r>
          </w:p>
          <w:p w14:paraId="75068D3C">
            <w:pPr>
              <w:spacing w:line="360" w:lineRule="auto"/>
              <w:rPr>
                <w:rFonts w:hint="eastAsia"/>
                <w:b/>
                <w:color w:val="000000"/>
                <w:sz w:val="24"/>
                <w:szCs w:val="24"/>
              </w:rPr>
            </w:pPr>
            <w:r>
              <w:rPr>
                <w:rFonts w:hint="eastAsia"/>
                <w:b/>
                <w:color w:val="000000"/>
                <w:sz w:val="24"/>
                <w:szCs w:val="24"/>
              </w:rPr>
              <w:t>6</w:t>
            </w:r>
            <w:r>
              <w:rPr>
                <w:b/>
                <w:color w:val="000000"/>
                <w:sz w:val="24"/>
                <w:szCs w:val="24"/>
              </w:rPr>
              <w:t>.</w:t>
            </w:r>
            <w:r>
              <w:rPr>
                <w:rFonts w:hint="eastAsia"/>
                <w:b/>
                <w:color w:val="000000"/>
                <w:sz w:val="24"/>
                <w:szCs w:val="24"/>
              </w:rPr>
              <w:t>给排水</w:t>
            </w:r>
          </w:p>
          <w:p w14:paraId="37EC1E8D">
            <w:pPr>
              <w:pStyle w:val="5"/>
              <w:spacing w:line="360" w:lineRule="auto"/>
              <w:ind w:firstLine="481"/>
              <w:rPr>
                <w:rFonts w:hint="eastAsia"/>
                <w:color w:val="000000"/>
                <w:sz w:val="24"/>
                <w:szCs w:val="24"/>
                <w:u w:val="none"/>
                <w:lang w:val="en-US" w:eastAsia="zh-CN"/>
              </w:rPr>
            </w:pPr>
            <w:r>
              <w:rPr>
                <w:rFonts w:hint="eastAsia"/>
                <w:color w:val="000000"/>
                <w:sz w:val="24"/>
                <w:szCs w:val="24"/>
                <w:u w:val="none"/>
                <w:lang w:val="en-US" w:eastAsia="zh-CN"/>
              </w:rPr>
              <w:t>（1）给水</w:t>
            </w:r>
          </w:p>
          <w:p w14:paraId="5AED0D4C">
            <w:pPr>
              <w:pStyle w:val="5"/>
              <w:spacing w:line="360" w:lineRule="auto"/>
              <w:ind w:firstLine="481"/>
              <w:rPr>
                <w:rFonts w:hint="eastAsia"/>
                <w:color w:val="000000"/>
                <w:sz w:val="24"/>
                <w:szCs w:val="24"/>
                <w:u w:val="none"/>
                <w:lang w:val="en-US" w:eastAsia="zh-CN"/>
              </w:rPr>
            </w:pPr>
            <w:r>
              <w:rPr>
                <w:rFonts w:hint="eastAsia"/>
                <w:color w:val="000000"/>
                <w:sz w:val="24"/>
                <w:szCs w:val="24"/>
                <w:u w:val="none"/>
                <w:lang w:val="en-US" w:eastAsia="zh-CN"/>
              </w:rPr>
              <w:t>本项目劳动定员10人，</w:t>
            </w:r>
            <w:r>
              <w:rPr>
                <w:rFonts w:hint="eastAsia"/>
                <w:color w:val="000000"/>
                <w:sz w:val="24"/>
                <w:szCs w:val="24"/>
                <w:lang w:val="en-US" w:eastAsia="zh-CN"/>
              </w:rPr>
              <w:t>不在厂区食宿，生活用水量按40L/d</w:t>
            </w:r>
            <w:r>
              <w:rPr>
                <w:rFonts w:hint="default" w:ascii="Times New Roman" w:hAnsi="Times New Roman" w:cs="Times New Roman"/>
                <w:color w:val="000000"/>
                <w:sz w:val="24"/>
                <w:szCs w:val="24"/>
                <w:lang w:val="en-US" w:eastAsia="zh-CN"/>
              </w:rPr>
              <w:t>·</w:t>
            </w:r>
            <w:r>
              <w:rPr>
                <w:rFonts w:hint="eastAsia"/>
                <w:color w:val="000000"/>
                <w:sz w:val="24"/>
                <w:szCs w:val="24"/>
                <w:lang w:val="en-US" w:eastAsia="zh-CN"/>
              </w:rPr>
              <w:t>人计，则生活用水量为0.4t/d，核120t/a；注塑机冷却水需定期补充，补充水用量约0.5t/d，核150t/a，冷却水循环使用不外排</w:t>
            </w:r>
            <w:r>
              <w:rPr>
                <w:rFonts w:hint="eastAsia"/>
                <w:color w:val="000000"/>
                <w:sz w:val="24"/>
                <w:szCs w:val="24"/>
                <w:u w:val="none"/>
                <w:lang w:val="en-US" w:eastAsia="zh-CN"/>
              </w:rPr>
              <w:t>。</w:t>
            </w:r>
          </w:p>
          <w:p w14:paraId="2256E6DD">
            <w:pPr>
              <w:pStyle w:val="5"/>
              <w:spacing w:line="360" w:lineRule="auto"/>
              <w:ind w:firstLine="481"/>
              <w:rPr>
                <w:color w:val="000000"/>
                <w:sz w:val="24"/>
                <w:szCs w:val="24"/>
              </w:rPr>
            </w:pPr>
            <w:r>
              <w:rPr>
                <w:rFonts w:hint="eastAsia"/>
                <w:color w:val="000000"/>
                <w:sz w:val="24"/>
                <w:szCs w:val="24"/>
              </w:rPr>
              <w:t>（2）排水</w:t>
            </w:r>
          </w:p>
          <w:p w14:paraId="75ECB804">
            <w:pPr>
              <w:pStyle w:val="5"/>
              <w:spacing w:line="360" w:lineRule="auto"/>
              <w:ind w:firstLine="481"/>
              <w:rPr>
                <w:rFonts w:hint="eastAsia"/>
                <w:color w:val="000000"/>
                <w:sz w:val="24"/>
                <w:szCs w:val="24"/>
              </w:rPr>
            </w:pPr>
            <w:r>
              <w:rPr>
                <w:rFonts w:hint="eastAsia"/>
                <w:color w:val="000000"/>
                <w:sz w:val="24"/>
                <w:szCs w:val="24"/>
                <w:lang w:val="en-US" w:eastAsia="zh-CN"/>
              </w:rPr>
              <w:t>注塑机冷却水循环使用不外排；</w:t>
            </w:r>
            <w:r>
              <w:rPr>
                <w:rFonts w:hint="eastAsia"/>
                <w:color w:val="000000"/>
                <w:sz w:val="24"/>
                <w:szCs w:val="24"/>
              </w:rPr>
              <w:t>厂区生活污水由化粪池收集，定期清理用于肥田。</w:t>
            </w:r>
          </w:p>
          <w:p w14:paraId="12182DE1">
            <w:pPr>
              <w:spacing w:line="360" w:lineRule="auto"/>
              <w:jc w:val="center"/>
              <w:rPr>
                <w:rFonts w:hint="eastAsia"/>
                <w:color w:val="000000"/>
                <w:sz w:val="24"/>
                <w:szCs w:val="24"/>
              </w:rPr>
            </w:pPr>
            <w:r>
              <w:rPr>
                <w:rFonts w:hint="eastAsia" w:eastAsia="宋体"/>
                <w:color w:val="000000"/>
                <w:sz w:val="24"/>
                <w:szCs w:val="24"/>
                <w:lang w:eastAsia="zh-CN"/>
              </w:rPr>
              <w:drawing>
                <wp:inline distT="0" distB="0" distL="114300" distR="114300">
                  <wp:extent cx="5197475" cy="2518410"/>
                  <wp:effectExtent l="0" t="0" r="0" b="0"/>
                  <wp:docPr id="1" name="ECB019B1-382A-4266-B25C-5B523AA43C14-1" descr="C:/Users/Administrator/AppData/Local/Temp/wps.RrCTOL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Administrator/AppData/Local/Temp/wps.RrCTOLwps"/>
                          <pic:cNvPicPr>
                            <a:picLocks noChangeAspect="1"/>
                          </pic:cNvPicPr>
                        </pic:nvPicPr>
                        <pic:blipFill>
                          <a:blip r:embed="rId6"/>
                          <a:stretch>
                            <a:fillRect/>
                          </a:stretch>
                        </pic:blipFill>
                        <pic:spPr>
                          <a:xfrm>
                            <a:off x="0" y="0"/>
                            <a:ext cx="5197475" cy="2518410"/>
                          </a:xfrm>
                          <a:prstGeom prst="rect">
                            <a:avLst/>
                          </a:prstGeom>
                          <a:noFill/>
                          <a:ln>
                            <a:noFill/>
                          </a:ln>
                        </pic:spPr>
                      </pic:pic>
                    </a:graphicData>
                  </a:graphic>
                </wp:inline>
              </w:drawing>
            </w:r>
          </w:p>
          <w:p w14:paraId="630CB9B7">
            <w:pPr>
              <w:spacing w:line="360" w:lineRule="auto"/>
              <w:jc w:val="center"/>
              <w:rPr>
                <w:rFonts w:hint="eastAsia" w:eastAsia="黑体"/>
                <w:color w:val="000000"/>
                <w:sz w:val="24"/>
                <w:szCs w:val="24"/>
                <w:u w:val="none"/>
                <w:lang w:eastAsia="zh-CN"/>
              </w:rPr>
            </w:pPr>
            <w:r>
              <w:rPr>
                <w:rFonts w:hint="eastAsia" w:ascii="黑体" w:eastAsia="黑体"/>
                <w:color w:val="000000"/>
                <w:sz w:val="24"/>
                <w:szCs w:val="24"/>
                <w:u w:val="none"/>
              </w:rPr>
              <w:t>图</w:t>
            </w:r>
            <w:r>
              <w:rPr>
                <w:rFonts w:hint="eastAsia" w:ascii="黑体" w:eastAsia="黑体"/>
                <w:color w:val="000000"/>
                <w:sz w:val="24"/>
                <w:szCs w:val="24"/>
                <w:u w:val="none"/>
                <w:lang w:val="en-US" w:eastAsia="zh-CN"/>
              </w:rPr>
              <w:t>1</w:t>
            </w:r>
            <w:r>
              <w:rPr>
                <w:rFonts w:hint="eastAsia" w:ascii="黑体" w:eastAsia="黑体"/>
                <w:color w:val="000000"/>
                <w:sz w:val="24"/>
                <w:szCs w:val="24"/>
                <w:u w:val="none"/>
              </w:rPr>
              <w:t xml:space="preserve">    </w:t>
            </w:r>
            <w:r>
              <w:rPr>
                <w:rFonts w:hint="eastAsia" w:ascii="黑体" w:eastAsia="黑体"/>
                <w:color w:val="000000"/>
                <w:sz w:val="24"/>
                <w:szCs w:val="24"/>
                <w:u w:val="none"/>
                <w:lang w:val="en-US" w:eastAsia="zh-CN"/>
              </w:rPr>
              <w:t>水平衡</w:t>
            </w:r>
            <w:r>
              <w:rPr>
                <w:rFonts w:hint="eastAsia" w:ascii="黑体" w:eastAsia="黑体"/>
                <w:color w:val="000000"/>
                <w:sz w:val="24"/>
                <w:szCs w:val="24"/>
                <w:u w:val="none"/>
              </w:rPr>
              <w:t>图</w:t>
            </w:r>
            <w:r>
              <w:rPr>
                <w:rFonts w:hint="eastAsia" w:ascii="黑体" w:eastAsia="黑体"/>
                <w:color w:val="000000"/>
                <w:sz w:val="24"/>
                <w:szCs w:val="24"/>
                <w:u w:val="none"/>
                <w:lang w:eastAsia="zh-CN"/>
              </w:rPr>
              <w:t>（</w:t>
            </w:r>
            <w:r>
              <w:rPr>
                <w:rFonts w:hint="eastAsia" w:ascii="黑体" w:eastAsia="黑体"/>
                <w:color w:val="000000"/>
                <w:sz w:val="24"/>
                <w:szCs w:val="24"/>
                <w:u w:val="none"/>
                <w:lang w:val="en-US" w:eastAsia="zh-CN"/>
              </w:rPr>
              <w:t>t/d</w:t>
            </w:r>
            <w:r>
              <w:rPr>
                <w:rFonts w:hint="eastAsia" w:ascii="黑体" w:eastAsia="黑体"/>
                <w:color w:val="000000"/>
                <w:sz w:val="24"/>
                <w:szCs w:val="24"/>
                <w:u w:val="none"/>
                <w:lang w:eastAsia="zh-CN"/>
              </w:rPr>
              <w:t>）</w:t>
            </w:r>
          </w:p>
          <w:p w14:paraId="263961C1">
            <w:pPr>
              <w:spacing w:line="360" w:lineRule="auto"/>
              <w:rPr>
                <w:b/>
                <w:color w:val="000000"/>
                <w:sz w:val="24"/>
                <w:szCs w:val="24"/>
              </w:rPr>
            </w:pPr>
            <w:r>
              <w:rPr>
                <w:rFonts w:hint="eastAsia"/>
                <w:b/>
                <w:color w:val="000000"/>
                <w:sz w:val="24"/>
                <w:szCs w:val="24"/>
              </w:rPr>
              <w:t>7</w:t>
            </w:r>
            <w:r>
              <w:rPr>
                <w:b/>
                <w:color w:val="000000"/>
                <w:sz w:val="24"/>
                <w:szCs w:val="24"/>
              </w:rPr>
              <w:t>.劳动定员及工作制度</w:t>
            </w:r>
          </w:p>
          <w:p w14:paraId="200A4D15">
            <w:pPr>
              <w:spacing w:line="360" w:lineRule="auto"/>
              <w:ind w:firstLine="480" w:firstLineChars="200"/>
              <w:rPr>
                <w:color w:val="000000"/>
                <w:sz w:val="24"/>
                <w:szCs w:val="24"/>
              </w:rPr>
            </w:pPr>
            <w:r>
              <w:rPr>
                <w:rFonts w:hint="eastAsia"/>
                <w:color w:val="000000"/>
                <w:sz w:val="24"/>
                <w:szCs w:val="24"/>
              </w:rPr>
              <w:t>本</w:t>
            </w:r>
            <w:r>
              <w:rPr>
                <w:rFonts w:hint="eastAsia"/>
                <w:color w:val="000000"/>
                <w:sz w:val="24"/>
                <w:szCs w:val="24"/>
                <w:lang w:val="en-US" w:eastAsia="zh-CN"/>
              </w:rPr>
              <w:t>企业劳动定员10人，</w:t>
            </w:r>
            <w:r>
              <w:rPr>
                <w:color w:val="000000"/>
                <w:sz w:val="24"/>
                <w:szCs w:val="24"/>
              </w:rPr>
              <w:t>均不在厂内食宿。工作制度：全年工作</w:t>
            </w:r>
            <w:r>
              <w:rPr>
                <w:rFonts w:hint="eastAsia"/>
                <w:color w:val="000000"/>
                <w:sz w:val="24"/>
                <w:szCs w:val="24"/>
              </w:rPr>
              <w:t>300</w:t>
            </w:r>
            <w:r>
              <w:rPr>
                <w:color w:val="000000"/>
                <w:sz w:val="24"/>
                <w:szCs w:val="24"/>
              </w:rPr>
              <w:t>天，实行</w:t>
            </w:r>
            <w:r>
              <w:rPr>
                <w:rFonts w:hint="eastAsia"/>
                <w:color w:val="000000"/>
                <w:sz w:val="24"/>
                <w:szCs w:val="24"/>
              </w:rPr>
              <w:t>一</w:t>
            </w:r>
            <w:r>
              <w:rPr>
                <w:color w:val="000000"/>
                <w:sz w:val="24"/>
                <w:szCs w:val="24"/>
              </w:rPr>
              <w:t>班工作制，工作时间8小时（</w:t>
            </w:r>
            <w:r>
              <w:rPr>
                <w:rFonts w:hint="eastAsia"/>
                <w:color w:val="000000"/>
                <w:sz w:val="24"/>
                <w:szCs w:val="24"/>
              </w:rPr>
              <w:t>8:00~12:00、14:00-18:00</w:t>
            </w:r>
            <w:r>
              <w:rPr>
                <w:color w:val="000000"/>
                <w:sz w:val="24"/>
                <w:szCs w:val="24"/>
              </w:rPr>
              <w:t>）。</w:t>
            </w:r>
          </w:p>
          <w:p w14:paraId="435E11F8">
            <w:pPr>
              <w:adjustRightInd w:val="0"/>
              <w:spacing w:line="360" w:lineRule="auto"/>
              <w:rPr>
                <w:b/>
                <w:color w:val="000000"/>
                <w:sz w:val="24"/>
                <w:szCs w:val="24"/>
              </w:rPr>
            </w:pPr>
            <w:r>
              <w:rPr>
                <w:rFonts w:hint="eastAsia"/>
                <w:b/>
                <w:color w:val="000000"/>
                <w:sz w:val="24"/>
                <w:szCs w:val="24"/>
              </w:rPr>
              <w:t>8</w:t>
            </w:r>
            <w:r>
              <w:rPr>
                <w:b/>
                <w:color w:val="000000"/>
                <w:sz w:val="24"/>
                <w:szCs w:val="24"/>
              </w:rPr>
              <w:t>.</w:t>
            </w:r>
            <w:r>
              <w:rPr>
                <w:b/>
                <w:bCs/>
                <w:color w:val="000000"/>
                <w:sz w:val="24"/>
                <w:szCs w:val="24"/>
              </w:rPr>
              <w:t>厂区平面布置</w:t>
            </w:r>
          </w:p>
          <w:p w14:paraId="385BDBAD">
            <w:pPr>
              <w:adjustRightInd w:val="0"/>
              <w:spacing w:line="360" w:lineRule="auto"/>
              <w:ind w:firstLine="435"/>
              <w:rPr>
                <w:rFonts w:hint="eastAsia"/>
                <w:color w:val="000000"/>
                <w:sz w:val="24"/>
                <w:szCs w:val="24"/>
                <w:lang w:val="en-US" w:eastAsia="zh-CN"/>
              </w:rPr>
            </w:pPr>
            <w:r>
              <w:rPr>
                <w:rFonts w:hint="eastAsia"/>
                <w:color w:val="000000"/>
                <w:sz w:val="24"/>
                <w:szCs w:val="24"/>
                <w:lang w:val="en-US" w:eastAsia="zh-CN"/>
              </w:rPr>
              <w:t>生产车间北部为生产区，其中生产区西侧为塑料颗粒生产区，东侧为塑料鞋底生产区，生产车间南部为仓库。生产车间内部分区明确，采取流水线生产，车间布局合理。</w:t>
            </w:r>
          </w:p>
          <w:p w14:paraId="0B6C0D2D">
            <w:pPr>
              <w:adjustRightInd w:val="0"/>
              <w:spacing w:line="360" w:lineRule="auto"/>
              <w:ind w:firstLine="435"/>
              <w:rPr>
                <w:rFonts w:hint="eastAsia"/>
                <w:color w:val="000000"/>
                <w:sz w:val="24"/>
                <w:szCs w:val="24"/>
                <w:lang w:val="en-US" w:eastAsia="zh-CN"/>
              </w:rPr>
            </w:pPr>
          </w:p>
          <w:p w14:paraId="52802DC7">
            <w:pPr>
              <w:adjustRightInd w:val="0"/>
              <w:spacing w:line="360" w:lineRule="auto"/>
              <w:ind w:firstLine="435"/>
              <w:rPr>
                <w:rFonts w:hint="eastAsia"/>
                <w:color w:val="000000"/>
                <w:sz w:val="24"/>
                <w:szCs w:val="24"/>
                <w:lang w:val="en-US" w:eastAsia="zh-CN"/>
              </w:rPr>
            </w:pPr>
          </w:p>
          <w:p w14:paraId="07BCB0CE">
            <w:pPr>
              <w:adjustRightInd w:val="0"/>
              <w:spacing w:line="360" w:lineRule="auto"/>
              <w:ind w:firstLine="435"/>
              <w:rPr>
                <w:rFonts w:hint="eastAsia"/>
                <w:color w:val="000000"/>
                <w:sz w:val="24"/>
                <w:szCs w:val="24"/>
                <w:lang w:val="en-US" w:eastAsia="zh-CN"/>
              </w:rPr>
            </w:pPr>
          </w:p>
          <w:p w14:paraId="6AB131A8">
            <w:pPr>
              <w:adjustRightInd w:val="0"/>
              <w:spacing w:line="360" w:lineRule="auto"/>
              <w:ind w:firstLine="435"/>
              <w:rPr>
                <w:rFonts w:hint="eastAsia"/>
                <w:color w:val="000000"/>
                <w:sz w:val="24"/>
                <w:szCs w:val="24"/>
                <w:lang w:val="en-US" w:eastAsia="zh-CN"/>
              </w:rPr>
            </w:pPr>
          </w:p>
          <w:p w14:paraId="5FC65122">
            <w:pPr>
              <w:adjustRightInd w:val="0"/>
              <w:spacing w:line="360" w:lineRule="auto"/>
              <w:ind w:firstLine="435"/>
              <w:rPr>
                <w:rFonts w:hint="eastAsia"/>
                <w:color w:val="000000"/>
                <w:sz w:val="24"/>
                <w:szCs w:val="24"/>
                <w:lang w:val="en-US" w:eastAsia="zh-CN"/>
              </w:rPr>
            </w:pPr>
          </w:p>
          <w:p w14:paraId="78FB6C4A">
            <w:pPr>
              <w:adjustRightInd w:val="0"/>
              <w:spacing w:line="360" w:lineRule="auto"/>
              <w:ind w:firstLine="435"/>
              <w:rPr>
                <w:rFonts w:hint="eastAsia"/>
                <w:color w:val="000000"/>
                <w:sz w:val="24"/>
                <w:szCs w:val="24"/>
                <w:lang w:val="en-US" w:eastAsia="zh-CN"/>
              </w:rPr>
            </w:pPr>
          </w:p>
          <w:p w14:paraId="573732FB">
            <w:pPr>
              <w:adjustRightInd w:val="0"/>
              <w:spacing w:line="360" w:lineRule="auto"/>
              <w:ind w:firstLine="435"/>
              <w:rPr>
                <w:rFonts w:hint="eastAsia"/>
                <w:color w:val="000000"/>
                <w:sz w:val="24"/>
                <w:szCs w:val="24"/>
                <w:lang w:val="en-US" w:eastAsia="zh-CN"/>
              </w:rPr>
            </w:pPr>
          </w:p>
          <w:p w14:paraId="592CCBF7">
            <w:pPr>
              <w:adjustRightInd w:val="0"/>
              <w:spacing w:line="360" w:lineRule="auto"/>
              <w:ind w:firstLine="435"/>
              <w:rPr>
                <w:rFonts w:hint="eastAsia"/>
                <w:color w:val="000000"/>
                <w:sz w:val="24"/>
                <w:szCs w:val="24"/>
                <w:lang w:val="en-US" w:eastAsia="zh-CN"/>
              </w:rPr>
            </w:pPr>
          </w:p>
          <w:p w14:paraId="021DFEA1">
            <w:pPr>
              <w:adjustRightInd w:val="0"/>
              <w:spacing w:line="360" w:lineRule="auto"/>
              <w:ind w:firstLine="435"/>
              <w:rPr>
                <w:rFonts w:hint="eastAsia"/>
                <w:color w:val="000000"/>
                <w:sz w:val="24"/>
                <w:szCs w:val="24"/>
                <w:lang w:val="en-US" w:eastAsia="zh-CN"/>
              </w:rPr>
            </w:pPr>
          </w:p>
          <w:p w14:paraId="529DABF9">
            <w:pPr>
              <w:adjustRightInd w:val="0"/>
              <w:spacing w:line="360" w:lineRule="auto"/>
              <w:ind w:firstLine="435"/>
              <w:rPr>
                <w:rFonts w:hint="eastAsia"/>
                <w:color w:val="000000"/>
                <w:sz w:val="24"/>
                <w:szCs w:val="24"/>
                <w:lang w:val="en-US" w:eastAsia="zh-CN"/>
              </w:rPr>
            </w:pPr>
          </w:p>
          <w:p w14:paraId="0E39853E">
            <w:pPr>
              <w:adjustRightInd w:val="0"/>
              <w:spacing w:line="360" w:lineRule="auto"/>
              <w:ind w:firstLine="435"/>
              <w:rPr>
                <w:rFonts w:hint="eastAsia"/>
                <w:color w:val="000000"/>
                <w:sz w:val="24"/>
                <w:szCs w:val="24"/>
                <w:lang w:val="en-US" w:eastAsia="zh-CN"/>
              </w:rPr>
            </w:pPr>
          </w:p>
        </w:tc>
      </w:tr>
      <w:tr w14:paraId="0249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362" w:type="pct"/>
            <w:noWrap w:val="0"/>
            <w:vAlign w:val="center"/>
          </w:tcPr>
          <w:p w14:paraId="3CDB2648">
            <w:pPr>
              <w:jc w:val="center"/>
              <w:rPr>
                <w:rFonts w:hint="eastAsia"/>
                <w:color w:val="000000"/>
                <w:sz w:val="24"/>
                <w:szCs w:val="24"/>
              </w:rPr>
            </w:pPr>
            <w:r>
              <w:rPr>
                <w:rFonts w:hint="eastAsia" w:cs="宋体"/>
                <w:color w:val="000000"/>
                <w:sz w:val="24"/>
                <w:szCs w:val="24"/>
              </w:rPr>
              <w:t>工艺流程和产排污环节</w:t>
            </w:r>
          </w:p>
        </w:tc>
        <w:tc>
          <w:tcPr>
            <w:tcW w:w="4637" w:type="pct"/>
            <w:noWrap w:val="0"/>
            <w:vAlign w:val="top"/>
          </w:tcPr>
          <w:p w14:paraId="1E63951E">
            <w:pPr>
              <w:adjustRightInd w:val="0"/>
              <w:spacing w:line="360" w:lineRule="auto"/>
              <w:rPr>
                <w:rFonts w:hint="eastAsia"/>
                <w:b/>
                <w:bCs/>
                <w:color w:val="000000"/>
                <w:sz w:val="24"/>
                <w:szCs w:val="24"/>
              </w:rPr>
            </w:pPr>
            <w:r>
              <w:rPr>
                <w:b/>
                <w:bCs/>
                <w:color w:val="000000"/>
                <w:sz w:val="24"/>
                <w:szCs w:val="24"/>
              </w:rPr>
              <w:t>1.工艺流程</w:t>
            </w:r>
          </w:p>
          <w:p w14:paraId="24040E09">
            <w:pPr>
              <w:adjustRightInd w:val="0"/>
              <w:spacing w:line="360" w:lineRule="auto"/>
              <w:ind w:firstLine="480" w:firstLineChars="200"/>
              <w:rPr>
                <w:rFonts w:hint="default" w:eastAsia="宋体"/>
                <w:bCs/>
                <w:color w:val="000000"/>
                <w:sz w:val="24"/>
                <w:szCs w:val="24"/>
                <w:u w:val="single"/>
                <w:lang w:val="en-US" w:eastAsia="zh-CN"/>
              </w:rPr>
            </w:pPr>
            <w:r>
              <w:rPr>
                <w:rFonts w:hint="eastAsia"/>
                <w:bCs/>
                <w:color w:val="000000"/>
                <w:sz w:val="24"/>
                <w:szCs w:val="24"/>
                <w:u w:val="single"/>
                <w:lang w:eastAsia="zh-CN"/>
              </w:rPr>
              <w:t>（</w:t>
            </w:r>
            <w:r>
              <w:rPr>
                <w:rFonts w:hint="eastAsia"/>
                <w:bCs/>
                <w:color w:val="000000"/>
                <w:sz w:val="24"/>
                <w:szCs w:val="24"/>
                <w:u w:val="single"/>
                <w:lang w:val="en-US" w:eastAsia="zh-CN"/>
              </w:rPr>
              <w:t>1</w:t>
            </w:r>
            <w:r>
              <w:rPr>
                <w:rFonts w:hint="eastAsia"/>
                <w:bCs/>
                <w:color w:val="000000"/>
                <w:sz w:val="24"/>
                <w:szCs w:val="24"/>
                <w:u w:val="single"/>
                <w:lang w:eastAsia="zh-CN"/>
              </w:rPr>
              <w:t>）</w:t>
            </w:r>
            <w:r>
              <w:rPr>
                <w:rFonts w:hint="eastAsia"/>
                <w:bCs/>
                <w:color w:val="000000"/>
                <w:sz w:val="24"/>
                <w:szCs w:val="24"/>
                <w:u w:val="single"/>
                <w:lang w:val="en-US" w:eastAsia="zh-CN"/>
              </w:rPr>
              <w:t>PVC鞋料生产工艺</w:t>
            </w:r>
          </w:p>
          <w:p w14:paraId="53C1C0E3">
            <w:pPr>
              <w:adjustRightInd w:val="0"/>
              <w:spacing w:line="360" w:lineRule="auto"/>
              <w:ind w:firstLine="480" w:firstLineChars="200"/>
              <w:rPr>
                <w:rFonts w:hint="eastAsia" w:eastAsia="宋体"/>
                <w:bCs/>
                <w:color w:val="000000"/>
                <w:sz w:val="24"/>
                <w:szCs w:val="24"/>
                <w:u w:val="single"/>
                <w:lang w:eastAsia="zh-CN"/>
              </w:rPr>
            </w:pPr>
            <w:r>
              <w:rPr>
                <w:rFonts w:hint="eastAsia" w:eastAsia="宋体"/>
                <w:bCs/>
                <w:color w:val="000000"/>
                <w:sz w:val="24"/>
                <w:szCs w:val="24"/>
                <w:u w:val="single"/>
                <w:lang w:eastAsia="zh-CN"/>
              </w:rPr>
              <w:drawing>
                <wp:inline distT="0" distB="0" distL="114300" distR="114300">
                  <wp:extent cx="4971415" cy="1403985"/>
                  <wp:effectExtent l="0" t="0" r="0" b="0"/>
                  <wp:docPr id="7" name="ECB019B1-382A-4266-B25C-5B523AA43C14-2" descr="C:/Users/Administrator/AppData/Local/Temp/wps.wUYKDy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CB019B1-382A-4266-B25C-5B523AA43C14-2" descr="C:/Users/Administrator/AppData/Local/Temp/wps.wUYKDywps"/>
                          <pic:cNvPicPr>
                            <a:picLocks noChangeAspect="1"/>
                          </pic:cNvPicPr>
                        </pic:nvPicPr>
                        <pic:blipFill>
                          <a:blip r:embed="rId7"/>
                          <a:stretch>
                            <a:fillRect/>
                          </a:stretch>
                        </pic:blipFill>
                        <pic:spPr>
                          <a:xfrm>
                            <a:off x="0" y="0"/>
                            <a:ext cx="4971415" cy="1403985"/>
                          </a:xfrm>
                          <a:prstGeom prst="rect">
                            <a:avLst/>
                          </a:prstGeom>
                        </pic:spPr>
                      </pic:pic>
                    </a:graphicData>
                  </a:graphic>
                </wp:inline>
              </w:drawing>
            </w:r>
          </w:p>
          <w:p w14:paraId="38CE2F4C">
            <w:pPr>
              <w:spacing w:line="360" w:lineRule="auto"/>
              <w:jc w:val="center"/>
              <w:rPr>
                <w:rFonts w:hint="eastAsia"/>
                <w:color w:val="000000"/>
                <w:sz w:val="24"/>
                <w:szCs w:val="24"/>
                <w:u w:val="single"/>
              </w:rPr>
            </w:pPr>
            <w:r>
              <w:rPr>
                <w:rFonts w:hint="eastAsia" w:ascii="黑体" w:eastAsia="黑体"/>
                <w:color w:val="000000"/>
                <w:sz w:val="24"/>
                <w:szCs w:val="24"/>
                <w:u w:val="single"/>
              </w:rPr>
              <w:t>图</w:t>
            </w:r>
            <w:r>
              <w:rPr>
                <w:rFonts w:hint="eastAsia" w:ascii="黑体" w:eastAsia="黑体"/>
                <w:color w:val="000000"/>
                <w:sz w:val="24"/>
                <w:szCs w:val="24"/>
                <w:u w:val="single"/>
                <w:lang w:val="en-US" w:eastAsia="zh-CN"/>
              </w:rPr>
              <w:t>2</w:t>
            </w:r>
            <w:r>
              <w:rPr>
                <w:rFonts w:hint="eastAsia" w:ascii="黑体" w:eastAsia="黑体"/>
                <w:color w:val="000000"/>
                <w:sz w:val="24"/>
                <w:szCs w:val="24"/>
                <w:u w:val="single"/>
              </w:rPr>
              <w:t xml:space="preserve">    </w:t>
            </w:r>
            <w:r>
              <w:rPr>
                <w:rFonts w:hint="eastAsia" w:ascii="黑体" w:eastAsia="黑体"/>
                <w:color w:val="000000"/>
                <w:sz w:val="24"/>
                <w:szCs w:val="24"/>
                <w:u w:val="single"/>
                <w:lang w:val="en-US" w:eastAsia="zh-CN"/>
              </w:rPr>
              <w:t>PVC鞋料</w:t>
            </w:r>
            <w:r>
              <w:rPr>
                <w:rFonts w:hint="eastAsia" w:ascii="黑体" w:eastAsia="黑体"/>
                <w:color w:val="000000"/>
                <w:sz w:val="24"/>
                <w:szCs w:val="24"/>
                <w:u w:val="single"/>
              </w:rPr>
              <w:t>生产工艺流程及产污环节示意图</w:t>
            </w:r>
          </w:p>
          <w:p w14:paraId="262221C7">
            <w:pPr>
              <w:adjustRightInd w:val="0"/>
              <w:spacing w:line="360" w:lineRule="auto"/>
              <w:ind w:firstLine="480" w:firstLineChars="200"/>
              <w:rPr>
                <w:rFonts w:hint="eastAsia" w:eastAsia="宋体"/>
                <w:color w:val="000000"/>
                <w:sz w:val="24"/>
                <w:u w:val="single"/>
                <w:lang w:eastAsia="zh-CN"/>
              </w:rPr>
            </w:pPr>
            <w:r>
              <w:rPr>
                <w:rFonts w:hint="eastAsia"/>
                <w:color w:val="000000"/>
                <w:sz w:val="24"/>
                <w:u w:val="single"/>
                <w:lang w:eastAsia="zh-CN"/>
              </w:rPr>
              <w:t>①</w:t>
            </w:r>
            <w:r>
              <w:rPr>
                <w:rFonts w:hint="eastAsia"/>
                <w:color w:val="000000"/>
                <w:sz w:val="24"/>
                <w:u w:val="single"/>
                <w:lang w:val="en-US" w:eastAsia="zh-CN"/>
              </w:rPr>
              <w:t>外购原料</w:t>
            </w:r>
          </w:p>
          <w:p w14:paraId="5CF7A68F">
            <w:pPr>
              <w:adjustRightInd w:val="0"/>
              <w:spacing w:line="360" w:lineRule="auto"/>
              <w:ind w:firstLine="480" w:firstLineChars="200"/>
              <w:rPr>
                <w:rFonts w:hint="eastAsia"/>
                <w:color w:val="000000"/>
                <w:sz w:val="24"/>
                <w:u w:val="single"/>
              </w:rPr>
            </w:pPr>
            <w:r>
              <w:rPr>
                <w:rFonts w:hint="eastAsia"/>
                <w:color w:val="000000"/>
                <w:sz w:val="24"/>
                <w:u w:val="single"/>
                <w:lang w:val="en-US" w:eastAsia="zh-CN"/>
              </w:rPr>
              <w:t>外购PVC树脂、钙粉、丁酯、硬脂酸、稳定剂、钛白粉、发泡剂、增白剂等原料，检验质量合格后入库</w:t>
            </w:r>
            <w:r>
              <w:rPr>
                <w:rFonts w:hint="eastAsia"/>
                <w:color w:val="000000"/>
                <w:sz w:val="24"/>
                <w:u w:val="single"/>
              </w:rPr>
              <w:t>。</w:t>
            </w:r>
          </w:p>
          <w:p w14:paraId="018D6122">
            <w:pPr>
              <w:adjustRightInd w:val="0"/>
              <w:spacing w:line="360" w:lineRule="auto"/>
              <w:ind w:firstLine="480" w:firstLineChars="200"/>
              <w:rPr>
                <w:rFonts w:hint="default" w:eastAsia="宋体"/>
                <w:color w:val="000000"/>
                <w:sz w:val="24"/>
                <w:u w:val="single"/>
                <w:lang w:val="en-US" w:eastAsia="zh-CN"/>
              </w:rPr>
            </w:pPr>
            <w:r>
              <w:rPr>
                <w:rFonts w:hint="eastAsia"/>
                <w:color w:val="000000"/>
                <w:sz w:val="24"/>
                <w:u w:val="single"/>
                <w:lang w:eastAsia="zh-CN"/>
              </w:rPr>
              <w:t>②</w:t>
            </w:r>
            <w:r>
              <w:rPr>
                <w:rFonts w:hint="eastAsia"/>
                <w:color w:val="000000"/>
                <w:sz w:val="24"/>
                <w:u w:val="single"/>
                <w:lang w:val="en-US" w:eastAsia="zh-CN"/>
              </w:rPr>
              <w:t>投料搅拌</w:t>
            </w:r>
          </w:p>
          <w:p w14:paraId="5C2DBEC3">
            <w:pPr>
              <w:adjustRightInd w:val="0"/>
              <w:spacing w:line="360" w:lineRule="auto"/>
              <w:ind w:firstLine="480" w:firstLineChars="200"/>
              <w:rPr>
                <w:rFonts w:hint="default" w:eastAsia="宋体"/>
                <w:color w:val="000000"/>
                <w:sz w:val="24"/>
                <w:u w:val="single"/>
                <w:lang w:val="en-US" w:eastAsia="zh-CN"/>
              </w:rPr>
            </w:pPr>
            <w:r>
              <w:rPr>
                <w:rFonts w:hint="eastAsia"/>
                <w:color w:val="000000"/>
                <w:sz w:val="24"/>
                <w:u w:val="single"/>
                <w:lang w:val="en-US" w:eastAsia="zh-CN"/>
              </w:rPr>
              <w:t>将PVC树脂、钙粉等原辅材料配比后加入搅拌机内，对原料进行常温搅拌得以充分混合，搅拌过程设备处于密闭状态，搅拌过程采用电加热，加热温度在</w:t>
            </w:r>
            <w:r>
              <w:rPr>
                <w:rFonts w:hint="eastAsia" w:cs="Times New Roman"/>
                <w:color w:val="000000"/>
                <w:sz w:val="24"/>
                <w:u w:val="single"/>
                <w:lang w:val="en-US" w:eastAsia="zh-CN"/>
              </w:rPr>
              <w:t>60</w:t>
            </w:r>
            <w:r>
              <w:rPr>
                <w:rFonts w:hint="eastAsia" w:ascii="Times New Roman" w:hAnsi="Times New Roman" w:eastAsia="宋体" w:cs="Times New Roman"/>
                <w:color w:val="000000"/>
                <w:sz w:val="24"/>
                <w:u w:val="single"/>
                <w:lang w:val="en-US" w:eastAsia="zh-CN"/>
              </w:rPr>
              <w:t>-</w:t>
            </w:r>
            <w:r>
              <w:rPr>
                <w:rFonts w:hint="eastAsia" w:cs="Times New Roman"/>
                <w:color w:val="000000"/>
                <w:sz w:val="24"/>
                <w:u w:val="single"/>
                <w:lang w:val="en-US" w:eastAsia="zh-CN"/>
              </w:rPr>
              <w:t>7</w:t>
            </w:r>
            <w:r>
              <w:rPr>
                <w:rFonts w:hint="eastAsia" w:ascii="Times New Roman" w:hAnsi="Times New Roman" w:eastAsia="宋体" w:cs="Times New Roman"/>
                <w:color w:val="000000"/>
                <w:sz w:val="24"/>
                <w:u w:val="single"/>
                <w:lang w:val="en-US" w:eastAsia="zh-CN"/>
              </w:rPr>
              <w:t>0℃</w:t>
            </w:r>
            <w:r>
              <w:rPr>
                <w:rFonts w:hint="eastAsia" w:cs="Times New Roman"/>
                <w:color w:val="000000"/>
                <w:sz w:val="24"/>
                <w:u w:val="single"/>
                <w:lang w:val="en-US" w:eastAsia="zh-CN"/>
              </w:rPr>
              <w:t>左右</w:t>
            </w:r>
            <w:r>
              <w:rPr>
                <w:rFonts w:hint="eastAsia"/>
                <w:color w:val="000000"/>
                <w:sz w:val="24"/>
                <w:u w:val="single"/>
                <w:lang w:val="en-US" w:eastAsia="zh-CN"/>
              </w:rPr>
              <w:t>，物料不会受热分解，无</w:t>
            </w:r>
            <w:r>
              <w:rPr>
                <w:rFonts w:hint="eastAsia" w:ascii="Times New Roman" w:hAnsi="Times New Roman" w:eastAsia="宋体" w:cs="Times New Roman"/>
                <w:color w:val="000000"/>
                <w:sz w:val="24"/>
                <w:u w:val="single"/>
                <w:lang w:val="en-US" w:eastAsia="zh-CN"/>
              </w:rPr>
              <w:t>非甲烷总烃和氯化氢产生</w:t>
            </w:r>
            <w:r>
              <w:rPr>
                <w:rFonts w:hint="eastAsia"/>
                <w:color w:val="000000"/>
                <w:sz w:val="24"/>
                <w:u w:val="single"/>
                <w:lang w:val="en-US" w:eastAsia="zh-CN"/>
              </w:rPr>
              <w:t>。</w:t>
            </w:r>
          </w:p>
          <w:p w14:paraId="56D3F137">
            <w:pPr>
              <w:adjustRightInd w:val="0"/>
              <w:spacing w:line="360" w:lineRule="auto"/>
              <w:ind w:firstLine="480" w:firstLineChars="200"/>
              <w:rPr>
                <w:rFonts w:hint="default" w:eastAsia="宋体"/>
                <w:color w:val="000000"/>
                <w:sz w:val="24"/>
                <w:u w:val="single"/>
                <w:lang w:val="en-US" w:eastAsia="zh-CN"/>
              </w:rPr>
            </w:pPr>
            <w:r>
              <w:rPr>
                <w:rFonts w:hint="eastAsia"/>
                <w:color w:val="000000"/>
                <w:sz w:val="24"/>
                <w:u w:val="single"/>
                <w:lang w:eastAsia="zh-CN"/>
              </w:rPr>
              <w:t>③</w:t>
            </w:r>
            <w:r>
              <w:rPr>
                <w:rFonts w:hint="eastAsia"/>
                <w:color w:val="000000"/>
                <w:sz w:val="24"/>
                <w:u w:val="single"/>
                <w:lang w:val="en-US" w:eastAsia="zh-CN"/>
              </w:rPr>
              <w:t>冷却</w:t>
            </w:r>
          </w:p>
          <w:p w14:paraId="2964F419">
            <w:pPr>
              <w:adjustRightInd w:val="0"/>
              <w:spacing w:line="360" w:lineRule="auto"/>
              <w:ind w:firstLine="480" w:firstLineChars="200"/>
              <w:rPr>
                <w:rFonts w:hint="default"/>
                <w:color w:val="000000"/>
                <w:sz w:val="24"/>
                <w:u w:val="single"/>
                <w:lang w:val="en-US"/>
              </w:rPr>
            </w:pPr>
            <w:r>
              <w:rPr>
                <w:rFonts w:hint="eastAsia"/>
                <w:color w:val="000000"/>
                <w:sz w:val="24"/>
                <w:u w:val="single"/>
                <w:lang w:val="en-US" w:eastAsia="zh-CN"/>
              </w:rPr>
              <w:t>物料在搅拌过程中电机热，</w:t>
            </w:r>
            <w:r>
              <w:rPr>
                <w:rFonts w:hint="eastAsia" w:ascii="Times New Roman" w:hAnsi="Times New Roman" w:eastAsia="宋体" w:cs="Times New Roman"/>
                <w:color w:val="000000"/>
                <w:sz w:val="24"/>
                <w:u w:val="single"/>
                <w:lang w:val="en-US" w:eastAsia="zh-CN"/>
              </w:rPr>
              <w:t>温度范围在</w:t>
            </w:r>
            <w:r>
              <w:rPr>
                <w:rFonts w:hint="eastAsia" w:cs="Times New Roman"/>
                <w:color w:val="000000"/>
                <w:sz w:val="24"/>
                <w:u w:val="single"/>
                <w:lang w:val="en-US" w:eastAsia="zh-CN"/>
              </w:rPr>
              <w:t>60</w:t>
            </w:r>
            <w:r>
              <w:rPr>
                <w:rFonts w:hint="eastAsia" w:ascii="Times New Roman" w:hAnsi="Times New Roman" w:eastAsia="宋体" w:cs="Times New Roman"/>
                <w:color w:val="000000"/>
                <w:sz w:val="24"/>
                <w:u w:val="single"/>
                <w:lang w:val="en-US" w:eastAsia="zh-CN"/>
              </w:rPr>
              <w:t>-</w:t>
            </w:r>
            <w:r>
              <w:rPr>
                <w:rFonts w:hint="eastAsia" w:cs="Times New Roman"/>
                <w:color w:val="000000"/>
                <w:sz w:val="24"/>
                <w:u w:val="single"/>
                <w:lang w:val="en-US" w:eastAsia="zh-CN"/>
              </w:rPr>
              <w:t>7</w:t>
            </w:r>
            <w:r>
              <w:rPr>
                <w:rFonts w:hint="eastAsia" w:ascii="Times New Roman" w:hAnsi="Times New Roman" w:eastAsia="宋体" w:cs="Times New Roman"/>
                <w:color w:val="000000"/>
                <w:sz w:val="24"/>
                <w:u w:val="single"/>
                <w:lang w:val="en-US" w:eastAsia="zh-CN"/>
              </w:rPr>
              <w:t>0℃</w:t>
            </w:r>
            <w:r>
              <w:rPr>
                <w:rFonts w:hint="eastAsia"/>
                <w:color w:val="000000"/>
                <w:sz w:val="24"/>
                <w:u w:val="single"/>
                <w:lang w:val="en-US" w:eastAsia="zh-CN"/>
              </w:rPr>
              <w:t>，投料搅拌均匀后得到的PVC鞋料冷却后进入成品包装。</w:t>
            </w:r>
          </w:p>
          <w:p w14:paraId="6FF3A6E7">
            <w:pPr>
              <w:adjustRightInd w:val="0"/>
              <w:spacing w:line="360" w:lineRule="auto"/>
              <w:ind w:firstLine="480" w:firstLineChars="200"/>
              <w:rPr>
                <w:rFonts w:hint="default" w:eastAsia="宋体"/>
                <w:color w:val="000000"/>
                <w:sz w:val="24"/>
                <w:u w:val="single"/>
                <w:lang w:val="en-US" w:eastAsia="zh-CN"/>
              </w:rPr>
            </w:pPr>
            <w:r>
              <w:rPr>
                <w:rFonts w:hint="eastAsia"/>
                <w:color w:val="000000"/>
                <w:sz w:val="24"/>
                <w:u w:val="single"/>
                <w:lang w:eastAsia="zh-CN"/>
              </w:rPr>
              <w:t>④</w:t>
            </w:r>
            <w:r>
              <w:rPr>
                <w:rFonts w:hint="eastAsia"/>
                <w:color w:val="000000"/>
                <w:sz w:val="24"/>
                <w:u w:val="single"/>
                <w:lang w:val="en-US" w:eastAsia="zh-CN"/>
              </w:rPr>
              <w:t>成品包装</w:t>
            </w:r>
          </w:p>
          <w:p w14:paraId="75C875F2">
            <w:pPr>
              <w:adjustRightInd w:val="0"/>
              <w:spacing w:line="360" w:lineRule="auto"/>
              <w:ind w:firstLine="480" w:firstLineChars="200"/>
              <w:rPr>
                <w:rFonts w:hint="default"/>
                <w:color w:val="000000"/>
                <w:sz w:val="24"/>
                <w:u w:val="single"/>
                <w:lang w:val="en-US" w:eastAsia="zh-CN"/>
              </w:rPr>
            </w:pPr>
            <w:r>
              <w:rPr>
                <w:rFonts w:hint="eastAsia"/>
                <w:color w:val="000000"/>
                <w:sz w:val="24"/>
                <w:u w:val="single"/>
                <w:lang w:val="en-US" w:eastAsia="zh-CN"/>
              </w:rPr>
              <w:t>对冷却后的PVC鞋料进行包装，部分成品包装后进入成品库待售，部分成品作为原料进入PVC鞋底生产线。</w:t>
            </w:r>
          </w:p>
          <w:p w14:paraId="437DD7A1">
            <w:pPr>
              <w:adjustRightInd w:val="0"/>
              <w:spacing w:line="360" w:lineRule="auto"/>
              <w:ind w:firstLine="480" w:firstLineChars="200"/>
              <w:rPr>
                <w:rFonts w:hint="default" w:ascii="Times New Roman" w:hAnsi="Times New Roman" w:eastAsia="宋体" w:cs="Times New Roman"/>
                <w:color w:val="000000"/>
                <w:sz w:val="24"/>
                <w:u w:val="single"/>
                <w:lang w:val="en-US" w:eastAsia="zh-CN"/>
              </w:rPr>
            </w:pPr>
            <w:r>
              <w:rPr>
                <w:rFonts w:hint="eastAsia" w:ascii="Times New Roman" w:hAnsi="Times New Roman" w:eastAsia="宋体" w:cs="Times New Roman"/>
                <w:color w:val="000000"/>
                <w:sz w:val="24"/>
                <w:u w:val="single"/>
                <w:lang w:val="en-US" w:eastAsia="zh-CN"/>
              </w:rPr>
              <w:t>（2）</w:t>
            </w:r>
            <w:r>
              <w:rPr>
                <w:rFonts w:hint="eastAsia"/>
                <w:color w:val="000000"/>
                <w:sz w:val="24"/>
                <w:u w:val="single"/>
                <w:lang w:val="en-US" w:eastAsia="zh-CN"/>
              </w:rPr>
              <w:t>PVC鞋底生产</w:t>
            </w:r>
            <w:r>
              <w:rPr>
                <w:rFonts w:hint="eastAsia" w:ascii="Times New Roman" w:hAnsi="Times New Roman" w:eastAsia="宋体" w:cs="Times New Roman"/>
                <w:color w:val="000000"/>
                <w:sz w:val="24"/>
                <w:u w:val="single"/>
                <w:lang w:val="en-US" w:eastAsia="zh-CN"/>
              </w:rPr>
              <w:t>工艺</w:t>
            </w:r>
          </w:p>
          <w:p w14:paraId="4DB139E4">
            <w:pPr>
              <w:spacing w:line="360" w:lineRule="auto"/>
              <w:jc w:val="center"/>
              <w:rPr>
                <w:rFonts w:hint="eastAsia" w:eastAsia="宋体"/>
                <w:color w:val="000000"/>
                <w:sz w:val="24"/>
                <w:szCs w:val="24"/>
                <w:u w:val="single"/>
                <w:lang w:eastAsia="zh-CN"/>
              </w:rPr>
            </w:pPr>
            <w:r>
              <w:rPr>
                <w:rFonts w:hint="eastAsia" w:eastAsia="宋体"/>
                <w:color w:val="000000"/>
                <w:sz w:val="24"/>
                <w:szCs w:val="24"/>
                <w:u w:val="single"/>
                <w:lang w:eastAsia="zh-CN"/>
              </w:rPr>
              <w:drawing>
                <wp:inline distT="0" distB="0" distL="114300" distR="114300">
                  <wp:extent cx="5188585" cy="1523365"/>
                  <wp:effectExtent l="0" t="0" r="0" b="0"/>
                  <wp:docPr id="3" name="图片 19" descr="C:/Users/Administrator/AppData/Local/Temp/wps.MrzYhJ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9" descr="C:/Users/Administrator/AppData/Local/Temp/wps.MrzYhJwps"/>
                          <pic:cNvPicPr>
                            <a:picLocks noChangeAspect="1"/>
                          </pic:cNvPicPr>
                        </pic:nvPicPr>
                        <pic:blipFill>
                          <a:blip r:embed="rId8"/>
                          <a:stretch>
                            <a:fillRect/>
                          </a:stretch>
                        </pic:blipFill>
                        <pic:spPr>
                          <a:xfrm>
                            <a:off x="0" y="0"/>
                            <a:ext cx="5188585" cy="1523365"/>
                          </a:xfrm>
                          <a:prstGeom prst="rect">
                            <a:avLst/>
                          </a:prstGeom>
                          <a:noFill/>
                          <a:ln>
                            <a:noFill/>
                          </a:ln>
                        </pic:spPr>
                      </pic:pic>
                    </a:graphicData>
                  </a:graphic>
                </wp:inline>
              </w:drawing>
            </w:r>
          </w:p>
          <w:p w14:paraId="29F660C7">
            <w:pPr>
              <w:spacing w:line="360" w:lineRule="auto"/>
              <w:jc w:val="center"/>
              <w:rPr>
                <w:rFonts w:hint="eastAsia"/>
                <w:color w:val="000000"/>
                <w:sz w:val="24"/>
                <w:szCs w:val="24"/>
                <w:u w:val="single"/>
              </w:rPr>
            </w:pPr>
            <w:r>
              <w:rPr>
                <w:rFonts w:hint="eastAsia" w:ascii="黑体" w:eastAsia="黑体"/>
                <w:color w:val="000000"/>
                <w:sz w:val="24"/>
                <w:szCs w:val="24"/>
                <w:u w:val="single"/>
              </w:rPr>
              <w:t>图</w:t>
            </w:r>
            <w:r>
              <w:rPr>
                <w:rFonts w:hint="eastAsia" w:ascii="黑体" w:eastAsia="黑体"/>
                <w:color w:val="000000"/>
                <w:sz w:val="24"/>
                <w:szCs w:val="24"/>
                <w:u w:val="single"/>
                <w:lang w:val="en-US" w:eastAsia="zh-CN"/>
              </w:rPr>
              <w:t>3</w:t>
            </w:r>
            <w:r>
              <w:rPr>
                <w:rFonts w:hint="eastAsia" w:ascii="黑体" w:eastAsia="黑体"/>
                <w:color w:val="000000"/>
                <w:sz w:val="24"/>
                <w:szCs w:val="24"/>
                <w:u w:val="single"/>
              </w:rPr>
              <w:t xml:space="preserve">    </w:t>
            </w:r>
            <w:r>
              <w:rPr>
                <w:rFonts w:hint="eastAsia" w:ascii="黑体" w:eastAsia="黑体"/>
                <w:color w:val="000000"/>
                <w:sz w:val="24"/>
                <w:szCs w:val="24"/>
                <w:u w:val="single"/>
                <w:lang w:val="en-US" w:eastAsia="zh-CN"/>
              </w:rPr>
              <w:t>PVC鞋底</w:t>
            </w:r>
            <w:r>
              <w:rPr>
                <w:rFonts w:hint="eastAsia" w:ascii="黑体" w:eastAsia="黑体"/>
                <w:color w:val="000000"/>
                <w:sz w:val="24"/>
                <w:szCs w:val="24"/>
                <w:u w:val="single"/>
              </w:rPr>
              <w:t>工艺流程及产污环节示意图</w:t>
            </w:r>
          </w:p>
          <w:p w14:paraId="1B6CC3AA">
            <w:pPr>
              <w:adjustRightInd w:val="0"/>
              <w:spacing w:line="360" w:lineRule="auto"/>
              <w:ind w:firstLine="480" w:firstLineChars="200"/>
              <w:rPr>
                <w:rFonts w:hint="default" w:ascii="Times New Roman" w:hAnsi="Times New Roman" w:eastAsia="宋体" w:cs="Times New Roman"/>
                <w:color w:val="000000"/>
                <w:sz w:val="24"/>
                <w:u w:val="single"/>
                <w:lang w:val="en-US" w:eastAsia="zh-CN"/>
              </w:rPr>
            </w:pPr>
            <w:r>
              <w:rPr>
                <w:rFonts w:hint="eastAsia" w:ascii="Times New Roman" w:hAnsi="Times New Roman" w:eastAsia="宋体" w:cs="Times New Roman"/>
                <w:color w:val="000000"/>
                <w:sz w:val="24"/>
                <w:u w:val="single"/>
                <w:lang w:val="en-US" w:eastAsia="zh-CN"/>
              </w:rPr>
              <w:t>①投料</w:t>
            </w:r>
          </w:p>
          <w:p w14:paraId="0FB81EEC">
            <w:pPr>
              <w:adjustRightInd w:val="0"/>
              <w:spacing w:line="360" w:lineRule="auto"/>
              <w:ind w:firstLine="480" w:firstLineChars="200"/>
              <w:rPr>
                <w:rFonts w:hint="eastAsia" w:ascii="Times New Roman" w:hAnsi="Times New Roman" w:eastAsia="宋体" w:cs="Times New Roman"/>
                <w:color w:val="000000"/>
                <w:sz w:val="24"/>
                <w:u w:val="single"/>
                <w:lang w:val="en-US" w:eastAsia="zh-CN"/>
              </w:rPr>
            </w:pPr>
            <w:r>
              <w:rPr>
                <w:rFonts w:hint="eastAsia" w:ascii="Times New Roman" w:hAnsi="Times New Roman" w:eastAsia="宋体" w:cs="Times New Roman"/>
                <w:color w:val="000000"/>
                <w:sz w:val="24"/>
                <w:u w:val="single"/>
                <w:lang w:val="en-US" w:eastAsia="zh-CN"/>
              </w:rPr>
              <w:t>将PVC鞋料通过管道加入全自动射出机，投料全过程管道密闭化，无粉尘产生。</w:t>
            </w:r>
          </w:p>
          <w:p w14:paraId="7D01C93E">
            <w:pPr>
              <w:adjustRightInd w:val="0"/>
              <w:spacing w:line="360" w:lineRule="auto"/>
              <w:ind w:firstLine="480" w:firstLineChars="200"/>
              <w:rPr>
                <w:rFonts w:hint="eastAsia" w:ascii="Times New Roman" w:hAnsi="Times New Roman" w:eastAsia="宋体" w:cs="Times New Roman"/>
                <w:color w:val="000000"/>
                <w:sz w:val="24"/>
                <w:u w:val="single"/>
                <w:lang w:val="en-US" w:eastAsia="zh-CN"/>
              </w:rPr>
            </w:pPr>
            <w:r>
              <w:rPr>
                <w:rFonts w:hint="eastAsia" w:ascii="Times New Roman" w:hAnsi="Times New Roman" w:eastAsia="宋体" w:cs="Times New Roman"/>
                <w:color w:val="000000"/>
                <w:sz w:val="24"/>
                <w:u w:val="single"/>
                <w:lang w:val="en-US" w:eastAsia="zh-CN"/>
              </w:rPr>
              <w:t>②射出成型</w:t>
            </w:r>
          </w:p>
          <w:p w14:paraId="0153949B">
            <w:pPr>
              <w:adjustRightInd w:val="0"/>
              <w:spacing w:line="360" w:lineRule="auto"/>
              <w:ind w:firstLine="480" w:firstLineChars="200"/>
              <w:rPr>
                <w:rFonts w:hint="eastAsia" w:ascii="Times New Roman" w:hAnsi="Times New Roman" w:eastAsia="宋体" w:cs="Times New Roman"/>
                <w:color w:val="000000"/>
                <w:sz w:val="24"/>
                <w:u w:val="single"/>
                <w:lang w:val="en-US" w:eastAsia="zh-CN"/>
              </w:rPr>
            </w:pPr>
            <w:r>
              <w:rPr>
                <w:rFonts w:hint="eastAsia" w:ascii="Times New Roman" w:hAnsi="Times New Roman" w:eastAsia="宋体" w:cs="Times New Roman"/>
                <w:color w:val="000000"/>
                <w:sz w:val="24"/>
                <w:u w:val="single"/>
                <w:lang w:val="en-US" w:eastAsia="zh-CN"/>
              </w:rPr>
              <w:t>全自动射出机采用电感应加热，加热装置使装入的粒料进行软化、熔融、挤塑。热熔挤出工序不添加任何阻燃剂、增塑剂等添加剂，挤出过程为单纯物理熔融变化过程，本项目产品挤出工序温度控制范围在1</w:t>
            </w:r>
            <w:r>
              <w:rPr>
                <w:rFonts w:hint="eastAsia" w:cs="Times New Roman"/>
                <w:color w:val="000000"/>
                <w:sz w:val="24"/>
                <w:u w:val="single"/>
                <w:lang w:val="en-US" w:eastAsia="zh-CN"/>
              </w:rPr>
              <w:t>6</w:t>
            </w:r>
            <w:r>
              <w:rPr>
                <w:rFonts w:hint="eastAsia" w:ascii="Times New Roman" w:hAnsi="Times New Roman" w:eastAsia="宋体" w:cs="Times New Roman"/>
                <w:color w:val="000000"/>
                <w:sz w:val="24"/>
                <w:u w:val="single"/>
                <w:lang w:val="en-US" w:eastAsia="zh-CN"/>
              </w:rPr>
              <w:t>0-190℃，在此温度控制下，原料不会发生裂解，熔融挤出过程中会有一定的有非甲烷总烃和氯化氢产生。</w:t>
            </w:r>
          </w:p>
          <w:p w14:paraId="54DCC8EA">
            <w:pPr>
              <w:adjustRightInd w:val="0"/>
              <w:spacing w:line="360" w:lineRule="auto"/>
              <w:ind w:firstLine="480" w:firstLineChars="200"/>
              <w:rPr>
                <w:rFonts w:hint="eastAsia" w:ascii="Times New Roman" w:hAnsi="Times New Roman" w:eastAsia="宋体" w:cs="Times New Roman"/>
                <w:color w:val="000000"/>
                <w:sz w:val="24"/>
                <w:u w:val="single"/>
                <w:lang w:val="en-US" w:eastAsia="zh-CN"/>
              </w:rPr>
            </w:pPr>
            <w:r>
              <w:rPr>
                <w:rFonts w:hint="eastAsia" w:ascii="Times New Roman" w:hAnsi="Times New Roman" w:eastAsia="宋体" w:cs="Times New Roman"/>
                <w:color w:val="000000"/>
                <w:sz w:val="24"/>
                <w:u w:val="single"/>
                <w:lang w:val="en-US" w:eastAsia="zh-CN"/>
              </w:rPr>
              <w:t>③定型</w:t>
            </w:r>
          </w:p>
          <w:p w14:paraId="4EC0AF1C">
            <w:pPr>
              <w:adjustRightInd w:val="0"/>
              <w:spacing w:line="360" w:lineRule="auto"/>
              <w:ind w:firstLine="480" w:firstLineChars="200"/>
              <w:rPr>
                <w:rFonts w:hint="default" w:ascii="Times New Roman" w:hAnsi="Times New Roman" w:eastAsia="宋体" w:cs="Times New Roman"/>
                <w:color w:val="000000"/>
                <w:sz w:val="24"/>
                <w:u w:val="single"/>
                <w:lang w:val="en-US" w:eastAsia="zh-CN"/>
              </w:rPr>
            </w:pPr>
            <w:r>
              <w:rPr>
                <w:rFonts w:hint="eastAsia" w:ascii="Times New Roman" w:hAnsi="Times New Roman" w:eastAsia="宋体" w:cs="Times New Roman"/>
                <w:color w:val="000000"/>
                <w:sz w:val="24"/>
                <w:u w:val="single"/>
                <w:lang w:val="en-US" w:eastAsia="zh-CN"/>
              </w:rPr>
              <w:t>将夹帮好的鞋楦放在注塑机上，将鞋跟、鞋底片放在模具中注塑鞋底，通过全自动射出机配套的热压机一次成型。</w:t>
            </w:r>
          </w:p>
          <w:p w14:paraId="220460B3">
            <w:pPr>
              <w:adjustRightInd w:val="0"/>
              <w:spacing w:line="360" w:lineRule="auto"/>
              <w:ind w:firstLine="480" w:firstLineChars="200"/>
              <w:rPr>
                <w:rFonts w:hint="default" w:ascii="Times New Roman" w:hAnsi="Times New Roman" w:eastAsia="宋体" w:cs="Times New Roman"/>
                <w:color w:val="000000"/>
                <w:sz w:val="24"/>
                <w:u w:val="single"/>
                <w:lang w:val="en-US" w:eastAsia="zh-CN"/>
              </w:rPr>
            </w:pPr>
            <w:r>
              <w:rPr>
                <w:rFonts w:hint="eastAsia" w:ascii="Times New Roman" w:hAnsi="Times New Roman" w:eastAsia="宋体" w:cs="Times New Roman"/>
                <w:color w:val="000000"/>
                <w:sz w:val="24"/>
                <w:u w:val="single"/>
                <w:lang w:val="en-US" w:eastAsia="zh-CN"/>
              </w:rPr>
              <w:t>④烘干</w:t>
            </w:r>
          </w:p>
          <w:p w14:paraId="70FB5CD1">
            <w:pPr>
              <w:adjustRightInd w:val="0"/>
              <w:spacing w:line="360" w:lineRule="auto"/>
              <w:ind w:firstLine="480" w:firstLineChars="200"/>
              <w:rPr>
                <w:rFonts w:hint="default" w:ascii="Times New Roman" w:hAnsi="Times New Roman" w:eastAsia="宋体" w:cs="Times New Roman"/>
                <w:color w:val="000000"/>
                <w:sz w:val="24"/>
                <w:u w:val="single"/>
                <w:lang w:val="en-US" w:eastAsia="zh-CN"/>
              </w:rPr>
            </w:pPr>
            <w:r>
              <w:rPr>
                <w:rFonts w:hint="eastAsia" w:ascii="Times New Roman" w:hAnsi="Times New Roman" w:eastAsia="宋体" w:cs="Times New Roman"/>
                <w:color w:val="000000"/>
                <w:sz w:val="24"/>
                <w:u w:val="single"/>
                <w:lang w:val="en-US" w:eastAsia="zh-CN"/>
              </w:rPr>
              <w:t>定型好的鞋底通过全自动射出机配套的恒温烘干机，对部分有瑕疵的鞋底人工进行调整。</w:t>
            </w:r>
          </w:p>
          <w:p w14:paraId="77B3C8FB">
            <w:pPr>
              <w:adjustRightInd w:val="0"/>
              <w:spacing w:line="360" w:lineRule="auto"/>
              <w:ind w:firstLine="480" w:firstLineChars="200"/>
              <w:rPr>
                <w:rFonts w:hint="default" w:ascii="Times New Roman" w:hAnsi="Times New Roman" w:eastAsia="宋体" w:cs="Times New Roman"/>
                <w:color w:val="000000"/>
                <w:sz w:val="24"/>
                <w:u w:val="single"/>
                <w:lang w:val="en-US" w:eastAsia="zh-CN"/>
              </w:rPr>
            </w:pPr>
            <w:r>
              <w:rPr>
                <w:rFonts w:hint="eastAsia" w:ascii="Times New Roman" w:hAnsi="Times New Roman" w:eastAsia="宋体" w:cs="Times New Roman"/>
                <w:color w:val="000000"/>
                <w:sz w:val="24"/>
                <w:u w:val="single"/>
                <w:lang w:val="en-US" w:eastAsia="zh-CN"/>
              </w:rPr>
              <w:t>⑤修边</w:t>
            </w:r>
          </w:p>
          <w:p w14:paraId="0B1BACE9">
            <w:pPr>
              <w:adjustRightInd w:val="0"/>
              <w:spacing w:line="360" w:lineRule="auto"/>
              <w:ind w:firstLine="480" w:firstLineChars="200"/>
              <w:rPr>
                <w:rFonts w:hint="eastAsia" w:ascii="Times New Roman" w:hAnsi="Times New Roman" w:eastAsia="宋体" w:cs="Times New Roman"/>
                <w:color w:val="000000"/>
                <w:sz w:val="24"/>
                <w:u w:val="single"/>
                <w:lang w:val="en-US" w:eastAsia="zh-CN"/>
              </w:rPr>
            </w:pPr>
            <w:r>
              <w:rPr>
                <w:rFonts w:hint="eastAsia" w:ascii="Times New Roman" w:hAnsi="Times New Roman" w:eastAsia="宋体" w:cs="Times New Roman"/>
                <w:color w:val="000000"/>
                <w:sz w:val="24"/>
                <w:u w:val="single"/>
                <w:lang w:val="en-US" w:eastAsia="zh-CN"/>
              </w:rPr>
              <w:t>成品鞋底经人工检验，部分塑料鞋需要人工完成修边，去除鞋边毛刺。</w:t>
            </w:r>
          </w:p>
          <w:p w14:paraId="1C7E5B84">
            <w:pPr>
              <w:adjustRightInd w:val="0"/>
              <w:spacing w:line="360" w:lineRule="auto"/>
              <w:ind w:firstLine="480" w:firstLineChars="200"/>
              <w:rPr>
                <w:rFonts w:hint="eastAsia" w:ascii="Times New Roman" w:hAnsi="Times New Roman" w:eastAsia="宋体" w:cs="Times New Roman"/>
                <w:color w:val="000000"/>
                <w:sz w:val="24"/>
                <w:u w:val="single"/>
                <w:lang w:val="en-US" w:eastAsia="zh-CN"/>
              </w:rPr>
            </w:pPr>
            <w:r>
              <w:rPr>
                <w:rFonts w:hint="eastAsia" w:ascii="宋体" w:hAnsi="宋体" w:eastAsia="宋体" w:cs="宋体"/>
                <w:color w:val="000000"/>
                <w:sz w:val="24"/>
                <w:u w:val="single"/>
                <w:lang w:val="en-US" w:eastAsia="zh-CN"/>
              </w:rPr>
              <w:t>⑥</w:t>
            </w:r>
            <w:r>
              <w:rPr>
                <w:rFonts w:hint="eastAsia" w:ascii="Times New Roman" w:hAnsi="Times New Roman" w:eastAsia="宋体" w:cs="Times New Roman"/>
                <w:color w:val="000000"/>
                <w:sz w:val="24"/>
                <w:u w:val="single"/>
                <w:lang w:val="en-US" w:eastAsia="zh-CN"/>
              </w:rPr>
              <w:t>破碎</w:t>
            </w:r>
          </w:p>
          <w:p w14:paraId="645EABBE">
            <w:pPr>
              <w:adjustRightInd w:val="0"/>
              <w:spacing w:line="360" w:lineRule="auto"/>
              <w:ind w:firstLine="480" w:firstLineChars="200"/>
              <w:rPr>
                <w:rFonts w:hint="default" w:ascii="Times New Roman" w:hAnsi="Times New Roman" w:eastAsia="宋体" w:cs="Times New Roman"/>
                <w:color w:val="000000"/>
                <w:sz w:val="24"/>
                <w:u w:val="single"/>
                <w:lang w:val="en-US" w:eastAsia="zh-CN"/>
              </w:rPr>
            </w:pPr>
            <w:r>
              <w:rPr>
                <w:rFonts w:hint="eastAsia" w:ascii="Times New Roman" w:hAnsi="Times New Roman" w:eastAsia="宋体" w:cs="Times New Roman"/>
                <w:color w:val="000000"/>
                <w:sz w:val="24"/>
                <w:u w:val="single"/>
                <w:lang w:val="en-US" w:eastAsia="zh-CN"/>
              </w:rPr>
              <w:t>部分不合格产品和修边边角料通过破碎机破碎后回用生产，破碎过程会产生粉尘。</w:t>
            </w:r>
          </w:p>
          <w:p w14:paraId="4B519E55">
            <w:pPr>
              <w:adjustRightInd w:val="0"/>
              <w:spacing w:line="360" w:lineRule="auto"/>
              <w:ind w:firstLine="480" w:firstLineChars="200"/>
              <w:rPr>
                <w:rFonts w:hint="eastAsia" w:ascii="Times New Roman" w:hAnsi="Times New Roman" w:eastAsia="宋体" w:cs="Times New Roman"/>
                <w:color w:val="000000"/>
                <w:sz w:val="24"/>
                <w:u w:val="single"/>
                <w:lang w:val="en-US" w:eastAsia="zh-CN"/>
              </w:rPr>
            </w:pPr>
            <w:r>
              <w:rPr>
                <w:rFonts w:hint="eastAsia" w:ascii="宋体" w:hAnsi="宋体" w:eastAsia="宋体" w:cs="宋体"/>
                <w:color w:val="000000"/>
                <w:sz w:val="24"/>
                <w:u w:val="single"/>
                <w:lang w:val="en-US" w:eastAsia="zh-CN"/>
              </w:rPr>
              <w:t>⑦</w:t>
            </w:r>
            <w:r>
              <w:rPr>
                <w:rFonts w:hint="eastAsia" w:ascii="Times New Roman" w:hAnsi="Times New Roman" w:eastAsia="宋体" w:cs="Times New Roman"/>
                <w:color w:val="000000"/>
                <w:sz w:val="24"/>
                <w:u w:val="single"/>
                <w:lang w:val="en-US" w:eastAsia="zh-CN"/>
              </w:rPr>
              <w:t>包装入库</w:t>
            </w:r>
          </w:p>
          <w:p w14:paraId="36630EFC">
            <w:pPr>
              <w:adjustRightInd w:val="0"/>
              <w:spacing w:line="360" w:lineRule="auto"/>
              <w:ind w:firstLine="480" w:firstLineChars="200"/>
              <w:rPr>
                <w:rFonts w:hint="eastAsia" w:ascii="Times New Roman" w:hAnsi="Times New Roman" w:eastAsia="宋体" w:cs="Times New Roman"/>
                <w:color w:val="000000"/>
                <w:sz w:val="24"/>
                <w:u w:val="single"/>
                <w:lang w:val="en-US" w:eastAsia="zh-CN"/>
              </w:rPr>
            </w:pPr>
            <w:r>
              <w:rPr>
                <w:rFonts w:hint="eastAsia" w:ascii="Times New Roman" w:hAnsi="Times New Roman" w:eastAsia="宋体" w:cs="Times New Roman"/>
                <w:color w:val="000000"/>
                <w:sz w:val="24"/>
                <w:u w:val="single"/>
                <w:lang w:val="en-US" w:eastAsia="zh-CN"/>
              </w:rPr>
              <w:t>成品鞋底经人工检验合格后，包装入库待售。</w:t>
            </w:r>
          </w:p>
          <w:p w14:paraId="4728558C">
            <w:pPr>
              <w:adjustRightInd w:val="0"/>
              <w:spacing w:line="360" w:lineRule="auto"/>
              <w:ind w:firstLine="480" w:firstLineChars="200"/>
              <w:rPr>
                <w:rFonts w:hint="eastAsia" w:ascii="Times New Roman" w:hAnsi="Times New Roman" w:eastAsia="宋体" w:cs="Times New Roman"/>
                <w:color w:val="000000"/>
                <w:sz w:val="24"/>
                <w:u w:val="single"/>
                <w:lang w:val="en-US" w:eastAsia="zh-CN"/>
              </w:rPr>
            </w:pPr>
          </w:p>
          <w:p w14:paraId="651BCE24">
            <w:pPr>
              <w:adjustRightInd w:val="0"/>
              <w:spacing w:line="360" w:lineRule="auto"/>
              <w:ind w:firstLine="480" w:firstLineChars="200"/>
              <w:rPr>
                <w:rFonts w:hint="eastAsia" w:ascii="Times New Roman" w:hAnsi="Times New Roman" w:eastAsia="宋体" w:cs="Times New Roman"/>
                <w:color w:val="000000"/>
                <w:sz w:val="24"/>
                <w:u w:val="single"/>
                <w:lang w:val="en-US" w:eastAsia="zh-CN"/>
              </w:rPr>
            </w:pPr>
          </w:p>
          <w:p w14:paraId="11A7AA94">
            <w:pPr>
              <w:adjustRightInd w:val="0"/>
              <w:spacing w:line="360" w:lineRule="auto"/>
              <w:ind w:firstLine="480" w:firstLineChars="200"/>
              <w:rPr>
                <w:rFonts w:hint="eastAsia" w:ascii="Times New Roman" w:hAnsi="Times New Roman" w:eastAsia="宋体" w:cs="Times New Roman"/>
                <w:color w:val="000000"/>
                <w:sz w:val="24"/>
                <w:u w:val="single"/>
                <w:lang w:val="en-US" w:eastAsia="zh-CN"/>
              </w:rPr>
            </w:pPr>
          </w:p>
          <w:p w14:paraId="03F495DB">
            <w:pPr>
              <w:adjustRightInd w:val="0"/>
              <w:spacing w:line="360" w:lineRule="auto"/>
              <w:ind w:firstLine="480" w:firstLineChars="200"/>
              <w:rPr>
                <w:rFonts w:hint="eastAsia" w:ascii="Times New Roman" w:hAnsi="Times New Roman" w:eastAsia="宋体" w:cs="Times New Roman"/>
                <w:color w:val="000000"/>
                <w:sz w:val="24"/>
                <w:u w:val="single"/>
                <w:lang w:val="en-US" w:eastAsia="zh-CN"/>
              </w:rPr>
            </w:pPr>
          </w:p>
          <w:p w14:paraId="649DFA93">
            <w:pPr>
              <w:adjustRightInd w:val="0"/>
              <w:spacing w:line="360" w:lineRule="auto"/>
              <w:ind w:firstLine="480" w:firstLineChars="200"/>
              <w:rPr>
                <w:rFonts w:hint="eastAsia" w:ascii="Times New Roman" w:hAnsi="Times New Roman" w:eastAsia="宋体" w:cs="Times New Roman"/>
                <w:color w:val="000000"/>
                <w:sz w:val="24"/>
                <w:u w:val="single"/>
                <w:lang w:val="en-US" w:eastAsia="zh-CN"/>
              </w:rPr>
            </w:pPr>
          </w:p>
          <w:p w14:paraId="2673A0A2">
            <w:pPr>
              <w:adjustRightInd w:val="0"/>
              <w:spacing w:line="360" w:lineRule="auto"/>
              <w:ind w:firstLine="480" w:firstLineChars="200"/>
              <w:rPr>
                <w:rFonts w:hint="default" w:ascii="Times New Roman" w:hAnsi="Times New Roman" w:eastAsia="宋体" w:cs="Times New Roman"/>
                <w:color w:val="000000"/>
                <w:sz w:val="24"/>
                <w:u w:val="single"/>
                <w:lang w:val="en-US" w:eastAsia="zh-CN"/>
              </w:rPr>
            </w:pPr>
          </w:p>
          <w:p w14:paraId="7BF9B04B">
            <w:pPr>
              <w:adjustRightInd w:val="0"/>
              <w:spacing w:line="360" w:lineRule="auto"/>
              <w:rPr>
                <w:b/>
                <w:bCs/>
                <w:color w:val="000000"/>
                <w:sz w:val="24"/>
                <w:szCs w:val="24"/>
                <w:u w:val="single"/>
              </w:rPr>
            </w:pPr>
            <w:r>
              <w:rPr>
                <w:b/>
                <w:bCs/>
                <w:color w:val="000000"/>
                <w:sz w:val="24"/>
                <w:szCs w:val="24"/>
                <w:u w:val="single"/>
              </w:rPr>
              <w:t>2.产排污环节</w:t>
            </w:r>
          </w:p>
          <w:p w14:paraId="45837258">
            <w:pPr>
              <w:adjustRightInd w:val="0"/>
              <w:spacing w:line="360" w:lineRule="auto"/>
              <w:ind w:firstLine="480" w:firstLineChars="200"/>
              <w:rPr>
                <w:rFonts w:hint="eastAsia"/>
                <w:bCs/>
                <w:color w:val="000000"/>
                <w:sz w:val="24"/>
                <w:szCs w:val="24"/>
                <w:u w:val="single"/>
              </w:rPr>
            </w:pPr>
            <w:r>
              <w:rPr>
                <w:rFonts w:hint="eastAsia"/>
                <w:bCs/>
                <w:color w:val="000000"/>
                <w:sz w:val="24"/>
                <w:szCs w:val="24"/>
                <w:u w:val="single"/>
              </w:rPr>
              <w:t>本项目产污环节见下表。</w:t>
            </w:r>
          </w:p>
          <w:p w14:paraId="6F9C043F">
            <w:pPr>
              <w:spacing w:before="93" w:beforeLines="30"/>
              <w:jc w:val="center"/>
              <w:rPr>
                <w:rFonts w:ascii="黑体" w:eastAsia="黑体"/>
                <w:color w:val="000000"/>
                <w:sz w:val="24"/>
                <w:szCs w:val="24"/>
                <w:u w:val="single"/>
              </w:rPr>
            </w:pPr>
            <w:r>
              <w:rPr>
                <w:rFonts w:hint="eastAsia" w:ascii="黑体" w:eastAsia="黑体"/>
                <w:color w:val="000000"/>
                <w:sz w:val="24"/>
                <w:szCs w:val="24"/>
                <w:u w:val="single"/>
              </w:rPr>
              <w:t>表</w:t>
            </w:r>
            <w:r>
              <w:rPr>
                <w:rFonts w:hint="eastAsia" w:ascii="黑体" w:eastAsia="黑体"/>
                <w:color w:val="000000"/>
                <w:sz w:val="24"/>
                <w:szCs w:val="24"/>
                <w:u w:val="single"/>
                <w:lang w:val="en-US" w:eastAsia="zh-CN"/>
              </w:rPr>
              <w:t>21</w:t>
            </w:r>
            <w:r>
              <w:rPr>
                <w:rFonts w:hint="eastAsia" w:ascii="黑体" w:eastAsia="黑体"/>
                <w:color w:val="000000"/>
                <w:sz w:val="24"/>
                <w:szCs w:val="24"/>
                <w:u w:val="single"/>
              </w:rPr>
              <w:t xml:space="preserve">    产排污环节一览表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291"/>
              <w:gridCol w:w="2543"/>
              <w:gridCol w:w="3647"/>
            </w:tblGrid>
            <w:tr w14:paraId="1817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3" w:type="pct"/>
                  <w:gridSpan w:val="2"/>
                  <w:noWrap w:val="0"/>
                  <w:vAlign w:val="center"/>
                </w:tcPr>
                <w:p w14:paraId="3987842A">
                  <w:pPr>
                    <w:adjustRightInd w:val="0"/>
                    <w:jc w:val="center"/>
                    <w:rPr>
                      <w:rFonts w:hint="eastAsia"/>
                      <w:bCs/>
                      <w:color w:val="000000"/>
                      <w:szCs w:val="21"/>
                      <w:u w:val="single"/>
                    </w:rPr>
                  </w:pPr>
                  <w:r>
                    <w:rPr>
                      <w:rFonts w:hint="eastAsia"/>
                      <w:bCs/>
                      <w:color w:val="000000"/>
                      <w:szCs w:val="21"/>
                      <w:u w:val="single"/>
                    </w:rPr>
                    <w:t>类别</w:t>
                  </w:r>
                </w:p>
              </w:tc>
              <w:tc>
                <w:tcPr>
                  <w:tcW w:w="1543" w:type="pct"/>
                  <w:noWrap w:val="0"/>
                  <w:vAlign w:val="center"/>
                </w:tcPr>
                <w:p w14:paraId="5272A35C">
                  <w:pPr>
                    <w:adjustRightInd w:val="0"/>
                    <w:jc w:val="center"/>
                    <w:rPr>
                      <w:rFonts w:hint="eastAsia"/>
                      <w:bCs/>
                      <w:color w:val="000000"/>
                      <w:szCs w:val="21"/>
                      <w:u w:val="single"/>
                    </w:rPr>
                  </w:pPr>
                  <w:r>
                    <w:rPr>
                      <w:rFonts w:hint="eastAsia"/>
                      <w:bCs/>
                      <w:color w:val="000000"/>
                      <w:szCs w:val="21"/>
                      <w:u w:val="single"/>
                    </w:rPr>
                    <w:t>产生环节</w:t>
                  </w:r>
                </w:p>
              </w:tc>
              <w:tc>
                <w:tcPr>
                  <w:tcW w:w="2213" w:type="pct"/>
                  <w:noWrap w:val="0"/>
                  <w:vAlign w:val="center"/>
                </w:tcPr>
                <w:p w14:paraId="2BF4B147">
                  <w:pPr>
                    <w:adjustRightInd w:val="0"/>
                    <w:jc w:val="center"/>
                    <w:rPr>
                      <w:rFonts w:hint="eastAsia"/>
                      <w:bCs/>
                      <w:color w:val="000000"/>
                      <w:szCs w:val="21"/>
                      <w:u w:val="single"/>
                    </w:rPr>
                  </w:pPr>
                  <w:r>
                    <w:rPr>
                      <w:rFonts w:hint="eastAsia"/>
                      <w:bCs/>
                      <w:color w:val="000000"/>
                      <w:szCs w:val="21"/>
                      <w:u w:val="single"/>
                    </w:rPr>
                    <w:t>污染因子</w:t>
                  </w:r>
                </w:p>
              </w:tc>
            </w:tr>
            <w:tr w14:paraId="66D32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pct"/>
                  <w:gridSpan w:val="2"/>
                  <w:vMerge w:val="restart"/>
                  <w:noWrap w:val="0"/>
                  <w:vAlign w:val="center"/>
                </w:tcPr>
                <w:p w14:paraId="0D638066">
                  <w:pPr>
                    <w:adjustRightInd w:val="0"/>
                    <w:jc w:val="center"/>
                    <w:rPr>
                      <w:rFonts w:hint="eastAsia"/>
                      <w:bCs/>
                      <w:color w:val="000000"/>
                      <w:szCs w:val="21"/>
                      <w:u w:val="single"/>
                    </w:rPr>
                  </w:pPr>
                  <w:r>
                    <w:rPr>
                      <w:rFonts w:hint="eastAsia"/>
                      <w:bCs/>
                      <w:color w:val="000000"/>
                      <w:szCs w:val="21"/>
                      <w:u w:val="single"/>
                    </w:rPr>
                    <w:t>废气</w:t>
                  </w:r>
                </w:p>
              </w:tc>
              <w:tc>
                <w:tcPr>
                  <w:tcW w:w="1543" w:type="pct"/>
                  <w:noWrap w:val="0"/>
                  <w:vAlign w:val="center"/>
                </w:tcPr>
                <w:p w14:paraId="4898AAFD">
                  <w:pPr>
                    <w:snapToGrid w:val="0"/>
                    <w:spacing w:before="31" w:beforeLines="10" w:after="31" w:afterLines="10"/>
                    <w:jc w:val="center"/>
                    <w:rPr>
                      <w:rFonts w:hint="default" w:eastAsia="宋体"/>
                      <w:color w:val="000000"/>
                      <w:szCs w:val="21"/>
                      <w:u w:val="single"/>
                      <w:lang w:val="en-US" w:eastAsia="zh-CN"/>
                    </w:rPr>
                  </w:pPr>
                  <w:r>
                    <w:rPr>
                      <w:rFonts w:hint="eastAsia"/>
                      <w:color w:val="000000"/>
                      <w:szCs w:val="21"/>
                      <w:u w:val="single"/>
                      <w:lang w:val="en-US" w:eastAsia="zh-CN"/>
                    </w:rPr>
                    <w:t>投料搅拌、粉碎</w:t>
                  </w:r>
                </w:p>
              </w:tc>
              <w:tc>
                <w:tcPr>
                  <w:tcW w:w="2213" w:type="pct"/>
                  <w:noWrap w:val="0"/>
                  <w:vAlign w:val="center"/>
                </w:tcPr>
                <w:p w14:paraId="02F98456">
                  <w:pPr>
                    <w:snapToGrid w:val="0"/>
                    <w:spacing w:before="31" w:beforeLines="10" w:after="31" w:afterLines="10"/>
                    <w:jc w:val="center"/>
                    <w:rPr>
                      <w:color w:val="000000"/>
                      <w:szCs w:val="21"/>
                      <w:u w:val="single"/>
                    </w:rPr>
                  </w:pPr>
                  <w:r>
                    <w:rPr>
                      <w:rFonts w:hint="eastAsia"/>
                      <w:color w:val="000000"/>
                      <w:szCs w:val="21"/>
                      <w:u w:val="single"/>
                      <w:lang w:val="en-US" w:eastAsia="zh-CN"/>
                    </w:rPr>
                    <w:t>颗粒物</w:t>
                  </w:r>
                </w:p>
              </w:tc>
            </w:tr>
            <w:tr w14:paraId="7FBC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pct"/>
                  <w:gridSpan w:val="2"/>
                  <w:vMerge w:val="continue"/>
                  <w:noWrap w:val="0"/>
                  <w:vAlign w:val="center"/>
                </w:tcPr>
                <w:p w14:paraId="66646833">
                  <w:pPr>
                    <w:adjustRightInd w:val="0"/>
                    <w:jc w:val="center"/>
                    <w:rPr>
                      <w:rFonts w:hint="eastAsia"/>
                      <w:bCs/>
                      <w:color w:val="000000"/>
                      <w:szCs w:val="21"/>
                      <w:u w:val="single"/>
                    </w:rPr>
                  </w:pPr>
                </w:p>
              </w:tc>
              <w:tc>
                <w:tcPr>
                  <w:tcW w:w="1543" w:type="pct"/>
                  <w:noWrap w:val="0"/>
                  <w:vAlign w:val="center"/>
                </w:tcPr>
                <w:p w14:paraId="638D657E">
                  <w:pPr>
                    <w:snapToGrid w:val="0"/>
                    <w:spacing w:before="31" w:beforeLines="10" w:after="31" w:afterLines="10"/>
                    <w:jc w:val="center"/>
                    <w:rPr>
                      <w:rFonts w:hint="default" w:eastAsia="宋体"/>
                      <w:color w:val="000000"/>
                      <w:szCs w:val="21"/>
                      <w:u w:val="single"/>
                      <w:lang w:val="en-US" w:eastAsia="zh-CN"/>
                    </w:rPr>
                  </w:pPr>
                  <w:r>
                    <w:rPr>
                      <w:rFonts w:hint="eastAsia"/>
                      <w:color w:val="000000"/>
                      <w:szCs w:val="21"/>
                      <w:u w:val="single"/>
                      <w:lang w:val="en-US" w:eastAsia="zh-CN"/>
                    </w:rPr>
                    <w:t>射出定型</w:t>
                  </w:r>
                </w:p>
              </w:tc>
              <w:tc>
                <w:tcPr>
                  <w:tcW w:w="2213" w:type="pct"/>
                  <w:noWrap w:val="0"/>
                  <w:vAlign w:val="center"/>
                </w:tcPr>
                <w:p w14:paraId="4F0AEE55">
                  <w:pPr>
                    <w:snapToGrid w:val="0"/>
                    <w:spacing w:before="31" w:beforeLines="10" w:after="31" w:afterLines="10"/>
                    <w:jc w:val="center"/>
                    <w:rPr>
                      <w:rFonts w:hint="default" w:eastAsia="宋体"/>
                      <w:color w:val="000000"/>
                      <w:szCs w:val="21"/>
                      <w:u w:val="single"/>
                      <w:lang w:val="en-US" w:eastAsia="zh-CN"/>
                    </w:rPr>
                  </w:pPr>
                  <w:r>
                    <w:rPr>
                      <w:color w:val="000000"/>
                      <w:szCs w:val="21"/>
                      <w:u w:val="single"/>
                    </w:rPr>
                    <w:t>非甲烷总烃</w:t>
                  </w:r>
                  <w:r>
                    <w:rPr>
                      <w:rFonts w:hint="eastAsia"/>
                      <w:color w:val="000000"/>
                      <w:szCs w:val="21"/>
                      <w:u w:val="single"/>
                      <w:lang w:eastAsia="zh-CN"/>
                    </w:rPr>
                    <w:t>、</w:t>
                  </w:r>
                  <w:r>
                    <w:rPr>
                      <w:rFonts w:hint="eastAsia"/>
                      <w:color w:val="000000"/>
                      <w:szCs w:val="21"/>
                      <w:u w:val="single"/>
                      <w:lang w:val="en-US" w:eastAsia="zh-CN"/>
                    </w:rPr>
                    <w:t>氯化氢</w:t>
                  </w:r>
                </w:p>
              </w:tc>
            </w:tr>
            <w:tr w14:paraId="399E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pct"/>
                  <w:gridSpan w:val="2"/>
                  <w:vMerge w:val="restart"/>
                  <w:noWrap w:val="0"/>
                  <w:vAlign w:val="center"/>
                </w:tcPr>
                <w:p w14:paraId="6678E310">
                  <w:pPr>
                    <w:adjustRightInd w:val="0"/>
                    <w:jc w:val="center"/>
                    <w:rPr>
                      <w:rFonts w:hint="eastAsia"/>
                      <w:bCs/>
                      <w:color w:val="000000"/>
                      <w:szCs w:val="21"/>
                      <w:u w:val="single"/>
                    </w:rPr>
                  </w:pPr>
                  <w:r>
                    <w:rPr>
                      <w:rFonts w:hint="eastAsia"/>
                      <w:bCs/>
                      <w:color w:val="000000"/>
                      <w:szCs w:val="21"/>
                      <w:u w:val="single"/>
                    </w:rPr>
                    <w:t>废水</w:t>
                  </w:r>
                </w:p>
              </w:tc>
              <w:tc>
                <w:tcPr>
                  <w:tcW w:w="1543" w:type="pct"/>
                  <w:noWrap w:val="0"/>
                  <w:vAlign w:val="center"/>
                </w:tcPr>
                <w:p w14:paraId="2645E11B">
                  <w:pPr>
                    <w:adjustRightInd w:val="0"/>
                    <w:jc w:val="center"/>
                    <w:rPr>
                      <w:rFonts w:hint="eastAsia"/>
                      <w:bCs/>
                      <w:color w:val="000000"/>
                      <w:szCs w:val="21"/>
                      <w:u w:val="single"/>
                    </w:rPr>
                  </w:pPr>
                  <w:r>
                    <w:rPr>
                      <w:rFonts w:hint="eastAsia"/>
                      <w:bCs/>
                      <w:color w:val="000000"/>
                      <w:szCs w:val="21"/>
                      <w:u w:val="single"/>
                    </w:rPr>
                    <w:t>职工生活污水</w:t>
                  </w:r>
                </w:p>
              </w:tc>
              <w:tc>
                <w:tcPr>
                  <w:tcW w:w="2213" w:type="pct"/>
                  <w:noWrap w:val="0"/>
                  <w:vAlign w:val="center"/>
                </w:tcPr>
                <w:p w14:paraId="130D8351">
                  <w:pPr>
                    <w:adjustRightInd w:val="0"/>
                    <w:jc w:val="center"/>
                    <w:rPr>
                      <w:rFonts w:hint="eastAsia"/>
                      <w:bCs/>
                      <w:color w:val="000000"/>
                      <w:szCs w:val="21"/>
                      <w:u w:val="single"/>
                    </w:rPr>
                  </w:pPr>
                  <w:r>
                    <w:rPr>
                      <w:rFonts w:hint="eastAsia"/>
                      <w:bCs/>
                      <w:color w:val="000000"/>
                      <w:szCs w:val="21"/>
                      <w:u w:val="single"/>
                    </w:rPr>
                    <w:t>COD、氨氮、SS</w:t>
                  </w:r>
                </w:p>
              </w:tc>
            </w:tr>
            <w:tr w14:paraId="7CD47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pct"/>
                  <w:gridSpan w:val="2"/>
                  <w:vMerge w:val="continue"/>
                  <w:noWrap w:val="0"/>
                  <w:vAlign w:val="center"/>
                </w:tcPr>
                <w:p w14:paraId="1636F2DF">
                  <w:pPr>
                    <w:adjustRightInd w:val="0"/>
                    <w:jc w:val="center"/>
                    <w:rPr>
                      <w:rFonts w:hint="eastAsia"/>
                      <w:bCs/>
                      <w:color w:val="000000"/>
                      <w:szCs w:val="21"/>
                      <w:u w:val="single"/>
                    </w:rPr>
                  </w:pPr>
                </w:p>
              </w:tc>
              <w:tc>
                <w:tcPr>
                  <w:tcW w:w="1543" w:type="pct"/>
                  <w:noWrap w:val="0"/>
                  <w:vAlign w:val="center"/>
                </w:tcPr>
                <w:p w14:paraId="5E1F82AE">
                  <w:pPr>
                    <w:adjustRightInd w:val="0"/>
                    <w:jc w:val="center"/>
                    <w:rPr>
                      <w:rFonts w:hint="eastAsia" w:eastAsia="宋体"/>
                      <w:bCs/>
                      <w:color w:val="000000"/>
                      <w:szCs w:val="21"/>
                      <w:u w:val="single"/>
                      <w:lang w:val="en-US" w:eastAsia="zh-CN"/>
                    </w:rPr>
                  </w:pPr>
                  <w:r>
                    <w:rPr>
                      <w:rFonts w:hint="eastAsia"/>
                      <w:bCs/>
                      <w:color w:val="000000"/>
                      <w:szCs w:val="21"/>
                      <w:u w:val="single"/>
                      <w:lang w:val="en-US" w:eastAsia="zh-CN"/>
                    </w:rPr>
                    <w:t>循环冷却水</w:t>
                  </w:r>
                </w:p>
              </w:tc>
              <w:tc>
                <w:tcPr>
                  <w:tcW w:w="2213" w:type="pct"/>
                  <w:noWrap w:val="0"/>
                  <w:vAlign w:val="center"/>
                </w:tcPr>
                <w:p w14:paraId="732DA1DF">
                  <w:pPr>
                    <w:adjustRightInd w:val="0"/>
                    <w:jc w:val="center"/>
                    <w:rPr>
                      <w:rFonts w:hint="eastAsia"/>
                      <w:bCs/>
                      <w:color w:val="000000"/>
                      <w:szCs w:val="21"/>
                      <w:u w:val="single"/>
                    </w:rPr>
                  </w:pPr>
                  <w:r>
                    <w:rPr>
                      <w:rFonts w:hint="eastAsia"/>
                      <w:bCs/>
                      <w:color w:val="000000"/>
                      <w:szCs w:val="21"/>
                      <w:u w:val="single"/>
                    </w:rPr>
                    <w:t>SS</w:t>
                  </w:r>
                </w:p>
              </w:tc>
            </w:tr>
            <w:tr w14:paraId="4934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pct"/>
                  <w:gridSpan w:val="2"/>
                  <w:noWrap w:val="0"/>
                  <w:vAlign w:val="center"/>
                </w:tcPr>
                <w:p w14:paraId="0B99787E">
                  <w:pPr>
                    <w:adjustRightInd w:val="0"/>
                    <w:jc w:val="center"/>
                    <w:rPr>
                      <w:rFonts w:hint="eastAsia"/>
                      <w:bCs/>
                      <w:color w:val="000000"/>
                      <w:szCs w:val="21"/>
                      <w:u w:val="single"/>
                    </w:rPr>
                  </w:pPr>
                  <w:r>
                    <w:rPr>
                      <w:rFonts w:hint="eastAsia"/>
                      <w:bCs/>
                      <w:color w:val="000000"/>
                      <w:szCs w:val="21"/>
                      <w:u w:val="single"/>
                    </w:rPr>
                    <w:t>噪声</w:t>
                  </w:r>
                </w:p>
              </w:tc>
              <w:tc>
                <w:tcPr>
                  <w:tcW w:w="1543" w:type="pct"/>
                  <w:noWrap w:val="0"/>
                  <w:vAlign w:val="center"/>
                </w:tcPr>
                <w:p w14:paraId="5255262F">
                  <w:pPr>
                    <w:snapToGrid w:val="0"/>
                    <w:spacing w:before="31" w:beforeLines="10" w:after="31" w:afterLines="10"/>
                    <w:jc w:val="center"/>
                    <w:rPr>
                      <w:color w:val="000000"/>
                      <w:szCs w:val="21"/>
                      <w:u w:val="single"/>
                    </w:rPr>
                  </w:pPr>
                  <w:r>
                    <w:rPr>
                      <w:rFonts w:hint="eastAsia"/>
                      <w:color w:val="000000"/>
                      <w:szCs w:val="21"/>
                      <w:u w:val="single"/>
                    </w:rPr>
                    <w:t>生产设备</w:t>
                  </w:r>
                  <w:r>
                    <w:rPr>
                      <w:color w:val="000000"/>
                      <w:szCs w:val="21"/>
                      <w:u w:val="single"/>
                    </w:rPr>
                    <w:t>、风机等</w:t>
                  </w:r>
                </w:p>
              </w:tc>
              <w:tc>
                <w:tcPr>
                  <w:tcW w:w="2213" w:type="pct"/>
                  <w:noWrap w:val="0"/>
                  <w:vAlign w:val="center"/>
                </w:tcPr>
                <w:p w14:paraId="75F0E57A">
                  <w:pPr>
                    <w:snapToGrid w:val="0"/>
                    <w:spacing w:before="31" w:beforeLines="10" w:after="31" w:afterLines="10"/>
                    <w:jc w:val="center"/>
                    <w:rPr>
                      <w:color w:val="000000"/>
                      <w:szCs w:val="21"/>
                      <w:u w:val="single"/>
                    </w:rPr>
                  </w:pPr>
                  <w:r>
                    <w:rPr>
                      <w:color w:val="000000"/>
                      <w:szCs w:val="21"/>
                      <w:u w:val="single"/>
                    </w:rPr>
                    <w:t>等效A声级</w:t>
                  </w:r>
                </w:p>
              </w:tc>
            </w:tr>
            <w:tr w14:paraId="51D3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restart"/>
                  <w:noWrap w:val="0"/>
                  <w:vAlign w:val="center"/>
                </w:tcPr>
                <w:p w14:paraId="10D3DD4E">
                  <w:pPr>
                    <w:adjustRightInd w:val="0"/>
                    <w:jc w:val="center"/>
                    <w:rPr>
                      <w:rFonts w:hint="eastAsia"/>
                      <w:bCs/>
                      <w:color w:val="000000"/>
                      <w:szCs w:val="21"/>
                      <w:u w:val="single"/>
                    </w:rPr>
                  </w:pPr>
                  <w:r>
                    <w:rPr>
                      <w:rFonts w:hint="eastAsia"/>
                      <w:bCs/>
                      <w:color w:val="000000"/>
                      <w:szCs w:val="21"/>
                      <w:u w:val="single"/>
                    </w:rPr>
                    <w:t>固废</w:t>
                  </w:r>
                </w:p>
              </w:tc>
              <w:tc>
                <w:tcPr>
                  <w:tcW w:w="782" w:type="pct"/>
                  <w:noWrap w:val="0"/>
                  <w:vAlign w:val="center"/>
                </w:tcPr>
                <w:p w14:paraId="5FDF698D">
                  <w:pPr>
                    <w:adjustRightInd w:val="0"/>
                    <w:jc w:val="center"/>
                    <w:rPr>
                      <w:rFonts w:hint="eastAsia"/>
                      <w:bCs/>
                      <w:color w:val="000000"/>
                      <w:szCs w:val="21"/>
                      <w:u w:val="single"/>
                    </w:rPr>
                  </w:pPr>
                  <w:r>
                    <w:rPr>
                      <w:rFonts w:hint="eastAsia"/>
                      <w:bCs/>
                      <w:color w:val="000000"/>
                      <w:szCs w:val="21"/>
                      <w:u w:val="single"/>
                    </w:rPr>
                    <w:t>生活垃圾</w:t>
                  </w:r>
                </w:p>
              </w:tc>
              <w:tc>
                <w:tcPr>
                  <w:tcW w:w="1543" w:type="pct"/>
                  <w:noWrap w:val="0"/>
                  <w:vAlign w:val="center"/>
                </w:tcPr>
                <w:p w14:paraId="6FCFBADA">
                  <w:pPr>
                    <w:adjustRightInd w:val="0"/>
                    <w:jc w:val="center"/>
                    <w:rPr>
                      <w:rFonts w:hint="eastAsia"/>
                      <w:bCs/>
                      <w:color w:val="000000"/>
                      <w:szCs w:val="21"/>
                      <w:u w:val="single"/>
                    </w:rPr>
                  </w:pPr>
                  <w:r>
                    <w:rPr>
                      <w:rFonts w:hint="eastAsia"/>
                      <w:bCs/>
                      <w:color w:val="000000"/>
                      <w:szCs w:val="21"/>
                      <w:u w:val="single"/>
                    </w:rPr>
                    <w:t>职工生活</w:t>
                  </w:r>
                </w:p>
              </w:tc>
              <w:tc>
                <w:tcPr>
                  <w:tcW w:w="2213" w:type="pct"/>
                  <w:noWrap w:val="0"/>
                  <w:vAlign w:val="center"/>
                </w:tcPr>
                <w:p w14:paraId="0A74F2E5">
                  <w:pPr>
                    <w:adjustRightInd w:val="0"/>
                    <w:jc w:val="center"/>
                    <w:rPr>
                      <w:rFonts w:hint="eastAsia"/>
                      <w:bCs/>
                      <w:color w:val="000000"/>
                      <w:szCs w:val="21"/>
                      <w:u w:val="single"/>
                    </w:rPr>
                  </w:pPr>
                  <w:r>
                    <w:rPr>
                      <w:rFonts w:hint="eastAsia"/>
                      <w:bCs/>
                      <w:color w:val="000000"/>
                      <w:szCs w:val="21"/>
                      <w:u w:val="single"/>
                    </w:rPr>
                    <w:t>生活垃圾</w:t>
                  </w:r>
                </w:p>
              </w:tc>
            </w:tr>
            <w:tr w14:paraId="7DE6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continue"/>
                  <w:noWrap w:val="0"/>
                  <w:vAlign w:val="center"/>
                </w:tcPr>
                <w:p w14:paraId="49B0A1D9">
                  <w:pPr>
                    <w:adjustRightInd w:val="0"/>
                    <w:jc w:val="center"/>
                    <w:rPr>
                      <w:rFonts w:hint="eastAsia"/>
                      <w:bCs/>
                      <w:color w:val="000000"/>
                      <w:szCs w:val="21"/>
                      <w:u w:val="single"/>
                    </w:rPr>
                  </w:pPr>
                </w:p>
              </w:tc>
              <w:tc>
                <w:tcPr>
                  <w:tcW w:w="782" w:type="pct"/>
                  <w:vMerge w:val="restart"/>
                  <w:noWrap w:val="0"/>
                  <w:vAlign w:val="center"/>
                </w:tcPr>
                <w:p w14:paraId="61E8857A">
                  <w:pPr>
                    <w:adjustRightInd w:val="0"/>
                    <w:jc w:val="center"/>
                    <w:rPr>
                      <w:rFonts w:hint="eastAsia"/>
                      <w:bCs/>
                      <w:color w:val="000000"/>
                      <w:szCs w:val="21"/>
                      <w:u w:val="single"/>
                    </w:rPr>
                  </w:pPr>
                  <w:r>
                    <w:rPr>
                      <w:rFonts w:hint="eastAsia"/>
                      <w:bCs/>
                      <w:color w:val="000000"/>
                      <w:szCs w:val="21"/>
                      <w:u w:val="single"/>
                    </w:rPr>
                    <w:t>一般工业固体废物</w:t>
                  </w:r>
                </w:p>
              </w:tc>
              <w:tc>
                <w:tcPr>
                  <w:tcW w:w="1543" w:type="pct"/>
                  <w:noWrap w:val="0"/>
                  <w:vAlign w:val="center"/>
                </w:tcPr>
                <w:p w14:paraId="3B737CCB">
                  <w:pPr>
                    <w:snapToGrid w:val="0"/>
                    <w:spacing w:before="31" w:beforeLines="10" w:after="31" w:afterLines="10"/>
                    <w:jc w:val="center"/>
                    <w:rPr>
                      <w:rFonts w:hint="default" w:eastAsia="宋体"/>
                      <w:color w:val="000000"/>
                      <w:szCs w:val="21"/>
                      <w:u w:val="single"/>
                      <w:lang w:val="en-US" w:eastAsia="zh-CN"/>
                    </w:rPr>
                  </w:pPr>
                  <w:r>
                    <w:rPr>
                      <w:rFonts w:hint="eastAsia"/>
                      <w:color w:val="000000"/>
                      <w:szCs w:val="21"/>
                      <w:u w:val="single"/>
                      <w:lang w:val="en-US" w:eastAsia="zh-CN"/>
                    </w:rPr>
                    <w:t>修整、检验</w:t>
                  </w:r>
                </w:p>
              </w:tc>
              <w:tc>
                <w:tcPr>
                  <w:tcW w:w="2213" w:type="pct"/>
                  <w:noWrap w:val="0"/>
                  <w:vAlign w:val="center"/>
                </w:tcPr>
                <w:p w14:paraId="55C1B0A2">
                  <w:pPr>
                    <w:snapToGrid w:val="0"/>
                    <w:spacing w:before="31" w:beforeLines="10" w:after="31" w:afterLines="10"/>
                    <w:jc w:val="center"/>
                    <w:rPr>
                      <w:rFonts w:hint="default" w:eastAsia="宋体"/>
                      <w:color w:val="000000"/>
                      <w:szCs w:val="21"/>
                      <w:u w:val="single"/>
                      <w:lang w:val="en-US" w:eastAsia="zh-CN"/>
                    </w:rPr>
                  </w:pPr>
                  <w:r>
                    <w:rPr>
                      <w:rFonts w:hint="eastAsia"/>
                      <w:color w:val="000000"/>
                      <w:szCs w:val="21"/>
                      <w:u w:val="single"/>
                      <w:lang w:val="en-US" w:eastAsia="zh-CN"/>
                    </w:rPr>
                    <w:t>边角料、不合格品</w:t>
                  </w:r>
                </w:p>
              </w:tc>
            </w:tr>
            <w:tr w14:paraId="1A6E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continue"/>
                  <w:noWrap w:val="0"/>
                  <w:vAlign w:val="center"/>
                </w:tcPr>
                <w:p w14:paraId="3628D2F8">
                  <w:pPr>
                    <w:adjustRightInd w:val="0"/>
                    <w:jc w:val="center"/>
                    <w:rPr>
                      <w:rFonts w:hint="eastAsia"/>
                      <w:bCs/>
                      <w:color w:val="000000"/>
                      <w:szCs w:val="21"/>
                      <w:u w:val="single"/>
                    </w:rPr>
                  </w:pPr>
                </w:p>
              </w:tc>
              <w:tc>
                <w:tcPr>
                  <w:tcW w:w="782" w:type="pct"/>
                  <w:vMerge w:val="continue"/>
                  <w:noWrap w:val="0"/>
                  <w:vAlign w:val="center"/>
                </w:tcPr>
                <w:p w14:paraId="080E38D8">
                  <w:pPr>
                    <w:adjustRightInd w:val="0"/>
                    <w:jc w:val="center"/>
                    <w:rPr>
                      <w:rFonts w:hint="eastAsia"/>
                      <w:bCs/>
                      <w:color w:val="000000"/>
                      <w:szCs w:val="21"/>
                      <w:u w:val="single"/>
                    </w:rPr>
                  </w:pPr>
                </w:p>
              </w:tc>
              <w:tc>
                <w:tcPr>
                  <w:tcW w:w="1543" w:type="pct"/>
                  <w:noWrap w:val="0"/>
                  <w:vAlign w:val="center"/>
                </w:tcPr>
                <w:p w14:paraId="7FF40B18">
                  <w:pPr>
                    <w:snapToGrid w:val="0"/>
                    <w:spacing w:before="31" w:beforeLines="10" w:after="31" w:afterLines="10"/>
                    <w:jc w:val="center"/>
                    <w:rPr>
                      <w:rFonts w:hint="eastAsia" w:eastAsia="宋体"/>
                      <w:color w:val="000000"/>
                      <w:szCs w:val="21"/>
                      <w:u w:val="single"/>
                      <w:lang w:val="en-US" w:eastAsia="zh-CN"/>
                    </w:rPr>
                  </w:pPr>
                  <w:r>
                    <w:rPr>
                      <w:rFonts w:hint="eastAsia"/>
                      <w:color w:val="000000"/>
                      <w:szCs w:val="21"/>
                      <w:u w:val="single"/>
                      <w:lang w:val="en-US" w:eastAsia="zh-CN"/>
                    </w:rPr>
                    <w:t>除尘器</w:t>
                  </w:r>
                </w:p>
              </w:tc>
              <w:tc>
                <w:tcPr>
                  <w:tcW w:w="2213" w:type="pct"/>
                  <w:noWrap w:val="0"/>
                  <w:vAlign w:val="center"/>
                </w:tcPr>
                <w:p w14:paraId="1A84383B">
                  <w:pPr>
                    <w:snapToGrid w:val="0"/>
                    <w:spacing w:before="31" w:beforeLines="10" w:after="31" w:afterLines="10"/>
                    <w:jc w:val="center"/>
                    <w:rPr>
                      <w:rFonts w:hint="default" w:eastAsia="宋体"/>
                      <w:color w:val="000000"/>
                      <w:szCs w:val="21"/>
                      <w:u w:val="single"/>
                      <w:lang w:val="en-US" w:eastAsia="zh-CN"/>
                    </w:rPr>
                  </w:pPr>
                  <w:r>
                    <w:rPr>
                      <w:rFonts w:hint="eastAsia"/>
                      <w:color w:val="000000"/>
                      <w:szCs w:val="21"/>
                      <w:u w:val="single"/>
                      <w:lang w:val="en-US" w:eastAsia="zh-CN"/>
                    </w:rPr>
                    <w:t>收集的粉尘</w:t>
                  </w:r>
                </w:p>
              </w:tc>
            </w:tr>
            <w:tr w14:paraId="526A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continue"/>
                  <w:noWrap w:val="0"/>
                  <w:vAlign w:val="center"/>
                </w:tcPr>
                <w:p w14:paraId="20BD0DDC">
                  <w:pPr>
                    <w:adjustRightInd w:val="0"/>
                    <w:jc w:val="center"/>
                    <w:rPr>
                      <w:rFonts w:hint="eastAsia"/>
                      <w:bCs/>
                      <w:color w:val="000000"/>
                      <w:szCs w:val="21"/>
                      <w:u w:val="single"/>
                    </w:rPr>
                  </w:pPr>
                </w:p>
              </w:tc>
              <w:tc>
                <w:tcPr>
                  <w:tcW w:w="782" w:type="pct"/>
                  <w:vMerge w:val="continue"/>
                  <w:noWrap w:val="0"/>
                  <w:vAlign w:val="center"/>
                </w:tcPr>
                <w:p w14:paraId="4DEC8A99">
                  <w:pPr>
                    <w:adjustRightInd w:val="0"/>
                    <w:jc w:val="center"/>
                    <w:rPr>
                      <w:rFonts w:hint="eastAsia"/>
                      <w:bCs/>
                      <w:color w:val="000000"/>
                      <w:szCs w:val="21"/>
                      <w:u w:val="single"/>
                    </w:rPr>
                  </w:pPr>
                </w:p>
              </w:tc>
              <w:tc>
                <w:tcPr>
                  <w:tcW w:w="1543" w:type="pct"/>
                  <w:noWrap w:val="0"/>
                  <w:vAlign w:val="center"/>
                </w:tcPr>
                <w:p w14:paraId="06E7741F">
                  <w:pPr>
                    <w:snapToGrid w:val="0"/>
                    <w:spacing w:before="31" w:beforeLines="10" w:after="31" w:afterLines="10"/>
                    <w:jc w:val="center"/>
                    <w:rPr>
                      <w:rFonts w:hint="default"/>
                      <w:color w:val="000000"/>
                      <w:szCs w:val="21"/>
                      <w:u w:val="single"/>
                      <w:lang w:val="en-US" w:eastAsia="zh-CN"/>
                    </w:rPr>
                  </w:pPr>
                  <w:r>
                    <w:rPr>
                      <w:rFonts w:hint="eastAsia"/>
                      <w:color w:val="000000"/>
                      <w:szCs w:val="21"/>
                      <w:u w:val="single"/>
                      <w:lang w:val="en-US" w:eastAsia="zh-CN"/>
                    </w:rPr>
                    <w:t>原料使用</w:t>
                  </w:r>
                </w:p>
              </w:tc>
              <w:tc>
                <w:tcPr>
                  <w:tcW w:w="2213" w:type="pct"/>
                  <w:noWrap w:val="0"/>
                  <w:vAlign w:val="center"/>
                </w:tcPr>
                <w:p w14:paraId="58E92116">
                  <w:pPr>
                    <w:snapToGrid w:val="0"/>
                    <w:spacing w:before="31" w:beforeLines="10" w:after="31" w:afterLines="10"/>
                    <w:jc w:val="center"/>
                    <w:rPr>
                      <w:rFonts w:hint="default"/>
                      <w:color w:val="000000"/>
                      <w:szCs w:val="21"/>
                      <w:u w:val="single"/>
                      <w:lang w:val="en-US" w:eastAsia="zh-CN"/>
                    </w:rPr>
                  </w:pPr>
                  <w:r>
                    <w:rPr>
                      <w:rFonts w:hint="eastAsia"/>
                      <w:color w:val="000000"/>
                      <w:szCs w:val="21"/>
                      <w:u w:val="single"/>
                      <w:lang w:val="en-US" w:eastAsia="zh-CN"/>
                    </w:rPr>
                    <w:t>废包装袋</w:t>
                  </w:r>
                </w:p>
              </w:tc>
            </w:tr>
            <w:tr w14:paraId="3037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0" w:type="pct"/>
                  <w:vMerge w:val="continue"/>
                  <w:noWrap w:val="0"/>
                  <w:vAlign w:val="center"/>
                </w:tcPr>
                <w:p w14:paraId="25C28D40">
                  <w:pPr>
                    <w:adjustRightInd w:val="0"/>
                    <w:jc w:val="center"/>
                    <w:rPr>
                      <w:rFonts w:hint="eastAsia"/>
                      <w:bCs/>
                      <w:color w:val="000000"/>
                      <w:szCs w:val="21"/>
                      <w:u w:val="single"/>
                    </w:rPr>
                  </w:pPr>
                </w:p>
              </w:tc>
              <w:tc>
                <w:tcPr>
                  <w:tcW w:w="782" w:type="pct"/>
                  <w:vMerge w:val="restart"/>
                  <w:noWrap w:val="0"/>
                  <w:vAlign w:val="center"/>
                </w:tcPr>
                <w:p w14:paraId="0D5679A3">
                  <w:pPr>
                    <w:adjustRightInd w:val="0"/>
                    <w:jc w:val="center"/>
                    <w:rPr>
                      <w:rFonts w:hint="eastAsia"/>
                      <w:bCs/>
                      <w:color w:val="000000"/>
                      <w:szCs w:val="21"/>
                      <w:u w:val="single"/>
                    </w:rPr>
                  </w:pPr>
                  <w:r>
                    <w:rPr>
                      <w:rFonts w:hint="eastAsia"/>
                      <w:bCs/>
                      <w:color w:val="000000"/>
                      <w:szCs w:val="21"/>
                      <w:u w:val="single"/>
                    </w:rPr>
                    <w:t>危险废物</w:t>
                  </w:r>
                </w:p>
              </w:tc>
              <w:tc>
                <w:tcPr>
                  <w:tcW w:w="1543" w:type="pct"/>
                  <w:noWrap w:val="0"/>
                  <w:vAlign w:val="center"/>
                </w:tcPr>
                <w:p w14:paraId="57B9C33C">
                  <w:pPr>
                    <w:adjustRightInd w:val="0"/>
                    <w:jc w:val="center"/>
                    <w:rPr>
                      <w:rFonts w:hint="eastAsia"/>
                      <w:bCs/>
                      <w:color w:val="000000"/>
                      <w:szCs w:val="21"/>
                      <w:u w:val="single"/>
                    </w:rPr>
                  </w:pPr>
                  <w:r>
                    <w:rPr>
                      <w:color w:val="000000"/>
                      <w:szCs w:val="21"/>
                      <w:u w:val="single"/>
                    </w:rPr>
                    <w:t>有机废气治理设施</w:t>
                  </w:r>
                </w:p>
              </w:tc>
              <w:tc>
                <w:tcPr>
                  <w:tcW w:w="2213" w:type="pct"/>
                  <w:noWrap w:val="0"/>
                  <w:vAlign w:val="center"/>
                </w:tcPr>
                <w:p w14:paraId="14BA0EA6">
                  <w:pPr>
                    <w:snapToGrid w:val="0"/>
                    <w:spacing w:before="31" w:beforeLines="10" w:after="31" w:afterLines="10"/>
                    <w:jc w:val="center"/>
                    <w:rPr>
                      <w:color w:val="000000"/>
                      <w:szCs w:val="21"/>
                      <w:u w:val="single"/>
                    </w:rPr>
                  </w:pPr>
                  <w:r>
                    <w:rPr>
                      <w:color w:val="000000"/>
                      <w:szCs w:val="21"/>
                      <w:u w:val="single"/>
                    </w:rPr>
                    <w:t>废活性炭</w:t>
                  </w:r>
                </w:p>
              </w:tc>
            </w:tr>
            <w:tr w14:paraId="2AE6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Merge w:val="continue"/>
                  <w:noWrap w:val="0"/>
                  <w:vAlign w:val="center"/>
                </w:tcPr>
                <w:p w14:paraId="429526E8">
                  <w:pPr>
                    <w:adjustRightInd w:val="0"/>
                    <w:jc w:val="center"/>
                    <w:rPr>
                      <w:rFonts w:hint="eastAsia"/>
                      <w:bCs/>
                      <w:color w:val="000000"/>
                      <w:szCs w:val="21"/>
                      <w:u w:val="single"/>
                    </w:rPr>
                  </w:pPr>
                </w:p>
              </w:tc>
              <w:tc>
                <w:tcPr>
                  <w:tcW w:w="782" w:type="pct"/>
                  <w:vMerge w:val="continue"/>
                  <w:noWrap w:val="0"/>
                  <w:vAlign w:val="center"/>
                </w:tcPr>
                <w:p w14:paraId="2BC32B88">
                  <w:pPr>
                    <w:adjustRightInd w:val="0"/>
                    <w:jc w:val="center"/>
                    <w:rPr>
                      <w:rFonts w:hint="eastAsia"/>
                      <w:bCs/>
                      <w:color w:val="000000"/>
                      <w:szCs w:val="21"/>
                      <w:u w:val="single"/>
                    </w:rPr>
                  </w:pPr>
                </w:p>
              </w:tc>
              <w:tc>
                <w:tcPr>
                  <w:tcW w:w="1543" w:type="pct"/>
                  <w:noWrap w:val="0"/>
                  <w:vAlign w:val="center"/>
                </w:tcPr>
                <w:p w14:paraId="192AA695">
                  <w:pPr>
                    <w:snapToGrid w:val="0"/>
                    <w:spacing w:before="31" w:beforeLines="10" w:after="31" w:afterLines="10"/>
                    <w:jc w:val="center"/>
                    <w:rPr>
                      <w:color w:val="000000"/>
                      <w:szCs w:val="21"/>
                      <w:u w:val="single"/>
                    </w:rPr>
                  </w:pPr>
                  <w:r>
                    <w:rPr>
                      <w:rFonts w:hint="eastAsia"/>
                      <w:color w:val="000000"/>
                      <w:szCs w:val="21"/>
                      <w:u w:val="single"/>
                    </w:rPr>
                    <w:t>设备维护</w:t>
                  </w:r>
                </w:p>
              </w:tc>
              <w:tc>
                <w:tcPr>
                  <w:tcW w:w="2213" w:type="pct"/>
                  <w:noWrap w:val="0"/>
                  <w:vAlign w:val="center"/>
                </w:tcPr>
                <w:p w14:paraId="394664A7">
                  <w:pPr>
                    <w:snapToGrid w:val="0"/>
                    <w:spacing w:before="31" w:beforeLines="10" w:after="31" w:afterLines="10"/>
                    <w:jc w:val="center"/>
                    <w:rPr>
                      <w:rFonts w:hint="eastAsia" w:eastAsia="宋体"/>
                      <w:color w:val="000000"/>
                      <w:szCs w:val="21"/>
                      <w:u w:val="single"/>
                      <w:lang w:eastAsia="zh-CN"/>
                    </w:rPr>
                  </w:pPr>
                  <w:r>
                    <w:rPr>
                      <w:rFonts w:hint="eastAsia"/>
                      <w:color w:val="000000"/>
                      <w:szCs w:val="21"/>
                      <w:u w:val="single"/>
                      <w:lang w:val="en-US" w:eastAsia="zh-CN"/>
                    </w:rPr>
                    <w:t>废机油</w:t>
                  </w:r>
                </w:p>
              </w:tc>
            </w:tr>
          </w:tbl>
          <w:p w14:paraId="63A29A33">
            <w:pPr>
              <w:snapToGrid w:val="0"/>
              <w:ind w:firstLine="480" w:firstLineChars="200"/>
              <w:rPr>
                <w:rFonts w:hint="eastAsia"/>
                <w:bCs/>
                <w:color w:val="000000"/>
                <w:sz w:val="24"/>
                <w:szCs w:val="24"/>
              </w:rPr>
            </w:pPr>
            <w:r>
              <w:rPr>
                <w:rFonts w:hint="eastAsia"/>
                <w:bCs/>
                <w:color w:val="000000"/>
                <w:sz w:val="24"/>
                <w:szCs w:val="24"/>
                <w:lang w:val="en-US" w:eastAsia="zh-CN"/>
              </w:rPr>
              <w:t xml:space="preserve">   </w:t>
            </w:r>
          </w:p>
        </w:tc>
      </w:tr>
      <w:tr w14:paraId="7064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0" w:hRule="atLeast"/>
        </w:trPr>
        <w:tc>
          <w:tcPr>
            <w:tcW w:w="362" w:type="pct"/>
            <w:noWrap w:val="0"/>
            <w:vAlign w:val="center"/>
          </w:tcPr>
          <w:p w14:paraId="48F58F21">
            <w:pPr>
              <w:jc w:val="center"/>
              <w:rPr>
                <w:rFonts w:hint="eastAsia"/>
                <w:color w:val="000000"/>
                <w:sz w:val="24"/>
                <w:szCs w:val="24"/>
              </w:rPr>
            </w:pPr>
            <w:r>
              <w:rPr>
                <w:bCs/>
                <w:color w:val="000000"/>
                <w:sz w:val="24"/>
                <w:szCs w:val="24"/>
              </w:rPr>
              <w:t>与项目有关的原有环境污染问题</w:t>
            </w:r>
          </w:p>
        </w:tc>
        <w:tc>
          <w:tcPr>
            <w:tcW w:w="4637" w:type="pct"/>
            <w:noWrap w:val="0"/>
            <w:vAlign w:val="center"/>
          </w:tcPr>
          <w:p w14:paraId="6E96E415">
            <w:pPr>
              <w:spacing w:line="360" w:lineRule="auto"/>
              <w:ind w:firstLine="480" w:firstLineChars="200"/>
              <w:rPr>
                <w:rFonts w:hint="default" w:eastAsia="宋体"/>
                <w:bCs/>
                <w:color w:val="000000"/>
                <w:sz w:val="24"/>
                <w:szCs w:val="24"/>
                <w:u w:val="none"/>
                <w:lang w:val="en-US" w:eastAsia="zh-CN"/>
              </w:rPr>
            </w:pPr>
            <w:r>
              <w:rPr>
                <w:rFonts w:hint="eastAsia"/>
                <w:bCs/>
                <w:color w:val="000000"/>
                <w:sz w:val="24"/>
                <w:szCs w:val="24"/>
                <w:u w:val="none"/>
                <w:lang w:val="en-US" w:eastAsia="zh-CN"/>
              </w:rPr>
              <w:t>现有工程已于2023年全部拆除，无原有环境污染问题。</w:t>
            </w:r>
          </w:p>
          <w:p w14:paraId="514DF00A">
            <w:pPr>
              <w:spacing w:line="360" w:lineRule="auto"/>
              <w:ind w:firstLine="480" w:firstLineChars="200"/>
              <w:rPr>
                <w:rFonts w:hint="eastAsia"/>
                <w:bCs/>
                <w:color w:val="000000"/>
                <w:sz w:val="24"/>
                <w:szCs w:val="24"/>
                <w:u w:val="none"/>
              </w:rPr>
            </w:pPr>
          </w:p>
          <w:p w14:paraId="6782CD19">
            <w:pPr>
              <w:spacing w:line="360" w:lineRule="auto"/>
              <w:ind w:firstLine="480" w:firstLineChars="200"/>
              <w:rPr>
                <w:rFonts w:hint="eastAsia"/>
                <w:bCs/>
                <w:color w:val="000000"/>
                <w:sz w:val="24"/>
                <w:szCs w:val="24"/>
                <w:u w:val="none"/>
              </w:rPr>
            </w:pPr>
          </w:p>
          <w:p w14:paraId="25ADABB8">
            <w:pPr>
              <w:spacing w:line="360" w:lineRule="auto"/>
              <w:ind w:firstLine="480" w:firstLineChars="200"/>
              <w:rPr>
                <w:rFonts w:hint="eastAsia"/>
                <w:bCs/>
                <w:color w:val="000000"/>
                <w:sz w:val="24"/>
                <w:szCs w:val="24"/>
                <w:u w:val="none"/>
              </w:rPr>
            </w:pPr>
          </w:p>
          <w:p w14:paraId="496EFA7A">
            <w:pPr>
              <w:spacing w:line="360" w:lineRule="auto"/>
              <w:ind w:firstLine="480" w:firstLineChars="200"/>
              <w:rPr>
                <w:rFonts w:hint="eastAsia"/>
                <w:bCs/>
                <w:color w:val="000000"/>
                <w:sz w:val="24"/>
                <w:szCs w:val="24"/>
                <w:u w:val="none"/>
              </w:rPr>
            </w:pPr>
          </w:p>
          <w:p w14:paraId="50798C6A">
            <w:pPr>
              <w:spacing w:line="360" w:lineRule="auto"/>
              <w:ind w:firstLine="480" w:firstLineChars="200"/>
              <w:rPr>
                <w:rFonts w:hint="eastAsia"/>
                <w:bCs/>
                <w:color w:val="000000"/>
                <w:sz w:val="24"/>
                <w:szCs w:val="24"/>
                <w:u w:val="none"/>
              </w:rPr>
            </w:pPr>
          </w:p>
          <w:p w14:paraId="6FB861F6">
            <w:pPr>
              <w:spacing w:line="360" w:lineRule="auto"/>
              <w:ind w:firstLine="480" w:firstLineChars="200"/>
              <w:rPr>
                <w:rFonts w:hint="eastAsia"/>
                <w:bCs/>
                <w:color w:val="000000"/>
                <w:sz w:val="24"/>
                <w:szCs w:val="24"/>
                <w:u w:val="none"/>
              </w:rPr>
            </w:pPr>
          </w:p>
          <w:p w14:paraId="5952EED7">
            <w:pPr>
              <w:spacing w:line="360" w:lineRule="auto"/>
              <w:ind w:firstLine="480" w:firstLineChars="200"/>
              <w:rPr>
                <w:rFonts w:hint="eastAsia"/>
                <w:bCs/>
                <w:color w:val="000000"/>
                <w:sz w:val="24"/>
                <w:szCs w:val="24"/>
                <w:u w:val="none"/>
              </w:rPr>
            </w:pPr>
          </w:p>
          <w:p w14:paraId="29F2DF1F">
            <w:pPr>
              <w:spacing w:line="360" w:lineRule="auto"/>
              <w:ind w:firstLine="480" w:firstLineChars="200"/>
              <w:rPr>
                <w:rFonts w:hint="eastAsia"/>
                <w:bCs/>
                <w:color w:val="000000"/>
                <w:sz w:val="24"/>
                <w:szCs w:val="24"/>
                <w:u w:val="none"/>
              </w:rPr>
            </w:pPr>
          </w:p>
          <w:p w14:paraId="395655C9">
            <w:pPr>
              <w:spacing w:line="360" w:lineRule="auto"/>
              <w:ind w:firstLine="480" w:firstLineChars="200"/>
              <w:rPr>
                <w:rFonts w:hint="eastAsia"/>
                <w:bCs/>
                <w:color w:val="000000"/>
                <w:sz w:val="24"/>
                <w:szCs w:val="24"/>
                <w:u w:val="none"/>
              </w:rPr>
            </w:pPr>
          </w:p>
          <w:p w14:paraId="3E8BDAA3">
            <w:pPr>
              <w:spacing w:line="360" w:lineRule="auto"/>
              <w:ind w:firstLine="480" w:firstLineChars="200"/>
              <w:rPr>
                <w:rFonts w:hint="eastAsia"/>
                <w:bCs/>
                <w:color w:val="000000"/>
                <w:sz w:val="24"/>
                <w:szCs w:val="24"/>
                <w:u w:val="none"/>
              </w:rPr>
            </w:pPr>
          </w:p>
          <w:p w14:paraId="1B1997F8">
            <w:pPr>
              <w:spacing w:line="360" w:lineRule="auto"/>
              <w:ind w:firstLine="480" w:firstLineChars="200"/>
              <w:rPr>
                <w:rFonts w:hint="eastAsia"/>
                <w:bCs/>
                <w:color w:val="000000"/>
                <w:sz w:val="24"/>
                <w:szCs w:val="24"/>
                <w:u w:val="none"/>
              </w:rPr>
            </w:pPr>
          </w:p>
          <w:p w14:paraId="41639900">
            <w:pPr>
              <w:spacing w:line="360" w:lineRule="auto"/>
              <w:ind w:firstLine="480" w:firstLineChars="200"/>
              <w:rPr>
                <w:rFonts w:hint="eastAsia"/>
                <w:bCs/>
                <w:color w:val="000000"/>
                <w:sz w:val="24"/>
                <w:szCs w:val="24"/>
                <w:u w:val="none"/>
              </w:rPr>
            </w:pPr>
          </w:p>
          <w:p w14:paraId="11E1D848">
            <w:pPr>
              <w:spacing w:line="360" w:lineRule="auto"/>
              <w:ind w:firstLine="480" w:firstLineChars="200"/>
              <w:rPr>
                <w:rFonts w:hint="eastAsia"/>
                <w:bCs/>
                <w:color w:val="000000"/>
                <w:sz w:val="24"/>
                <w:szCs w:val="24"/>
                <w:u w:val="none"/>
              </w:rPr>
            </w:pPr>
          </w:p>
          <w:p w14:paraId="652DB652">
            <w:pPr>
              <w:spacing w:line="360" w:lineRule="auto"/>
              <w:ind w:firstLine="480" w:firstLineChars="200"/>
              <w:rPr>
                <w:rFonts w:hint="eastAsia"/>
                <w:bCs/>
                <w:color w:val="000000"/>
                <w:sz w:val="24"/>
                <w:szCs w:val="24"/>
                <w:u w:val="none"/>
              </w:rPr>
            </w:pPr>
          </w:p>
          <w:p w14:paraId="74A55275">
            <w:pPr>
              <w:spacing w:line="360" w:lineRule="auto"/>
              <w:rPr>
                <w:rFonts w:hint="eastAsia"/>
                <w:bCs/>
                <w:color w:val="000000"/>
                <w:sz w:val="24"/>
                <w:szCs w:val="24"/>
                <w:u w:val="none"/>
              </w:rPr>
            </w:pPr>
          </w:p>
        </w:tc>
      </w:tr>
    </w:tbl>
    <w:p w14:paraId="5537C52D">
      <w:pPr>
        <w:snapToGrid w:val="0"/>
        <w:rPr>
          <w:rFonts w:hint="eastAsia"/>
          <w:color w:val="000000"/>
          <w:sz w:val="10"/>
          <w:szCs w:val="10"/>
        </w:rPr>
      </w:pPr>
      <w:r>
        <w:rPr>
          <w:rFonts w:hint="eastAsia"/>
          <w:color w:val="000000"/>
          <w:sz w:val="24"/>
          <w:szCs w:val="24"/>
        </w:rPr>
        <w:t xml:space="preserve">   </w:t>
      </w:r>
    </w:p>
    <w:p w14:paraId="48393E18">
      <w:pPr>
        <w:spacing w:line="360" w:lineRule="auto"/>
        <w:rPr>
          <w:color w:val="000000"/>
          <w:sz w:val="24"/>
          <w:szCs w:val="24"/>
        </w:rPr>
        <w:sectPr>
          <w:pgSz w:w="11906" w:h="16838"/>
          <w:pgMar w:top="1701" w:right="1531" w:bottom="1701" w:left="1531" w:header="851" w:footer="992" w:gutter="0"/>
          <w:pgBorders>
            <w:top w:val="none" w:sz="0" w:space="0"/>
            <w:left w:val="none" w:sz="0" w:space="0"/>
            <w:bottom w:val="none" w:sz="0" w:space="0"/>
            <w:right w:val="none" w:sz="0" w:space="0"/>
          </w:pgBorders>
          <w:cols w:space="720" w:num="1"/>
          <w:docGrid w:type="linesAndChars" w:linePitch="312" w:charSpace="117"/>
        </w:sectPr>
      </w:pPr>
    </w:p>
    <w:p w14:paraId="0F663BBE">
      <w:pPr>
        <w:snapToGrid w:val="0"/>
        <w:spacing w:after="124" w:afterLines="40"/>
        <w:jc w:val="center"/>
        <w:rPr>
          <w:rFonts w:hint="eastAsia"/>
          <w:color w:val="000000"/>
          <w:sz w:val="24"/>
          <w:szCs w:val="24"/>
        </w:rPr>
      </w:pPr>
      <w:r>
        <w:rPr>
          <w:rFonts w:hint="eastAsia" w:ascii="黑体" w:hAnsi="黑体" w:eastAsia="黑体"/>
          <w:snapToGrid w:val="0"/>
          <w:color w:val="000000"/>
          <w:sz w:val="30"/>
          <w:szCs w:val="30"/>
        </w:rPr>
        <w:t>三、区域环境质量现状、环境保护目标及评价标准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652"/>
        <w:gridCol w:w="8362"/>
      </w:tblGrid>
      <w:tr w14:paraId="3EF8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652" w:type="dxa"/>
            <w:noWrap w:val="0"/>
            <w:vAlign w:val="center"/>
          </w:tcPr>
          <w:p w14:paraId="52A23620">
            <w:pPr>
              <w:adjustRightInd w:val="0"/>
              <w:jc w:val="center"/>
              <w:rPr>
                <w:rFonts w:hint="eastAsia" w:ascii="宋体" w:hAnsi="宋体" w:cs="宋体"/>
                <w:color w:val="000000"/>
                <w:kern w:val="0"/>
                <w:sz w:val="24"/>
                <w:szCs w:val="24"/>
              </w:rPr>
            </w:pPr>
            <w:r>
              <w:rPr>
                <w:rFonts w:hint="eastAsia" w:ascii="宋体" w:hAnsi="宋体" w:cs="宋体"/>
                <w:color w:val="000000"/>
                <w:kern w:val="0"/>
                <w:sz w:val="24"/>
                <w:szCs w:val="24"/>
              </w:rPr>
              <w:t>区域</w:t>
            </w:r>
          </w:p>
          <w:p w14:paraId="0ED168C2">
            <w:pPr>
              <w:adjustRightInd w:val="0"/>
              <w:jc w:val="center"/>
              <w:rPr>
                <w:rFonts w:hint="eastAsia" w:ascii="宋体" w:hAnsi="宋体" w:cs="宋体"/>
                <w:color w:val="000000"/>
                <w:kern w:val="0"/>
                <w:sz w:val="24"/>
                <w:szCs w:val="24"/>
              </w:rPr>
            </w:pPr>
            <w:r>
              <w:rPr>
                <w:rFonts w:hint="eastAsia" w:ascii="宋体" w:hAnsi="宋体" w:cs="宋体"/>
                <w:color w:val="000000"/>
                <w:kern w:val="0"/>
                <w:sz w:val="24"/>
                <w:szCs w:val="24"/>
              </w:rPr>
              <w:t>环境</w:t>
            </w:r>
          </w:p>
          <w:p w14:paraId="4EF1658B">
            <w:pPr>
              <w:adjustRightInd w:val="0"/>
              <w:jc w:val="center"/>
              <w:rPr>
                <w:rFonts w:hint="eastAsia" w:ascii="宋体" w:hAnsi="宋体" w:cs="宋体"/>
                <w:color w:val="000000"/>
                <w:kern w:val="0"/>
                <w:sz w:val="24"/>
                <w:szCs w:val="24"/>
              </w:rPr>
            </w:pPr>
            <w:r>
              <w:rPr>
                <w:rFonts w:hint="eastAsia" w:ascii="宋体" w:hAnsi="宋体" w:cs="宋体"/>
                <w:color w:val="000000"/>
                <w:kern w:val="0"/>
                <w:sz w:val="24"/>
                <w:szCs w:val="24"/>
              </w:rPr>
              <w:t>质量</w:t>
            </w:r>
          </w:p>
          <w:p w14:paraId="0C4228D9">
            <w:pPr>
              <w:jc w:val="center"/>
              <w:rPr>
                <w:rFonts w:hint="eastAsia"/>
                <w:color w:val="000000"/>
                <w:sz w:val="24"/>
                <w:szCs w:val="24"/>
              </w:rPr>
            </w:pPr>
            <w:r>
              <w:rPr>
                <w:rFonts w:hint="eastAsia" w:ascii="宋体" w:hAnsi="宋体" w:cs="宋体"/>
                <w:color w:val="000000"/>
                <w:kern w:val="0"/>
                <w:sz w:val="24"/>
                <w:szCs w:val="24"/>
              </w:rPr>
              <w:t>现状</w:t>
            </w:r>
          </w:p>
        </w:tc>
        <w:tc>
          <w:tcPr>
            <w:tcW w:w="8362" w:type="dxa"/>
            <w:noWrap w:val="0"/>
            <w:vAlign w:val="top"/>
          </w:tcPr>
          <w:p w14:paraId="2475A6FB">
            <w:pPr>
              <w:spacing w:line="360" w:lineRule="auto"/>
              <w:rPr>
                <w:b/>
                <w:color w:val="000000"/>
                <w:sz w:val="24"/>
                <w:szCs w:val="24"/>
              </w:rPr>
            </w:pPr>
            <w:r>
              <w:rPr>
                <w:b/>
                <w:color w:val="000000"/>
                <w:sz w:val="24"/>
                <w:szCs w:val="24"/>
              </w:rPr>
              <w:t>1.大气环境</w:t>
            </w:r>
          </w:p>
          <w:p w14:paraId="19C67450">
            <w:pPr>
              <w:spacing w:line="360" w:lineRule="auto"/>
              <w:rPr>
                <w:rFonts w:hint="eastAsia"/>
                <w:color w:val="000000"/>
                <w:sz w:val="24"/>
                <w:szCs w:val="24"/>
              </w:rPr>
            </w:pPr>
            <w:r>
              <w:rPr>
                <w:rFonts w:hint="eastAsia"/>
                <w:color w:val="000000"/>
                <w:sz w:val="24"/>
                <w:szCs w:val="24"/>
              </w:rPr>
              <w:t>1.1达标区判定及基本污染物环境质量现状</w:t>
            </w:r>
          </w:p>
          <w:p w14:paraId="1D1E0951">
            <w:pPr>
              <w:spacing w:line="360" w:lineRule="auto"/>
              <w:ind w:firstLine="480" w:firstLineChars="200"/>
              <w:rPr>
                <w:rFonts w:hint="eastAsia"/>
                <w:color w:val="000000"/>
                <w:sz w:val="24"/>
                <w:szCs w:val="24"/>
                <w:u w:val="none"/>
              </w:rPr>
            </w:pPr>
            <w:r>
              <w:rPr>
                <w:color w:val="000000"/>
                <w:sz w:val="24"/>
                <w:szCs w:val="24"/>
                <w:u w:val="none"/>
              </w:rPr>
              <w:t>根据洛阳市生态环境主管部门公开发布的</w:t>
            </w:r>
            <w:r>
              <w:rPr>
                <w:rFonts w:hint="eastAsia"/>
                <w:color w:val="000000"/>
                <w:sz w:val="24"/>
                <w:szCs w:val="24"/>
                <w:u w:val="none"/>
                <w:lang w:val="en-US" w:eastAsia="zh-CN"/>
              </w:rPr>
              <w:t>环境质量月报（2024年第12期）中2024年1~12月全年统计数据，市区环境空气质量统计结果见下表。</w:t>
            </w:r>
          </w:p>
          <w:p w14:paraId="37D7E9EA">
            <w:pPr>
              <w:spacing w:before="93" w:beforeLines="30"/>
              <w:jc w:val="center"/>
              <w:rPr>
                <w:rFonts w:ascii="黑体" w:eastAsia="黑体"/>
                <w:color w:val="000000"/>
                <w:sz w:val="24"/>
                <w:szCs w:val="24"/>
                <w:u w:val="none"/>
              </w:rPr>
            </w:pPr>
            <w:r>
              <w:rPr>
                <w:rFonts w:ascii="黑体" w:eastAsia="黑体"/>
                <w:color w:val="000000"/>
                <w:sz w:val="24"/>
                <w:szCs w:val="24"/>
                <w:u w:val="none"/>
              </w:rPr>
              <w:t>表</w:t>
            </w:r>
            <w:r>
              <w:rPr>
                <w:rFonts w:hint="eastAsia" w:ascii="黑体" w:eastAsia="黑体"/>
                <w:color w:val="000000"/>
                <w:sz w:val="24"/>
                <w:szCs w:val="24"/>
                <w:u w:val="none"/>
              </w:rPr>
              <w:t>2</w:t>
            </w:r>
            <w:r>
              <w:rPr>
                <w:rFonts w:hint="eastAsia" w:ascii="黑体" w:eastAsia="黑体"/>
                <w:color w:val="000000"/>
                <w:sz w:val="24"/>
                <w:szCs w:val="24"/>
                <w:u w:val="none"/>
                <w:lang w:val="en-US" w:eastAsia="zh-CN"/>
              </w:rPr>
              <w:t>2</w:t>
            </w:r>
            <w:r>
              <w:rPr>
                <w:rFonts w:ascii="黑体" w:eastAsia="黑体"/>
                <w:color w:val="000000"/>
                <w:sz w:val="24"/>
                <w:szCs w:val="24"/>
                <w:u w:val="none"/>
              </w:rPr>
              <w:t xml:space="preserve">    </w:t>
            </w:r>
            <w:r>
              <w:rPr>
                <w:rFonts w:hint="eastAsia" w:ascii="黑体" w:eastAsia="黑体"/>
                <w:color w:val="000000"/>
                <w:sz w:val="24"/>
                <w:szCs w:val="24"/>
                <w:u w:val="none"/>
              </w:rPr>
              <w:t>洛阳市</w:t>
            </w:r>
            <w:r>
              <w:rPr>
                <w:rFonts w:ascii="黑体" w:eastAsia="黑体"/>
                <w:color w:val="000000"/>
                <w:sz w:val="24"/>
                <w:szCs w:val="24"/>
                <w:u w:val="none"/>
              </w:rPr>
              <w:t>区域环境空气质量现状评价表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07"/>
              <w:gridCol w:w="2154"/>
              <w:gridCol w:w="2000"/>
              <w:gridCol w:w="1846"/>
              <w:gridCol w:w="1275"/>
            </w:tblGrid>
            <w:tr w14:paraId="1B33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55" w:type="pct"/>
                  <w:noWrap w:val="0"/>
                  <w:vAlign w:val="center"/>
                </w:tcPr>
                <w:p w14:paraId="1BDDB91C">
                  <w:pPr>
                    <w:pStyle w:val="10"/>
                    <w:snapToGrid/>
                    <w:spacing w:before="0" w:beforeAutospacing="0" w:after="0" w:afterAutospacing="0"/>
                    <w:ind w:left="0" w:right="0"/>
                    <w:rPr>
                      <w:rStyle w:val="36"/>
                      <w:color w:val="000000"/>
                      <w:sz w:val="21"/>
                      <w:szCs w:val="21"/>
                      <w:u w:val="none"/>
                    </w:rPr>
                  </w:pPr>
                  <w:r>
                    <w:rPr>
                      <w:rStyle w:val="36"/>
                      <w:color w:val="000000"/>
                      <w:sz w:val="21"/>
                      <w:szCs w:val="21"/>
                      <w:u w:val="none"/>
                    </w:rPr>
                    <w:t>污染物</w:t>
                  </w:r>
                </w:p>
              </w:tc>
              <w:tc>
                <w:tcPr>
                  <w:tcW w:w="1316" w:type="pct"/>
                  <w:noWrap w:val="0"/>
                  <w:vAlign w:val="center"/>
                </w:tcPr>
                <w:p w14:paraId="5473E1C8">
                  <w:pPr>
                    <w:pStyle w:val="10"/>
                    <w:snapToGrid/>
                    <w:spacing w:before="0" w:beforeAutospacing="0" w:after="0" w:afterAutospacing="0"/>
                    <w:ind w:left="0" w:right="0"/>
                    <w:rPr>
                      <w:rStyle w:val="36"/>
                      <w:color w:val="000000"/>
                      <w:sz w:val="21"/>
                      <w:szCs w:val="21"/>
                      <w:u w:val="none"/>
                    </w:rPr>
                  </w:pPr>
                  <w:r>
                    <w:rPr>
                      <w:rStyle w:val="36"/>
                      <w:color w:val="000000"/>
                      <w:sz w:val="21"/>
                      <w:szCs w:val="21"/>
                      <w:u w:val="none"/>
                    </w:rPr>
                    <w:t>评价指标</w:t>
                  </w:r>
                </w:p>
              </w:tc>
              <w:tc>
                <w:tcPr>
                  <w:tcW w:w="1222" w:type="pct"/>
                  <w:noWrap w:val="0"/>
                  <w:vAlign w:val="center"/>
                </w:tcPr>
                <w:p w14:paraId="0241E5BD">
                  <w:pPr>
                    <w:pStyle w:val="10"/>
                    <w:snapToGrid/>
                    <w:spacing w:before="0" w:beforeAutospacing="0" w:after="0" w:afterAutospacing="0"/>
                    <w:ind w:left="0" w:right="0"/>
                    <w:rPr>
                      <w:rStyle w:val="36"/>
                      <w:color w:val="000000"/>
                      <w:sz w:val="21"/>
                      <w:szCs w:val="21"/>
                      <w:u w:val="none"/>
                    </w:rPr>
                  </w:pPr>
                  <w:r>
                    <w:rPr>
                      <w:rStyle w:val="36"/>
                      <w:color w:val="000000"/>
                      <w:sz w:val="21"/>
                      <w:szCs w:val="21"/>
                      <w:u w:val="none"/>
                    </w:rPr>
                    <w:t>现状浓度/(μg/m</w:t>
                  </w:r>
                  <w:r>
                    <w:rPr>
                      <w:rStyle w:val="36"/>
                      <w:color w:val="000000"/>
                      <w:sz w:val="21"/>
                      <w:szCs w:val="21"/>
                      <w:u w:val="none"/>
                      <w:vertAlign w:val="superscript"/>
                    </w:rPr>
                    <w:t>3</w:t>
                  </w:r>
                  <w:r>
                    <w:rPr>
                      <w:rStyle w:val="36"/>
                      <w:color w:val="000000"/>
                      <w:sz w:val="21"/>
                      <w:szCs w:val="21"/>
                      <w:u w:val="none"/>
                    </w:rPr>
                    <w:t>)</w:t>
                  </w:r>
                </w:p>
              </w:tc>
              <w:tc>
                <w:tcPr>
                  <w:tcW w:w="1128" w:type="pct"/>
                  <w:noWrap w:val="0"/>
                  <w:vAlign w:val="center"/>
                </w:tcPr>
                <w:p w14:paraId="24E44CFF">
                  <w:pPr>
                    <w:pStyle w:val="10"/>
                    <w:snapToGrid/>
                    <w:spacing w:before="0" w:beforeAutospacing="0" w:after="0" w:afterAutospacing="0"/>
                    <w:ind w:left="0" w:right="0"/>
                    <w:rPr>
                      <w:rStyle w:val="36"/>
                      <w:color w:val="000000"/>
                      <w:sz w:val="21"/>
                      <w:szCs w:val="21"/>
                      <w:u w:val="none"/>
                    </w:rPr>
                  </w:pPr>
                  <w:r>
                    <w:rPr>
                      <w:rStyle w:val="36"/>
                      <w:color w:val="000000"/>
                      <w:sz w:val="21"/>
                      <w:szCs w:val="21"/>
                      <w:u w:val="none"/>
                    </w:rPr>
                    <w:t>标准值/(μg/m</w:t>
                  </w:r>
                  <w:r>
                    <w:rPr>
                      <w:rStyle w:val="36"/>
                      <w:color w:val="000000"/>
                      <w:sz w:val="21"/>
                      <w:szCs w:val="21"/>
                      <w:u w:val="none"/>
                      <w:vertAlign w:val="superscript"/>
                    </w:rPr>
                    <w:t>3</w:t>
                  </w:r>
                  <w:r>
                    <w:rPr>
                      <w:rStyle w:val="36"/>
                      <w:rFonts w:hint="eastAsia"/>
                      <w:color w:val="000000"/>
                      <w:sz w:val="21"/>
                      <w:szCs w:val="21"/>
                      <w:u w:val="none"/>
                    </w:rPr>
                    <w:t>)</w:t>
                  </w:r>
                </w:p>
              </w:tc>
              <w:tc>
                <w:tcPr>
                  <w:tcW w:w="779" w:type="pct"/>
                  <w:noWrap w:val="0"/>
                  <w:vAlign w:val="center"/>
                </w:tcPr>
                <w:p w14:paraId="744BBDDA">
                  <w:pPr>
                    <w:pStyle w:val="10"/>
                    <w:snapToGrid/>
                    <w:spacing w:before="0" w:beforeAutospacing="0" w:after="0" w:afterAutospacing="0"/>
                    <w:ind w:left="0" w:right="0"/>
                    <w:rPr>
                      <w:rStyle w:val="36"/>
                      <w:color w:val="000000"/>
                      <w:sz w:val="21"/>
                      <w:szCs w:val="21"/>
                      <w:u w:val="none"/>
                    </w:rPr>
                  </w:pPr>
                  <w:r>
                    <w:rPr>
                      <w:rStyle w:val="36"/>
                      <w:color w:val="000000"/>
                      <w:sz w:val="21"/>
                      <w:szCs w:val="21"/>
                      <w:u w:val="none"/>
                    </w:rPr>
                    <w:t>达标情况</w:t>
                  </w:r>
                </w:p>
              </w:tc>
            </w:tr>
            <w:tr w14:paraId="2E05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55" w:type="pct"/>
                  <w:noWrap w:val="0"/>
                  <w:vAlign w:val="center"/>
                </w:tcPr>
                <w:p w14:paraId="603D87AF">
                  <w:pPr>
                    <w:jc w:val="center"/>
                    <w:rPr>
                      <w:rStyle w:val="36"/>
                      <w:color w:val="000000"/>
                      <w:szCs w:val="21"/>
                      <w:u w:val="none"/>
                    </w:rPr>
                  </w:pPr>
                  <w:r>
                    <w:rPr>
                      <w:color w:val="000000"/>
                      <w:kern w:val="0"/>
                      <w:szCs w:val="21"/>
                      <w:u w:val="none"/>
                    </w:rPr>
                    <w:t>PM</w:t>
                  </w:r>
                  <w:r>
                    <w:rPr>
                      <w:color w:val="000000"/>
                      <w:kern w:val="0"/>
                      <w:szCs w:val="21"/>
                      <w:u w:val="none"/>
                      <w:vertAlign w:val="subscript"/>
                    </w:rPr>
                    <w:t>2.5</w:t>
                  </w:r>
                </w:p>
              </w:tc>
              <w:tc>
                <w:tcPr>
                  <w:tcW w:w="1316" w:type="pct"/>
                  <w:noWrap w:val="0"/>
                  <w:vAlign w:val="center"/>
                </w:tcPr>
                <w:p w14:paraId="683A44E1">
                  <w:pPr>
                    <w:pStyle w:val="10"/>
                    <w:snapToGrid/>
                    <w:spacing w:before="0" w:beforeAutospacing="0" w:after="0" w:afterAutospacing="0"/>
                    <w:ind w:left="0" w:right="0"/>
                    <w:rPr>
                      <w:rStyle w:val="36"/>
                      <w:color w:val="000000"/>
                      <w:sz w:val="21"/>
                      <w:szCs w:val="21"/>
                      <w:u w:val="none"/>
                    </w:rPr>
                  </w:pPr>
                  <w:r>
                    <w:rPr>
                      <w:rStyle w:val="36"/>
                      <w:color w:val="000000"/>
                      <w:sz w:val="21"/>
                      <w:szCs w:val="21"/>
                      <w:u w:val="none"/>
                    </w:rPr>
                    <w:t>年平均质量浓度</w:t>
                  </w:r>
                </w:p>
              </w:tc>
              <w:tc>
                <w:tcPr>
                  <w:tcW w:w="2000" w:type="dxa"/>
                  <w:noWrap w:val="0"/>
                  <w:vAlign w:val="center"/>
                </w:tcPr>
                <w:p w14:paraId="7BDCA13F">
                  <w:pPr>
                    <w:spacing w:line="320" w:lineRule="exact"/>
                    <w:jc w:val="center"/>
                    <w:rPr>
                      <w:rStyle w:val="36"/>
                      <w:rFonts w:hint="default" w:eastAsia="宋体"/>
                      <w:color w:val="000000"/>
                      <w:szCs w:val="21"/>
                      <w:u w:val="none"/>
                      <w:lang w:val="en-US" w:eastAsia="zh-CN"/>
                    </w:rPr>
                  </w:pPr>
                  <w:r>
                    <w:rPr>
                      <w:rStyle w:val="36"/>
                      <w:rFonts w:hint="eastAsia"/>
                      <w:color w:val="000000"/>
                      <w:szCs w:val="21"/>
                      <w:u w:val="none"/>
                      <w:lang w:val="en-US" w:eastAsia="zh-CN"/>
                    </w:rPr>
                    <w:t>48</w:t>
                  </w:r>
                </w:p>
              </w:tc>
              <w:tc>
                <w:tcPr>
                  <w:tcW w:w="1846" w:type="dxa"/>
                  <w:noWrap w:val="0"/>
                  <w:vAlign w:val="center"/>
                </w:tcPr>
                <w:p w14:paraId="704F21DA">
                  <w:pPr>
                    <w:pStyle w:val="10"/>
                    <w:snapToGrid/>
                    <w:spacing w:before="0" w:beforeAutospacing="0" w:after="0" w:afterAutospacing="0"/>
                    <w:ind w:left="0" w:right="0"/>
                    <w:rPr>
                      <w:rStyle w:val="36"/>
                      <w:color w:val="000000"/>
                      <w:sz w:val="21"/>
                      <w:szCs w:val="21"/>
                      <w:u w:val="none"/>
                    </w:rPr>
                  </w:pPr>
                  <w:r>
                    <w:rPr>
                      <w:rStyle w:val="36"/>
                      <w:color w:val="000000"/>
                      <w:sz w:val="21"/>
                      <w:szCs w:val="21"/>
                      <w:u w:val="none"/>
                    </w:rPr>
                    <w:t>35</w:t>
                  </w:r>
                </w:p>
              </w:tc>
              <w:tc>
                <w:tcPr>
                  <w:tcW w:w="1275" w:type="dxa"/>
                  <w:noWrap w:val="0"/>
                  <w:vAlign w:val="center"/>
                </w:tcPr>
                <w:p w14:paraId="5FF6E5F0">
                  <w:pPr>
                    <w:pStyle w:val="10"/>
                    <w:snapToGrid/>
                    <w:spacing w:before="0" w:beforeAutospacing="0" w:after="0" w:afterAutospacing="0"/>
                    <w:ind w:left="0" w:right="0"/>
                    <w:rPr>
                      <w:rStyle w:val="36"/>
                      <w:color w:val="000000"/>
                      <w:sz w:val="21"/>
                      <w:szCs w:val="21"/>
                      <w:u w:val="none"/>
                    </w:rPr>
                  </w:pPr>
                  <w:r>
                    <w:rPr>
                      <w:rStyle w:val="36"/>
                      <w:color w:val="000000"/>
                      <w:sz w:val="21"/>
                      <w:szCs w:val="21"/>
                      <w:u w:val="none"/>
                    </w:rPr>
                    <w:t>不达标</w:t>
                  </w:r>
                </w:p>
              </w:tc>
            </w:tr>
            <w:tr w14:paraId="1D88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55" w:type="pct"/>
                  <w:noWrap w:val="0"/>
                  <w:vAlign w:val="center"/>
                </w:tcPr>
                <w:p w14:paraId="5ADD87E6">
                  <w:pPr>
                    <w:jc w:val="center"/>
                    <w:rPr>
                      <w:rStyle w:val="36"/>
                      <w:color w:val="000000"/>
                      <w:szCs w:val="21"/>
                      <w:u w:val="none"/>
                    </w:rPr>
                  </w:pPr>
                  <w:r>
                    <w:rPr>
                      <w:color w:val="000000"/>
                      <w:kern w:val="0"/>
                      <w:szCs w:val="21"/>
                      <w:u w:val="none"/>
                    </w:rPr>
                    <w:t>PM</w:t>
                  </w:r>
                  <w:r>
                    <w:rPr>
                      <w:color w:val="000000"/>
                      <w:kern w:val="0"/>
                      <w:szCs w:val="21"/>
                      <w:u w:val="none"/>
                      <w:vertAlign w:val="subscript"/>
                    </w:rPr>
                    <w:t>10</w:t>
                  </w:r>
                </w:p>
              </w:tc>
              <w:tc>
                <w:tcPr>
                  <w:tcW w:w="1316" w:type="pct"/>
                  <w:noWrap w:val="0"/>
                  <w:vAlign w:val="center"/>
                </w:tcPr>
                <w:p w14:paraId="596E9373">
                  <w:pPr>
                    <w:pStyle w:val="10"/>
                    <w:snapToGrid/>
                    <w:spacing w:before="0" w:beforeAutospacing="0" w:after="0" w:afterAutospacing="0"/>
                    <w:ind w:left="0" w:right="0"/>
                    <w:rPr>
                      <w:rStyle w:val="36"/>
                      <w:color w:val="000000"/>
                      <w:sz w:val="21"/>
                      <w:szCs w:val="21"/>
                      <w:u w:val="none"/>
                    </w:rPr>
                  </w:pPr>
                  <w:r>
                    <w:rPr>
                      <w:rStyle w:val="36"/>
                      <w:color w:val="000000"/>
                      <w:sz w:val="21"/>
                      <w:szCs w:val="21"/>
                      <w:u w:val="none"/>
                    </w:rPr>
                    <w:t>年平均质量浓度</w:t>
                  </w:r>
                </w:p>
              </w:tc>
              <w:tc>
                <w:tcPr>
                  <w:tcW w:w="2000" w:type="dxa"/>
                  <w:noWrap w:val="0"/>
                  <w:vAlign w:val="center"/>
                </w:tcPr>
                <w:p w14:paraId="4B1C3444">
                  <w:pPr>
                    <w:spacing w:line="320" w:lineRule="exact"/>
                    <w:jc w:val="center"/>
                    <w:rPr>
                      <w:rStyle w:val="36"/>
                      <w:rFonts w:hint="default" w:eastAsia="宋体"/>
                      <w:color w:val="000000"/>
                      <w:szCs w:val="21"/>
                      <w:u w:val="none"/>
                      <w:lang w:val="en-US" w:eastAsia="zh-CN"/>
                    </w:rPr>
                  </w:pPr>
                  <w:r>
                    <w:rPr>
                      <w:rStyle w:val="36"/>
                      <w:rFonts w:hint="eastAsia"/>
                      <w:color w:val="000000"/>
                      <w:szCs w:val="21"/>
                      <w:u w:val="none"/>
                      <w:lang w:val="en-US" w:eastAsia="zh-CN"/>
                    </w:rPr>
                    <w:t>75</w:t>
                  </w:r>
                </w:p>
              </w:tc>
              <w:tc>
                <w:tcPr>
                  <w:tcW w:w="1846" w:type="dxa"/>
                  <w:noWrap w:val="0"/>
                  <w:vAlign w:val="center"/>
                </w:tcPr>
                <w:p w14:paraId="5B4BFFAC">
                  <w:pPr>
                    <w:pStyle w:val="10"/>
                    <w:snapToGrid/>
                    <w:spacing w:before="0" w:beforeAutospacing="0" w:after="0" w:afterAutospacing="0"/>
                    <w:ind w:left="0" w:right="0"/>
                    <w:rPr>
                      <w:rStyle w:val="36"/>
                      <w:color w:val="000000"/>
                      <w:sz w:val="21"/>
                      <w:szCs w:val="21"/>
                      <w:u w:val="none"/>
                    </w:rPr>
                  </w:pPr>
                  <w:r>
                    <w:rPr>
                      <w:rStyle w:val="36"/>
                      <w:color w:val="000000"/>
                      <w:sz w:val="21"/>
                      <w:szCs w:val="21"/>
                      <w:u w:val="none"/>
                    </w:rPr>
                    <w:t>70</w:t>
                  </w:r>
                </w:p>
              </w:tc>
              <w:tc>
                <w:tcPr>
                  <w:tcW w:w="1275" w:type="dxa"/>
                  <w:noWrap w:val="0"/>
                  <w:vAlign w:val="center"/>
                </w:tcPr>
                <w:p w14:paraId="50E66B05">
                  <w:pPr>
                    <w:pStyle w:val="10"/>
                    <w:snapToGrid/>
                    <w:spacing w:before="0" w:beforeAutospacing="0" w:after="0" w:afterAutospacing="0"/>
                    <w:ind w:left="0" w:right="0"/>
                    <w:rPr>
                      <w:rStyle w:val="36"/>
                      <w:color w:val="000000"/>
                      <w:sz w:val="21"/>
                      <w:szCs w:val="21"/>
                      <w:u w:val="none"/>
                    </w:rPr>
                  </w:pPr>
                  <w:r>
                    <w:rPr>
                      <w:rStyle w:val="36"/>
                      <w:color w:val="000000"/>
                      <w:sz w:val="21"/>
                      <w:szCs w:val="21"/>
                      <w:u w:val="none"/>
                    </w:rPr>
                    <w:t>不达标</w:t>
                  </w:r>
                </w:p>
              </w:tc>
            </w:tr>
            <w:tr w14:paraId="3C31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55" w:type="pct"/>
                  <w:noWrap w:val="0"/>
                  <w:vAlign w:val="center"/>
                </w:tcPr>
                <w:p w14:paraId="005780FF">
                  <w:pPr>
                    <w:pStyle w:val="10"/>
                    <w:snapToGrid/>
                    <w:spacing w:before="0" w:beforeAutospacing="0" w:after="0" w:afterAutospacing="0"/>
                    <w:ind w:left="0" w:right="0"/>
                    <w:rPr>
                      <w:rFonts w:ascii="Times New Roman" w:hAnsi="Times New Roman" w:cs="Times New Roman"/>
                      <w:color w:val="000000"/>
                      <w:kern w:val="0"/>
                      <w:sz w:val="21"/>
                      <w:szCs w:val="21"/>
                      <w:u w:val="none"/>
                    </w:rPr>
                  </w:pPr>
                  <w:r>
                    <w:rPr>
                      <w:rStyle w:val="36"/>
                      <w:color w:val="000000"/>
                      <w:sz w:val="21"/>
                      <w:szCs w:val="21"/>
                      <w:u w:val="none"/>
                    </w:rPr>
                    <w:t>O</w:t>
                  </w:r>
                  <w:r>
                    <w:rPr>
                      <w:rStyle w:val="36"/>
                      <w:color w:val="000000"/>
                      <w:sz w:val="21"/>
                      <w:szCs w:val="21"/>
                      <w:u w:val="none"/>
                      <w:vertAlign w:val="subscript"/>
                    </w:rPr>
                    <w:t>3</w:t>
                  </w:r>
                </w:p>
              </w:tc>
              <w:tc>
                <w:tcPr>
                  <w:tcW w:w="1316" w:type="pct"/>
                  <w:noWrap w:val="0"/>
                  <w:vAlign w:val="center"/>
                </w:tcPr>
                <w:p w14:paraId="53FF5B99">
                  <w:pPr>
                    <w:pStyle w:val="10"/>
                    <w:snapToGrid/>
                    <w:spacing w:before="0" w:beforeAutospacing="0" w:after="0" w:afterAutospacing="0"/>
                    <w:ind w:left="0" w:right="0"/>
                    <w:rPr>
                      <w:rStyle w:val="36"/>
                      <w:color w:val="000000"/>
                      <w:sz w:val="21"/>
                      <w:szCs w:val="21"/>
                      <w:u w:val="none"/>
                    </w:rPr>
                  </w:pPr>
                  <w:r>
                    <w:rPr>
                      <w:rStyle w:val="36"/>
                      <w:color w:val="000000"/>
                      <w:sz w:val="21"/>
                      <w:szCs w:val="21"/>
                      <w:u w:val="none"/>
                    </w:rPr>
                    <w:t>日最大8h平均质量浓度第90百分位数</w:t>
                  </w:r>
                </w:p>
              </w:tc>
              <w:tc>
                <w:tcPr>
                  <w:tcW w:w="2000" w:type="dxa"/>
                  <w:noWrap w:val="0"/>
                  <w:vAlign w:val="center"/>
                </w:tcPr>
                <w:p w14:paraId="4331F5EA">
                  <w:pPr>
                    <w:pStyle w:val="10"/>
                    <w:snapToGrid/>
                    <w:spacing w:before="0" w:beforeAutospacing="0" w:after="0" w:afterAutospacing="0"/>
                    <w:ind w:left="0" w:right="0"/>
                    <w:rPr>
                      <w:rStyle w:val="36"/>
                      <w:rFonts w:hint="eastAsia" w:eastAsia="宋体"/>
                      <w:color w:val="000000"/>
                      <w:sz w:val="21"/>
                      <w:szCs w:val="21"/>
                      <w:u w:val="none"/>
                      <w:lang w:eastAsia="zh-CN"/>
                    </w:rPr>
                  </w:pPr>
                  <w:r>
                    <w:rPr>
                      <w:rStyle w:val="36"/>
                      <w:rFonts w:hint="eastAsia"/>
                      <w:color w:val="000000"/>
                      <w:sz w:val="21"/>
                      <w:szCs w:val="21"/>
                      <w:u w:val="none"/>
                    </w:rPr>
                    <w:t>17</w:t>
                  </w:r>
                  <w:r>
                    <w:rPr>
                      <w:rStyle w:val="36"/>
                      <w:rFonts w:hint="eastAsia"/>
                      <w:color w:val="000000"/>
                      <w:sz w:val="21"/>
                      <w:szCs w:val="21"/>
                      <w:u w:val="none"/>
                      <w:lang w:val="en-US" w:eastAsia="zh-CN"/>
                    </w:rPr>
                    <w:t>8</w:t>
                  </w:r>
                </w:p>
              </w:tc>
              <w:tc>
                <w:tcPr>
                  <w:tcW w:w="1846" w:type="dxa"/>
                  <w:noWrap w:val="0"/>
                  <w:vAlign w:val="center"/>
                </w:tcPr>
                <w:p w14:paraId="31260052">
                  <w:pPr>
                    <w:pStyle w:val="10"/>
                    <w:snapToGrid/>
                    <w:spacing w:before="0" w:beforeAutospacing="0" w:after="0" w:afterAutospacing="0"/>
                    <w:ind w:left="0" w:right="0"/>
                    <w:rPr>
                      <w:rStyle w:val="36"/>
                      <w:color w:val="000000"/>
                      <w:sz w:val="21"/>
                      <w:szCs w:val="21"/>
                      <w:u w:val="none"/>
                    </w:rPr>
                  </w:pPr>
                  <w:r>
                    <w:rPr>
                      <w:rStyle w:val="36"/>
                      <w:color w:val="000000"/>
                      <w:sz w:val="21"/>
                      <w:szCs w:val="21"/>
                      <w:u w:val="none"/>
                    </w:rPr>
                    <w:t>160</w:t>
                  </w:r>
                </w:p>
              </w:tc>
              <w:tc>
                <w:tcPr>
                  <w:tcW w:w="1275" w:type="dxa"/>
                  <w:noWrap w:val="0"/>
                  <w:vAlign w:val="center"/>
                </w:tcPr>
                <w:p w14:paraId="12AD8870">
                  <w:pPr>
                    <w:pStyle w:val="10"/>
                    <w:snapToGrid/>
                    <w:spacing w:before="0" w:beforeAutospacing="0" w:after="0" w:afterAutospacing="0"/>
                    <w:ind w:left="0" w:right="0"/>
                    <w:rPr>
                      <w:rStyle w:val="36"/>
                      <w:color w:val="000000"/>
                      <w:sz w:val="21"/>
                      <w:szCs w:val="21"/>
                      <w:u w:val="none"/>
                    </w:rPr>
                  </w:pPr>
                  <w:r>
                    <w:rPr>
                      <w:rStyle w:val="36"/>
                      <w:color w:val="000000"/>
                      <w:sz w:val="21"/>
                      <w:szCs w:val="21"/>
                      <w:u w:val="none"/>
                    </w:rPr>
                    <w:t>不达标</w:t>
                  </w:r>
                </w:p>
              </w:tc>
            </w:tr>
            <w:tr w14:paraId="48C4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55" w:type="pct"/>
                  <w:noWrap w:val="0"/>
                  <w:vAlign w:val="center"/>
                </w:tcPr>
                <w:p w14:paraId="13A21622">
                  <w:pPr>
                    <w:jc w:val="center"/>
                    <w:rPr>
                      <w:color w:val="000000"/>
                      <w:kern w:val="0"/>
                      <w:szCs w:val="21"/>
                      <w:u w:val="none"/>
                    </w:rPr>
                  </w:pPr>
                  <w:r>
                    <w:rPr>
                      <w:rStyle w:val="36"/>
                      <w:color w:val="000000"/>
                      <w:szCs w:val="21"/>
                      <w:u w:val="none"/>
                    </w:rPr>
                    <w:t>CO</w:t>
                  </w:r>
                </w:p>
              </w:tc>
              <w:tc>
                <w:tcPr>
                  <w:tcW w:w="1316" w:type="pct"/>
                  <w:noWrap w:val="0"/>
                  <w:vAlign w:val="center"/>
                </w:tcPr>
                <w:p w14:paraId="59BB0F84">
                  <w:pPr>
                    <w:pStyle w:val="10"/>
                    <w:snapToGrid/>
                    <w:spacing w:before="0" w:beforeAutospacing="0" w:after="0" w:afterAutospacing="0"/>
                    <w:ind w:left="0" w:right="0"/>
                    <w:rPr>
                      <w:rStyle w:val="36"/>
                      <w:color w:val="000000"/>
                      <w:sz w:val="21"/>
                      <w:szCs w:val="21"/>
                      <w:u w:val="none"/>
                    </w:rPr>
                  </w:pPr>
                  <w:r>
                    <w:rPr>
                      <w:rStyle w:val="36"/>
                      <w:color w:val="000000"/>
                      <w:sz w:val="21"/>
                      <w:szCs w:val="21"/>
                      <w:u w:val="none"/>
                    </w:rPr>
                    <w:t>24h平均质量浓度第95百分位数</w:t>
                  </w:r>
                </w:p>
              </w:tc>
              <w:tc>
                <w:tcPr>
                  <w:tcW w:w="2000" w:type="dxa"/>
                  <w:noWrap w:val="0"/>
                  <w:vAlign w:val="center"/>
                </w:tcPr>
                <w:p w14:paraId="1D901EED">
                  <w:pPr>
                    <w:pStyle w:val="10"/>
                    <w:snapToGrid/>
                    <w:spacing w:before="0" w:beforeAutospacing="0" w:after="0" w:afterAutospacing="0"/>
                    <w:ind w:left="0" w:right="0"/>
                    <w:rPr>
                      <w:rStyle w:val="36"/>
                      <w:color w:val="000000"/>
                      <w:sz w:val="21"/>
                      <w:szCs w:val="21"/>
                      <w:u w:val="none"/>
                    </w:rPr>
                  </w:pPr>
                  <w:r>
                    <w:rPr>
                      <w:rStyle w:val="36"/>
                      <w:rFonts w:hint="eastAsia"/>
                      <w:color w:val="000000"/>
                      <w:sz w:val="21"/>
                      <w:szCs w:val="21"/>
                      <w:u w:val="none"/>
                    </w:rPr>
                    <w:t>1.</w:t>
                  </w:r>
                  <w:r>
                    <w:rPr>
                      <w:rStyle w:val="36"/>
                      <w:rFonts w:hint="eastAsia"/>
                      <w:color w:val="000000"/>
                      <w:sz w:val="21"/>
                      <w:szCs w:val="21"/>
                      <w:u w:val="none"/>
                      <w:lang w:val="en-US" w:eastAsia="zh-CN"/>
                    </w:rPr>
                    <w:t>0</w:t>
                  </w:r>
                  <w:r>
                    <w:rPr>
                      <w:rStyle w:val="36"/>
                      <w:color w:val="000000"/>
                      <w:sz w:val="21"/>
                      <w:szCs w:val="21"/>
                      <w:u w:val="none"/>
                    </w:rPr>
                    <w:t>mg/m</w:t>
                  </w:r>
                  <w:r>
                    <w:rPr>
                      <w:rStyle w:val="36"/>
                      <w:color w:val="000000"/>
                      <w:sz w:val="21"/>
                      <w:szCs w:val="21"/>
                      <w:u w:val="none"/>
                      <w:vertAlign w:val="superscript"/>
                    </w:rPr>
                    <w:t>3</w:t>
                  </w:r>
                </w:p>
              </w:tc>
              <w:tc>
                <w:tcPr>
                  <w:tcW w:w="1846" w:type="dxa"/>
                  <w:noWrap w:val="0"/>
                  <w:vAlign w:val="center"/>
                </w:tcPr>
                <w:p w14:paraId="5841502B">
                  <w:pPr>
                    <w:pStyle w:val="10"/>
                    <w:snapToGrid/>
                    <w:spacing w:before="0" w:beforeAutospacing="0" w:after="0" w:afterAutospacing="0"/>
                    <w:ind w:left="0" w:right="0"/>
                    <w:rPr>
                      <w:rStyle w:val="36"/>
                      <w:color w:val="000000"/>
                      <w:sz w:val="21"/>
                      <w:szCs w:val="21"/>
                      <w:u w:val="none"/>
                    </w:rPr>
                  </w:pPr>
                  <w:r>
                    <w:rPr>
                      <w:rStyle w:val="36"/>
                      <w:color w:val="000000"/>
                      <w:sz w:val="21"/>
                      <w:szCs w:val="21"/>
                      <w:u w:val="none"/>
                    </w:rPr>
                    <w:t>4.0mg/m</w:t>
                  </w:r>
                  <w:r>
                    <w:rPr>
                      <w:rStyle w:val="36"/>
                      <w:color w:val="000000"/>
                      <w:sz w:val="21"/>
                      <w:szCs w:val="21"/>
                      <w:u w:val="none"/>
                      <w:vertAlign w:val="superscript"/>
                    </w:rPr>
                    <w:t>3</w:t>
                  </w:r>
                </w:p>
              </w:tc>
              <w:tc>
                <w:tcPr>
                  <w:tcW w:w="1275" w:type="dxa"/>
                  <w:noWrap w:val="0"/>
                  <w:vAlign w:val="center"/>
                </w:tcPr>
                <w:p w14:paraId="51FF8AC8">
                  <w:pPr>
                    <w:pStyle w:val="10"/>
                    <w:snapToGrid/>
                    <w:spacing w:before="0" w:beforeAutospacing="0" w:after="0" w:afterAutospacing="0"/>
                    <w:ind w:left="0" w:right="0"/>
                    <w:rPr>
                      <w:rStyle w:val="36"/>
                      <w:color w:val="000000"/>
                      <w:sz w:val="21"/>
                      <w:szCs w:val="21"/>
                      <w:u w:val="none"/>
                    </w:rPr>
                  </w:pPr>
                  <w:r>
                    <w:rPr>
                      <w:rStyle w:val="36"/>
                      <w:color w:val="000000"/>
                      <w:sz w:val="21"/>
                      <w:szCs w:val="21"/>
                      <w:u w:val="none"/>
                    </w:rPr>
                    <w:t>达标</w:t>
                  </w:r>
                </w:p>
              </w:tc>
            </w:tr>
            <w:tr w14:paraId="52C3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55" w:type="pct"/>
                  <w:noWrap w:val="0"/>
                  <w:vAlign w:val="center"/>
                </w:tcPr>
                <w:p w14:paraId="0303BD0D">
                  <w:pPr>
                    <w:jc w:val="center"/>
                    <w:rPr>
                      <w:rStyle w:val="36"/>
                      <w:color w:val="000000"/>
                      <w:szCs w:val="21"/>
                      <w:u w:val="none"/>
                    </w:rPr>
                  </w:pPr>
                  <w:r>
                    <w:rPr>
                      <w:color w:val="000000"/>
                      <w:kern w:val="0"/>
                      <w:szCs w:val="21"/>
                      <w:u w:val="none"/>
                    </w:rPr>
                    <w:t>SO</w:t>
                  </w:r>
                  <w:r>
                    <w:rPr>
                      <w:color w:val="000000"/>
                      <w:kern w:val="0"/>
                      <w:szCs w:val="21"/>
                      <w:u w:val="none"/>
                      <w:vertAlign w:val="subscript"/>
                    </w:rPr>
                    <w:t>2</w:t>
                  </w:r>
                </w:p>
              </w:tc>
              <w:tc>
                <w:tcPr>
                  <w:tcW w:w="1316" w:type="pct"/>
                  <w:noWrap w:val="0"/>
                  <w:vAlign w:val="center"/>
                </w:tcPr>
                <w:p w14:paraId="218EF786">
                  <w:pPr>
                    <w:pStyle w:val="10"/>
                    <w:snapToGrid/>
                    <w:spacing w:before="0" w:beforeAutospacing="0" w:after="0" w:afterAutospacing="0"/>
                    <w:ind w:left="0" w:right="0"/>
                    <w:rPr>
                      <w:rStyle w:val="36"/>
                      <w:color w:val="000000"/>
                      <w:sz w:val="21"/>
                      <w:szCs w:val="21"/>
                      <w:u w:val="none"/>
                    </w:rPr>
                  </w:pPr>
                  <w:r>
                    <w:rPr>
                      <w:rStyle w:val="36"/>
                      <w:color w:val="000000"/>
                      <w:sz w:val="21"/>
                      <w:szCs w:val="21"/>
                      <w:u w:val="none"/>
                    </w:rPr>
                    <w:t>年平均质量浓度</w:t>
                  </w:r>
                </w:p>
              </w:tc>
              <w:tc>
                <w:tcPr>
                  <w:tcW w:w="2000" w:type="dxa"/>
                  <w:noWrap w:val="0"/>
                  <w:vAlign w:val="center"/>
                </w:tcPr>
                <w:p w14:paraId="5BAF7BAC">
                  <w:pPr>
                    <w:pStyle w:val="10"/>
                    <w:snapToGrid/>
                    <w:spacing w:before="0" w:beforeAutospacing="0" w:after="0" w:afterAutospacing="0"/>
                    <w:ind w:left="0" w:right="0"/>
                    <w:rPr>
                      <w:rStyle w:val="36"/>
                      <w:color w:val="000000"/>
                      <w:sz w:val="21"/>
                      <w:szCs w:val="21"/>
                      <w:u w:val="none"/>
                    </w:rPr>
                  </w:pPr>
                  <w:r>
                    <w:rPr>
                      <w:rStyle w:val="36"/>
                      <w:rFonts w:hint="eastAsia"/>
                      <w:color w:val="000000"/>
                      <w:sz w:val="21"/>
                      <w:szCs w:val="21"/>
                      <w:u w:val="none"/>
                    </w:rPr>
                    <w:t>6</w:t>
                  </w:r>
                </w:p>
              </w:tc>
              <w:tc>
                <w:tcPr>
                  <w:tcW w:w="1846" w:type="dxa"/>
                  <w:noWrap w:val="0"/>
                  <w:vAlign w:val="center"/>
                </w:tcPr>
                <w:p w14:paraId="4A711D24">
                  <w:pPr>
                    <w:pStyle w:val="10"/>
                    <w:snapToGrid/>
                    <w:spacing w:before="0" w:beforeAutospacing="0" w:after="0" w:afterAutospacing="0"/>
                    <w:ind w:left="0" w:right="0"/>
                    <w:rPr>
                      <w:rStyle w:val="36"/>
                      <w:color w:val="000000"/>
                      <w:sz w:val="21"/>
                      <w:szCs w:val="21"/>
                      <w:u w:val="none"/>
                    </w:rPr>
                  </w:pPr>
                  <w:r>
                    <w:rPr>
                      <w:rStyle w:val="36"/>
                      <w:color w:val="000000"/>
                      <w:sz w:val="21"/>
                      <w:szCs w:val="21"/>
                      <w:u w:val="none"/>
                    </w:rPr>
                    <w:t>60</w:t>
                  </w:r>
                </w:p>
              </w:tc>
              <w:tc>
                <w:tcPr>
                  <w:tcW w:w="1275" w:type="dxa"/>
                  <w:noWrap w:val="0"/>
                  <w:vAlign w:val="center"/>
                </w:tcPr>
                <w:p w14:paraId="67B0CD7A">
                  <w:pPr>
                    <w:pStyle w:val="10"/>
                    <w:snapToGrid/>
                    <w:spacing w:before="0" w:beforeAutospacing="0" w:after="0" w:afterAutospacing="0"/>
                    <w:ind w:left="0" w:right="0"/>
                    <w:rPr>
                      <w:rStyle w:val="36"/>
                      <w:color w:val="000000"/>
                      <w:sz w:val="21"/>
                      <w:szCs w:val="21"/>
                      <w:u w:val="none"/>
                    </w:rPr>
                  </w:pPr>
                  <w:r>
                    <w:rPr>
                      <w:rStyle w:val="36"/>
                      <w:color w:val="000000"/>
                      <w:sz w:val="21"/>
                      <w:szCs w:val="21"/>
                      <w:u w:val="none"/>
                    </w:rPr>
                    <w:t>达标</w:t>
                  </w:r>
                </w:p>
              </w:tc>
            </w:tr>
            <w:tr w14:paraId="63FA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555" w:type="pct"/>
                  <w:noWrap w:val="0"/>
                  <w:vAlign w:val="center"/>
                </w:tcPr>
                <w:p w14:paraId="3FDA6966">
                  <w:pPr>
                    <w:jc w:val="center"/>
                    <w:rPr>
                      <w:rStyle w:val="36"/>
                      <w:color w:val="000000"/>
                      <w:szCs w:val="21"/>
                      <w:u w:val="none"/>
                    </w:rPr>
                  </w:pPr>
                  <w:r>
                    <w:rPr>
                      <w:color w:val="000000"/>
                      <w:kern w:val="0"/>
                      <w:szCs w:val="21"/>
                      <w:u w:val="none"/>
                    </w:rPr>
                    <w:t>NO</w:t>
                  </w:r>
                  <w:r>
                    <w:rPr>
                      <w:color w:val="000000"/>
                      <w:kern w:val="0"/>
                      <w:szCs w:val="21"/>
                      <w:u w:val="none"/>
                      <w:vertAlign w:val="subscript"/>
                    </w:rPr>
                    <w:t>2</w:t>
                  </w:r>
                </w:p>
              </w:tc>
              <w:tc>
                <w:tcPr>
                  <w:tcW w:w="1316" w:type="pct"/>
                  <w:noWrap w:val="0"/>
                  <w:vAlign w:val="center"/>
                </w:tcPr>
                <w:p w14:paraId="7AC4A33E">
                  <w:pPr>
                    <w:pStyle w:val="10"/>
                    <w:snapToGrid/>
                    <w:spacing w:before="0" w:beforeAutospacing="0" w:after="0" w:afterAutospacing="0"/>
                    <w:ind w:left="0" w:right="0"/>
                    <w:rPr>
                      <w:rStyle w:val="36"/>
                      <w:color w:val="000000"/>
                      <w:sz w:val="21"/>
                      <w:szCs w:val="21"/>
                      <w:u w:val="none"/>
                    </w:rPr>
                  </w:pPr>
                  <w:r>
                    <w:rPr>
                      <w:rStyle w:val="36"/>
                      <w:color w:val="000000"/>
                      <w:sz w:val="21"/>
                      <w:szCs w:val="21"/>
                      <w:u w:val="none"/>
                    </w:rPr>
                    <w:t>年平均质量浓度</w:t>
                  </w:r>
                </w:p>
              </w:tc>
              <w:tc>
                <w:tcPr>
                  <w:tcW w:w="2000" w:type="dxa"/>
                  <w:noWrap w:val="0"/>
                  <w:vAlign w:val="center"/>
                </w:tcPr>
                <w:p w14:paraId="49C2528A">
                  <w:pPr>
                    <w:pStyle w:val="10"/>
                    <w:snapToGrid/>
                    <w:spacing w:before="0" w:beforeAutospacing="0" w:after="0" w:afterAutospacing="0"/>
                    <w:ind w:left="0" w:right="0"/>
                    <w:rPr>
                      <w:rStyle w:val="36"/>
                      <w:rFonts w:hint="default" w:eastAsia="宋体"/>
                      <w:color w:val="000000"/>
                      <w:sz w:val="21"/>
                      <w:szCs w:val="21"/>
                      <w:u w:val="none"/>
                      <w:lang w:val="en-US" w:eastAsia="zh-CN"/>
                    </w:rPr>
                  </w:pPr>
                  <w:r>
                    <w:rPr>
                      <w:rStyle w:val="36"/>
                      <w:rFonts w:hint="eastAsia"/>
                      <w:color w:val="000000"/>
                      <w:sz w:val="21"/>
                      <w:szCs w:val="21"/>
                      <w:u w:val="none"/>
                      <w:lang w:val="en-US" w:eastAsia="zh-CN"/>
                    </w:rPr>
                    <w:t>24</w:t>
                  </w:r>
                </w:p>
              </w:tc>
              <w:tc>
                <w:tcPr>
                  <w:tcW w:w="1846" w:type="dxa"/>
                  <w:noWrap w:val="0"/>
                  <w:vAlign w:val="center"/>
                </w:tcPr>
                <w:p w14:paraId="60E3AEEB">
                  <w:pPr>
                    <w:pStyle w:val="10"/>
                    <w:snapToGrid/>
                    <w:spacing w:before="0" w:beforeAutospacing="0" w:after="0" w:afterAutospacing="0"/>
                    <w:ind w:left="0" w:right="0"/>
                    <w:rPr>
                      <w:rStyle w:val="36"/>
                      <w:color w:val="000000"/>
                      <w:sz w:val="21"/>
                      <w:szCs w:val="21"/>
                      <w:u w:val="none"/>
                    </w:rPr>
                  </w:pPr>
                  <w:r>
                    <w:rPr>
                      <w:rStyle w:val="36"/>
                      <w:color w:val="000000"/>
                      <w:sz w:val="21"/>
                      <w:szCs w:val="21"/>
                      <w:u w:val="none"/>
                    </w:rPr>
                    <w:t>40</w:t>
                  </w:r>
                </w:p>
              </w:tc>
              <w:tc>
                <w:tcPr>
                  <w:tcW w:w="1275" w:type="dxa"/>
                  <w:noWrap w:val="0"/>
                  <w:vAlign w:val="center"/>
                </w:tcPr>
                <w:p w14:paraId="3A37D964">
                  <w:pPr>
                    <w:pStyle w:val="10"/>
                    <w:snapToGrid/>
                    <w:spacing w:before="0" w:beforeAutospacing="0" w:after="0" w:afterAutospacing="0"/>
                    <w:ind w:left="0" w:right="0"/>
                    <w:rPr>
                      <w:rStyle w:val="36"/>
                      <w:color w:val="000000"/>
                      <w:sz w:val="21"/>
                      <w:szCs w:val="21"/>
                      <w:u w:val="none"/>
                    </w:rPr>
                  </w:pPr>
                  <w:r>
                    <w:rPr>
                      <w:rStyle w:val="36"/>
                      <w:color w:val="000000"/>
                      <w:sz w:val="21"/>
                      <w:szCs w:val="21"/>
                      <w:u w:val="none"/>
                    </w:rPr>
                    <w:t>达标</w:t>
                  </w:r>
                </w:p>
              </w:tc>
            </w:tr>
          </w:tbl>
          <w:p w14:paraId="4A49B8C6">
            <w:pPr>
              <w:spacing w:line="360" w:lineRule="auto"/>
              <w:ind w:firstLine="480" w:firstLineChars="200"/>
              <w:rPr>
                <w:color w:val="000000"/>
                <w:sz w:val="24"/>
                <w:szCs w:val="24"/>
                <w:u w:val="single"/>
              </w:rPr>
            </w:pPr>
            <w:r>
              <w:rPr>
                <w:color w:val="000000"/>
                <w:sz w:val="24"/>
                <w:szCs w:val="24"/>
                <w:u w:val="none"/>
              </w:rPr>
              <w:t>由上表可知，</w:t>
            </w:r>
            <w:r>
              <w:rPr>
                <w:rFonts w:hint="eastAsia"/>
                <w:color w:val="000000"/>
                <w:sz w:val="24"/>
                <w:szCs w:val="24"/>
                <w:u w:val="none"/>
                <w:lang w:val="en-US" w:eastAsia="zh-CN"/>
              </w:rPr>
              <w:t>2024年</w:t>
            </w:r>
            <w:r>
              <w:rPr>
                <w:color w:val="000000"/>
                <w:sz w:val="24"/>
                <w:szCs w:val="24"/>
                <w:u w:val="none"/>
              </w:rPr>
              <w:t>洛阳市区域PM</w:t>
            </w:r>
            <w:r>
              <w:rPr>
                <w:color w:val="000000"/>
                <w:sz w:val="24"/>
                <w:szCs w:val="24"/>
                <w:u w:val="none"/>
                <w:vertAlign w:val="subscript"/>
              </w:rPr>
              <w:t>2.5</w:t>
            </w:r>
            <w:r>
              <w:rPr>
                <w:color w:val="000000"/>
                <w:sz w:val="24"/>
                <w:szCs w:val="24"/>
                <w:u w:val="none"/>
              </w:rPr>
              <w:t>和PM</w:t>
            </w:r>
            <w:r>
              <w:rPr>
                <w:color w:val="000000"/>
                <w:sz w:val="24"/>
                <w:szCs w:val="24"/>
                <w:u w:val="none"/>
                <w:vertAlign w:val="subscript"/>
              </w:rPr>
              <w:t>10</w:t>
            </w:r>
            <w:r>
              <w:rPr>
                <w:color w:val="000000"/>
                <w:sz w:val="24"/>
                <w:szCs w:val="24"/>
                <w:u w:val="none"/>
              </w:rPr>
              <w:t>的年均浓度、臭氧的日平均浓度不能满足《环境空气质量标准》（GB3095-2012）二级标准浓度限值要求，因此202</w:t>
            </w:r>
            <w:r>
              <w:rPr>
                <w:rFonts w:hint="eastAsia"/>
                <w:color w:val="000000"/>
                <w:sz w:val="24"/>
                <w:szCs w:val="24"/>
                <w:u w:val="none"/>
                <w:lang w:val="en-US" w:eastAsia="zh-CN"/>
              </w:rPr>
              <w:t>4</w:t>
            </w:r>
            <w:r>
              <w:rPr>
                <w:color w:val="000000"/>
                <w:sz w:val="24"/>
                <w:szCs w:val="24"/>
                <w:u w:val="none"/>
              </w:rPr>
              <w:t>年度洛阳市属于不达标区。</w:t>
            </w:r>
          </w:p>
          <w:p w14:paraId="7FF0E5E8">
            <w:pPr>
              <w:spacing w:line="360" w:lineRule="auto"/>
              <w:rPr>
                <w:rFonts w:hint="eastAsia"/>
                <w:color w:val="000000"/>
                <w:sz w:val="24"/>
                <w:szCs w:val="28"/>
              </w:rPr>
            </w:pPr>
            <w:r>
              <w:rPr>
                <w:rFonts w:hint="eastAsia"/>
                <w:color w:val="000000"/>
                <w:sz w:val="24"/>
                <w:szCs w:val="28"/>
              </w:rPr>
              <w:t>1.2区域污染物达标消减计划</w:t>
            </w:r>
          </w:p>
          <w:p w14:paraId="69C00316">
            <w:pPr>
              <w:spacing w:line="360" w:lineRule="auto"/>
              <w:ind w:firstLine="480" w:firstLineChars="200"/>
              <w:rPr>
                <w:rFonts w:hint="eastAsia"/>
                <w:color w:val="000000"/>
                <w:sz w:val="24"/>
                <w:szCs w:val="24"/>
              </w:rPr>
            </w:pPr>
            <w:r>
              <w:rPr>
                <w:rFonts w:hint="eastAsia"/>
                <w:color w:val="000000"/>
                <w:sz w:val="24"/>
                <w:szCs w:val="28"/>
              </w:rPr>
              <w:t>由上述分析判定项目所在评价区域为不达标区，目前偃师区正在实施《关于印发&lt;洛阳市2025年蓝天保卫战实施方案&gt;&lt;洛阳市2025年碧水保卫战实施方案&gt;&lt;洛阳市2025年净土保卫战实施方案&gt;&lt;洛阳市2025年柴油货车污染治理攻坚战实施方案&gt;的通知》（洛环委办</w:t>
            </w:r>
            <w:r>
              <w:rPr>
                <w:rFonts w:hint="eastAsia"/>
                <w:color w:val="000000"/>
                <w:sz w:val="24"/>
                <w:szCs w:val="28"/>
                <w:lang w:eastAsia="zh-CN"/>
              </w:rPr>
              <w:t>〔2025〕21号</w:t>
            </w:r>
            <w:r>
              <w:rPr>
                <w:rFonts w:hint="eastAsia"/>
                <w:color w:val="000000"/>
                <w:sz w:val="24"/>
                <w:szCs w:val="28"/>
              </w:rPr>
              <w:t>）等相关大气治理文件，从实施源头削减，推进总量减排、强化收集效果，减少无组织排放、提升治理水平等相关政策，通过治理区域环境质量状况将逐步好转。</w:t>
            </w:r>
          </w:p>
          <w:p w14:paraId="05454F72">
            <w:pPr>
              <w:adjustRightInd w:val="0"/>
              <w:spacing w:line="360" w:lineRule="auto"/>
              <w:jc w:val="left"/>
              <w:rPr>
                <w:b/>
                <w:color w:val="000000"/>
                <w:kern w:val="0"/>
                <w:sz w:val="24"/>
                <w:szCs w:val="24"/>
              </w:rPr>
            </w:pPr>
            <w:r>
              <w:rPr>
                <w:b/>
                <w:color w:val="000000"/>
                <w:kern w:val="0"/>
                <w:sz w:val="24"/>
                <w:szCs w:val="24"/>
              </w:rPr>
              <w:t>2.地表水环境</w:t>
            </w:r>
          </w:p>
          <w:p w14:paraId="0B1991CB">
            <w:pPr>
              <w:spacing w:line="360" w:lineRule="auto"/>
              <w:ind w:firstLine="480" w:firstLineChars="200"/>
              <w:rPr>
                <w:rFonts w:hint="eastAsia"/>
                <w:color w:val="000000"/>
                <w:kern w:val="0"/>
                <w:sz w:val="24"/>
                <w:szCs w:val="24"/>
                <w:u w:val="none"/>
                <w:lang w:val="en-US" w:eastAsia="zh-CN"/>
              </w:rPr>
            </w:pPr>
            <w:r>
              <w:rPr>
                <w:rFonts w:hint="eastAsia"/>
                <w:color w:val="000000"/>
                <w:kern w:val="0"/>
                <w:sz w:val="24"/>
                <w:szCs w:val="24"/>
                <w:u w:val="none"/>
              </w:rPr>
              <w:t>为了解项目所在区域地表水环境质量现状，采用</w:t>
            </w:r>
            <w:r>
              <w:rPr>
                <w:rFonts w:hint="eastAsia"/>
                <w:color w:val="000000"/>
                <w:kern w:val="0"/>
                <w:sz w:val="24"/>
                <w:szCs w:val="24"/>
                <w:u w:val="none"/>
                <w:lang w:eastAsia="zh-CN"/>
              </w:rPr>
              <w:t>《</w:t>
            </w:r>
            <w:r>
              <w:rPr>
                <w:rFonts w:hint="eastAsia"/>
                <w:color w:val="000000"/>
                <w:kern w:val="0"/>
                <w:sz w:val="24"/>
                <w:szCs w:val="24"/>
                <w:u w:val="none"/>
              </w:rPr>
              <w:t>202</w:t>
            </w:r>
            <w:r>
              <w:rPr>
                <w:rFonts w:hint="eastAsia"/>
                <w:color w:val="000000"/>
                <w:kern w:val="0"/>
                <w:sz w:val="24"/>
                <w:szCs w:val="24"/>
                <w:u w:val="none"/>
                <w:lang w:val="en-US" w:eastAsia="zh-CN"/>
              </w:rPr>
              <w:t>4</w:t>
            </w:r>
            <w:r>
              <w:rPr>
                <w:rFonts w:hint="eastAsia"/>
                <w:color w:val="000000"/>
                <w:kern w:val="0"/>
                <w:sz w:val="24"/>
                <w:szCs w:val="24"/>
                <w:u w:val="none"/>
              </w:rPr>
              <w:t>年洛阳市生态环境状况公报</w:t>
            </w:r>
            <w:r>
              <w:rPr>
                <w:rFonts w:hint="eastAsia"/>
                <w:color w:val="000000"/>
                <w:kern w:val="0"/>
                <w:sz w:val="24"/>
                <w:szCs w:val="24"/>
                <w:u w:val="none"/>
                <w:lang w:eastAsia="zh-CN"/>
              </w:rPr>
              <w:t>》</w:t>
            </w:r>
            <w:r>
              <w:rPr>
                <w:rFonts w:hint="eastAsia"/>
                <w:color w:val="000000"/>
                <w:kern w:val="0"/>
                <w:sz w:val="24"/>
                <w:szCs w:val="24"/>
                <w:u w:val="none"/>
                <w:lang w:val="en-US" w:eastAsia="zh-CN"/>
              </w:rPr>
              <w:t>中地表水环境现状评价结论。</w:t>
            </w:r>
          </w:p>
          <w:p w14:paraId="2C893CE3">
            <w:pPr>
              <w:spacing w:line="360" w:lineRule="auto"/>
              <w:ind w:firstLine="480" w:firstLineChars="200"/>
              <w:rPr>
                <w:rFonts w:hint="eastAsia"/>
                <w:color w:val="000000"/>
                <w:kern w:val="0"/>
                <w:sz w:val="24"/>
                <w:szCs w:val="24"/>
                <w:u w:val="none"/>
                <w:lang w:val="en-US" w:eastAsia="zh-CN"/>
              </w:rPr>
            </w:pPr>
            <w:r>
              <w:rPr>
                <w:rFonts w:hint="eastAsia"/>
                <w:color w:val="000000"/>
                <w:kern w:val="0"/>
                <w:sz w:val="24"/>
                <w:szCs w:val="24"/>
                <w:u w:val="none"/>
                <w:lang w:val="en-US" w:eastAsia="zh-CN"/>
              </w:rPr>
              <w:t>2024年，洛阳市地表水整体水质状况为“优”。全市共设置有20个地表水监测断面。其中：黄河流域分布监测断面19个，淮河流域北汝河设置监测断面1个。所监测断面中水质类别符合I～III类断面18个（占90.0%）。</w:t>
            </w:r>
          </w:p>
          <w:p w14:paraId="533BB53E">
            <w:pPr>
              <w:spacing w:line="360" w:lineRule="auto"/>
              <w:ind w:firstLine="480" w:firstLineChars="200"/>
              <w:rPr>
                <w:rFonts w:hint="eastAsia"/>
                <w:color w:val="000000"/>
                <w:kern w:val="0"/>
                <w:sz w:val="24"/>
                <w:szCs w:val="24"/>
                <w:u w:val="none"/>
              </w:rPr>
            </w:pPr>
            <w:r>
              <w:rPr>
                <w:rFonts w:hint="eastAsia"/>
                <w:color w:val="000000"/>
                <w:kern w:val="0"/>
                <w:sz w:val="24"/>
                <w:szCs w:val="24"/>
                <w:u w:val="none"/>
                <w:lang w:val="en-US" w:eastAsia="zh-CN"/>
              </w:rPr>
              <w:t>2024年所监测的8条主要河流中，水质状况“优”的河流为黄河洛阳段、伊河、洛河、伊洛河、北汝河，水质状况“良好”的河流为涧河，水质状况“轻度污染”的为二道河和瀍河。与2023年相比，伊河、洛河、伊洛河、北汝河、黄河洛阳段、涧河、瀍河、二道河水质无明显变化。</w:t>
            </w:r>
          </w:p>
          <w:p w14:paraId="245DBE77">
            <w:pPr>
              <w:spacing w:line="360" w:lineRule="auto"/>
              <w:ind w:firstLine="480" w:firstLineChars="200"/>
              <w:rPr>
                <w:rFonts w:hint="eastAsia"/>
                <w:color w:val="000000"/>
                <w:kern w:val="0"/>
                <w:sz w:val="24"/>
                <w:szCs w:val="24"/>
                <w:u w:val="single"/>
              </w:rPr>
            </w:pPr>
            <w:r>
              <w:rPr>
                <w:rFonts w:hint="eastAsia"/>
                <w:color w:val="000000"/>
                <w:kern w:val="0"/>
                <w:sz w:val="24"/>
                <w:szCs w:val="24"/>
                <w:u w:val="none"/>
              </w:rPr>
              <w:t>项目区域地表水</w:t>
            </w:r>
            <w:r>
              <w:rPr>
                <w:rFonts w:hint="eastAsia"/>
                <w:color w:val="000000"/>
                <w:kern w:val="0"/>
                <w:sz w:val="24"/>
                <w:szCs w:val="24"/>
                <w:u w:val="none"/>
                <w:lang w:val="en-US" w:eastAsia="zh-CN"/>
              </w:rPr>
              <w:t>主要为洛河、伊河和伊洛河，水</w:t>
            </w:r>
            <w:r>
              <w:rPr>
                <w:rFonts w:hint="eastAsia"/>
                <w:color w:val="000000"/>
                <w:kern w:val="0"/>
                <w:sz w:val="24"/>
                <w:szCs w:val="24"/>
                <w:u w:val="none"/>
              </w:rPr>
              <w:t>环境质量状况</w:t>
            </w:r>
            <w:r>
              <w:rPr>
                <w:rFonts w:hint="eastAsia"/>
                <w:color w:val="000000"/>
                <w:kern w:val="0"/>
                <w:sz w:val="24"/>
                <w:szCs w:val="24"/>
                <w:u w:val="none"/>
                <w:lang w:val="en-US" w:eastAsia="zh-CN"/>
              </w:rPr>
              <w:t>均为“优”</w:t>
            </w:r>
            <w:r>
              <w:rPr>
                <w:rFonts w:hint="eastAsia"/>
                <w:color w:val="000000"/>
                <w:kern w:val="0"/>
                <w:sz w:val="24"/>
                <w:szCs w:val="24"/>
                <w:u w:val="none"/>
              </w:rPr>
              <w:t>。</w:t>
            </w:r>
          </w:p>
          <w:p w14:paraId="0F07F6B7">
            <w:pPr>
              <w:adjustRightInd w:val="0"/>
              <w:spacing w:line="360" w:lineRule="auto"/>
              <w:rPr>
                <w:rFonts w:hint="eastAsia"/>
                <w:b/>
                <w:color w:val="000000"/>
                <w:kern w:val="0"/>
                <w:sz w:val="24"/>
                <w:szCs w:val="24"/>
              </w:rPr>
            </w:pPr>
            <w:r>
              <w:rPr>
                <w:b/>
                <w:color w:val="000000"/>
                <w:kern w:val="0"/>
                <w:sz w:val="24"/>
                <w:szCs w:val="24"/>
              </w:rPr>
              <w:t>3.声环境</w:t>
            </w:r>
          </w:p>
          <w:p w14:paraId="66B19D60">
            <w:pPr>
              <w:autoSpaceDE w:val="0"/>
              <w:autoSpaceDN w:val="0"/>
              <w:adjustRightInd w:val="0"/>
              <w:spacing w:line="360" w:lineRule="auto"/>
              <w:ind w:firstLine="480" w:firstLineChars="200"/>
              <w:jc w:val="both"/>
              <w:rPr>
                <w:rFonts w:hint="eastAsia"/>
                <w:color w:val="000000"/>
                <w:kern w:val="0"/>
                <w:sz w:val="24"/>
                <w:szCs w:val="24"/>
                <w:lang w:val="en-US" w:eastAsia="zh-CN"/>
              </w:rPr>
            </w:pPr>
            <w:r>
              <w:rPr>
                <w:rFonts w:hint="eastAsia"/>
                <w:color w:val="000000"/>
                <w:kern w:val="0"/>
                <w:sz w:val="24"/>
                <w:szCs w:val="24"/>
                <w:lang w:val="en-US" w:eastAsia="zh-CN"/>
              </w:rPr>
              <w:t>根据调查项目厂界外周边50米范围内不存在声环境保护目标，根据编制指南，项目不需要进行声环境现状监测。</w:t>
            </w:r>
          </w:p>
          <w:p w14:paraId="09FE59A0">
            <w:pPr>
              <w:adjustRightInd w:val="0"/>
              <w:spacing w:line="360" w:lineRule="auto"/>
              <w:rPr>
                <w:rFonts w:hint="eastAsia"/>
                <w:b/>
                <w:color w:val="000000"/>
                <w:kern w:val="0"/>
                <w:sz w:val="24"/>
                <w:szCs w:val="24"/>
              </w:rPr>
            </w:pPr>
            <w:r>
              <w:rPr>
                <w:rFonts w:hint="eastAsia"/>
                <w:b/>
                <w:color w:val="000000"/>
                <w:kern w:val="0"/>
                <w:sz w:val="24"/>
                <w:szCs w:val="24"/>
              </w:rPr>
              <w:t>4</w:t>
            </w:r>
            <w:r>
              <w:rPr>
                <w:rFonts w:hint="eastAsia"/>
                <w:b/>
                <w:color w:val="000000"/>
                <w:kern w:val="0"/>
                <w:sz w:val="24"/>
                <w:szCs w:val="24"/>
                <w:lang w:val="en-US" w:eastAsia="zh-CN"/>
              </w:rPr>
              <w:t>.</w:t>
            </w:r>
            <w:r>
              <w:rPr>
                <w:rFonts w:hint="eastAsia"/>
                <w:b/>
                <w:color w:val="000000"/>
                <w:kern w:val="0"/>
                <w:sz w:val="24"/>
                <w:szCs w:val="24"/>
              </w:rPr>
              <w:t>生态环境</w:t>
            </w:r>
          </w:p>
          <w:p w14:paraId="28138D63">
            <w:pPr>
              <w:spacing w:line="360" w:lineRule="auto"/>
              <w:ind w:firstLine="480" w:firstLineChars="200"/>
              <w:rPr>
                <w:rFonts w:hint="eastAsia"/>
                <w:color w:val="000000"/>
                <w:sz w:val="24"/>
                <w:szCs w:val="24"/>
              </w:rPr>
            </w:pPr>
            <w:r>
              <w:rPr>
                <w:rFonts w:hint="eastAsia"/>
                <w:color w:val="000000"/>
                <w:sz w:val="24"/>
                <w:szCs w:val="24"/>
              </w:rPr>
              <w:t>经现场调查，本项目评价区域内没有自然保护区、风景名胜区和受国家保护的野生动植物种类，所在区域以道路、工业厂房、居民住宅等人工生态系统为主。</w:t>
            </w:r>
          </w:p>
          <w:p w14:paraId="7E53195C">
            <w:pPr>
              <w:adjustRightInd w:val="0"/>
              <w:spacing w:line="360" w:lineRule="auto"/>
              <w:rPr>
                <w:rFonts w:hint="eastAsia"/>
                <w:b/>
                <w:color w:val="000000"/>
                <w:kern w:val="0"/>
                <w:sz w:val="24"/>
                <w:szCs w:val="24"/>
              </w:rPr>
            </w:pPr>
            <w:r>
              <w:rPr>
                <w:rFonts w:hint="eastAsia"/>
                <w:b/>
                <w:color w:val="000000"/>
                <w:kern w:val="0"/>
                <w:sz w:val="24"/>
                <w:szCs w:val="24"/>
              </w:rPr>
              <w:t>5</w:t>
            </w:r>
            <w:r>
              <w:rPr>
                <w:rFonts w:hint="eastAsia"/>
                <w:b/>
                <w:color w:val="000000"/>
                <w:kern w:val="0"/>
                <w:sz w:val="24"/>
                <w:szCs w:val="24"/>
                <w:lang w:val="en-US" w:eastAsia="zh-CN"/>
              </w:rPr>
              <w:t>.</w:t>
            </w:r>
            <w:r>
              <w:rPr>
                <w:rFonts w:hint="eastAsia"/>
                <w:b/>
                <w:color w:val="000000"/>
                <w:kern w:val="0"/>
                <w:sz w:val="24"/>
                <w:szCs w:val="24"/>
              </w:rPr>
              <w:t>电磁辐射</w:t>
            </w:r>
          </w:p>
          <w:p w14:paraId="265262B8">
            <w:pPr>
              <w:spacing w:line="360" w:lineRule="auto"/>
              <w:ind w:firstLine="480" w:firstLineChars="200"/>
              <w:rPr>
                <w:rFonts w:hint="eastAsia"/>
                <w:color w:val="000000"/>
                <w:sz w:val="24"/>
                <w:szCs w:val="24"/>
              </w:rPr>
            </w:pPr>
            <w:r>
              <w:rPr>
                <w:rFonts w:hint="eastAsia"/>
                <w:color w:val="000000"/>
                <w:sz w:val="24"/>
                <w:szCs w:val="24"/>
              </w:rPr>
              <w:t>本项目不涉及电磁辐射影响，不需开展电磁辐射现状监测与评价。</w:t>
            </w:r>
          </w:p>
          <w:p w14:paraId="7EE13401">
            <w:pPr>
              <w:adjustRightInd w:val="0"/>
              <w:spacing w:line="360" w:lineRule="auto"/>
              <w:rPr>
                <w:rFonts w:hint="eastAsia"/>
                <w:b/>
                <w:color w:val="000000"/>
                <w:kern w:val="0"/>
                <w:sz w:val="24"/>
                <w:szCs w:val="24"/>
              </w:rPr>
            </w:pPr>
            <w:r>
              <w:rPr>
                <w:rFonts w:hint="eastAsia"/>
                <w:b/>
                <w:color w:val="000000"/>
                <w:kern w:val="0"/>
                <w:sz w:val="24"/>
                <w:szCs w:val="24"/>
              </w:rPr>
              <w:t>6</w:t>
            </w:r>
            <w:r>
              <w:rPr>
                <w:rFonts w:hint="eastAsia"/>
                <w:b/>
                <w:color w:val="000000"/>
                <w:kern w:val="0"/>
                <w:sz w:val="24"/>
                <w:szCs w:val="24"/>
                <w:lang w:val="en-US" w:eastAsia="zh-CN"/>
              </w:rPr>
              <w:t>.</w:t>
            </w:r>
            <w:r>
              <w:rPr>
                <w:rFonts w:hint="eastAsia"/>
                <w:b/>
                <w:color w:val="000000"/>
                <w:kern w:val="0"/>
                <w:sz w:val="24"/>
                <w:szCs w:val="24"/>
              </w:rPr>
              <w:t>地下水、土壤环境</w:t>
            </w:r>
          </w:p>
          <w:p w14:paraId="19254E1D">
            <w:pPr>
              <w:spacing w:line="360" w:lineRule="auto"/>
              <w:ind w:firstLine="480" w:firstLineChars="200"/>
              <w:rPr>
                <w:rFonts w:hint="eastAsia"/>
                <w:color w:val="000000"/>
                <w:sz w:val="24"/>
                <w:szCs w:val="24"/>
              </w:rPr>
            </w:pPr>
            <w:r>
              <w:rPr>
                <w:rFonts w:hint="eastAsia"/>
                <w:color w:val="000000"/>
                <w:sz w:val="24"/>
                <w:szCs w:val="24"/>
              </w:rPr>
              <w:t>本项目无生产废水排放，不存在土壤、地下水环境污染途径，因此，不开展地下水、土壤环境质量现状调查。</w:t>
            </w:r>
          </w:p>
        </w:tc>
      </w:tr>
      <w:tr w14:paraId="0708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435" w:hRule="atLeast"/>
        </w:trPr>
        <w:tc>
          <w:tcPr>
            <w:tcW w:w="652" w:type="dxa"/>
            <w:noWrap w:val="0"/>
            <w:vAlign w:val="center"/>
          </w:tcPr>
          <w:p w14:paraId="12683BF2">
            <w:pPr>
              <w:adjustRightInd w:val="0"/>
              <w:jc w:val="center"/>
              <w:rPr>
                <w:rFonts w:hint="eastAsia" w:ascii="宋体" w:hAnsi="宋体" w:cs="宋体"/>
                <w:color w:val="000000"/>
                <w:kern w:val="0"/>
                <w:sz w:val="24"/>
                <w:szCs w:val="24"/>
              </w:rPr>
            </w:pPr>
            <w:r>
              <w:rPr>
                <w:rFonts w:hint="eastAsia" w:ascii="宋体" w:hAnsi="宋体" w:cs="宋体"/>
                <w:color w:val="000000"/>
                <w:kern w:val="0"/>
                <w:sz w:val="24"/>
                <w:szCs w:val="24"/>
              </w:rPr>
              <w:t>环境</w:t>
            </w:r>
          </w:p>
          <w:p w14:paraId="65A34904">
            <w:pPr>
              <w:adjustRightInd w:val="0"/>
              <w:jc w:val="center"/>
              <w:rPr>
                <w:rFonts w:hint="eastAsia" w:ascii="宋体" w:hAnsi="宋体" w:cs="宋体"/>
                <w:color w:val="000000"/>
                <w:kern w:val="0"/>
                <w:sz w:val="24"/>
                <w:szCs w:val="24"/>
              </w:rPr>
            </w:pPr>
            <w:r>
              <w:rPr>
                <w:rFonts w:hint="eastAsia" w:ascii="宋体" w:hAnsi="宋体" w:cs="宋体"/>
                <w:color w:val="000000"/>
                <w:kern w:val="0"/>
                <w:sz w:val="24"/>
                <w:szCs w:val="24"/>
              </w:rPr>
              <w:t>保护</w:t>
            </w:r>
          </w:p>
          <w:p w14:paraId="23E4D559">
            <w:pPr>
              <w:jc w:val="center"/>
              <w:rPr>
                <w:rFonts w:hint="eastAsia"/>
                <w:color w:val="000000"/>
                <w:sz w:val="24"/>
                <w:szCs w:val="24"/>
              </w:rPr>
            </w:pPr>
            <w:r>
              <w:rPr>
                <w:rFonts w:hint="eastAsia" w:ascii="宋体" w:hAnsi="宋体" w:cs="宋体"/>
                <w:color w:val="000000"/>
                <w:kern w:val="0"/>
                <w:sz w:val="24"/>
                <w:szCs w:val="24"/>
              </w:rPr>
              <w:t>目标</w:t>
            </w:r>
          </w:p>
        </w:tc>
        <w:tc>
          <w:tcPr>
            <w:tcW w:w="8362" w:type="dxa"/>
            <w:noWrap w:val="0"/>
            <w:vAlign w:val="center"/>
          </w:tcPr>
          <w:p w14:paraId="7B907A10">
            <w:pPr>
              <w:snapToGrid w:val="0"/>
              <w:spacing w:before="93" w:beforeLines="30"/>
              <w:jc w:val="center"/>
              <w:rPr>
                <w:rFonts w:ascii="黑体" w:eastAsia="黑体"/>
                <w:color w:val="000000"/>
                <w:sz w:val="24"/>
                <w:szCs w:val="24"/>
              </w:rPr>
            </w:pPr>
            <w:r>
              <w:rPr>
                <w:rFonts w:hint="eastAsia" w:ascii="黑体" w:eastAsia="黑体"/>
                <w:color w:val="000000"/>
                <w:sz w:val="24"/>
                <w:szCs w:val="24"/>
              </w:rPr>
              <w:t>表</w:t>
            </w:r>
            <w:r>
              <w:rPr>
                <w:rFonts w:hint="eastAsia" w:ascii="黑体" w:eastAsia="黑体"/>
                <w:color w:val="000000"/>
                <w:sz w:val="24"/>
              </w:rPr>
              <w:t>2</w:t>
            </w:r>
            <w:r>
              <w:rPr>
                <w:rFonts w:hint="eastAsia" w:ascii="黑体" w:eastAsia="黑体"/>
                <w:color w:val="000000"/>
                <w:sz w:val="24"/>
                <w:lang w:val="en-US" w:eastAsia="zh-CN"/>
              </w:rPr>
              <w:t>3</w:t>
            </w:r>
            <w:r>
              <w:rPr>
                <w:rFonts w:hint="eastAsia" w:ascii="黑体" w:eastAsia="黑体"/>
                <w:color w:val="000000"/>
                <w:sz w:val="24"/>
              </w:rPr>
              <w:t xml:space="preserve">    </w:t>
            </w:r>
            <w:r>
              <w:rPr>
                <w:rFonts w:hint="eastAsia" w:ascii="黑体" w:eastAsia="黑体"/>
                <w:color w:val="000000"/>
                <w:sz w:val="24"/>
                <w:szCs w:val="24"/>
              </w:rPr>
              <w:t>主要环境保护目标</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9"/>
              <w:gridCol w:w="2837"/>
              <w:gridCol w:w="709"/>
              <w:gridCol w:w="992"/>
              <w:gridCol w:w="2475"/>
            </w:tblGrid>
            <w:tr w14:paraId="38760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15" w:type="pct"/>
                  <w:noWrap w:val="0"/>
                  <w:vAlign w:val="center"/>
                </w:tcPr>
                <w:p w14:paraId="557C84C4">
                  <w:pPr>
                    <w:adjustRightInd w:val="0"/>
                    <w:jc w:val="center"/>
                    <w:rPr>
                      <w:color w:val="000000"/>
                      <w:szCs w:val="21"/>
                    </w:rPr>
                  </w:pPr>
                  <w:r>
                    <w:rPr>
                      <w:color w:val="000000"/>
                      <w:szCs w:val="21"/>
                    </w:rPr>
                    <w:t>环境要素</w:t>
                  </w:r>
                </w:p>
              </w:tc>
              <w:tc>
                <w:tcPr>
                  <w:tcW w:w="1733" w:type="pct"/>
                  <w:noWrap w:val="0"/>
                  <w:vAlign w:val="center"/>
                </w:tcPr>
                <w:p w14:paraId="0522BEF7">
                  <w:pPr>
                    <w:adjustRightInd w:val="0"/>
                    <w:jc w:val="center"/>
                    <w:rPr>
                      <w:color w:val="000000"/>
                      <w:szCs w:val="21"/>
                    </w:rPr>
                  </w:pPr>
                  <w:r>
                    <w:rPr>
                      <w:color w:val="000000"/>
                      <w:szCs w:val="21"/>
                    </w:rPr>
                    <w:t>环境保护对象</w:t>
                  </w:r>
                </w:p>
              </w:tc>
              <w:tc>
                <w:tcPr>
                  <w:tcW w:w="433" w:type="pct"/>
                  <w:noWrap w:val="0"/>
                  <w:vAlign w:val="center"/>
                </w:tcPr>
                <w:p w14:paraId="7F09D52B">
                  <w:pPr>
                    <w:adjustRightInd w:val="0"/>
                    <w:jc w:val="center"/>
                    <w:rPr>
                      <w:color w:val="000000"/>
                      <w:szCs w:val="21"/>
                    </w:rPr>
                  </w:pPr>
                  <w:r>
                    <w:rPr>
                      <w:color w:val="000000"/>
                      <w:szCs w:val="21"/>
                    </w:rPr>
                    <w:t>方位</w:t>
                  </w:r>
                </w:p>
              </w:tc>
              <w:tc>
                <w:tcPr>
                  <w:tcW w:w="606" w:type="pct"/>
                  <w:noWrap w:val="0"/>
                  <w:vAlign w:val="center"/>
                </w:tcPr>
                <w:p w14:paraId="7030B13F">
                  <w:pPr>
                    <w:adjustRightInd w:val="0"/>
                    <w:jc w:val="center"/>
                    <w:rPr>
                      <w:color w:val="000000"/>
                      <w:szCs w:val="21"/>
                    </w:rPr>
                  </w:pPr>
                  <w:r>
                    <w:rPr>
                      <w:color w:val="000000"/>
                      <w:szCs w:val="21"/>
                    </w:rPr>
                    <w:t>距离</w:t>
                  </w:r>
                </w:p>
              </w:tc>
              <w:tc>
                <w:tcPr>
                  <w:tcW w:w="1511" w:type="pct"/>
                  <w:noWrap w:val="0"/>
                  <w:vAlign w:val="center"/>
                </w:tcPr>
                <w:p w14:paraId="5CDC9AA3">
                  <w:pPr>
                    <w:adjustRightInd w:val="0"/>
                    <w:jc w:val="center"/>
                    <w:rPr>
                      <w:color w:val="000000"/>
                      <w:szCs w:val="21"/>
                    </w:rPr>
                  </w:pPr>
                  <w:r>
                    <w:rPr>
                      <w:color w:val="000000"/>
                      <w:szCs w:val="21"/>
                    </w:rPr>
                    <w:t>环境功能</w:t>
                  </w:r>
                </w:p>
              </w:tc>
            </w:tr>
            <w:tr w14:paraId="733B1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 w:hRule="atLeast"/>
                <w:jc w:val="center"/>
              </w:trPr>
              <w:tc>
                <w:tcPr>
                  <w:tcW w:w="715" w:type="pct"/>
                  <w:vMerge w:val="restart"/>
                  <w:noWrap w:val="0"/>
                  <w:vAlign w:val="center"/>
                </w:tcPr>
                <w:p w14:paraId="4B4E43B7">
                  <w:pPr>
                    <w:adjustRightInd w:val="0"/>
                    <w:jc w:val="center"/>
                    <w:rPr>
                      <w:color w:val="000000"/>
                      <w:szCs w:val="21"/>
                    </w:rPr>
                  </w:pPr>
                  <w:r>
                    <w:rPr>
                      <w:color w:val="000000"/>
                      <w:szCs w:val="21"/>
                    </w:rPr>
                    <w:t>大气环境</w:t>
                  </w:r>
                </w:p>
              </w:tc>
              <w:tc>
                <w:tcPr>
                  <w:tcW w:w="1733" w:type="pct"/>
                  <w:noWrap w:val="0"/>
                  <w:vAlign w:val="center"/>
                </w:tcPr>
                <w:p w14:paraId="1EF82CAB">
                  <w:pPr>
                    <w:adjustRightInd w:val="0"/>
                    <w:jc w:val="center"/>
                    <w:rPr>
                      <w:rFonts w:hint="default" w:eastAsia="宋体"/>
                      <w:color w:val="000000"/>
                      <w:szCs w:val="21"/>
                      <w:lang w:val="en-US" w:eastAsia="zh-CN"/>
                    </w:rPr>
                  </w:pPr>
                  <w:r>
                    <w:rPr>
                      <w:rFonts w:hint="eastAsia" w:eastAsia="宋体"/>
                      <w:color w:val="000000"/>
                      <w:szCs w:val="21"/>
                      <w:lang w:val="en-US" w:eastAsia="zh-CN"/>
                    </w:rPr>
                    <w:t>安滩村</w:t>
                  </w:r>
                </w:p>
              </w:tc>
              <w:tc>
                <w:tcPr>
                  <w:tcW w:w="433" w:type="pct"/>
                  <w:noWrap w:val="0"/>
                  <w:vAlign w:val="center"/>
                </w:tcPr>
                <w:p w14:paraId="6EA02A02">
                  <w:pPr>
                    <w:adjustRightInd w:val="0"/>
                    <w:jc w:val="center"/>
                    <w:rPr>
                      <w:rFonts w:hint="eastAsia" w:eastAsia="宋体"/>
                      <w:color w:val="000000"/>
                      <w:szCs w:val="21"/>
                      <w:lang w:val="en-US" w:eastAsia="zh-CN"/>
                    </w:rPr>
                  </w:pPr>
                  <w:r>
                    <w:rPr>
                      <w:rFonts w:hint="eastAsia"/>
                      <w:color w:val="000000"/>
                      <w:szCs w:val="21"/>
                    </w:rPr>
                    <w:t>南</w:t>
                  </w:r>
                </w:p>
              </w:tc>
              <w:tc>
                <w:tcPr>
                  <w:tcW w:w="606" w:type="pct"/>
                  <w:noWrap w:val="0"/>
                  <w:vAlign w:val="center"/>
                </w:tcPr>
                <w:p w14:paraId="13F8FE17">
                  <w:pPr>
                    <w:adjustRightInd w:val="0"/>
                    <w:jc w:val="center"/>
                    <w:rPr>
                      <w:rFonts w:hint="default" w:eastAsia="宋体"/>
                      <w:color w:val="000000"/>
                      <w:szCs w:val="21"/>
                      <w:lang w:val="en-US" w:eastAsia="zh-CN"/>
                    </w:rPr>
                  </w:pPr>
                  <w:r>
                    <w:rPr>
                      <w:rFonts w:hint="eastAsia"/>
                      <w:color w:val="000000"/>
                      <w:szCs w:val="21"/>
                      <w:lang w:val="en-US" w:eastAsia="zh-CN"/>
                    </w:rPr>
                    <w:t>136m</w:t>
                  </w:r>
                </w:p>
              </w:tc>
              <w:tc>
                <w:tcPr>
                  <w:tcW w:w="1511" w:type="pct"/>
                  <w:vMerge w:val="restart"/>
                  <w:noWrap w:val="0"/>
                  <w:vAlign w:val="center"/>
                </w:tcPr>
                <w:p w14:paraId="56C4F609">
                  <w:pPr>
                    <w:adjustRightInd w:val="0"/>
                    <w:jc w:val="center"/>
                    <w:rPr>
                      <w:color w:val="000000"/>
                      <w:szCs w:val="21"/>
                    </w:rPr>
                  </w:pPr>
                  <w:r>
                    <w:rPr>
                      <w:color w:val="000000"/>
                      <w:szCs w:val="21"/>
                    </w:rPr>
                    <w:t>《环境空气质量标准》（GB3095-2012）二级</w:t>
                  </w:r>
                </w:p>
              </w:tc>
            </w:tr>
            <w:tr w14:paraId="440F0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 w:hRule="atLeast"/>
                <w:jc w:val="center"/>
              </w:trPr>
              <w:tc>
                <w:tcPr>
                  <w:tcW w:w="715" w:type="pct"/>
                  <w:vMerge w:val="continue"/>
                  <w:noWrap w:val="0"/>
                  <w:vAlign w:val="center"/>
                </w:tcPr>
                <w:p w14:paraId="681E50AB">
                  <w:pPr>
                    <w:adjustRightInd w:val="0"/>
                    <w:jc w:val="center"/>
                    <w:rPr>
                      <w:color w:val="000000"/>
                      <w:szCs w:val="21"/>
                    </w:rPr>
                  </w:pPr>
                </w:p>
              </w:tc>
              <w:tc>
                <w:tcPr>
                  <w:tcW w:w="1733" w:type="pct"/>
                  <w:noWrap w:val="0"/>
                  <w:vAlign w:val="center"/>
                </w:tcPr>
                <w:p w14:paraId="5B7BCEC2">
                  <w:pPr>
                    <w:adjustRightInd w:val="0"/>
                    <w:jc w:val="center"/>
                    <w:rPr>
                      <w:rFonts w:hint="default" w:eastAsia="宋体"/>
                      <w:color w:val="000000"/>
                      <w:kern w:val="2"/>
                      <w:sz w:val="21"/>
                      <w:szCs w:val="21"/>
                      <w:lang w:val="en-US" w:eastAsia="zh-CN" w:bidi="ar-SA"/>
                    </w:rPr>
                  </w:pPr>
                  <w:r>
                    <w:rPr>
                      <w:rFonts w:hint="eastAsia" w:eastAsia="宋体"/>
                      <w:color w:val="000000"/>
                      <w:kern w:val="2"/>
                      <w:sz w:val="21"/>
                      <w:szCs w:val="21"/>
                      <w:lang w:val="en-US" w:eastAsia="zh-CN" w:bidi="ar-SA"/>
                    </w:rPr>
                    <w:t>东地</w:t>
                  </w:r>
                </w:p>
              </w:tc>
              <w:tc>
                <w:tcPr>
                  <w:tcW w:w="433" w:type="pct"/>
                  <w:noWrap w:val="0"/>
                  <w:vAlign w:val="center"/>
                </w:tcPr>
                <w:p w14:paraId="7DB40F9F">
                  <w:pPr>
                    <w:adjustRightInd w:val="0"/>
                    <w:jc w:val="center"/>
                    <w:rPr>
                      <w:rFonts w:hint="default"/>
                      <w:color w:val="000000"/>
                      <w:kern w:val="2"/>
                      <w:sz w:val="21"/>
                      <w:szCs w:val="21"/>
                      <w:lang w:val="en-US" w:eastAsia="zh-CN" w:bidi="ar-SA"/>
                    </w:rPr>
                  </w:pPr>
                  <w:r>
                    <w:rPr>
                      <w:rFonts w:hint="eastAsia"/>
                      <w:color w:val="000000"/>
                      <w:kern w:val="2"/>
                      <w:sz w:val="21"/>
                      <w:szCs w:val="21"/>
                      <w:lang w:val="en-US" w:eastAsia="zh-CN" w:bidi="ar-SA"/>
                    </w:rPr>
                    <w:t>东</w:t>
                  </w:r>
                </w:p>
              </w:tc>
              <w:tc>
                <w:tcPr>
                  <w:tcW w:w="606" w:type="pct"/>
                  <w:noWrap w:val="0"/>
                  <w:vAlign w:val="center"/>
                </w:tcPr>
                <w:p w14:paraId="23B3A6E6">
                  <w:pPr>
                    <w:adjustRightInd w:val="0"/>
                    <w:jc w:val="center"/>
                    <w:rPr>
                      <w:rFonts w:hint="eastAsia"/>
                      <w:color w:val="000000"/>
                      <w:kern w:val="2"/>
                      <w:sz w:val="21"/>
                      <w:szCs w:val="21"/>
                      <w:lang w:val="en-US" w:eastAsia="zh-CN" w:bidi="ar-SA"/>
                    </w:rPr>
                  </w:pPr>
                  <w:r>
                    <w:rPr>
                      <w:rFonts w:hint="eastAsia"/>
                      <w:color w:val="000000"/>
                      <w:szCs w:val="21"/>
                      <w:lang w:val="en-US" w:eastAsia="zh-CN"/>
                    </w:rPr>
                    <w:t>310</w:t>
                  </w:r>
                  <w:r>
                    <w:rPr>
                      <w:color w:val="000000"/>
                      <w:szCs w:val="21"/>
                    </w:rPr>
                    <w:t>m</w:t>
                  </w:r>
                </w:p>
              </w:tc>
              <w:tc>
                <w:tcPr>
                  <w:tcW w:w="1511" w:type="pct"/>
                  <w:vMerge w:val="continue"/>
                  <w:noWrap w:val="0"/>
                  <w:vAlign w:val="center"/>
                </w:tcPr>
                <w:p w14:paraId="17CEE39B">
                  <w:pPr>
                    <w:adjustRightInd w:val="0"/>
                    <w:jc w:val="center"/>
                    <w:rPr>
                      <w:color w:val="000000"/>
                      <w:szCs w:val="21"/>
                    </w:rPr>
                  </w:pPr>
                </w:p>
              </w:tc>
            </w:tr>
            <w:tr w14:paraId="0D4F0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 w:hRule="atLeast"/>
                <w:jc w:val="center"/>
              </w:trPr>
              <w:tc>
                <w:tcPr>
                  <w:tcW w:w="715" w:type="pct"/>
                  <w:noWrap w:val="0"/>
                  <w:vAlign w:val="center"/>
                </w:tcPr>
                <w:p w14:paraId="44DC38B0">
                  <w:pPr>
                    <w:adjustRightInd w:val="0"/>
                    <w:jc w:val="center"/>
                    <w:rPr>
                      <w:color w:val="000000"/>
                      <w:szCs w:val="21"/>
                    </w:rPr>
                  </w:pPr>
                  <w:r>
                    <w:rPr>
                      <w:color w:val="000000"/>
                      <w:szCs w:val="21"/>
                    </w:rPr>
                    <w:t>声环境</w:t>
                  </w:r>
                </w:p>
              </w:tc>
              <w:tc>
                <w:tcPr>
                  <w:tcW w:w="4284" w:type="pct"/>
                  <w:gridSpan w:val="4"/>
                  <w:noWrap w:val="0"/>
                  <w:vAlign w:val="center"/>
                </w:tcPr>
                <w:p w14:paraId="4E3E8E24">
                  <w:pPr>
                    <w:adjustRightInd w:val="0"/>
                    <w:jc w:val="both"/>
                    <w:rPr>
                      <w:rFonts w:hint="default" w:eastAsia="宋体"/>
                      <w:color w:val="000000"/>
                      <w:szCs w:val="21"/>
                      <w:lang w:val="en-US" w:eastAsia="zh-CN"/>
                    </w:rPr>
                  </w:pPr>
                  <w:r>
                    <w:rPr>
                      <w:rFonts w:hint="default" w:eastAsia="宋体"/>
                      <w:color w:val="000000"/>
                      <w:szCs w:val="21"/>
                      <w:lang w:val="en-US" w:eastAsia="zh-CN"/>
                    </w:rPr>
                    <w:t>厂界外50</w:t>
                  </w:r>
                  <w:r>
                    <w:rPr>
                      <w:rFonts w:hint="eastAsia" w:eastAsia="宋体"/>
                      <w:color w:val="000000"/>
                      <w:szCs w:val="21"/>
                      <w:lang w:val="en-US" w:eastAsia="zh-CN"/>
                    </w:rPr>
                    <w:t>m</w:t>
                  </w:r>
                  <w:r>
                    <w:rPr>
                      <w:rFonts w:hint="default" w:eastAsia="宋体"/>
                      <w:color w:val="000000"/>
                      <w:szCs w:val="21"/>
                      <w:lang w:val="en-US" w:eastAsia="zh-CN"/>
                    </w:rPr>
                    <w:t>范围内无声环境保护目标</w:t>
                  </w:r>
                </w:p>
              </w:tc>
            </w:tr>
            <w:tr w14:paraId="65CDC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 w:hRule="atLeast"/>
                <w:jc w:val="center"/>
              </w:trPr>
              <w:tc>
                <w:tcPr>
                  <w:tcW w:w="715" w:type="pct"/>
                  <w:noWrap w:val="0"/>
                  <w:vAlign w:val="center"/>
                </w:tcPr>
                <w:p w14:paraId="73265760">
                  <w:pPr>
                    <w:adjustRightInd w:val="0"/>
                    <w:jc w:val="center"/>
                    <w:rPr>
                      <w:color w:val="000000"/>
                      <w:szCs w:val="21"/>
                    </w:rPr>
                  </w:pPr>
                  <w:r>
                    <w:rPr>
                      <w:rFonts w:hint="eastAsia"/>
                      <w:color w:val="000000"/>
                      <w:szCs w:val="21"/>
                    </w:rPr>
                    <w:t>地下水</w:t>
                  </w:r>
                </w:p>
              </w:tc>
              <w:tc>
                <w:tcPr>
                  <w:tcW w:w="4284" w:type="pct"/>
                  <w:gridSpan w:val="4"/>
                  <w:noWrap w:val="0"/>
                  <w:vAlign w:val="center"/>
                </w:tcPr>
                <w:p w14:paraId="53296DD1">
                  <w:pPr>
                    <w:adjustRightInd w:val="0"/>
                    <w:jc w:val="both"/>
                    <w:rPr>
                      <w:rFonts w:hint="default" w:eastAsia="宋体"/>
                      <w:color w:val="000000"/>
                      <w:szCs w:val="21"/>
                      <w:lang w:val="en-US" w:eastAsia="zh-CN"/>
                    </w:rPr>
                  </w:pPr>
                  <w:r>
                    <w:rPr>
                      <w:rFonts w:hint="default" w:eastAsia="宋体"/>
                      <w:color w:val="000000"/>
                      <w:szCs w:val="21"/>
                      <w:lang w:val="en-US" w:eastAsia="zh-CN"/>
                    </w:rPr>
                    <w:t>厂界外50</w:t>
                  </w:r>
                  <w:r>
                    <w:rPr>
                      <w:rFonts w:hint="eastAsia" w:eastAsia="宋体"/>
                      <w:color w:val="000000"/>
                      <w:szCs w:val="21"/>
                      <w:lang w:val="en-US" w:eastAsia="zh-CN"/>
                    </w:rPr>
                    <w:t>m</w:t>
                  </w:r>
                  <w:r>
                    <w:rPr>
                      <w:rFonts w:hint="default" w:eastAsia="宋体"/>
                      <w:color w:val="000000"/>
                      <w:szCs w:val="21"/>
                      <w:lang w:val="en-US" w:eastAsia="zh-CN"/>
                    </w:rPr>
                    <w:t>范围内无</w:t>
                  </w:r>
                  <w:r>
                    <w:rPr>
                      <w:rFonts w:hint="eastAsia" w:eastAsia="宋体"/>
                      <w:color w:val="000000"/>
                      <w:szCs w:val="21"/>
                      <w:lang w:val="en-US" w:eastAsia="zh-CN"/>
                    </w:rPr>
                    <w:t>地下水集中式饮用水水源和热水、矿泉水、温泉等特殊地下水资源</w:t>
                  </w:r>
                </w:p>
              </w:tc>
            </w:tr>
            <w:tr w14:paraId="6A91C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 w:hRule="atLeast"/>
                <w:jc w:val="center"/>
              </w:trPr>
              <w:tc>
                <w:tcPr>
                  <w:tcW w:w="715" w:type="pct"/>
                  <w:noWrap w:val="0"/>
                  <w:vAlign w:val="center"/>
                </w:tcPr>
                <w:p w14:paraId="4B7F5C97">
                  <w:pPr>
                    <w:adjustRightInd w:val="0"/>
                    <w:jc w:val="center"/>
                    <w:rPr>
                      <w:color w:val="000000"/>
                      <w:szCs w:val="21"/>
                    </w:rPr>
                  </w:pPr>
                  <w:r>
                    <w:rPr>
                      <w:color w:val="000000"/>
                      <w:szCs w:val="21"/>
                    </w:rPr>
                    <w:t>生态环境</w:t>
                  </w:r>
                </w:p>
              </w:tc>
              <w:tc>
                <w:tcPr>
                  <w:tcW w:w="4284" w:type="pct"/>
                  <w:gridSpan w:val="4"/>
                  <w:noWrap w:val="0"/>
                  <w:vAlign w:val="center"/>
                </w:tcPr>
                <w:p w14:paraId="50354A35">
                  <w:pPr>
                    <w:adjustRightInd w:val="0"/>
                    <w:rPr>
                      <w:color w:val="000000"/>
                      <w:szCs w:val="21"/>
                    </w:rPr>
                  </w:pPr>
                  <w:r>
                    <w:rPr>
                      <w:rFonts w:hint="eastAsia"/>
                      <w:color w:val="000000"/>
                      <w:szCs w:val="21"/>
                    </w:rPr>
                    <w:t>项目用地范围内无生态环境保护目标</w:t>
                  </w:r>
                </w:p>
              </w:tc>
            </w:tr>
          </w:tbl>
          <w:p w14:paraId="29444345">
            <w:pPr>
              <w:snapToGrid w:val="0"/>
              <w:ind w:firstLine="482"/>
              <w:rPr>
                <w:rFonts w:hint="eastAsia"/>
                <w:color w:val="000000"/>
                <w:sz w:val="15"/>
                <w:szCs w:val="15"/>
              </w:rPr>
            </w:pPr>
            <w:r>
              <w:rPr>
                <w:rFonts w:hint="eastAsia"/>
                <w:color w:val="000000"/>
                <w:sz w:val="15"/>
                <w:szCs w:val="15"/>
              </w:rPr>
              <w:t xml:space="preserve">     </w:t>
            </w:r>
          </w:p>
        </w:tc>
      </w:tr>
      <w:tr w14:paraId="6AB5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0279" w:hRule="atLeast"/>
        </w:trPr>
        <w:tc>
          <w:tcPr>
            <w:tcW w:w="652" w:type="dxa"/>
            <w:noWrap w:val="0"/>
            <w:vAlign w:val="center"/>
          </w:tcPr>
          <w:p w14:paraId="14EB5A52">
            <w:pPr>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污染</w:t>
            </w:r>
          </w:p>
          <w:p w14:paraId="1E501DAF">
            <w:pPr>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物排</w:t>
            </w:r>
          </w:p>
          <w:p w14:paraId="79F7EDFB">
            <w:pPr>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放控</w:t>
            </w:r>
          </w:p>
          <w:p w14:paraId="744C2D2D">
            <w:pPr>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制标</w:t>
            </w:r>
          </w:p>
          <w:p w14:paraId="77FD9391">
            <w:pPr>
              <w:adjustRightInd w:val="0"/>
              <w:snapToGrid w:val="0"/>
              <w:jc w:val="center"/>
              <w:rPr>
                <w:rFonts w:ascii="宋体" w:hAnsi="宋体" w:cs="宋体"/>
                <w:color w:val="000000"/>
                <w:kern w:val="0"/>
                <w:sz w:val="24"/>
                <w:szCs w:val="24"/>
              </w:rPr>
            </w:pPr>
            <w:r>
              <w:rPr>
                <w:rFonts w:hint="eastAsia" w:ascii="宋体" w:hAnsi="宋体" w:cs="宋体"/>
                <w:color w:val="000000"/>
                <w:kern w:val="0"/>
                <w:sz w:val="24"/>
                <w:szCs w:val="24"/>
              </w:rPr>
              <w:t>准</w:t>
            </w:r>
          </w:p>
        </w:tc>
        <w:tc>
          <w:tcPr>
            <w:tcW w:w="8362" w:type="dxa"/>
            <w:noWrap w:val="0"/>
            <w:vAlign w:val="center"/>
          </w:tcPr>
          <w:p w14:paraId="667106E0">
            <w:pPr>
              <w:snapToGrid w:val="0"/>
              <w:spacing w:before="93" w:beforeLines="30"/>
              <w:jc w:val="center"/>
              <w:rPr>
                <w:rFonts w:ascii="黑体" w:eastAsia="黑体"/>
                <w:color w:val="000000"/>
                <w:sz w:val="24"/>
                <w:szCs w:val="24"/>
              </w:rPr>
            </w:pPr>
            <w:r>
              <w:rPr>
                <w:rFonts w:hint="eastAsia" w:ascii="黑体" w:eastAsia="黑体"/>
                <w:color w:val="000000"/>
                <w:sz w:val="24"/>
                <w:szCs w:val="24"/>
              </w:rPr>
              <w:t>表</w:t>
            </w:r>
            <w:r>
              <w:rPr>
                <w:rFonts w:hint="eastAsia" w:ascii="黑体" w:eastAsia="黑体"/>
                <w:color w:val="000000"/>
                <w:sz w:val="24"/>
                <w:lang w:val="en-US" w:eastAsia="zh-CN"/>
              </w:rPr>
              <w:t>24</w:t>
            </w:r>
            <w:r>
              <w:rPr>
                <w:rFonts w:hint="eastAsia" w:ascii="黑体" w:eastAsia="黑体"/>
                <w:color w:val="000000"/>
                <w:sz w:val="24"/>
              </w:rPr>
              <w:t xml:space="preserve">    </w:t>
            </w:r>
            <w:r>
              <w:rPr>
                <w:rFonts w:hint="eastAsia" w:ascii="黑体" w:eastAsia="黑体"/>
                <w:color w:val="000000"/>
                <w:sz w:val="24"/>
                <w:szCs w:val="24"/>
              </w:rPr>
              <w:t>污染物排放控制标准一览表</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539"/>
              <w:gridCol w:w="2904"/>
              <w:gridCol w:w="984"/>
              <w:gridCol w:w="2735"/>
              <w:gridCol w:w="1020"/>
            </w:tblGrid>
            <w:tr w14:paraId="3AA5F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330" w:type="pct"/>
                  <w:noWrap w:val="0"/>
                  <w:vAlign w:val="center"/>
                </w:tcPr>
                <w:p w14:paraId="1BEA338E">
                  <w:pPr>
                    <w:adjustRightInd w:val="0"/>
                    <w:jc w:val="center"/>
                    <w:rPr>
                      <w:color w:val="000000"/>
                      <w:szCs w:val="21"/>
                    </w:rPr>
                  </w:pPr>
                  <w:r>
                    <w:rPr>
                      <w:color w:val="000000"/>
                      <w:szCs w:val="21"/>
                    </w:rPr>
                    <w:t>类别</w:t>
                  </w:r>
                </w:p>
              </w:tc>
              <w:tc>
                <w:tcPr>
                  <w:tcW w:w="1774" w:type="pct"/>
                  <w:noWrap w:val="0"/>
                  <w:vAlign w:val="center"/>
                </w:tcPr>
                <w:p w14:paraId="20915491">
                  <w:pPr>
                    <w:adjustRightInd w:val="0"/>
                    <w:jc w:val="center"/>
                    <w:rPr>
                      <w:color w:val="000000"/>
                      <w:szCs w:val="21"/>
                    </w:rPr>
                  </w:pPr>
                  <w:r>
                    <w:rPr>
                      <w:color w:val="000000"/>
                      <w:szCs w:val="21"/>
                    </w:rPr>
                    <w:t>标准名称</w:t>
                  </w:r>
                </w:p>
              </w:tc>
              <w:tc>
                <w:tcPr>
                  <w:tcW w:w="601" w:type="pct"/>
                  <w:noWrap w:val="0"/>
                  <w:vAlign w:val="center"/>
                </w:tcPr>
                <w:p w14:paraId="0D45AA3A">
                  <w:pPr>
                    <w:adjustRightInd w:val="0"/>
                    <w:jc w:val="center"/>
                    <w:rPr>
                      <w:color w:val="000000"/>
                      <w:szCs w:val="21"/>
                    </w:rPr>
                  </w:pPr>
                  <w:r>
                    <w:rPr>
                      <w:color w:val="000000"/>
                      <w:szCs w:val="21"/>
                    </w:rPr>
                    <w:t>污染因子</w:t>
                  </w:r>
                </w:p>
              </w:tc>
              <w:tc>
                <w:tcPr>
                  <w:tcW w:w="2293" w:type="pct"/>
                  <w:gridSpan w:val="2"/>
                  <w:noWrap w:val="0"/>
                  <w:vAlign w:val="center"/>
                </w:tcPr>
                <w:p w14:paraId="6A92B779">
                  <w:pPr>
                    <w:adjustRightInd w:val="0"/>
                    <w:jc w:val="center"/>
                    <w:rPr>
                      <w:color w:val="000000"/>
                      <w:szCs w:val="21"/>
                    </w:rPr>
                  </w:pPr>
                  <w:r>
                    <w:rPr>
                      <w:color w:val="000000"/>
                      <w:szCs w:val="21"/>
                    </w:rPr>
                    <w:t>标准限值</w:t>
                  </w:r>
                </w:p>
              </w:tc>
            </w:tr>
            <w:tr w14:paraId="02F7C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jc w:val="center"/>
              </w:trPr>
              <w:tc>
                <w:tcPr>
                  <w:tcW w:w="330" w:type="pct"/>
                  <w:vMerge w:val="restart"/>
                  <w:noWrap w:val="0"/>
                  <w:vAlign w:val="center"/>
                </w:tcPr>
                <w:p w14:paraId="305E2215">
                  <w:pPr>
                    <w:adjustRightInd w:val="0"/>
                    <w:jc w:val="center"/>
                    <w:rPr>
                      <w:color w:val="000000"/>
                      <w:szCs w:val="21"/>
                    </w:rPr>
                  </w:pPr>
                  <w:r>
                    <w:rPr>
                      <w:color w:val="000000"/>
                      <w:szCs w:val="21"/>
                    </w:rPr>
                    <w:t>废气</w:t>
                  </w:r>
                </w:p>
              </w:tc>
              <w:tc>
                <w:tcPr>
                  <w:tcW w:w="1774" w:type="pct"/>
                  <w:vMerge w:val="restart"/>
                  <w:noWrap w:val="0"/>
                  <w:vAlign w:val="center"/>
                </w:tcPr>
                <w:p w14:paraId="6E7F55EF">
                  <w:pPr>
                    <w:adjustRightInd w:val="0"/>
                    <w:jc w:val="center"/>
                    <w:rPr>
                      <w:color w:val="000000"/>
                      <w:szCs w:val="21"/>
                    </w:rPr>
                  </w:pPr>
                  <w:r>
                    <w:rPr>
                      <w:rFonts w:hint="eastAsia"/>
                      <w:color w:val="000000"/>
                      <w:szCs w:val="21"/>
                    </w:rPr>
                    <w:t>《大气污染物综合排放标准》（GB16297-1996）</w:t>
                  </w:r>
                </w:p>
              </w:tc>
              <w:tc>
                <w:tcPr>
                  <w:tcW w:w="601" w:type="pct"/>
                  <w:vMerge w:val="restart"/>
                  <w:noWrap w:val="0"/>
                  <w:vAlign w:val="center"/>
                </w:tcPr>
                <w:p w14:paraId="4E21C4BB">
                  <w:pPr>
                    <w:adjustRightInd w:val="0"/>
                    <w:jc w:val="center"/>
                    <w:rPr>
                      <w:color w:val="000000"/>
                      <w:szCs w:val="21"/>
                    </w:rPr>
                  </w:pPr>
                  <w:r>
                    <w:rPr>
                      <w:rFonts w:hint="eastAsia"/>
                      <w:color w:val="000000"/>
                      <w:szCs w:val="21"/>
                    </w:rPr>
                    <w:t>非甲烷总烃</w:t>
                  </w:r>
                </w:p>
              </w:tc>
              <w:tc>
                <w:tcPr>
                  <w:tcW w:w="1671" w:type="pct"/>
                  <w:noWrap w:val="0"/>
                  <w:vAlign w:val="center"/>
                </w:tcPr>
                <w:p w14:paraId="54E9730F">
                  <w:pPr>
                    <w:adjustRightInd w:val="0"/>
                    <w:jc w:val="center"/>
                    <w:rPr>
                      <w:rFonts w:hint="eastAsia" w:hAnsi="宋体"/>
                      <w:color w:val="000000"/>
                      <w:szCs w:val="21"/>
                    </w:rPr>
                  </w:pPr>
                  <w:r>
                    <w:rPr>
                      <w:rFonts w:hint="eastAsia" w:hAnsi="宋体"/>
                      <w:color w:val="000000"/>
                      <w:szCs w:val="21"/>
                      <w:lang w:val="en-US" w:eastAsia="zh-CN"/>
                    </w:rPr>
                    <w:t>15m排气筒最高允许排放速率</w:t>
                  </w:r>
                </w:p>
              </w:tc>
              <w:tc>
                <w:tcPr>
                  <w:tcW w:w="622" w:type="pct"/>
                  <w:noWrap w:val="0"/>
                  <w:vAlign w:val="center"/>
                </w:tcPr>
                <w:p w14:paraId="1881C788">
                  <w:pPr>
                    <w:adjustRightInd w:val="0"/>
                    <w:jc w:val="center"/>
                    <w:rPr>
                      <w:rFonts w:hint="eastAsia" w:hAnsi="宋体"/>
                      <w:color w:val="000000"/>
                      <w:szCs w:val="21"/>
                    </w:rPr>
                  </w:pPr>
                  <w:r>
                    <w:rPr>
                      <w:rFonts w:hint="eastAsia" w:hAnsi="宋体"/>
                      <w:color w:val="000000"/>
                      <w:szCs w:val="21"/>
                      <w:lang w:val="en-US" w:eastAsia="zh-CN"/>
                    </w:rPr>
                    <w:t>10kg/h</w:t>
                  </w:r>
                </w:p>
              </w:tc>
            </w:tr>
            <w:tr w14:paraId="015F8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330" w:type="pct"/>
                  <w:vMerge w:val="continue"/>
                  <w:noWrap w:val="0"/>
                  <w:vAlign w:val="center"/>
                </w:tcPr>
                <w:p w14:paraId="51E90FB2">
                  <w:pPr>
                    <w:adjustRightInd w:val="0"/>
                    <w:jc w:val="center"/>
                    <w:rPr>
                      <w:color w:val="000000"/>
                      <w:szCs w:val="21"/>
                    </w:rPr>
                  </w:pPr>
                </w:p>
              </w:tc>
              <w:tc>
                <w:tcPr>
                  <w:tcW w:w="1774" w:type="pct"/>
                  <w:vMerge w:val="continue"/>
                  <w:noWrap w:val="0"/>
                  <w:vAlign w:val="center"/>
                </w:tcPr>
                <w:p w14:paraId="21558A26">
                  <w:pPr>
                    <w:adjustRightInd w:val="0"/>
                    <w:jc w:val="center"/>
                    <w:rPr>
                      <w:rFonts w:hint="eastAsia"/>
                      <w:color w:val="000000"/>
                      <w:szCs w:val="21"/>
                    </w:rPr>
                  </w:pPr>
                </w:p>
              </w:tc>
              <w:tc>
                <w:tcPr>
                  <w:tcW w:w="601" w:type="pct"/>
                  <w:vMerge w:val="continue"/>
                  <w:noWrap w:val="0"/>
                  <w:vAlign w:val="center"/>
                </w:tcPr>
                <w:p w14:paraId="7056E314">
                  <w:pPr>
                    <w:adjustRightInd w:val="0"/>
                    <w:jc w:val="center"/>
                    <w:rPr>
                      <w:color w:val="000000"/>
                      <w:szCs w:val="21"/>
                    </w:rPr>
                  </w:pPr>
                </w:p>
              </w:tc>
              <w:tc>
                <w:tcPr>
                  <w:tcW w:w="1671" w:type="pct"/>
                  <w:noWrap w:val="0"/>
                  <w:vAlign w:val="center"/>
                </w:tcPr>
                <w:p w14:paraId="25D27953">
                  <w:pPr>
                    <w:adjustRightInd w:val="0"/>
                    <w:jc w:val="center"/>
                    <w:rPr>
                      <w:rFonts w:hint="eastAsia" w:hAnsi="宋体"/>
                      <w:color w:val="000000"/>
                      <w:szCs w:val="21"/>
                    </w:rPr>
                  </w:pPr>
                  <w:r>
                    <w:rPr>
                      <w:rFonts w:hint="eastAsia" w:hAnsi="宋体"/>
                      <w:color w:val="000000"/>
                      <w:szCs w:val="21"/>
                      <w:lang w:val="en-US" w:eastAsia="zh-CN"/>
                    </w:rPr>
                    <w:t>最高允许排放浓度</w:t>
                  </w:r>
                </w:p>
              </w:tc>
              <w:tc>
                <w:tcPr>
                  <w:tcW w:w="622" w:type="pct"/>
                  <w:noWrap w:val="0"/>
                  <w:vAlign w:val="center"/>
                </w:tcPr>
                <w:p w14:paraId="362812C7">
                  <w:pPr>
                    <w:adjustRightInd w:val="0"/>
                    <w:jc w:val="center"/>
                    <w:rPr>
                      <w:rFonts w:hint="eastAsia" w:hAnsi="宋体"/>
                      <w:color w:val="000000"/>
                      <w:szCs w:val="21"/>
                    </w:rPr>
                  </w:pPr>
                  <w:r>
                    <w:rPr>
                      <w:rFonts w:hint="eastAsia" w:hAnsi="宋体"/>
                      <w:color w:val="000000"/>
                      <w:szCs w:val="21"/>
                      <w:lang w:val="en-US" w:eastAsia="zh-CN"/>
                    </w:rPr>
                    <w:t>120</w:t>
                  </w:r>
                  <w:r>
                    <w:rPr>
                      <w:rFonts w:hAnsi="宋体"/>
                      <w:color w:val="000000"/>
                      <w:szCs w:val="21"/>
                    </w:rPr>
                    <w:t>mg/m</w:t>
                  </w:r>
                  <w:r>
                    <w:rPr>
                      <w:rFonts w:hAnsi="宋体"/>
                      <w:color w:val="000000"/>
                      <w:szCs w:val="21"/>
                      <w:vertAlign w:val="superscript"/>
                    </w:rPr>
                    <w:t>3</w:t>
                  </w:r>
                </w:p>
              </w:tc>
            </w:tr>
            <w:tr w14:paraId="7E46A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330" w:type="pct"/>
                  <w:vMerge w:val="continue"/>
                  <w:noWrap w:val="0"/>
                  <w:vAlign w:val="center"/>
                </w:tcPr>
                <w:p w14:paraId="7110A7CE">
                  <w:pPr>
                    <w:adjustRightInd w:val="0"/>
                    <w:jc w:val="center"/>
                    <w:rPr>
                      <w:color w:val="000000"/>
                      <w:szCs w:val="21"/>
                    </w:rPr>
                  </w:pPr>
                </w:p>
              </w:tc>
              <w:tc>
                <w:tcPr>
                  <w:tcW w:w="1774" w:type="pct"/>
                  <w:vMerge w:val="continue"/>
                  <w:noWrap w:val="0"/>
                  <w:vAlign w:val="center"/>
                </w:tcPr>
                <w:p w14:paraId="299904F3">
                  <w:pPr>
                    <w:adjustRightInd w:val="0"/>
                    <w:jc w:val="center"/>
                    <w:rPr>
                      <w:rFonts w:hint="eastAsia"/>
                      <w:color w:val="000000"/>
                      <w:szCs w:val="21"/>
                    </w:rPr>
                  </w:pPr>
                </w:p>
              </w:tc>
              <w:tc>
                <w:tcPr>
                  <w:tcW w:w="601" w:type="pct"/>
                  <w:vMerge w:val="continue"/>
                  <w:noWrap w:val="0"/>
                  <w:vAlign w:val="center"/>
                </w:tcPr>
                <w:p w14:paraId="23A821A8">
                  <w:pPr>
                    <w:adjustRightInd w:val="0"/>
                    <w:jc w:val="center"/>
                    <w:rPr>
                      <w:color w:val="000000"/>
                      <w:szCs w:val="21"/>
                    </w:rPr>
                  </w:pPr>
                </w:p>
              </w:tc>
              <w:tc>
                <w:tcPr>
                  <w:tcW w:w="1671" w:type="pct"/>
                  <w:noWrap w:val="0"/>
                  <w:vAlign w:val="center"/>
                </w:tcPr>
                <w:p w14:paraId="70BD8959">
                  <w:pPr>
                    <w:adjustRightInd w:val="0"/>
                    <w:jc w:val="center"/>
                    <w:rPr>
                      <w:rFonts w:hint="eastAsia" w:hAnsi="宋体"/>
                      <w:color w:val="000000"/>
                      <w:szCs w:val="21"/>
                    </w:rPr>
                  </w:pPr>
                  <w:r>
                    <w:rPr>
                      <w:rFonts w:hint="eastAsia" w:hAnsi="宋体"/>
                      <w:color w:val="000000"/>
                      <w:szCs w:val="21"/>
                      <w:lang w:val="en-US" w:eastAsia="zh-CN"/>
                    </w:rPr>
                    <w:t>周界外浓度最高点</w:t>
                  </w:r>
                </w:p>
              </w:tc>
              <w:tc>
                <w:tcPr>
                  <w:tcW w:w="622" w:type="pct"/>
                  <w:noWrap w:val="0"/>
                  <w:vAlign w:val="center"/>
                </w:tcPr>
                <w:p w14:paraId="71E569A1">
                  <w:pPr>
                    <w:adjustRightInd w:val="0"/>
                    <w:jc w:val="center"/>
                    <w:rPr>
                      <w:rFonts w:hint="eastAsia" w:hAnsi="宋体"/>
                      <w:color w:val="000000"/>
                      <w:szCs w:val="21"/>
                    </w:rPr>
                  </w:pPr>
                  <w:r>
                    <w:rPr>
                      <w:rFonts w:hint="eastAsia" w:hAnsi="宋体"/>
                      <w:color w:val="000000"/>
                      <w:szCs w:val="21"/>
                      <w:lang w:val="en-US" w:eastAsia="zh-CN"/>
                    </w:rPr>
                    <w:t>4</w:t>
                  </w:r>
                  <w:r>
                    <w:rPr>
                      <w:rFonts w:hint="eastAsia" w:hAnsi="宋体"/>
                      <w:color w:val="000000"/>
                      <w:szCs w:val="21"/>
                    </w:rPr>
                    <w:t>.0</w:t>
                  </w:r>
                  <w:r>
                    <w:rPr>
                      <w:rFonts w:hAnsi="宋体"/>
                      <w:color w:val="000000"/>
                      <w:szCs w:val="21"/>
                    </w:rPr>
                    <w:t>mg/m</w:t>
                  </w:r>
                  <w:r>
                    <w:rPr>
                      <w:rFonts w:hAnsi="宋体"/>
                      <w:color w:val="000000"/>
                      <w:szCs w:val="21"/>
                      <w:vertAlign w:val="superscript"/>
                    </w:rPr>
                    <w:t>3</w:t>
                  </w:r>
                </w:p>
              </w:tc>
            </w:tr>
            <w:tr w14:paraId="12403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330" w:type="pct"/>
                  <w:vMerge w:val="continue"/>
                  <w:noWrap w:val="0"/>
                  <w:vAlign w:val="center"/>
                </w:tcPr>
                <w:p w14:paraId="5E0AC3DE">
                  <w:pPr>
                    <w:adjustRightInd w:val="0"/>
                    <w:jc w:val="center"/>
                    <w:rPr>
                      <w:color w:val="000000"/>
                      <w:szCs w:val="21"/>
                    </w:rPr>
                  </w:pPr>
                </w:p>
              </w:tc>
              <w:tc>
                <w:tcPr>
                  <w:tcW w:w="1774" w:type="pct"/>
                  <w:vMerge w:val="continue"/>
                  <w:noWrap w:val="0"/>
                  <w:vAlign w:val="center"/>
                </w:tcPr>
                <w:p w14:paraId="328BC5E5">
                  <w:pPr>
                    <w:adjustRightInd w:val="0"/>
                    <w:jc w:val="center"/>
                    <w:rPr>
                      <w:rFonts w:hint="eastAsia"/>
                      <w:color w:val="000000"/>
                      <w:szCs w:val="21"/>
                    </w:rPr>
                  </w:pPr>
                </w:p>
              </w:tc>
              <w:tc>
                <w:tcPr>
                  <w:tcW w:w="601" w:type="pct"/>
                  <w:vMerge w:val="restart"/>
                  <w:noWrap w:val="0"/>
                  <w:vAlign w:val="center"/>
                </w:tcPr>
                <w:p w14:paraId="76D19FFF">
                  <w:pPr>
                    <w:adjustRightInd w:val="0"/>
                    <w:jc w:val="center"/>
                    <w:rPr>
                      <w:rFonts w:hint="eastAsia" w:eastAsia="宋体"/>
                      <w:color w:val="000000"/>
                      <w:szCs w:val="21"/>
                      <w:lang w:val="en-US" w:eastAsia="zh-CN"/>
                    </w:rPr>
                  </w:pPr>
                  <w:r>
                    <w:rPr>
                      <w:rFonts w:hint="eastAsia"/>
                      <w:color w:val="000000"/>
                      <w:szCs w:val="21"/>
                      <w:lang w:val="en-US" w:eastAsia="zh-CN"/>
                    </w:rPr>
                    <w:t>颗粒物</w:t>
                  </w:r>
                </w:p>
              </w:tc>
              <w:tc>
                <w:tcPr>
                  <w:tcW w:w="1671" w:type="pct"/>
                  <w:noWrap w:val="0"/>
                  <w:vAlign w:val="center"/>
                </w:tcPr>
                <w:p w14:paraId="79C4F3C2">
                  <w:pPr>
                    <w:adjustRightInd w:val="0"/>
                    <w:jc w:val="center"/>
                    <w:rPr>
                      <w:rFonts w:hint="eastAsia" w:hAnsi="宋体"/>
                      <w:color w:val="000000"/>
                      <w:szCs w:val="21"/>
                    </w:rPr>
                  </w:pPr>
                  <w:r>
                    <w:rPr>
                      <w:rFonts w:hint="eastAsia" w:hAnsi="宋体"/>
                      <w:color w:val="000000"/>
                      <w:szCs w:val="21"/>
                      <w:lang w:val="en-US" w:eastAsia="zh-CN"/>
                    </w:rPr>
                    <w:t>15m排气筒最高允许排放速率</w:t>
                  </w:r>
                </w:p>
              </w:tc>
              <w:tc>
                <w:tcPr>
                  <w:tcW w:w="622" w:type="pct"/>
                  <w:noWrap w:val="0"/>
                  <w:vAlign w:val="center"/>
                </w:tcPr>
                <w:p w14:paraId="3775E5A4">
                  <w:pPr>
                    <w:adjustRightInd w:val="0"/>
                    <w:jc w:val="center"/>
                    <w:rPr>
                      <w:rFonts w:hint="default" w:hAnsi="宋体" w:eastAsia="宋体"/>
                      <w:color w:val="000000"/>
                      <w:szCs w:val="21"/>
                      <w:lang w:val="en-US" w:eastAsia="zh-CN"/>
                    </w:rPr>
                  </w:pPr>
                  <w:r>
                    <w:rPr>
                      <w:rFonts w:hint="eastAsia" w:hAnsi="宋体"/>
                      <w:color w:val="000000"/>
                      <w:szCs w:val="21"/>
                      <w:lang w:val="en-US" w:eastAsia="zh-CN"/>
                    </w:rPr>
                    <w:t>3.5kg/h</w:t>
                  </w:r>
                </w:p>
              </w:tc>
            </w:tr>
            <w:tr w14:paraId="6E2A9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330" w:type="pct"/>
                  <w:vMerge w:val="continue"/>
                  <w:noWrap w:val="0"/>
                  <w:vAlign w:val="center"/>
                </w:tcPr>
                <w:p w14:paraId="170D5B31">
                  <w:pPr>
                    <w:adjustRightInd w:val="0"/>
                    <w:jc w:val="center"/>
                    <w:rPr>
                      <w:color w:val="000000"/>
                      <w:szCs w:val="21"/>
                    </w:rPr>
                  </w:pPr>
                </w:p>
              </w:tc>
              <w:tc>
                <w:tcPr>
                  <w:tcW w:w="1774" w:type="pct"/>
                  <w:vMerge w:val="continue"/>
                  <w:noWrap w:val="0"/>
                  <w:vAlign w:val="center"/>
                </w:tcPr>
                <w:p w14:paraId="00FF7651">
                  <w:pPr>
                    <w:adjustRightInd w:val="0"/>
                    <w:jc w:val="center"/>
                    <w:rPr>
                      <w:rFonts w:hint="eastAsia"/>
                      <w:color w:val="000000"/>
                      <w:szCs w:val="21"/>
                    </w:rPr>
                  </w:pPr>
                </w:p>
              </w:tc>
              <w:tc>
                <w:tcPr>
                  <w:tcW w:w="601" w:type="pct"/>
                  <w:vMerge w:val="continue"/>
                  <w:noWrap w:val="0"/>
                  <w:vAlign w:val="center"/>
                </w:tcPr>
                <w:p w14:paraId="31A327FC">
                  <w:pPr>
                    <w:adjustRightInd w:val="0"/>
                    <w:jc w:val="center"/>
                    <w:rPr>
                      <w:rFonts w:hint="eastAsia"/>
                      <w:color w:val="000000"/>
                      <w:szCs w:val="21"/>
                      <w:lang w:val="en-US" w:eastAsia="zh-CN"/>
                    </w:rPr>
                  </w:pPr>
                </w:p>
              </w:tc>
              <w:tc>
                <w:tcPr>
                  <w:tcW w:w="1671" w:type="pct"/>
                  <w:noWrap w:val="0"/>
                  <w:vAlign w:val="center"/>
                </w:tcPr>
                <w:p w14:paraId="2F8FB14E">
                  <w:pPr>
                    <w:adjustRightInd w:val="0"/>
                    <w:jc w:val="center"/>
                    <w:rPr>
                      <w:rFonts w:hint="default" w:hAnsi="宋体"/>
                      <w:color w:val="000000"/>
                      <w:szCs w:val="21"/>
                      <w:lang w:val="en-US" w:eastAsia="zh-CN"/>
                    </w:rPr>
                  </w:pPr>
                  <w:r>
                    <w:rPr>
                      <w:rFonts w:hint="eastAsia" w:hAnsi="宋体"/>
                      <w:color w:val="000000"/>
                      <w:szCs w:val="21"/>
                      <w:lang w:val="en-US" w:eastAsia="zh-CN"/>
                    </w:rPr>
                    <w:t>最高允许排放浓度</w:t>
                  </w:r>
                </w:p>
              </w:tc>
              <w:tc>
                <w:tcPr>
                  <w:tcW w:w="622" w:type="pct"/>
                  <w:noWrap w:val="0"/>
                  <w:vAlign w:val="center"/>
                </w:tcPr>
                <w:p w14:paraId="70947740">
                  <w:pPr>
                    <w:adjustRightInd w:val="0"/>
                    <w:jc w:val="center"/>
                    <w:rPr>
                      <w:rFonts w:hint="eastAsia" w:hAnsi="宋体"/>
                      <w:color w:val="000000"/>
                      <w:szCs w:val="21"/>
                      <w:lang w:val="en-US" w:eastAsia="zh-CN"/>
                    </w:rPr>
                  </w:pPr>
                  <w:r>
                    <w:rPr>
                      <w:rFonts w:hint="eastAsia" w:hAnsi="宋体"/>
                      <w:color w:val="000000"/>
                      <w:szCs w:val="21"/>
                      <w:lang w:val="en-US" w:eastAsia="zh-CN"/>
                    </w:rPr>
                    <w:t>120</w:t>
                  </w:r>
                  <w:r>
                    <w:rPr>
                      <w:rFonts w:hAnsi="宋体"/>
                      <w:color w:val="000000"/>
                      <w:szCs w:val="21"/>
                    </w:rPr>
                    <w:t>mg/m</w:t>
                  </w:r>
                  <w:r>
                    <w:rPr>
                      <w:rFonts w:hAnsi="宋体"/>
                      <w:color w:val="000000"/>
                      <w:szCs w:val="21"/>
                      <w:vertAlign w:val="superscript"/>
                    </w:rPr>
                    <w:t>3</w:t>
                  </w:r>
                </w:p>
              </w:tc>
            </w:tr>
            <w:tr w14:paraId="56A1E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330" w:type="pct"/>
                  <w:vMerge w:val="continue"/>
                  <w:noWrap w:val="0"/>
                  <w:vAlign w:val="center"/>
                </w:tcPr>
                <w:p w14:paraId="521CB9EC">
                  <w:pPr>
                    <w:adjustRightInd w:val="0"/>
                    <w:jc w:val="center"/>
                    <w:rPr>
                      <w:color w:val="000000"/>
                      <w:szCs w:val="21"/>
                    </w:rPr>
                  </w:pPr>
                </w:p>
              </w:tc>
              <w:tc>
                <w:tcPr>
                  <w:tcW w:w="1774" w:type="pct"/>
                  <w:vMerge w:val="continue"/>
                  <w:noWrap w:val="0"/>
                  <w:vAlign w:val="center"/>
                </w:tcPr>
                <w:p w14:paraId="6AE5D382">
                  <w:pPr>
                    <w:adjustRightInd w:val="0"/>
                    <w:jc w:val="center"/>
                    <w:rPr>
                      <w:rFonts w:hint="eastAsia"/>
                      <w:color w:val="000000"/>
                      <w:szCs w:val="21"/>
                    </w:rPr>
                  </w:pPr>
                </w:p>
              </w:tc>
              <w:tc>
                <w:tcPr>
                  <w:tcW w:w="601" w:type="pct"/>
                  <w:vMerge w:val="continue"/>
                  <w:noWrap w:val="0"/>
                  <w:vAlign w:val="center"/>
                </w:tcPr>
                <w:p w14:paraId="32839C21">
                  <w:pPr>
                    <w:adjustRightInd w:val="0"/>
                    <w:jc w:val="center"/>
                    <w:rPr>
                      <w:color w:val="000000"/>
                      <w:szCs w:val="21"/>
                    </w:rPr>
                  </w:pPr>
                </w:p>
              </w:tc>
              <w:tc>
                <w:tcPr>
                  <w:tcW w:w="1671" w:type="pct"/>
                  <w:noWrap w:val="0"/>
                  <w:vAlign w:val="center"/>
                </w:tcPr>
                <w:p w14:paraId="29C4B92A">
                  <w:pPr>
                    <w:adjustRightInd w:val="0"/>
                    <w:jc w:val="center"/>
                    <w:rPr>
                      <w:rFonts w:hint="eastAsia" w:hAnsi="宋体"/>
                      <w:color w:val="000000"/>
                      <w:szCs w:val="21"/>
                    </w:rPr>
                  </w:pPr>
                  <w:r>
                    <w:rPr>
                      <w:rFonts w:hint="eastAsia" w:hAnsi="宋体"/>
                      <w:color w:val="000000"/>
                      <w:szCs w:val="21"/>
                      <w:lang w:val="en-US" w:eastAsia="zh-CN"/>
                    </w:rPr>
                    <w:t>周界外浓度最高点</w:t>
                  </w:r>
                </w:p>
              </w:tc>
              <w:tc>
                <w:tcPr>
                  <w:tcW w:w="622" w:type="pct"/>
                  <w:noWrap w:val="0"/>
                  <w:vAlign w:val="center"/>
                </w:tcPr>
                <w:p w14:paraId="1EDE49CF">
                  <w:pPr>
                    <w:adjustRightInd w:val="0"/>
                    <w:jc w:val="center"/>
                    <w:rPr>
                      <w:rFonts w:hint="eastAsia" w:hAnsi="宋体"/>
                      <w:color w:val="000000"/>
                      <w:szCs w:val="21"/>
                    </w:rPr>
                  </w:pPr>
                  <w:r>
                    <w:rPr>
                      <w:rFonts w:hint="eastAsia" w:hAnsi="宋体"/>
                      <w:color w:val="000000"/>
                      <w:szCs w:val="21"/>
                      <w:lang w:val="en-US" w:eastAsia="zh-CN"/>
                    </w:rPr>
                    <w:t>1</w:t>
                  </w:r>
                  <w:r>
                    <w:rPr>
                      <w:rFonts w:hint="eastAsia" w:hAnsi="宋体"/>
                      <w:color w:val="000000"/>
                      <w:szCs w:val="21"/>
                    </w:rPr>
                    <w:t>.0</w:t>
                  </w:r>
                  <w:r>
                    <w:rPr>
                      <w:rFonts w:hAnsi="宋体"/>
                      <w:color w:val="000000"/>
                      <w:szCs w:val="21"/>
                    </w:rPr>
                    <w:t>mg/m</w:t>
                  </w:r>
                  <w:r>
                    <w:rPr>
                      <w:rFonts w:hAnsi="宋体"/>
                      <w:color w:val="000000"/>
                      <w:szCs w:val="21"/>
                      <w:vertAlign w:val="superscript"/>
                    </w:rPr>
                    <w:t>3</w:t>
                  </w:r>
                </w:p>
              </w:tc>
            </w:tr>
            <w:tr w14:paraId="0023B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330" w:type="pct"/>
                  <w:vMerge w:val="continue"/>
                  <w:noWrap w:val="0"/>
                  <w:vAlign w:val="center"/>
                </w:tcPr>
                <w:p w14:paraId="263872A1">
                  <w:pPr>
                    <w:adjustRightInd w:val="0"/>
                    <w:jc w:val="center"/>
                    <w:rPr>
                      <w:color w:val="000000"/>
                      <w:szCs w:val="21"/>
                    </w:rPr>
                  </w:pPr>
                </w:p>
              </w:tc>
              <w:tc>
                <w:tcPr>
                  <w:tcW w:w="1774" w:type="pct"/>
                  <w:vMerge w:val="continue"/>
                  <w:noWrap w:val="0"/>
                  <w:vAlign w:val="center"/>
                </w:tcPr>
                <w:p w14:paraId="151345A9">
                  <w:pPr>
                    <w:adjustRightInd w:val="0"/>
                    <w:jc w:val="center"/>
                    <w:rPr>
                      <w:rFonts w:hint="eastAsia"/>
                      <w:color w:val="000000"/>
                      <w:szCs w:val="21"/>
                    </w:rPr>
                  </w:pPr>
                </w:p>
              </w:tc>
              <w:tc>
                <w:tcPr>
                  <w:tcW w:w="601" w:type="pct"/>
                  <w:vMerge w:val="restart"/>
                  <w:noWrap w:val="0"/>
                  <w:vAlign w:val="center"/>
                </w:tcPr>
                <w:p w14:paraId="437E04D4">
                  <w:pPr>
                    <w:adjustRightInd w:val="0"/>
                    <w:jc w:val="center"/>
                    <w:rPr>
                      <w:rFonts w:hint="eastAsia" w:eastAsia="宋体"/>
                      <w:color w:val="000000"/>
                      <w:szCs w:val="21"/>
                      <w:lang w:val="en-US" w:eastAsia="zh-CN"/>
                    </w:rPr>
                  </w:pPr>
                  <w:r>
                    <w:rPr>
                      <w:rFonts w:hint="eastAsia"/>
                      <w:color w:val="000000"/>
                      <w:szCs w:val="21"/>
                      <w:lang w:val="en-US" w:eastAsia="zh-CN"/>
                    </w:rPr>
                    <w:t>氯化氢</w:t>
                  </w:r>
                </w:p>
              </w:tc>
              <w:tc>
                <w:tcPr>
                  <w:tcW w:w="1671" w:type="pct"/>
                  <w:noWrap w:val="0"/>
                  <w:vAlign w:val="center"/>
                </w:tcPr>
                <w:p w14:paraId="1B0C51EC">
                  <w:pPr>
                    <w:adjustRightInd w:val="0"/>
                    <w:jc w:val="center"/>
                    <w:rPr>
                      <w:rFonts w:hint="eastAsia" w:hAnsi="宋体"/>
                      <w:color w:val="000000"/>
                      <w:szCs w:val="21"/>
                    </w:rPr>
                  </w:pPr>
                  <w:r>
                    <w:rPr>
                      <w:rFonts w:hint="eastAsia" w:hAnsi="宋体"/>
                      <w:color w:val="000000"/>
                      <w:szCs w:val="21"/>
                      <w:lang w:val="en-US" w:eastAsia="zh-CN"/>
                    </w:rPr>
                    <w:t>15m排气筒最高允许排放速率</w:t>
                  </w:r>
                </w:p>
              </w:tc>
              <w:tc>
                <w:tcPr>
                  <w:tcW w:w="622" w:type="pct"/>
                  <w:noWrap w:val="0"/>
                  <w:vAlign w:val="center"/>
                </w:tcPr>
                <w:p w14:paraId="088D7980">
                  <w:pPr>
                    <w:adjustRightInd w:val="0"/>
                    <w:jc w:val="center"/>
                    <w:rPr>
                      <w:rFonts w:hint="eastAsia" w:hAnsi="宋体"/>
                      <w:color w:val="000000"/>
                      <w:szCs w:val="21"/>
                      <w:lang w:val="en-US" w:eastAsia="zh-CN"/>
                    </w:rPr>
                  </w:pPr>
                  <w:r>
                    <w:rPr>
                      <w:rFonts w:hint="eastAsia" w:hAnsi="宋体"/>
                      <w:color w:val="000000"/>
                      <w:szCs w:val="21"/>
                      <w:lang w:val="en-US" w:eastAsia="zh-CN"/>
                    </w:rPr>
                    <w:t>0.26kg/h</w:t>
                  </w:r>
                </w:p>
              </w:tc>
            </w:tr>
            <w:tr w14:paraId="74FAD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330" w:type="pct"/>
                  <w:vMerge w:val="continue"/>
                  <w:noWrap w:val="0"/>
                  <w:vAlign w:val="center"/>
                </w:tcPr>
                <w:p w14:paraId="47958D89">
                  <w:pPr>
                    <w:adjustRightInd w:val="0"/>
                    <w:jc w:val="center"/>
                    <w:rPr>
                      <w:color w:val="000000"/>
                      <w:szCs w:val="21"/>
                    </w:rPr>
                  </w:pPr>
                </w:p>
              </w:tc>
              <w:tc>
                <w:tcPr>
                  <w:tcW w:w="1774" w:type="pct"/>
                  <w:vMerge w:val="continue"/>
                  <w:noWrap w:val="0"/>
                  <w:vAlign w:val="center"/>
                </w:tcPr>
                <w:p w14:paraId="7B492CA9">
                  <w:pPr>
                    <w:adjustRightInd w:val="0"/>
                    <w:jc w:val="center"/>
                    <w:rPr>
                      <w:rFonts w:hint="eastAsia"/>
                      <w:color w:val="000000"/>
                      <w:szCs w:val="21"/>
                    </w:rPr>
                  </w:pPr>
                </w:p>
              </w:tc>
              <w:tc>
                <w:tcPr>
                  <w:tcW w:w="601" w:type="pct"/>
                  <w:vMerge w:val="continue"/>
                  <w:noWrap w:val="0"/>
                  <w:vAlign w:val="center"/>
                </w:tcPr>
                <w:p w14:paraId="59428CE5">
                  <w:pPr>
                    <w:adjustRightInd w:val="0"/>
                    <w:jc w:val="center"/>
                    <w:rPr>
                      <w:color w:val="000000"/>
                      <w:szCs w:val="21"/>
                    </w:rPr>
                  </w:pPr>
                </w:p>
              </w:tc>
              <w:tc>
                <w:tcPr>
                  <w:tcW w:w="1671" w:type="pct"/>
                  <w:noWrap w:val="0"/>
                  <w:vAlign w:val="center"/>
                </w:tcPr>
                <w:p w14:paraId="13DC6962">
                  <w:pPr>
                    <w:adjustRightInd w:val="0"/>
                    <w:jc w:val="center"/>
                    <w:rPr>
                      <w:rFonts w:hint="eastAsia" w:hAnsi="宋体"/>
                      <w:color w:val="000000"/>
                      <w:szCs w:val="21"/>
                    </w:rPr>
                  </w:pPr>
                  <w:r>
                    <w:rPr>
                      <w:rFonts w:hint="eastAsia" w:hAnsi="宋体"/>
                      <w:color w:val="000000"/>
                      <w:szCs w:val="21"/>
                      <w:lang w:val="en-US" w:eastAsia="zh-CN"/>
                    </w:rPr>
                    <w:t>最高允许排放浓度</w:t>
                  </w:r>
                </w:p>
              </w:tc>
              <w:tc>
                <w:tcPr>
                  <w:tcW w:w="622" w:type="pct"/>
                  <w:noWrap w:val="0"/>
                  <w:vAlign w:val="center"/>
                </w:tcPr>
                <w:p w14:paraId="41C7B018">
                  <w:pPr>
                    <w:adjustRightInd w:val="0"/>
                    <w:jc w:val="center"/>
                    <w:rPr>
                      <w:rFonts w:hint="eastAsia" w:hAnsi="宋体"/>
                      <w:color w:val="000000"/>
                      <w:szCs w:val="21"/>
                      <w:lang w:val="en-US" w:eastAsia="zh-CN"/>
                    </w:rPr>
                  </w:pPr>
                  <w:r>
                    <w:rPr>
                      <w:rFonts w:hint="eastAsia" w:hAnsi="宋体"/>
                      <w:color w:val="000000"/>
                      <w:szCs w:val="21"/>
                      <w:lang w:val="en-US" w:eastAsia="zh-CN"/>
                    </w:rPr>
                    <w:t>100</w:t>
                  </w:r>
                  <w:r>
                    <w:rPr>
                      <w:rFonts w:hAnsi="宋体"/>
                      <w:color w:val="000000"/>
                      <w:szCs w:val="21"/>
                    </w:rPr>
                    <w:t>mg/m</w:t>
                  </w:r>
                  <w:r>
                    <w:rPr>
                      <w:rFonts w:hAnsi="宋体"/>
                      <w:color w:val="000000"/>
                      <w:szCs w:val="21"/>
                      <w:vertAlign w:val="superscript"/>
                    </w:rPr>
                    <w:t>3</w:t>
                  </w:r>
                </w:p>
              </w:tc>
            </w:tr>
            <w:tr w14:paraId="5672D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330" w:type="pct"/>
                  <w:vMerge w:val="continue"/>
                  <w:noWrap w:val="0"/>
                  <w:vAlign w:val="center"/>
                </w:tcPr>
                <w:p w14:paraId="33A93F4F">
                  <w:pPr>
                    <w:adjustRightInd w:val="0"/>
                    <w:jc w:val="center"/>
                    <w:rPr>
                      <w:color w:val="000000"/>
                      <w:szCs w:val="21"/>
                    </w:rPr>
                  </w:pPr>
                </w:p>
              </w:tc>
              <w:tc>
                <w:tcPr>
                  <w:tcW w:w="1774" w:type="pct"/>
                  <w:vMerge w:val="continue"/>
                  <w:noWrap w:val="0"/>
                  <w:vAlign w:val="center"/>
                </w:tcPr>
                <w:p w14:paraId="114C275E">
                  <w:pPr>
                    <w:adjustRightInd w:val="0"/>
                    <w:jc w:val="center"/>
                    <w:rPr>
                      <w:rFonts w:hint="eastAsia"/>
                      <w:color w:val="000000"/>
                      <w:szCs w:val="21"/>
                    </w:rPr>
                  </w:pPr>
                </w:p>
              </w:tc>
              <w:tc>
                <w:tcPr>
                  <w:tcW w:w="601" w:type="pct"/>
                  <w:vMerge w:val="continue"/>
                  <w:noWrap w:val="0"/>
                  <w:vAlign w:val="center"/>
                </w:tcPr>
                <w:p w14:paraId="27D05093">
                  <w:pPr>
                    <w:adjustRightInd w:val="0"/>
                    <w:jc w:val="center"/>
                    <w:rPr>
                      <w:color w:val="000000"/>
                      <w:szCs w:val="21"/>
                    </w:rPr>
                  </w:pPr>
                </w:p>
              </w:tc>
              <w:tc>
                <w:tcPr>
                  <w:tcW w:w="1671" w:type="pct"/>
                  <w:noWrap w:val="0"/>
                  <w:vAlign w:val="center"/>
                </w:tcPr>
                <w:p w14:paraId="0E4476B1">
                  <w:pPr>
                    <w:adjustRightInd w:val="0"/>
                    <w:jc w:val="center"/>
                    <w:rPr>
                      <w:rFonts w:hint="eastAsia" w:hAnsi="宋体"/>
                      <w:color w:val="000000"/>
                      <w:szCs w:val="21"/>
                    </w:rPr>
                  </w:pPr>
                  <w:r>
                    <w:rPr>
                      <w:rFonts w:hint="eastAsia" w:hAnsi="宋体"/>
                      <w:color w:val="000000"/>
                      <w:szCs w:val="21"/>
                      <w:lang w:val="en-US" w:eastAsia="zh-CN"/>
                    </w:rPr>
                    <w:t>周界外浓度最高点</w:t>
                  </w:r>
                </w:p>
              </w:tc>
              <w:tc>
                <w:tcPr>
                  <w:tcW w:w="622" w:type="pct"/>
                  <w:noWrap w:val="0"/>
                  <w:vAlign w:val="center"/>
                </w:tcPr>
                <w:p w14:paraId="4693A0EB">
                  <w:pPr>
                    <w:adjustRightInd w:val="0"/>
                    <w:jc w:val="center"/>
                    <w:rPr>
                      <w:rFonts w:hint="eastAsia" w:hAnsi="宋体"/>
                      <w:color w:val="000000"/>
                      <w:szCs w:val="21"/>
                    </w:rPr>
                  </w:pPr>
                  <w:r>
                    <w:rPr>
                      <w:rFonts w:hint="eastAsia" w:hAnsi="宋体"/>
                      <w:color w:val="000000"/>
                      <w:szCs w:val="21"/>
                      <w:lang w:val="en-US" w:eastAsia="zh-CN"/>
                    </w:rPr>
                    <w:t>0.2</w:t>
                  </w:r>
                  <w:r>
                    <w:rPr>
                      <w:rFonts w:hAnsi="宋体"/>
                      <w:color w:val="000000"/>
                      <w:szCs w:val="21"/>
                    </w:rPr>
                    <w:t>mg/m</w:t>
                  </w:r>
                  <w:r>
                    <w:rPr>
                      <w:rFonts w:hAnsi="宋体"/>
                      <w:color w:val="000000"/>
                      <w:szCs w:val="21"/>
                      <w:vertAlign w:val="superscript"/>
                    </w:rPr>
                    <w:t>3</w:t>
                  </w:r>
                </w:p>
              </w:tc>
            </w:tr>
            <w:tr w14:paraId="1EDC5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330" w:type="pct"/>
                  <w:vMerge w:val="continue"/>
                  <w:noWrap w:val="0"/>
                  <w:vAlign w:val="center"/>
                </w:tcPr>
                <w:p w14:paraId="537E7305">
                  <w:pPr>
                    <w:adjustRightInd w:val="0"/>
                    <w:jc w:val="center"/>
                    <w:rPr>
                      <w:color w:val="000000"/>
                      <w:szCs w:val="21"/>
                    </w:rPr>
                  </w:pPr>
                </w:p>
              </w:tc>
              <w:tc>
                <w:tcPr>
                  <w:tcW w:w="1774" w:type="pct"/>
                  <w:vMerge w:val="restart"/>
                  <w:noWrap w:val="0"/>
                  <w:vAlign w:val="center"/>
                </w:tcPr>
                <w:p w14:paraId="4F454123">
                  <w:pPr>
                    <w:adjustRightInd w:val="0"/>
                    <w:jc w:val="center"/>
                    <w:rPr>
                      <w:rFonts w:hint="eastAsia"/>
                      <w:color w:val="000000"/>
                      <w:szCs w:val="21"/>
                    </w:rPr>
                  </w:pPr>
                  <w:r>
                    <w:rPr>
                      <w:rFonts w:hint="eastAsia"/>
                      <w:color w:val="000000"/>
                      <w:szCs w:val="21"/>
                    </w:rPr>
                    <w:t>《关于全省开展工业企业挥发性有机物专项治理工作中排放建议值的通知》（豫环攻坚办</w:t>
                  </w:r>
                  <w:r>
                    <w:rPr>
                      <w:rFonts w:hint="eastAsia"/>
                      <w:color w:val="000000"/>
                      <w:szCs w:val="21"/>
                      <w:lang w:eastAsia="zh-CN"/>
                    </w:rPr>
                    <w:t>〔2017〕162号</w:t>
                  </w:r>
                  <w:r>
                    <w:rPr>
                      <w:rFonts w:hint="eastAsia"/>
                      <w:color w:val="000000"/>
                      <w:szCs w:val="21"/>
                    </w:rPr>
                    <w:t>）</w:t>
                  </w:r>
                </w:p>
              </w:tc>
              <w:tc>
                <w:tcPr>
                  <w:tcW w:w="601" w:type="pct"/>
                  <w:vMerge w:val="restart"/>
                  <w:noWrap w:val="0"/>
                  <w:vAlign w:val="center"/>
                </w:tcPr>
                <w:p w14:paraId="5B1835FD">
                  <w:pPr>
                    <w:adjustRightInd w:val="0"/>
                    <w:jc w:val="center"/>
                    <w:rPr>
                      <w:color w:val="000000"/>
                      <w:szCs w:val="21"/>
                    </w:rPr>
                  </w:pPr>
                  <w:r>
                    <w:rPr>
                      <w:rFonts w:hint="eastAsia"/>
                      <w:color w:val="000000"/>
                      <w:kern w:val="0"/>
                      <w:szCs w:val="21"/>
                    </w:rPr>
                    <w:t>非甲烷总烃</w:t>
                  </w:r>
                </w:p>
              </w:tc>
              <w:tc>
                <w:tcPr>
                  <w:tcW w:w="1671" w:type="pct"/>
                  <w:noWrap w:val="0"/>
                  <w:vAlign w:val="center"/>
                </w:tcPr>
                <w:p w14:paraId="0C2E27DA">
                  <w:pPr>
                    <w:adjustRightInd w:val="0"/>
                    <w:jc w:val="center"/>
                    <w:rPr>
                      <w:rFonts w:hint="default" w:hAnsi="宋体"/>
                      <w:color w:val="000000"/>
                      <w:kern w:val="2"/>
                      <w:sz w:val="21"/>
                      <w:szCs w:val="21"/>
                      <w:lang w:val="en-US" w:eastAsia="zh-CN" w:bidi="ar-SA"/>
                    </w:rPr>
                  </w:pPr>
                  <w:r>
                    <w:rPr>
                      <w:rFonts w:hint="eastAsia" w:hAnsi="宋体"/>
                      <w:color w:val="000000"/>
                      <w:kern w:val="2"/>
                      <w:sz w:val="21"/>
                      <w:szCs w:val="21"/>
                      <w:lang w:val="en-US" w:eastAsia="zh-CN" w:bidi="ar-SA"/>
                    </w:rPr>
                    <w:t>建议排放浓度</w:t>
                  </w:r>
                </w:p>
              </w:tc>
              <w:tc>
                <w:tcPr>
                  <w:tcW w:w="622" w:type="pct"/>
                  <w:noWrap w:val="0"/>
                  <w:vAlign w:val="center"/>
                </w:tcPr>
                <w:p w14:paraId="75214CBD">
                  <w:pPr>
                    <w:adjustRightInd w:val="0"/>
                    <w:jc w:val="center"/>
                    <w:rPr>
                      <w:rFonts w:hint="eastAsia" w:hAnsi="宋体"/>
                      <w:color w:val="000000"/>
                      <w:kern w:val="2"/>
                      <w:sz w:val="21"/>
                      <w:szCs w:val="21"/>
                      <w:lang w:val="en-US" w:eastAsia="zh-CN" w:bidi="ar-SA"/>
                    </w:rPr>
                  </w:pPr>
                  <w:r>
                    <w:rPr>
                      <w:rFonts w:hint="eastAsia" w:hAnsi="宋体"/>
                      <w:color w:val="000000"/>
                      <w:szCs w:val="21"/>
                      <w:lang w:val="en-US" w:eastAsia="zh-CN"/>
                    </w:rPr>
                    <w:t>80</w:t>
                  </w:r>
                  <w:r>
                    <w:rPr>
                      <w:rFonts w:hAnsi="宋体"/>
                      <w:color w:val="000000"/>
                      <w:szCs w:val="21"/>
                    </w:rPr>
                    <w:t>mg/m</w:t>
                  </w:r>
                  <w:r>
                    <w:rPr>
                      <w:rFonts w:hAnsi="宋体"/>
                      <w:color w:val="000000"/>
                      <w:szCs w:val="21"/>
                      <w:vertAlign w:val="superscript"/>
                    </w:rPr>
                    <w:t>3</w:t>
                  </w:r>
                </w:p>
              </w:tc>
            </w:tr>
            <w:tr w14:paraId="663B7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330" w:type="pct"/>
                  <w:vMerge w:val="continue"/>
                  <w:noWrap w:val="0"/>
                  <w:vAlign w:val="center"/>
                </w:tcPr>
                <w:p w14:paraId="4F822CF1">
                  <w:pPr>
                    <w:adjustRightInd w:val="0"/>
                    <w:jc w:val="center"/>
                    <w:rPr>
                      <w:color w:val="000000"/>
                      <w:szCs w:val="21"/>
                    </w:rPr>
                  </w:pPr>
                </w:p>
              </w:tc>
              <w:tc>
                <w:tcPr>
                  <w:tcW w:w="1774" w:type="pct"/>
                  <w:vMerge w:val="continue"/>
                  <w:noWrap w:val="0"/>
                  <w:vAlign w:val="center"/>
                </w:tcPr>
                <w:p w14:paraId="19449359">
                  <w:pPr>
                    <w:adjustRightInd w:val="0"/>
                    <w:jc w:val="center"/>
                    <w:rPr>
                      <w:rFonts w:hint="eastAsia"/>
                      <w:color w:val="000000"/>
                      <w:szCs w:val="21"/>
                    </w:rPr>
                  </w:pPr>
                </w:p>
              </w:tc>
              <w:tc>
                <w:tcPr>
                  <w:tcW w:w="601" w:type="pct"/>
                  <w:vMerge w:val="continue"/>
                  <w:noWrap w:val="0"/>
                  <w:vAlign w:val="center"/>
                </w:tcPr>
                <w:p w14:paraId="271E7222">
                  <w:pPr>
                    <w:adjustRightInd w:val="0"/>
                    <w:jc w:val="center"/>
                    <w:rPr>
                      <w:rFonts w:hint="eastAsia"/>
                      <w:color w:val="000000"/>
                      <w:kern w:val="0"/>
                      <w:szCs w:val="21"/>
                    </w:rPr>
                  </w:pPr>
                </w:p>
              </w:tc>
              <w:tc>
                <w:tcPr>
                  <w:tcW w:w="1671" w:type="pct"/>
                  <w:noWrap w:val="0"/>
                  <w:vAlign w:val="center"/>
                </w:tcPr>
                <w:p w14:paraId="304DB32E">
                  <w:pPr>
                    <w:adjustRightInd w:val="0"/>
                    <w:jc w:val="center"/>
                    <w:rPr>
                      <w:rFonts w:hint="eastAsia" w:hAnsi="宋体"/>
                      <w:color w:val="000000"/>
                      <w:kern w:val="2"/>
                      <w:sz w:val="21"/>
                      <w:szCs w:val="21"/>
                      <w:lang w:val="en-US" w:eastAsia="zh-CN" w:bidi="ar-SA"/>
                    </w:rPr>
                  </w:pPr>
                  <w:r>
                    <w:rPr>
                      <w:color w:val="000000"/>
                      <w:szCs w:val="21"/>
                    </w:rPr>
                    <w:t>建议</w:t>
                  </w:r>
                  <w:r>
                    <w:rPr>
                      <w:rFonts w:hint="eastAsia"/>
                      <w:color w:val="000000"/>
                      <w:szCs w:val="21"/>
                    </w:rPr>
                    <w:t>处理效率</w:t>
                  </w:r>
                </w:p>
              </w:tc>
              <w:tc>
                <w:tcPr>
                  <w:tcW w:w="622" w:type="pct"/>
                  <w:noWrap w:val="0"/>
                  <w:vAlign w:val="center"/>
                </w:tcPr>
                <w:p w14:paraId="38737139">
                  <w:pPr>
                    <w:adjustRightInd w:val="0"/>
                    <w:jc w:val="center"/>
                    <w:rPr>
                      <w:rFonts w:hint="eastAsia" w:hAnsi="宋体"/>
                      <w:color w:val="000000"/>
                      <w:kern w:val="2"/>
                      <w:sz w:val="21"/>
                      <w:szCs w:val="21"/>
                      <w:lang w:val="en-US" w:eastAsia="zh-CN" w:bidi="ar-SA"/>
                    </w:rPr>
                  </w:pPr>
                  <w:r>
                    <w:rPr>
                      <w:rFonts w:hint="eastAsia"/>
                      <w:color w:val="000000"/>
                      <w:szCs w:val="21"/>
                    </w:rPr>
                    <w:t>70%</w:t>
                  </w:r>
                </w:p>
              </w:tc>
            </w:tr>
            <w:tr w14:paraId="4312A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330" w:type="pct"/>
                  <w:vMerge w:val="continue"/>
                  <w:noWrap w:val="0"/>
                  <w:vAlign w:val="center"/>
                </w:tcPr>
                <w:p w14:paraId="4E4FE1ED">
                  <w:pPr>
                    <w:adjustRightInd w:val="0"/>
                    <w:jc w:val="center"/>
                    <w:rPr>
                      <w:color w:val="000000"/>
                      <w:szCs w:val="21"/>
                    </w:rPr>
                  </w:pPr>
                </w:p>
              </w:tc>
              <w:tc>
                <w:tcPr>
                  <w:tcW w:w="1774" w:type="pct"/>
                  <w:vMerge w:val="continue"/>
                  <w:noWrap w:val="0"/>
                  <w:vAlign w:val="center"/>
                </w:tcPr>
                <w:p w14:paraId="11B190AB">
                  <w:pPr>
                    <w:adjustRightInd w:val="0"/>
                    <w:jc w:val="center"/>
                    <w:rPr>
                      <w:rFonts w:hint="eastAsia"/>
                      <w:color w:val="000000"/>
                      <w:szCs w:val="21"/>
                    </w:rPr>
                  </w:pPr>
                </w:p>
              </w:tc>
              <w:tc>
                <w:tcPr>
                  <w:tcW w:w="601" w:type="pct"/>
                  <w:vMerge w:val="continue"/>
                  <w:noWrap w:val="0"/>
                  <w:vAlign w:val="center"/>
                </w:tcPr>
                <w:p w14:paraId="25E855C0">
                  <w:pPr>
                    <w:adjustRightInd w:val="0"/>
                    <w:jc w:val="center"/>
                    <w:rPr>
                      <w:rFonts w:hint="eastAsia"/>
                      <w:color w:val="000000"/>
                      <w:kern w:val="0"/>
                      <w:szCs w:val="21"/>
                    </w:rPr>
                  </w:pPr>
                </w:p>
              </w:tc>
              <w:tc>
                <w:tcPr>
                  <w:tcW w:w="1671" w:type="pct"/>
                  <w:noWrap w:val="0"/>
                  <w:vAlign w:val="center"/>
                </w:tcPr>
                <w:p w14:paraId="3FEB66E5">
                  <w:pPr>
                    <w:adjustRightInd w:val="0"/>
                    <w:jc w:val="center"/>
                    <w:rPr>
                      <w:rFonts w:hint="eastAsia" w:hAnsi="宋体"/>
                      <w:color w:val="000000"/>
                      <w:kern w:val="2"/>
                      <w:sz w:val="21"/>
                      <w:szCs w:val="21"/>
                      <w:lang w:val="en-US" w:eastAsia="zh-CN" w:bidi="ar-SA"/>
                    </w:rPr>
                  </w:pPr>
                  <w:r>
                    <w:rPr>
                      <w:color w:val="000000"/>
                      <w:szCs w:val="21"/>
                    </w:rPr>
                    <w:t>工业企业边界</w:t>
                  </w:r>
                </w:p>
              </w:tc>
              <w:tc>
                <w:tcPr>
                  <w:tcW w:w="622" w:type="pct"/>
                  <w:noWrap w:val="0"/>
                  <w:vAlign w:val="center"/>
                </w:tcPr>
                <w:p w14:paraId="6B1CED7C">
                  <w:pPr>
                    <w:adjustRightInd w:val="0"/>
                    <w:jc w:val="center"/>
                    <w:rPr>
                      <w:rFonts w:hint="eastAsia" w:hAnsi="宋体"/>
                      <w:color w:val="000000"/>
                      <w:kern w:val="2"/>
                      <w:sz w:val="21"/>
                      <w:szCs w:val="21"/>
                      <w:lang w:val="en-US" w:eastAsia="zh-CN" w:bidi="ar-SA"/>
                    </w:rPr>
                  </w:pPr>
                  <w:r>
                    <w:rPr>
                      <w:rFonts w:hint="eastAsia" w:hAnsi="宋体"/>
                      <w:color w:val="000000"/>
                      <w:szCs w:val="21"/>
                    </w:rPr>
                    <w:t>2.0</w:t>
                  </w:r>
                  <w:r>
                    <w:rPr>
                      <w:rFonts w:hAnsi="宋体"/>
                      <w:color w:val="000000"/>
                      <w:szCs w:val="21"/>
                    </w:rPr>
                    <w:t>mg/m</w:t>
                  </w:r>
                  <w:r>
                    <w:rPr>
                      <w:rFonts w:hAnsi="宋体"/>
                      <w:color w:val="000000"/>
                      <w:szCs w:val="21"/>
                      <w:vertAlign w:val="superscript"/>
                    </w:rPr>
                    <w:t>3</w:t>
                  </w:r>
                </w:p>
              </w:tc>
            </w:tr>
            <w:tr w14:paraId="2A065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330" w:type="pct"/>
                  <w:vMerge w:val="continue"/>
                  <w:noWrap w:val="0"/>
                  <w:vAlign w:val="center"/>
                </w:tcPr>
                <w:p w14:paraId="3AB7D338">
                  <w:pPr>
                    <w:adjustRightInd w:val="0"/>
                    <w:jc w:val="center"/>
                    <w:rPr>
                      <w:color w:val="000000"/>
                      <w:szCs w:val="21"/>
                    </w:rPr>
                  </w:pPr>
                </w:p>
              </w:tc>
              <w:tc>
                <w:tcPr>
                  <w:tcW w:w="1774" w:type="pct"/>
                  <w:vMerge w:val="continue"/>
                  <w:noWrap w:val="0"/>
                  <w:vAlign w:val="center"/>
                </w:tcPr>
                <w:p w14:paraId="0F30994A">
                  <w:pPr>
                    <w:adjustRightInd w:val="0"/>
                    <w:jc w:val="center"/>
                    <w:rPr>
                      <w:rFonts w:hint="eastAsia"/>
                      <w:color w:val="000000"/>
                      <w:szCs w:val="21"/>
                    </w:rPr>
                  </w:pPr>
                </w:p>
              </w:tc>
              <w:tc>
                <w:tcPr>
                  <w:tcW w:w="601" w:type="pct"/>
                  <w:vMerge w:val="continue"/>
                  <w:noWrap w:val="0"/>
                  <w:vAlign w:val="center"/>
                </w:tcPr>
                <w:p w14:paraId="61400383">
                  <w:pPr>
                    <w:adjustRightInd w:val="0"/>
                    <w:jc w:val="center"/>
                    <w:rPr>
                      <w:rFonts w:hint="eastAsia"/>
                      <w:color w:val="000000"/>
                      <w:kern w:val="0"/>
                      <w:szCs w:val="21"/>
                    </w:rPr>
                  </w:pPr>
                </w:p>
              </w:tc>
              <w:tc>
                <w:tcPr>
                  <w:tcW w:w="1671" w:type="pct"/>
                  <w:noWrap w:val="0"/>
                  <w:vAlign w:val="center"/>
                </w:tcPr>
                <w:p w14:paraId="74EB4A4E">
                  <w:pPr>
                    <w:adjustRightInd w:val="0"/>
                    <w:jc w:val="center"/>
                    <w:rPr>
                      <w:rFonts w:hint="eastAsia" w:hAnsi="宋体"/>
                      <w:color w:val="000000"/>
                      <w:kern w:val="2"/>
                      <w:sz w:val="21"/>
                      <w:szCs w:val="21"/>
                      <w:lang w:val="en-US" w:eastAsia="zh-CN" w:bidi="ar-SA"/>
                    </w:rPr>
                  </w:pPr>
                  <w:r>
                    <w:rPr>
                      <w:rFonts w:hint="eastAsia"/>
                      <w:color w:val="000000"/>
                      <w:szCs w:val="21"/>
                    </w:rPr>
                    <w:t>生产车间或生产设备边界</w:t>
                  </w:r>
                </w:p>
              </w:tc>
              <w:tc>
                <w:tcPr>
                  <w:tcW w:w="622" w:type="pct"/>
                  <w:noWrap w:val="0"/>
                  <w:vAlign w:val="center"/>
                </w:tcPr>
                <w:p w14:paraId="33670B2F">
                  <w:pPr>
                    <w:adjustRightInd w:val="0"/>
                    <w:jc w:val="center"/>
                    <w:rPr>
                      <w:rFonts w:hint="eastAsia" w:hAnsi="宋体"/>
                      <w:color w:val="000000"/>
                      <w:kern w:val="2"/>
                      <w:sz w:val="21"/>
                      <w:szCs w:val="21"/>
                      <w:lang w:val="en-US" w:eastAsia="zh-CN" w:bidi="ar-SA"/>
                    </w:rPr>
                  </w:pPr>
                  <w:r>
                    <w:rPr>
                      <w:rFonts w:hint="eastAsia"/>
                      <w:color w:val="000000"/>
                      <w:szCs w:val="21"/>
                    </w:rPr>
                    <w:t>4.0</w:t>
                  </w:r>
                  <w:r>
                    <w:rPr>
                      <w:color w:val="000000"/>
                      <w:szCs w:val="21"/>
                    </w:rPr>
                    <w:t>mg/m</w:t>
                  </w:r>
                  <w:r>
                    <w:rPr>
                      <w:color w:val="000000"/>
                      <w:szCs w:val="21"/>
                      <w:vertAlign w:val="superscript"/>
                    </w:rPr>
                    <w:t>3</w:t>
                  </w:r>
                </w:p>
              </w:tc>
            </w:tr>
            <w:tr w14:paraId="6B110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330" w:type="pct"/>
                  <w:vMerge w:val="continue"/>
                  <w:noWrap w:val="0"/>
                  <w:vAlign w:val="center"/>
                </w:tcPr>
                <w:p w14:paraId="5F6D0DBD">
                  <w:pPr>
                    <w:adjustRightInd w:val="0"/>
                    <w:jc w:val="center"/>
                    <w:rPr>
                      <w:color w:val="000000"/>
                      <w:szCs w:val="21"/>
                    </w:rPr>
                  </w:pPr>
                </w:p>
              </w:tc>
              <w:tc>
                <w:tcPr>
                  <w:tcW w:w="1774" w:type="pct"/>
                  <w:vMerge w:val="restart"/>
                  <w:noWrap w:val="0"/>
                  <w:vAlign w:val="center"/>
                </w:tcPr>
                <w:p w14:paraId="0482D75B">
                  <w:pPr>
                    <w:adjustRightInd w:val="0"/>
                    <w:jc w:val="center"/>
                    <w:rPr>
                      <w:rFonts w:hint="eastAsia"/>
                      <w:color w:val="000000"/>
                      <w:szCs w:val="21"/>
                    </w:rPr>
                  </w:pPr>
                  <w:r>
                    <w:rPr>
                      <w:rFonts w:hint="eastAsia"/>
                      <w:color w:val="000000"/>
                      <w:szCs w:val="21"/>
                    </w:rPr>
                    <w:t>《</w:t>
                  </w:r>
                  <w:r>
                    <w:rPr>
                      <w:rFonts w:hint="eastAsia"/>
                      <w:color w:val="000000"/>
                      <w:szCs w:val="21"/>
                      <w:lang w:val="en-US" w:eastAsia="zh-CN"/>
                    </w:rPr>
                    <w:t>河南省</w:t>
                  </w:r>
                  <w:r>
                    <w:rPr>
                      <w:rFonts w:hint="eastAsia"/>
                      <w:color w:val="000000"/>
                      <w:szCs w:val="21"/>
                    </w:rPr>
                    <w:t>重污染天气重点行业</w:t>
                  </w:r>
                  <w:r>
                    <w:rPr>
                      <w:rFonts w:hint="eastAsia"/>
                      <w:color w:val="000000"/>
                      <w:szCs w:val="21"/>
                      <w:lang w:val="en-US" w:eastAsia="zh-CN"/>
                    </w:rPr>
                    <w:t>应急减排措施制定技术指南</w:t>
                  </w:r>
                  <w:r>
                    <w:rPr>
                      <w:rFonts w:hint="eastAsia"/>
                      <w:color w:val="000000"/>
                      <w:szCs w:val="21"/>
                    </w:rPr>
                    <w:t>》（202</w:t>
                  </w:r>
                  <w:r>
                    <w:rPr>
                      <w:rFonts w:hint="eastAsia"/>
                      <w:color w:val="000000"/>
                      <w:szCs w:val="21"/>
                      <w:lang w:val="en-US" w:eastAsia="zh-CN"/>
                    </w:rPr>
                    <w:t>4</w:t>
                  </w:r>
                  <w:r>
                    <w:rPr>
                      <w:rFonts w:hint="eastAsia"/>
                      <w:color w:val="000000"/>
                      <w:szCs w:val="21"/>
                    </w:rPr>
                    <w:t>年修订版）</w:t>
                  </w:r>
                  <w:r>
                    <w:rPr>
                      <w:rFonts w:hint="eastAsia"/>
                      <w:color w:val="000000"/>
                      <w:szCs w:val="21"/>
                      <w:lang w:val="en-US" w:eastAsia="zh-CN"/>
                    </w:rPr>
                    <w:t>塑料制品A级企业差异化指标</w:t>
                  </w:r>
                </w:p>
              </w:tc>
              <w:tc>
                <w:tcPr>
                  <w:tcW w:w="601" w:type="pct"/>
                  <w:vMerge w:val="restart"/>
                  <w:noWrap w:val="0"/>
                  <w:vAlign w:val="center"/>
                </w:tcPr>
                <w:p w14:paraId="0F6C9DD1">
                  <w:pPr>
                    <w:adjustRightInd w:val="0"/>
                    <w:jc w:val="center"/>
                    <w:rPr>
                      <w:color w:val="000000"/>
                      <w:szCs w:val="21"/>
                    </w:rPr>
                  </w:pPr>
                  <w:r>
                    <w:rPr>
                      <w:rFonts w:hint="eastAsia"/>
                      <w:color w:val="000000"/>
                      <w:kern w:val="0"/>
                      <w:szCs w:val="21"/>
                    </w:rPr>
                    <w:t>非甲烷总烃</w:t>
                  </w:r>
                </w:p>
              </w:tc>
              <w:tc>
                <w:tcPr>
                  <w:tcW w:w="1671" w:type="pct"/>
                  <w:noWrap w:val="0"/>
                  <w:vAlign w:val="center"/>
                </w:tcPr>
                <w:p w14:paraId="1A9B62C6">
                  <w:pPr>
                    <w:adjustRightInd w:val="0"/>
                    <w:jc w:val="center"/>
                    <w:rPr>
                      <w:rFonts w:hint="eastAsia" w:hAnsi="宋体"/>
                      <w:color w:val="000000"/>
                      <w:szCs w:val="21"/>
                    </w:rPr>
                  </w:pPr>
                  <w:r>
                    <w:rPr>
                      <w:rFonts w:hint="eastAsia" w:hAnsi="宋体"/>
                      <w:color w:val="000000"/>
                      <w:szCs w:val="21"/>
                    </w:rPr>
                    <w:t>有组织排放限值</w:t>
                  </w:r>
                </w:p>
              </w:tc>
              <w:tc>
                <w:tcPr>
                  <w:tcW w:w="622" w:type="pct"/>
                  <w:noWrap w:val="0"/>
                  <w:vAlign w:val="center"/>
                </w:tcPr>
                <w:p w14:paraId="5F9BF3F1">
                  <w:pPr>
                    <w:adjustRightInd w:val="0"/>
                    <w:jc w:val="center"/>
                    <w:rPr>
                      <w:rFonts w:hint="eastAsia" w:hAnsi="宋体"/>
                      <w:color w:val="000000"/>
                      <w:szCs w:val="21"/>
                    </w:rPr>
                  </w:pPr>
                  <w:r>
                    <w:rPr>
                      <w:rFonts w:hint="eastAsia"/>
                      <w:color w:val="000000"/>
                      <w:szCs w:val="21"/>
                      <w:lang w:val="en-US" w:eastAsia="zh-CN"/>
                    </w:rPr>
                    <w:t>2</w:t>
                  </w:r>
                  <w:r>
                    <w:rPr>
                      <w:rFonts w:hint="eastAsia"/>
                      <w:color w:val="000000"/>
                      <w:szCs w:val="21"/>
                    </w:rPr>
                    <w:t>0</w:t>
                  </w:r>
                  <w:r>
                    <w:rPr>
                      <w:color w:val="000000"/>
                      <w:szCs w:val="21"/>
                    </w:rPr>
                    <w:t>mg/m</w:t>
                  </w:r>
                  <w:r>
                    <w:rPr>
                      <w:color w:val="000000"/>
                      <w:szCs w:val="21"/>
                      <w:vertAlign w:val="superscript"/>
                    </w:rPr>
                    <w:t>3</w:t>
                  </w:r>
                </w:p>
              </w:tc>
            </w:tr>
            <w:tr w14:paraId="648DB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330" w:type="pct"/>
                  <w:vMerge w:val="continue"/>
                  <w:noWrap w:val="0"/>
                  <w:vAlign w:val="center"/>
                </w:tcPr>
                <w:p w14:paraId="03B1D20D">
                  <w:pPr>
                    <w:adjustRightInd w:val="0"/>
                    <w:jc w:val="center"/>
                    <w:rPr>
                      <w:color w:val="000000"/>
                      <w:szCs w:val="21"/>
                    </w:rPr>
                  </w:pPr>
                </w:p>
              </w:tc>
              <w:tc>
                <w:tcPr>
                  <w:tcW w:w="1774" w:type="pct"/>
                  <w:vMerge w:val="continue"/>
                  <w:noWrap w:val="0"/>
                  <w:vAlign w:val="center"/>
                </w:tcPr>
                <w:p w14:paraId="1481B7F6">
                  <w:pPr>
                    <w:adjustRightInd w:val="0"/>
                    <w:jc w:val="center"/>
                    <w:rPr>
                      <w:rFonts w:hint="eastAsia"/>
                      <w:color w:val="000000"/>
                      <w:szCs w:val="21"/>
                    </w:rPr>
                  </w:pPr>
                </w:p>
              </w:tc>
              <w:tc>
                <w:tcPr>
                  <w:tcW w:w="601" w:type="pct"/>
                  <w:vMerge w:val="continue"/>
                  <w:noWrap w:val="0"/>
                  <w:vAlign w:val="center"/>
                </w:tcPr>
                <w:p w14:paraId="328A6E05">
                  <w:pPr>
                    <w:adjustRightInd w:val="0"/>
                    <w:jc w:val="center"/>
                    <w:rPr>
                      <w:rFonts w:hint="eastAsia"/>
                      <w:color w:val="000000"/>
                      <w:kern w:val="0"/>
                      <w:szCs w:val="21"/>
                    </w:rPr>
                  </w:pPr>
                </w:p>
              </w:tc>
              <w:tc>
                <w:tcPr>
                  <w:tcW w:w="1671" w:type="pct"/>
                  <w:noWrap w:val="0"/>
                  <w:vAlign w:val="center"/>
                </w:tcPr>
                <w:p w14:paraId="714B3E62">
                  <w:pPr>
                    <w:adjustRightInd w:val="0"/>
                    <w:jc w:val="center"/>
                    <w:rPr>
                      <w:rFonts w:hint="eastAsia" w:hAnsi="宋体"/>
                      <w:color w:val="000000"/>
                      <w:szCs w:val="21"/>
                    </w:rPr>
                  </w:pPr>
                  <w:r>
                    <w:rPr>
                      <w:rFonts w:hint="eastAsia"/>
                      <w:color w:val="000000"/>
                      <w:szCs w:val="21"/>
                    </w:rPr>
                    <w:t>生产车间或生产设备边界</w:t>
                  </w:r>
                </w:p>
              </w:tc>
              <w:tc>
                <w:tcPr>
                  <w:tcW w:w="622" w:type="pct"/>
                  <w:noWrap w:val="0"/>
                  <w:vAlign w:val="center"/>
                </w:tcPr>
                <w:p w14:paraId="2472F7D9">
                  <w:pPr>
                    <w:adjustRightInd w:val="0"/>
                    <w:jc w:val="center"/>
                    <w:rPr>
                      <w:rFonts w:hint="eastAsia"/>
                      <w:color w:val="000000"/>
                      <w:szCs w:val="21"/>
                      <w:lang w:val="en-US" w:eastAsia="zh-CN"/>
                    </w:rPr>
                  </w:pPr>
                  <w:r>
                    <w:rPr>
                      <w:rFonts w:hint="eastAsia"/>
                      <w:color w:val="000000"/>
                      <w:szCs w:val="21"/>
                    </w:rPr>
                    <w:t>4.0</w:t>
                  </w:r>
                  <w:r>
                    <w:rPr>
                      <w:color w:val="000000"/>
                      <w:szCs w:val="21"/>
                    </w:rPr>
                    <w:t>mg/m</w:t>
                  </w:r>
                  <w:r>
                    <w:rPr>
                      <w:color w:val="000000"/>
                      <w:szCs w:val="21"/>
                      <w:vertAlign w:val="superscript"/>
                    </w:rPr>
                    <w:t>3</w:t>
                  </w:r>
                </w:p>
              </w:tc>
            </w:tr>
            <w:tr w14:paraId="69F05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330" w:type="pct"/>
                  <w:vMerge w:val="continue"/>
                  <w:noWrap w:val="0"/>
                  <w:vAlign w:val="center"/>
                </w:tcPr>
                <w:p w14:paraId="1C690D68">
                  <w:pPr>
                    <w:adjustRightInd w:val="0"/>
                    <w:jc w:val="center"/>
                    <w:rPr>
                      <w:color w:val="000000"/>
                      <w:szCs w:val="21"/>
                    </w:rPr>
                  </w:pPr>
                </w:p>
              </w:tc>
              <w:tc>
                <w:tcPr>
                  <w:tcW w:w="1774" w:type="pct"/>
                  <w:vMerge w:val="continue"/>
                  <w:noWrap w:val="0"/>
                  <w:vAlign w:val="center"/>
                </w:tcPr>
                <w:p w14:paraId="556A5CFD">
                  <w:pPr>
                    <w:adjustRightInd w:val="0"/>
                    <w:jc w:val="center"/>
                    <w:rPr>
                      <w:rFonts w:hint="eastAsia"/>
                      <w:color w:val="000000"/>
                      <w:szCs w:val="21"/>
                    </w:rPr>
                  </w:pPr>
                </w:p>
              </w:tc>
              <w:tc>
                <w:tcPr>
                  <w:tcW w:w="601" w:type="pct"/>
                  <w:vMerge w:val="continue"/>
                  <w:noWrap w:val="0"/>
                  <w:vAlign w:val="center"/>
                </w:tcPr>
                <w:p w14:paraId="23E06656">
                  <w:pPr>
                    <w:adjustRightInd w:val="0"/>
                    <w:jc w:val="center"/>
                    <w:rPr>
                      <w:rFonts w:hint="eastAsia"/>
                      <w:color w:val="000000"/>
                      <w:kern w:val="0"/>
                      <w:szCs w:val="21"/>
                    </w:rPr>
                  </w:pPr>
                </w:p>
              </w:tc>
              <w:tc>
                <w:tcPr>
                  <w:tcW w:w="1671" w:type="pct"/>
                  <w:noWrap w:val="0"/>
                  <w:vAlign w:val="center"/>
                </w:tcPr>
                <w:p w14:paraId="290BBE8B">
                  <w:pPr>
                    <w:adjustRightInd w:val="0"/>
                    <w:jc w:val="center"/>
                    <w:rPr>
                      <w:rFonts w:hint="eastAsia"/>
                      <w:color w:val="000000"/>
                      <w:szCs w:val="21"/>
                    </w:rPr>
                  </w:pPr>
                  <w:r>
                    <w:rPr>
                      <w:color w:val="000000"/>
                      <w:szCs w:val="21"/>
                    </w:rPr>
                    <w:t>工业企业边界</w:t>
                  </w:r>
                </w:p>
              </w:tc>
              <w:tc>
                <w:tcPr>
                  <w:tcW w:w="622" w:type="pct"/>
                  <w:noWrap w:val="0"/>
                  <w:vAlign w:val="center"/>
                </w:tcPr>
                <w:p w14:paraId="6BF6C997">
                  <w:pPr>
                    <w:adjustRightInd w:val="0"/>
                    <w:jc w:val="center"/>
                    <w:rPr>
                      <w:rFonts w:hint="eastAsia"/>
                      <w:color w:val="000000"/>
                      <w:szCs w:val="21"/>
                    </w:rPr>
                  </w:pPr>
                  <w:r>
                    <w:rPr>
                      <w:rFonts w:hint="eastAsia" w:hAnsi="宋体"/>
                      <w:color w:val="000000"/>
                      <w:szCs w:val="21"/>
                    </w:rPr>
                    <w:t>2.0</w:t>
                  </w:r>
                  <w:r>
                    <w:rPr>
                      <w:rFonts w:hAnsi="宋体"/>
                      <w:color w:val="000000"/>
                      <w:szCs w:val="21"/>
                    </w:rPr>
                    <w:t>mg/m</w:t>
                  </w:r>
                  <w:r>
                    <w:rPr>
                      <w:rFonts w:hAnsi="宋体"/>
                      <w:color w:val="000000"/>
                      <w:szCs w:val="21"/>
                      <w:vertAlign w:val="superscript"/>
                    </w:rPr>
                    <w:t>3</w:t>
                  </w:r>
                </w:p>
              </w:tc>
            </w:tr>
            <w:tr w14:paraId="667F4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330" w:type="pct"/>
                  <w:vMerge w:val="continue"/>
                  <w:noWrap w:val="0"/>
                  <w:vAlign w:val="center"/>
                </w:tcPr>
                <w:p w14:paraId="474706F5">
                  <w:pPr>
                    <w:adjustRightInd w:val="0"/>
                    <w:jc w:val="center"/>
                    <w:rPr>
                      <w:color w:val="000000"/>
                      <w:szCs w:val="21"/>
                    </w:rPr>
                  </w:pPr>
                </w:p>
              </w:tc>
              <w:tc>
                <w:tcPr>
                  <w:tcW w:w="1774" w:type="pct"/>
                  <w:vMerge w:val="continue"/>
                  <w:noWrap w:val="0"/>
                  <w:vAlign w:val="center"/>
                </w:tcPr>
                <w:p w14:paraId="1FCF388F">
                  <w:pPr>
                    <w:adjustRightInd w:val="0"/>
                    <w:jc w:val="center"/>
                    <w:rPr>
                      <w:rFonts w:hint="eastAsia"/>
                      <w:color w:val="000000"/>
                      <w:szCs w:val="21"/>
                    </w:rPr>
                  </w:pPr>
                </w:p>
              </w:tc>
              <w:tc>
                <w:tcPr>
                  <w:tcW w:w="601" w:type="pct"/>
                  <w:noWrap w:val="0"/>
                  <w:vAlign w:val="center"/>
                </w:tcPr>
                <w:p w14:paraId="186278F6">
                  <w:pPr>
                    <w:adjustRightInd w:val="0"/>
                    <w:jc w:val="center"/>
                    <w:rPr>
                      <w:rFonts w:hint="eastAsia" w:eastAsia="宋体"/>
                      <w:color w:val="000000"/>
                      <w:kern w:val="0"/>
                      <w:szCs w:val="21"/>
                      <w:lang w:val="en-US" w:eastAsia="zh-CN"/>
                    </w:rPr>
                  </w:pPr>
                  <w:r>
                    <w:rPr>
                      <w:rFonts w:hint="eastAsia"/>
                      <w:color w:val="000000"/>
                      <w:kern w:val="0"/>
                      <w:szCs w:val="21"/>
                      <w:lang w:val="en-US" w:eastAsia="zh-CN"/>
                    </w:rPr>
                    <w:t>颗粒物</w:t>
                  </w:r>
                </w:p>
              </w:tc>
              <w:tc>
                <w:tcPr>
                  <w:tcW w:w="1671" w:type="pct"/>
                  <w:noWrap w:val="0"/>
                  <w:vAlign w:val="center"/>
                </w:tcPr>
                <w:p w14:paraId="0DFB4B9E">
                  <w:pPr>
                    <w:adjustRightInd w:val="0"/>
                    <w:jc w:val="center"/>
                    <w:rPr>
                      <w:rFonts w:hint="eastAsia" w:hAnsi="宋体"/>
                      <w:color w:val="000000"/>
                      <w:szCs w:val="21"/>
                    </w:rPr>
                  </w:pPr>
                  <w:r>
                    <w:rPr>
                      <w:rFonts w:hint="eastAsia" w:hAnsi="宋体"/>
                      <w:color w:val="000000"/>
                      <w:szCs w:val="21"/>
                    </w:rPr>
                    <w:t>有组织排放限值</w:t>
                  </w:r>
                </w:p>
              </w:tc>
              <w:tc>
                <w:tcPr>
                  <w:tcW w:w="622" w:type="pct"/>
                  <w:noWrap w:val="0"/>
                  <w:vAlign w:val="center"/>
                </w:tcPr>
                <w:p w14:paraId="76B1D92F">
                  <w:pPr>
                    <w:adjustRightInd w:val="0"/>
                    <w:jc w:val="center"/>
                    <w:rPr>
                      <w:rFonts w:hint="eastAsia"/>
                      <w:color w:val="000000"/>
                      <w:szCs w:val="21"/>
                      <w:lang w:val="en-US" w:eastAsia="zh-CN"/>
                    </w:rPr>
                  </w:pPr>
                  <w:r>
                    <w:rPr>
                      <w:rFonts w:hint="eastAsia"/>
                      <w:color w:val="000000"/>
                      <w:szCs w:val="21"/>
                      <w:lang w:val="en-US" w:eastAsia="zh-CN"/>
                    </w:rPr>
                    <w:t>10</w:t>
                  </w:r>
                  <w:r>
                    <w:rPr>
                      <w:color w:val="000000"/>
                      <w:szCs w:val="21"/>
                    </w:rPr>
                    <w:t>mg/m</w:t>
                  </w:r>
                  <w:r>
                    <w:rPr>
                      <w:color w:val="000000"/>
                      <w:szCs w:val="21"/>
                      <w:vertAlign w:val="superscript"/>
                    </w:rPr>
                    <w:t>3</w:t>
                  </w:r>
                </w:p>
              </w:tc>
            </w:tr>
            <w:tr w14:paraId="0A534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330" w:type="pct"/>
                  <w:vMerge w:val="continue"/>
                  <w:noWrap w:val="0"/>
                  <w:vAlign w:val="center"/>
                </w:tcPr>
                <w:p w14:paraId="194DF862">
                  <w:pPr>
                    <w:adjustRightInd w:val="0"/>
                    <w:jc w:val="center"/>
                    <w:rPr>
                      <w:color w:val="000000"/>
                      <w:szCs w:val="21"/>
                    </w:rPr>
                  </w:pPr>
                </w:p>
              </w:tc>
              <w:tc>
                <w:tcPr>
                  <w:tcW w:w="1774" w:type="pct"/>
                  <w:vMerge w:val="restart"/>
                  <w:noWrap w:val="0"/>
                  <w:vAlign w:val="center"/>
                </w:tcPr>
                <w:p w14:paraId="4609330F">
                  <w:pPr>
                    <w:adjustRightInd w:val="0"/>
                    <w:jc w:val="center"/>
                    <w:rPr>
                      <w:rFonts w:hint="default" w:eastAsia="宋体"/>
                      <w:color w:val="000000"/>
                      <w:szCs w:val="21"/>
                      <w:lang w:val="en-US" w:eastAsia="zh-CN"/>
                    </w:rPr>
                  </w:pPr>
                  <w:r>
                    <w:rPr>
                      <w:rFonts w:hint="eastAsia"/>
                      <w:color w:val="000000"/>
                      <w:szCs w:val="21"/>
                    </w:rPr>
                    <w:t>《挥发性有机物无组织排放控制标准》（GB37822-2019）</w:t>
                  </w:r>
                </w:p>
              </w:tc>
              <w:tc>
                <w:tcPr>
                  <w:tcW w:w="601" w:type="pct"/>
                  <w:vMerge w:val="restart"/>
                  <w:noWrap w:val="0"/>
                  <w:vAlign w:val="center"/>
                </w:tcPr>
                <w:p w14:paraId="037C4F71">
                  <w:pPr>
                    <w:adjustRightInd w:val="0"/>
                    <w:jc w:val="center"/>
                    <w:rPr>
                      <w:rFonts w:hint="eastAsia"/>
                      <w:color w:val="000000"/>
                      <w:kern w:val="0"/>
                      <w:szCs w:val="21"/>
                      <w:lang w:val="en-US" w:eastAsia="zh-CN"/>
                    </w:rPr>
                  </w:pPr>
                  <w:r>
                    <w:rPr>
                      <w:rFonts w:hint="eastAsia"/>
                      <w:color w:val="000000"/>
                      <w:szCs w:val="21"/>
                    </w:rPr>
                    <w:t>非甲烷总烃</w:t>
                  </w:r>
                </w:p>
              </w:tc>
              <w:tc>
                <w:tcPr>
                  <w:tcW w:w="1671" w:type="pct"/>
                  <w:noWrap w:val="0"/>
                  <w:vAlign w:val="center"/>
                </w:tcPr>
                <w:p w14:paraId="3A9B8F6C">
                  <w:pPr>
                    <w:adjustRightInd w:val="0"/>
                    <w:jc w:val="center"/>
                    <w:rPr>
                      <w:rFonts w:hint="eastAsia" w:hAnsi="宋体"/>
                      <w:color w:val="000000"/>
                      <w:kern w:val="2"/>
                      <w:sz w:val="21"/>
                      <w:szCs w:val="21"/>
                      <w:lang w:val="en-US" w:eastAsia="zh-CN" w:bidi="ar-SA"/>
                    </w:rPr>
                  </w:pPr>
                  <w:r>
                    <w:rPr>
                      <w:rFonts w:hint="eastAsia"/>
                      <w:color w:val="000000"/>
                      <w:szCs w:val="21"/>
                    </w:rPr>
                    <w:t>监控点1h平均浓度值</w:t>
                  </w:r>
                </w:p>
              </w:tc>
              <w:tc>
                <w:tcPr>
                  <w:tcW w:w="622" w:type="pct"/>
                  <w:noWrap w:val="0"/>
                  <w:vAlign w:val="center"/>
                </w:tcPr>
                <w:p w14:paraId="06F953AE">
                  <w:pPr>
                    <w:adjustRightInd w:val="0"/>
                    <w:jc w:val="center"/>
                    <w:rPr>
                      <w:rFonts w:hint="eastAsia" w:hAnsi="宋体"/>
                      <w:color w:val="000000"/>
                      <w:kern w:val="2"/>
                      <w:sz w:val="21"/>
                      <w:szCs w:val="21"/>
                      <w:lang w:val="en-US" w:eastAsia="zh-CN" w:bidi="ar-SA"/>
                    </w:rPr>
                  </w:pPr>
                  <w:r>
                    <w:rPr>
                      <w:rFonts w:hint="eastAsia"/>
                      <w:color w:val="000000"/>
                      <w:szCs w:val="21"/>
                    </w:rPr>
                    <w:t>6mg/m</w:t>
                  </w:r>
                  <w:r>
                    <w:rPr>
                      <w:rFonts w:hint="eastAsia"/>
                      <w:color w:val="000000"/>
                      <w:szCs w:val="21"/>
                      <w:vertAlign w:val="superscript"/>
                    </w:rPr>
                    <w:t>3</w:t>
                  </w:r>
                </w:p>
              </w:tc>
            </w:tr>
            <w:tr w14:paraId="0CAAF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330" w:type="pct"/>
                  <w:vMerge w:val="continue"/>
                  <w:noWrap w:val="0"/>
                  <w:vAlign w:val="center"/>
                </w:tcPr>
                <w:p w14:paraId="5CE71B4F">
                  <w:pPr>
                    <w:adjustRightInd w:val="0"/>
                    <w:jc w:val="center"/>
                    <w:rPr>
                      <w:color w:val="000000"/>
                      <w:szCs w:val="21"/>
                    </w:rPr>
                  </w:pPr>
                </w:p>
              </w:tc>
              <w:tc>
                <w:tcPr>
                  <w:tcW w:w="1774" w:type="pct"/>
                  <w:vMerge w:val="continue"/>
                  <w:noWrap w:val="0"/>
                  <w:vAlign w:val="center"/>
                </w:tcPr>
                <w:p w14:paraId="04B79625">
                  <w:pPr>
                    <w:adjustRightInd w:val="0"/>
                    <w:jc w:val="center"/>
                    <w:rPr>
                      <w:rFonts w:hint="eastAsia"/>
                      <w:color w:val="000000"/>
                      <w:szCs w:val="21"/>
                    </w:rPr>
                  </w:pPr>
                </w:p>
              </w:tc>
              <w:tc>
                <w:tcPr>
                  <w:tcW w:w="601" w:type="pct"/>
                  <w:vMerge w:val="continue"/>
                  <w:noWrap w:val="0"/>
                  <w:vAlign w:val="center"/>
                </w:tcPr>
                <w:p w14:paraId="6A737D2A">
                  <w:pPr>
                    <w:adjustRightInd w:val="0"/>
                    <w:jc w:val="center"/>
                    <w:rPr>
                      <w:rFonts w:hint="eastAsia"/>
                      <w:color w:val="000000"/>
                      <w:kern w:val="0"/>
                      <w:szCs w:val="21"/>
                    </w:rPr>
                  </w:pPr>
                </w:p>
              </w:tc>
              <w:tc>
                <w:tcPr>
                  <w:tcW w:w="1671" w:type="pct"/>
                  <w:noWrap w:val="0"/>
                  <w:vAlign w:val="center"/>
                </w:tcPr>
                <w:p w14:paraId="7DD0E274">
                  <w:pPr>
                    <w:adjustRightInd w:val="0"/>
                    <w:jc w:val="center"/>
                    <w:rPr>
                      <w:rFonts w:hint="eastAsia"/>
                      <w:color w:val="000000"/>
                      <w:kern w:val="2"/>
                      <w:sz w:val="21"/>
                      <w:szCs w:val="21"/>
                      <w:lang w:val="en-US" w:eastAsia="zh-CN" w:bidi="ar-SA"/>
                    </w:rPr>
                  </w:pPr>
                  <w:r>
                    <w:rPr>
                      <w:rFonts w:hint="eastAsia"/>
                      <w:color w:val="000000"/>
                      <w:szCs w:val="21"/>
                    </w:rPr>
                    <w:t>监控点处任意一次浓度值</w:t>
                  </w:r>
                </w:p>
              </w:tc>
              <w:tc>
                <w:tcPr>
                  <w:tcW w:w="622" w:type="pct"/>
                  <w:noWrap w:val="0"/>
                  <w:vAlign w:val="center"/>
                </w:tcPr>
                <w:p w14:paraId="4FE67A53">
                  <w:pPr>
                    <w:adjustRightInd w:val="0"/>
                    <w:jc w:val="center"/>
                    <w:rPr>
                      <w:rFonts w:hint="eastAsia"/>
                      <w:color w:val="000000"/>
                      <w:kern w:val="2"/>
                      <w:sz w:val="21"/>
                      <w:szCs w:val="21"/>
                      <w:lang w:val="en-US" w:eastAsia="zh-CN" w:bidi="ar-SA"/>
                    </w:rPr>
                  </w:pPr>
                  <w:r>
                    <w:rPr>
                      <w:rFonts w:hint="eastAsia"/>
                      <w:color w:val="000000"/>
                      <w:szCs w:val="21"/>
                    </w:rPr>
                    <w:t>20mg/m</w:t>
                  </w:r>
                  <w:r>
                    <w:rPr>
                      <w:rFonts w:hint="eastAsia"/>
                      <w:color w:val="000000"/>
                      <w:szCs w:val="21"/>
                      <w:vertAlign w:val="superscript"/>
                    </w:rPr>
                    <w:t>3</w:t>
                  </w:r>
                </w:p>
              </w:tc>
            </w:tr>
            <w:tr w14:paraId="46680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330" w:type="pct"/>
                  <w:vMerge w:val="restart"/>
                  <w:noWrap w:val="0"/>
                  <w:vAlign w:val="center"/>
                </w:tcPr>
                <w:p w14:paraId="76103D94">
                  <w:pPr>
                    <w:adjustRightInd w:val="0"/>
                    <w:jc w:val="center"/>
                    <w:rPr>
                      <w:rFonts w:hint="eastAsia" w:eastAsia="宋体"/>
                      <w:color w:val="000000"/>
                      <w:szCs w:val="21"/>
                      <w:lang w:val="en-US" w:eastAsia="zh-CN"/>
                    </w:rPr>
                  </w:pPr>
                  <w:r>
                    <w:rPr>
                      <w:rFonts w:hint="eastAsia"/>
                      <w:color w:val="000000"/>
                      <w:szCs w:val="21"/>
                      <w:lang w:val="en-US" w:eastAsia="zh-CN"/>
                    </w:rPr>
                    <w:t>废水</w:t>
                  </w:r>
                </w:p>
              </w:tc>
              <w:tc>
                <w:tcPr>
                  <w:tcW w:w="1774" w:type="pct"/>
                  <w:vMerge w:val="restart"/>
                  <w:noWrap w:val="0"/>
                  <w:vAlign w:val="center"/>
                </w:tcPr>
                <w:p w14:paraId="5F15AD2A">
                  <w:pPr>
                    <w:adjustRightInd w:val="0"/>
                    <w:jc w:val="center"/>
                    <w:rPr>
                      <w:rFonts w:hint="eastAsia" w:eastAsia="宋体"/>
                      <w:color w:val="000000"/>
                      <w:szCs w:val="21"/>
                      <w:lang w:eastAsia="zh-CN"/>
                    </w:rPr>
                  </w:pPr>
                  <w:r>
                    <w:rPr>
                      <w:rFonts w:hint="eastAsia"/>
                      <w:color w:val="000000"/>
                      <w:szCs w:val="21"/>
                      <w:lang w:eastAsia="zh-CN"/>
                    </w:rPr>
                    <w:t>《</w:t>
                  </w:r>
                  <w:r>
                    <w:rPr>
                      <w:rFonts w:hint="eastAsia"/>
                      <w:color w:val="000000"/>
                      <w:szCs w:val="21"/>
                      <w:lang w:val="en-US" w:eastAsia="zh-CN"/>
                    </w:rPr>
                    <w:t>污水综合排放标准</w:t>
                  </w:r>
                  <w:r>
                    <w:rPr>
                      <w:rFonts w:hint="eastAsia"/>
                      <w:color w:val="000000"/>
                      <w:szCs w:val="21"/>
                      <w:lang w:eastAsia="zh-CN"/>
                    </w:rPr>
                    <w:t>》（GB8978-1996）表4三级</w:t>
                  </w:r>
                </w:p>
              </w:tc>
              <w:tc>
                <w:tcPr>
                  <w:tcW w:w="601" w:type="pct"/>
                  <w:noWrap w:val="0"/>
                  <w:vAlign w:val="center"/>
                </w:tcPr>
                <w:p w14:paraId="0DD91646">
                  <w:pPr>
                    <w:adjustRightInd w:val="0"/>
                    <w:jc w:val="center"/>
                    <w:rPr>
                      <w:rFonts w:hint="eastAsia"/>
                      <w:color w:val="000000"/>
                      <w:szCs w:val="21"/>
                    </w:rPr>
                  </w:pPr>
                  <w:r>
                    <w:rPr>
                      <w:rFonts w:hint="eastAsia"/>
                      <w:color w:val="000000"/>
                      <w:szCs w:val="21"/>
                      <w:lang w:val="en-US" w:eastAsia="zh-CN"/>
                    </w:rPr>
                    <w:t>COD</w:t>
                  </w:r>
                </w:p>
              </w:tc>
              <w:tc>
                <w:tcPr>
                  <w:tcW w:w="2293" w:type="pct"/>
                  <w:gridSpan w:val="2"/>
                  <w:noWrap w:val="0"/>
                  <w:vAlign w:val="center"/>
                </w:tcPr>
                <w:p w14:paraId="37D8EED1">
                  <w:pPr>
                    <w:adjustRightInd w:val="0"/>
                    <w:jc w:val="center"/>
                    <w:rPr>
                      <w:rFonts w:hint="eastAsia"/>
                      <w:color w:val="000000"/>
                      <w:szCs w:val="21"/>
                    </w:rPr>
                  </w:pPr>
                  <w:r>
                    <w:rPr>
                      <w:rFonts w:hint="eastAsia"/>
                      <w:color w:val="000000"/>
                      <w:szCs w:val="21"/>
                      <w:lang w:val="en-US" w:eastAsia="zh-CN"/>
                    </w:rPr>
                    <w:t>500mg/L</w:t>
                  </w:r>
                </w:p>
              </w:tc>
            </w:tr>
            <w:tr w14:paraId="135B8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330" w:type="pct"/>
                  <w:vMerge w:val="continue"/>
                  <w:noWrap w:val="0"/>
                  <w:vAlign w:val="center"/>
                </w:tcPr>
                <w:p w14:paraId="2D1C43FA">
                  <w:pPr>
                    <w:adjustRightInd w:val="0"/>
                    <w:jc w:val="center"/>
                    <w:rPr>
                      <w:color w:val="000000"/>
                      <w:szCs w:val="21"/>
                    </w:rPr>
                  </w:pPr>
                </w:p>
              </w:tc>
              <w:tc>
                <w:tcPr>
                  <w:tcW w:w="1774" w:type="pct"/>
                  <w:vMerge w:val="continue"/>
                  <w:noWrap w:val="0"/>
                  <w:vAlign w:val="center"/>
                </w:tcPr>
                <w:p w14:paraId="72738AE2">
                  <w:pPr>
                    <w:adjustRightInd w:val="0"/>
                    <w:jc w:val="center"/>
                    <w:rPr>
                      <w:rFonts w:hint="eastAsia"/>
                      <w:color w:val="000000"/>
                      <w:szCs w:val="21"/>
                    </w:rPr>
                  </w:pPr>
                </w:p>
              </w:tc>
              <w:tc>
                <w:tcPr>
                  <w:tcW w:w="601" w:type="pct"/>
                  <w:noWrap w:val="0"/>
                  <w:vAlign w:val="center"/>
                </w:tcPr>
                <w:p w14:paraId="561B9C62">
                  <w:pPr>
                    <w:adjustRightInd w:val="0"/>
                    <w:jc w:val="center"/>
                    <w:rPr>
                      <w:rFonts w:hint="eastAsia"/>
                      <w:color w:val="000000"/>
                      <w:szCs w:val="21"/>
                    </w:rPr>
                  </w:pPr>
                  <w:r>
                    <w:rPr>
                      <w:rFonts w:hint="eastAsia"/>
                      <w:color w:val="000000"/>
                      <w:szCs w:val="21"/>
                      <w:lang w:val="en-US" w:eastAsia="zh-CN"/>
                    </w:rPr>
                    <w:t>氨氮</w:t>
                  </w:r>
                </w:p>
              </w:tc>
              <w:tc>
                <w:tcPr>
                  <w:tcW w:w="2293" w:type="pct"/>
                  <w:gridSpan w:val="2"/>
                  <w:noWrap w:val="0"/>
                  <w:vAlign w:val="center"/>
                </w:tcPr>
                <w:p w14:paraId="7A2DBBDA">
                  <w:pPr>
                    <w:adjustRightInd w:val="0"/>
                    <w:jc w:val="center"/>
                    <w:rPr>
                      <w:rFonts w:hint="eastAsia"/>
                      <w:color w:val="000000"/>
                      <w:szCs w:val="21"/>
                    </w:rPr>
                  </w:pPr>
                  <w:r>
                    <w:rPr>
                      <w:rFonts w:hint="eastAsia"/>
                      <w:color w:val="000000"/>
                      <w:szCs w:val="21"/>
                      <w:lang w:val="en-US" w:eastAsia="zh-CN"/>
                    </w:rPr>
                    <w:t>/</w:t>
                  </w:r>
                </w:p>
              </w:tc>
            </w:tr>
            <w:tr w14:paraId="0D47E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330" w:type="pct"/>
                  <w:vMerge w:val="continue"/>
                  <w:noWrap w:val="0"/>
                  <w:vAlign w:val="center"/>
                </w:tcPr>
                <w:p w14:paraId="2F72F42C">
                  <w:pPr>
                    <w:adjustRightInd w:val="0"/>
                    <w:jc w:val="center"/>
                    <w:rPr>
                      <w:color w:val="000000"/>
                      <w:szCs w:val="21"/>
                    </w:rPr>
                  </w:pPr>
                </w:p>
              </w:tc>
              <w:tc>
                <w:tcPr>
                  <w:tcW w:w="1774" w:type="pct"/>
                  <w:vMerge w:val="continue"/>
                  <w:noWrap w:val="0"/>
                  <w:vAlign w:val="center"/>
                </w:tcPr>
                <w:p w14:paraId="7D327712">
                  <w:pPr>
                    <w:adjustRightInd w:val="0"/>
                    <w:jc w:val="center"/>
                    <w:rPr>
                      <w:rFonts w:hint="eastAsia"/>
                      <w:color w:val="000000"/>
                      <w:szCs w:val="21"/>
                    </w:rPr>
                  </w:pPr>
                </w:p>
              </w:tc>
              <w:tc>
                <w:tcPr>
                  <w:tcW w:w="601" w:type="pct"/>
                  <w:noWrap w:val="0"/>
                  <w:vAlign w:val="center"/>
                </w:tcPr>
                <w:p w14:paraId="1787B75A">
                  <w:pPr>
                    <w:adjustRightInd w:val="0"/>
                    <w:jc w:val="center"/>
                    <w:rPr>
                      <w:rFonts w:hint="eastAsia"/>
                      <w:color w:val="000000"/>
                      <w:szCs w:val="21"/>
                    </w:rPr>
                  </w:pPr>
                  <w:r>
                    <w:rPr>
                      <w:rFonts w:hint="eastAsia"/>
                      <w:color w:val="000000"/>
                      <w:szCs w:val="21"/>
                      <w:lang w:val="en-US" w:eastAsia="zh-CN"/>
                    </w:rPr>
                    <w:t>SS</w:t>
                  </w:r>
                </w:p>
              </w:tc>
              <w:tc>
                <w:tcPr>
                  <w:tcW w:w="2293" w:type="pct"/>
                  <w:gridSpan w:val="2"/>
                  <w:noWrap w:val="0"/>
                  <w:vAlign w:val="center"/>
                </w:tcPr>
                <w:p w14:paraId="3EEDCD54">
                  <w:pPr>
                    <w:adjustRightInd w:val="0"/>
                    <w:jc w:val="center"/>
                    <w:rPr>
                      <w:rFonts w:hint="eastAsia"/>
                      <w:color w:val="000000"/>
                      <w:szCs w:val="21"/>
                    </w:rPr>
                  </w:pPr>
                  <w:r>
                    <w:rPr>
                      <w:rFonts w:hint="eastAsia"/>
                      <w:color w:val="000000"/>
                      <w:szCs w:val="21"/>
                      <w:lang w:val="en-US" w:eastAsia="zh-CN"/>
                    </w:rPr>
                    <w:t>400mg/L</w:t>
                  </w:r>
                </w:p>
              </w:tc>
            </w:tr>
            <w:tr w14:paraId="45C7A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330" w:type="pct"/>
                  <w:vMerge w:val="continue"/>
                  <w:noWrap w:val="0"/>
                  <w:vAlign w:val="center"/>
                </w:tcPr>
                <w:p w14:paraId="684D0DDC">
                  <w:pPr>
                    <w:adjustRightInd w:val="0"/>
                    <w:jc w:val="center"/>
                    <w:rPr>
                      <w:rFonts w:hint="eastAsia" w:eastAsia="宋体"/>
                      <w:color w:val="000000"/>
                      <w:szCs w:val="21"/>
                      <w:lang w:val="en-US" w:eastAsia="zh-CN"/>
                    </w:rPr>
                  </w:pPr>
                </w:p>
              </w:tc>
              <w:tc>
                <w:tcPr>
                  <w:tcW w:w="1774" w:type="pct"/>
                  <w:vMerge w:val="restart"/>
                  <w:noWrap w:val="0"/>
                  <w:vAlign w:val="center"/>
                </w:tcPr>
                <w:p w14:paraId="59A4CB3B">
                  <w:pPr>
                    <w:adjustRightInd w:val="0"/>
                    <w:jc w:val="center"/>
                    <w:rPr>
                      <w:rFonts w:hint="default" w:eastAsia="宋体"/>
                      <w:color w:val="000000"/>
                      <w:szCs w:val="21"/>
                      <w:lang w:val="en-US" w:eastAsia="zh-CN"/>
                    </w:rPr>
                  </w:pPr>
                  <w:r>
                    <w:rPr>
                      <w:rFonts w:hint="eastAsia"/>
                      <w:color w:val="000000"/>
                      <w:szCs w:val="21"/>
                      <w:lang w:val="en-US" w:eastAsia="zh-CN"/>
                    </w:rPr>
                    <w:t>偃师区第四污水处理厂</w:t>
                  </w:r>
                  <w:r>
                    <w:rPr>
                      <w:rFonts w:hint="eastAsia" w:cs="Times New Roman"/>
                      <w:color w:val="000000"/>
                      <w:sz w:val="21"/>
                      <w:szCs w:val="21"/>
                      <w:lang w:eastAsia="zh-CN"/>
                    </w:rPr>
                    <w:t>接管标准</w:t>
                  </w:r>
                </w:p>
              </w:tc>
              <w:tc>
                <w:tcPr>
                  <w:tcW w:w="601" w:type="pct"/>
                  <w:noWrap w:val="0"/>
                  <w:vAlign w:val="center"/>
                </w:tcPr>
                <w:p w14:paraId="690D49EC">
                  <w:pPr>
                    <w:adjustRightInd w:val="0"/>
                    <w:jc w:val="center"/>
                    <w:rPr>
                      <w:rFonts w:hint="default" w:eastAsia="宋体"/>
                      <w:color w:val="000000"/>
                      <w:szCs w:val="21"/>
                      <w:lang w:val="en-US" w:eastAsia="zh-CN"/>
                    </w:rPr>
                  </w:pPr>
                  <w:r>
                    <w:rPr>
                      <w:rFonts w:hint="eastAsia"/>
                      <w:color w:val="000000"/>
                      <w:szCs w:val="21"/>
                      <w:lang w:val="en-US" w:eastAsia="zh-CN"/>
                    </w:rPr>
                    <w:t>COD</w:t>
                  </w:r>
                </w:p>
              </w:tc>
              <w:tc>
                <w:tcPr>
                  <w:tcW w:w="2293" w:type="pct"/>
                  <w:gridSpan w:val="2"/>
                  <w:noWrap w:val="0"/>
                  <w:vAlign w:val="center"/>
                </w:tcPr>
                <w:p w14:paraId="30F7BDD3">
                  <w:pPr>
                    <w:adjustRightInd w:val="0"/>
                    <w:jc w:val="center"/>
                    <w:rPr>
                      <w:rFonts w:hint="eastAsia"/>
                      <w:color w:val="000000"/>
                      <w:szCs w:val="21"/>
                    </w:rPr>
                  </w:pPr>
                  <w:r>
                    <w:rPr>
                      <w:rFonts w:hint="eastAsia"/>
                      <w:color w:val="000000"/>
                      <w:szCs w:val="21"/>
                      <w:lang w:val="en-US" w:eastAsia="zh-CN"/>
                    </w:rPr>
                    <w:t>320mg/L</w:t>
                  </w:r>
                </w:p>
              </w:tc>
            </w:tr>
            <w:tr w14:paraId="304EB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330" w:type="pct"/>
                  <w:vMerge w:val="continue"/>
                  <w:noWrap w:val="0"/>
                  <w:vAlign w:val="center"/>
                </w:tcPr>
                <w:p w14:paraId="3B67DC29">
                  <w:pPr>
                    <w:adjustRightInd w:val="0"/>
                    <w:jc w:val="center"/>
                    <w:rPr>
                      <w:rFonts w:hint="eastAsia"/>
                      <w:color w:val="000000"/>
                      <w:szCs w:val="21"/>
                      <w:lang w:val="en-US" w:eastAsia="zh-CN"/>
                    </w:rPr>
                  </w:pPr>
                </w:p>
              </w:tc>
              <w:tc>
                <w:tcPr>
                  <w:tcW w:w="1774" w:type="pct"/>
                  <w:vMerge w:val="continue"/>
                  <w:noWrap w:val="0"/>
                  <w:vAlign w:val="center"/>
                </w:tcPr>
                <w:p w14:paraId="5173DDA9">
                  <w:pPr>
                    <w:adjustRightInd w:val="0"/>
                    <w:jc w:val="center"/>
                    <w:rPr>
                      <w:rFonts w:hint="eastAsia"/>
                      <w:color w:val="000000"/>
                      <w:szCs w:val="21"/>
                    </w:rPr>
                  </w:pPr>
                </w:p>
              </w:tc>
              <w:tc>
                <w:tcPr>
                  <w:tcW w:w="601" w:type="pct"/>
                  <w:noWrap w:val="0"/>
                  <w:vAlign w:val="center"/>
                </w:tcPr>
                <w:p w14:paraId="38E11656">
                  <w:pPr>
                    <w:adjustRightInd w:val="0"/>
                    <w:jc w:val="center"/>
                    <w:rPr>
                      <w:rFonts w:hint="default"/>
                      <w:color w:val="000000"/>
                      <w:szCs w:val="21"/>
                      <w:lang w:val="en-US" w:eastAsia="zh-CN"/>
                    </w:rPr>
                  </w:pPr>
                  <w:r>
                    <w:rPr>
                      <w:rFonts w:hint="eastAsia"/>
                      <w:color w:val="000000"/>
                      <w:szCs w:val="21"/>
                      <w:lang w:val="en-US" w:eastAsia="zh-CN"/>
                    </w:rPr>
                    <w:t>氨氮</w:t>
                  </w:r>
                </w:p>
              </w:tc>
              <w:tc>
                <w:tcPr>
                  <w:tcW w:w="2293" w:type="pct"/>
                  <w:gridSpan w:val="2"/>
                  <w:noWrap w:val="0"/>
                  <w:vAlign w:val="center"/>
                </w:tcPr>
                <w:p w14:paraId="656E6E85">
                  <w:pPr>
                    <w:adjustRightInd w:val="0"/>
                    <w:jc w:val="center"/>
                    <w:rPr>
                      <w:rFonts w:hint="eastAsia"/>
                      <w:color w:val="000000"/>
                      <w:szCs w:val="21"/>
                    </w:rPr>
                  </w:pPr>
                  <w:r>
                    <w:rPr>
                      <w:rFonts w:hint="eastAsia"/>
                      <w:color w:val="000000"/>
                      <w:szCs w:val="21"/>
                      <w:lang w:val="en-US" w:eastAsia="zh-CN"/>
                    </w:rPr>
                    <w:t>35mg/L</w:t>
                  </w:r>
                </w:p>
              </w:tc>
            </w:tr>
            <w:tr w14:paraId="4AC59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330" w:type="pct"/>
                  <w:vMerge w:val="continue"/>
                  <w:noWrap w:val="0"/>
                  <w:vAlign w:val="center"/>
                </w:tcPr>
                <w:p w14:paraId="51510581">
                  <w:pPr>
                    <w:adjustRightInd w:val="0"/>
                    <w:jc w:val="center"/>
                    <w:rPr>
                      <w:rFonts w:hint="eastAsia"/>
                      <w:color w:val="000000"/>
                      <w:szCs w:val="21"/>
                      <w:lang w:val="en-US" w:eastAsia="zh-CN"/>
                    </w:rPr>
                  </w:pPr>
                </w:p>
              </w:tc>
              <w:tc>
                <w:tcPr>
                  <w:tcW w:w="1774" w:type="pct"/>
                  <w:vMerge w:val="continue"/>
                  <w:noWrap w:val="0"/>
                  <w:vAlign w:val="center"/>
                </w:tcPr>
                <w:p w14:paraId="7340A87B">
                  <w:pPr>
                    <w:adjustRightInd w:val="0"/>
                    <w:jc w:val="center"/>
                    <w:rPr>
                      <w:rFonts w:hint="eastAsia"/>
                      <w:color w:val="000000"/>
                      <w:szCs w:val="21"/>
                    </w:rPr>
                  </w:pPr>
                </w:p>
              </w:tc>
              <w:tc>
                <w:tcPr>
                  <w:tcW w:w="601" w:type="pct"/>
                  <w:noWrap w:val="0"/>
                  <w:vAlign w:val="center"/>
                </w:tcPr>
                <w:p w14:paraId="659F048E">
                  <w:pPr>
                    <w:adjustRightInd w:val="0"/>
                    <w:jc w:val="center"/>
                    <w:rPr>
                      <w:rFonts w:hint="default"/>
                      <w:color w:val="000000"/>
                      <w:szCs w:val="21"/>
                      <w:lang w:val="en-US" w:eastAsia="zh-CN"/>
                    </w:rPr>
                  </w:pPr>
                  <w:r>
                    <w:rPr>
                      <w:rFonts w:hint="eastAsia"/>
                      <w:color w:val="000000"/>
                      <w:szCs w:val="21"/>
                      <w:lang w:val="en-US" w:eastAsia="zh-CN"/>
                    </w:rPr>
                    <w:t>SS</w:t>
                  </w:r>
                </w:p>
              </w:tc>
              <w:tc>
                <w:tcPr>
                  <w:tcW w:w="2293" w:type="pct"/>
                  <w:gridSpan w:val="2"/>
                  <w:noWrap w:val="0"/>
                  <w:vAlign w:val="center"/>
                </w:tcPr>
                <w:p w14:paraId="346D6C0D">
                  <w:pPr>
                    <w:adjustRightInd w:val="0"/>
                    <w:jc w:val="center"/>
                    <w:rPr>
                      <w:rFonts w:hint="eastAsia"/>
                      <w:color w:val="000000"/>
                      <w:szCs w:val="21"/>
                    </w:rPr>
                  </w:pPr>
                  <w:r>
                    <w:rPr>
                      <w:rFonts w:hint="eastAsia"/>
                      <w:color w:val="000000"/>
                      <w:szCs w:val="21"/>
                      <w:lang w:val="en-US" w:eastAsia="zh-CN"/>
                    </w:rPr>
                    <w:t>180mg/L</w:t>
                  </w:r>
                </w:p>
              </w:tc>
            </w:tr>
            <w:tr w14:paraId="29962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04" w:hRule="atLeast"/>
                <w:jc w:val="center"/>
              </w:trPr>
              <w:tc>
                <w:tcPr>
                  <w:tcW w:w="330" w:type="pct"/>
                  <w:noWrap w:val="0"/>
                  <w:vAlign w:val="center"/>
                </w:tcPr>
                <w:p w14:paraId="77791BCF">
                  <w:pPr>
                    <w:adjustRightInd w:val="0"/>
                    <w:jc w:val="center"/>
                    <w:rPr>
                      <w:color w:val="000000"/>
                      <w:szCs w:val="21"/>
                    </w:rPr>
                  </w:pPr>
                  <w:r>
                    <w:rPr>
                      <w:color w:val="000000"/>
                      <w:szCs w:val="21"/>
                    </w:rPr>
                    <w:t>噪声</w:t>
                  </w:r>
                </w:p>
              </w:tc>
              <w:tc>
                <w:tcPr>
                  <w:tcW w:w="1774" w:type="pct"/>
                  <w:noWrap w:val="0"/>
                  <w:vAlign w:val="center"/>
                </w:tcPr>
                <w:p w14:paraId="269C6D05">
                  <w:pPr>
                    <w:adjustRightInd w:val="0"/>
                    <w:jc w:val="center"/>
                    <w:rPr>
                      <w:color w:val="000000"/>
                      <w:szCs w:val="21"/>
                    </w:rPr>
                  </w:pPr>
                  <w:r>
                    <w:rPr>
                      <w:rFonts w:hint="eastAsia"/>
                      <w:color w:val="000000"/>
                      <w:szCs w:val="21"/>
                    </w:rPr>
                    <w:t>《工业企业厂界环境噪声排放标准》（GB12348-2008）</w:t>
                  </w:r>
                  <w:r>
                    <w:rPr>
                      <w:rFonts w:hint="eastAsia"/>
                      <w:color w:val="000000"/>
                      <w:szCs w:val="21"/>
                      <w:lang w:val="en-US" w:eastAsia="zh-CN"/>
                    </w:rPr>
                    <w:t>3</w:t>
                  </w:r>
                  <w:r>
                    <w:rPr>
                      <w:rFonts w:hint="eastAsia"/>
                      <w:color w:val="000000"/>
                      <w:szCs w:val="21"/>
                    </w:rPr>
                    <w:t>类</w:t>
                  </w:r>
                </w:p>
              </w:tc>
              <w:tc>
                <w:tcPr>
                  <w:tcW w:w="601" w:type="pct"/>
                  <w:noWrap w:val="0"/>
                  <w:vAlign w:val="center"/>
                </w:tcPr>
                <w:p w14:paraId="4C583FFF">
                  <w:pPr>
                    <w:adjustRightInd w:val="0"/>
                    <w:jc w:val="center"/>
                    <w:rPr>
                      <w:color w:val="000000"/>
                      <w:szCs w:val="21"/>
                    </w:rPr>
                  </w:pPr>
                  <w:r>
                    <w:rPr>
                      <w:rFonts w:hint="eastAsia"/>
                      <w:color w:val="000000"/>
                      <w:szCs w:val="21"/>
                    </w:rPr>
                    <w:t>等效连续A声级</w:t>
                  </w:r>
                </w:p>
              </w:tc>
              <w:tc>
                <w:tcPr>
                  <w:tcW w:w="1671" w:type="pct"/>
                  <w:noWrap w:val="0"/>
                  <w:vAlign w:val="center"/>
                </w:tcPr>
                <w:p w14:paraId="48F23F2B">
                  <w:pPr>
                    <w:adjustRightInd w:val="0"/>
                    <w:jc w:val="center"/>
                    <w:rPr>
                      <w:color w:val="000000"/>
                      <w:szCs w:val="21"/>
                    </w:rPr>
                  </w:pPr>
                  <w:r>
                    <w:rPr>
                      <w:color w:val="000000"/>
                      <w:szCs w:val="21"/>
                    </w:rPr>
                    <w:t>昼间</w:t>
                  </w:r>
                </w:p>
              </w:tc>
              <w:tc>
                <w:tcPr>
                  <w:tcW w:w="622" w:type="pct"/>
                  <w:noWrap w:val="0"/>
                  <w:vAlign w:val="center"/>
                </w:tcPr>
                <w:p w14:paraId="3B5A4BB5">
                  <w:pPr>
                    <w:adjustRightInd w:val="0"/>
                    <w:jc w:val="center"/>
                    <w:rPr>
                      <w:color w:val="000000"/>
                      <w:szCs w:val="21"/>
                    </w:rPr>
                  </w:pPr>
                  <w:r>
                    <w:rPr>
                      <w:rFonts w:hint="eastAsia"/>
                      <w:color w:val="000000"/>
                      <w:kern w:val="0"/>
                      <w:szCs w:val="21"/>
                    </w:rPr>
                    <w:t>6</w:t>
                  </w:r>
                  <w:r>
                    <w:rPr>
                      <w:rFonts w:hint="eastAsia"/>
                      <w:color w:val="000000"/>
                      <w:kern w:val="0"/>
                      <w:szCs w:val="21"/>
                      <w:lang w:val="en-US" w:eastAsia="zh-CN"/>
                    </w:rPr>
                    <w:t>5</w:t>
                  </w:r>
                  <w:r>
                    <w:rPr>
                      <w:color w:val="000000"/>
                      <w:kern w:val="0"/>
                      <w:szCs w:val="21"/>
                    </w:rPr>
                    <w:t>dB（A）</w:t>
                  </w:r>
                </w:p>
              </w:tc>
            </w:tr>
            <w:tr w14:paraId="0534F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 w:hRule="atLeast"/>
                <w:jc w:val="center"/>
              </w:trPr>
              <w:tc>
                <w:tcPr>
                  <w:tcW w:w="330" w:type="pct"/>
                  <w:noWrap w:val="0"/>
                  <w:vAlign w:val="center"/>
                </w:tcPr>
                <w:p w14:paraId="16FDCA01">
                  <w:pPr>
                    <w:adjustRightInd w:val="0"/>
                    <w:jc w:val="center"/>
                    <w:rPr>
                      <w:color w:val="000000"/>
                      <w:szCs w:val="21"/>
                    </w:rPr>
                  </w:pPr>
                  <w:r>
                    <w:rPr>
                      <w:color w:val="000000"/>
                      <w:szCs w:val="21"/>
                    </w:rPr>
                    <w:t>固废</w:t>
                  </w:r>
                </w:p>
              </w:tc>
              <w:tc>
                <w:tcPr>
                  <w:tcW w:w="4669" w:type="pct"/>
                  <w:gridSpan w:val="4"/>
                  <w:noWrap w:val="0"/>
                  <w:vAlign w:val="center"/>
                </w:tcPr>
                <w:p w14:paraId="66132FC8">
                  <w:pPr>
                    <w:adjustRightInd w:val="0"/>
                    <w:jc w:val="left"/>
                    <w:rPr>
                      <w:rFonts w:hint="eastAsia"/>
                      <w:color w:val="000000"/>
                      <w:kern w:val="0"/>
                      <w:szCs w:val="21"/>
                    </w:rPr>
                  </w:pPr>
                  <w:r>
                    <w:rPr>
                      <w:rFonts w:hint="eastAsia"/>
                      <w:color w:val="000000"/>
                      <w:szCs w:val="21"/>
                    </w:rPr>
                    <w:t>《危险废物贮存污染控制标准》（GB18597-2023）</w:t>
                  </w:r>
                </w:p>
              </w:tc>
            </w:tr>
          </w:tbl>
          <w:p w14:paraId="30D80960">
            <w:pPr>
              <w:keepNext w:val="0"/>
              <w:keepLines w:val="0"/>
              <w:pageBreakBefore w:val="0"/>
              <w:widowControl w:val="0"/>
              <w:kinsoku/>
              <w:wordWrap/>
              <w:overflowPunct/>
              <w:topLinePunct w:val="0"/>
              <w:autoSpaceDE/>
              <w:autoSpaceDN/>
              <w:bidi w:val="0"/>
              <w:adjustRightInd/>
              <w:snapToGrid w:val="0"/>
              <w:textAlignment w:val="auto"/>
              <w:rPr>
                <w:color w:val="000000"/>
                <w:sz w:val="10"/>
                <w:szCs w:val="10"/>
              </w:rPr>
            </w:pPr>
            <w:r>
              <w:rPr>
                <w:rFonts w:hint="eastAsia"/>
                <w:color w:val="000000"/>
                <w:sz w:val="24"/>
                <w:szCs w:val="24"/>
              </w:rPr>
              <w:t xml:space="preserve">   </w:t>
            </w:r>
          </w:p>
        </w:tc>
      </w:tr>
      <w:tr w14:paraId="63B0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0" w:hRule="atLeast"/>
        </w:trPr>
        <w:tc>
          <w:tcPr>
            <w:tcW w:w="652" w:type="dxa"/>
            <w:noWrap w:val="0"/>
            <w:vAlign w:val="center"/>
          </w:tcPr>
          <w:p w14:paraId="0AF48DA2">
            <w:pPr>
              <w:adjustRightInd w:val="0"/>
              <w:snapToGrid w:val="0"/>
              <w:spacing w:before="31" w:beforeLines="10"/>
              <w:jc w:val="center"/>
              <w:rPr>
                <w:rFonts w:hint="eastAsia" w:ascii="宋体" w:hAnsi="宋体" w:cs="宋体"/>
                <w:color w:val="000000"/>
                <w:kern w:val="0"/>
                <w:sz w:val="24"/>
                <w:szCs w:val="24"/>
              </w:rPr>
            </w:pPr>
            <w:r>
              <w:rPr>
                <w:rFonts w:hint="eastAsia" w:ascii="宋体" w:hAnsi="宋体" w:cs="宋体"/>
                <w:color w:val="000000"/>
                <w:kern w:val="0"/>
                <w:sz w:val="24"/>
                <w:szCs w:val="24"/>
              </w:rPr>
              <w:t>总量</w:t>
            </w:r>
          </w:p>
          <w:p w14:paraId="11AB59AB">
            <w:pPr>
              <w:adjustRightInd w:val="0"/>
              <w:snapToGrid w:val="0"/>
              <w:jc w:val="center"/>
              <w:rPr>
                <w:rFonts w:hint="eastAsia" w:ascii="宋体" w:hAnsi="宋体" w:cs="宋体"/>
                <w:color w:val="000000"/>
                <w:kern w:val="0"/>
                <w:sz w:val="24"/>
                <w:szCs w:val="24"/>
              </w:rPr>
            </w:pPr>
            <w:r>
              <w:rPr>
                <w:rFonts w:hint="eastAsia" w:ascii="宋体" w:hAnsi="宋体" w:cs="宋体"/>
                <w:color w:val="000000"/>
                <w:kern w:val="0"/>
                <w:sz w:val="24"/>
                <w:szCs w:val="24"/>
              </w:rPr>
              <w:t>控制</w:t>
            </w:r>
          </w:p>
          <w:p w14:paraId="22528FC1">
            <w:pPr>
              <w:adjustRightInd w:val="0"/>
              <w:snapToGrid w:val="0"/>
              <w:spacing w:after="31" w:afterLines="10"/>
              <w:jc w:val="center"/>
              <w:rPr>
                <w:rFonts w:hint="eastAsia" w:ascii="宋体" w:hAnsi="宋体" w:cs="宋体"/>
                <w:color w:val="000000"/>
                <w:kern w:val="0"/>
                <w:sz w:val="24"/>
                <w:szCs w:val="24"/>
              </w:rPr>
            </w:pPr>
            <w:r>
              <w:rPr>
                <w:rFonts w:hint="eastAsia" w:ascii="宋体" w:hAnsi="宋体" w:cs="宋体"/>
                <w:color w:val="000000"/>
                <w:kern w:val="0"/>
                <w:sz w:val="24"/>
                <w:szCs w:val="24"/>
              </w:rPr>
              <w:t>指标</w:t>
            </w:r>
          </w:p>
        </w:tc>
        <w:tc>
          <w:tcPr>
            <w:tcW w:w="8362" w:type="dxa"/>
            <w:noWrap w:val="0"/>
            <w:vAlign w:val="center"/>
          </w:tcPr>
          <w:p w14:paraId="146B25BC">
            <w:pPr>
              <w:adjustRightInd w:val="0"/>
              <w:spacing w:line="360" w:lineRule="auto"/>
              <w:ind w:firstLine="480" w:firstLineChars="200"/>
              <w:jc w:val="both"/>
              <w:rPr>
                <w:rFonts w:hint="eastAsia" w:ascii="Times New Roman" w:hAnsi="宋体" w:eastAsia="宋体" w:cs="Times New Roman"/>
                <w:color w:val="auto"/>
                <w:sz w:val="24"/>
                <w:szCs w:val="24"/>
                <w:lang w:val="en-US" w:eastAsia="zh-CN"/>
              </w:rPr>
            </w:pPr>
            <w:r>
              <w:rPr>
                <w:rFonts w:hint="eastAsia" w:ascii="Times New Roman" w:hAnsi="宋体" w:eastAsia="宋体" w:cs="Times New Roman"/>
                <w:color w:val="auto"/>
                <w:sz w:val="24"/>
                <w:szCs w:val="24"/>
                <w:lang w:val="en-US" w:eastAsia="zh-CN"/>
              </w:rPr>
              <w:t>废水：本项目COD排放量为0.0269t/a，氨氮排放量为0.0028t/a。</w:t>
            </w:r>
            <w:r>
              <w:rPr>
                <w:rFonts w:hint="eastAsia" w:hAnsi="宋体" w:cs="Times New Roman"/>
                <w:color w:val="auto"/>
                <w:sz w:val="24"/>
                <w:szCs w:val="24"/>
                <w:lang w:val="en-US" w:eastAsia="zh-CN"/>
              </w:rPr>
              <w:t>近期清淘肥田，远期排入污水处理厂纳入污水处理厂</w:t>
            </w:r>
            <w:r>
              <w:rPr>
                <w:rFonts w:hint="eastAsia" w:ascii="Times New Roman" w:hAnsi="宋体" w:eastAsia="宋体" w:cs="Times New Roman"/>
                <w:color w:val="auto"/>
                <w:sz w:val="24"/>
                <w:szCs w:val="24"/>
                <w:lang w:val="en-US" w:eastAsia="zh-CN"/>
              </w:rPr>
              <w:t>总量控制指标。</w:t>
            </w:r>
          </w:p>
          <w:p w14:paraId="3DB7E7B9">
            <w:pPr>
              <w:adjustRightInd w:val="0"/>
              <w:spacing w:line="360" w:lineRule="auto"/>
              <w:ind w:firstLine="480" w:firstLineChars="200"/>
              <w:jc w:val="both"/>
              <w:rPr>
                <w:rFonts w:hint="eastAsia" w:ascii="Times New Roman" w:hAnsi="宋体" w:eastAsia="宋体" w:cs="Times New Roman"/>
                <w:color w:val="auto"/>
                <w:sz w:val="24"/>
                <w:szCs w:val="24"/>
                <w:lang w:val="en-US" w:eastAsia="zh-CN"/>
              </w:rPr>
            </w:pPr>
            <w:r>
              <w:rPr>
                <w:rFonts w:hint="eastAsia" w:ascii="Times New Roman" w:hAnsi="宋体" w:eastAsia="宋体" w:cs="Times New Roman"/>
                <w:color w:val="auto"/>
                <w:sz w:val="24"/>
                <w:szCs w:val="24"/>
                <w:lang w:val="en-US" w:eastAsia="zh-CN"/>
              </w:rPr>
              <w:t>废气：本项目污染物新增总量指标为：VOCs：0.0524t/a。</w:t>
            </w:r>
          </w:p>
          <w:p w14:paraId="5387917C">
            <w:pPr>
              <w:adjustRightInd w:val="0"/>
              <w:spacing w:line="360" w:lineRule="auto"/>
              <w:ind w:firstLine="480" w:firstLineChars="200"/>
              <w:jc w:val="both"/>
              <w:rPr>
                <w:rFonts w:hint="eastAsia" w:ascii="Times New Roman" w:hAnsi="宋体" w:eastAsia="宋体" w:cs="Times New Roman"/>
                <w:color w:val="auto"/>
                <w:sz w:val="24"/>
                <w:szCs w:val="24"/>
                <w:lang w:val="en-US" w:eastAsia="zh-CN"/>
              </w:rPr>
            </w:pPr>
          </w:p>
          <w:p w14:paraId="067D791D">
            <w:pPr>
              <w:adjustRightInd w:val="0"/>
              <w:spacing w:line="360" w:lineRule="auto"/>
              <w:ind w:firstLine="480" w:firstLineChars="200"/>
              <w:jc w:val="both"/>
              <w:rPr>
                <w:rFonts w:hint="eastAsia" w:ascii="Times New Roman" w:hAnsi="宋体" w:eastAsia="宋体" w:cs="Times New Roman"/>
                <w:color w:val="auto"/>
                <w:sz w:val="24"/>
                <w:szCs w:val="24"/>
                <w:lang w:val="en-US" w:eastAsia="zh-CN"/>
              </w:rPr>
            </w:pPr>
          </w:p>
        </w:tc>
      </w:tr>
    </w:tbl>
    <w:p w14:paraId="3DFB214A">
      <w:pPr>
        <w:snapToGrid w:val="0"/>
        <w:rPr>
          <w:rFonts w:hint="eastAsia"/>
          <w:color w:val="000000"/>
          <w:sz w:val="24"/>
          <w:szCs w:val="24"/>
        </w:rPr>
        <w:sectPr>
          <w:pgSz w:w="11906" w:h="16838"/>
          <w:pgMar w:top="1701" w:right="1531" w:bottom="1644" w:left="1531" w:header="851" w:footer="992" w:gutter="0"/>
          <w:pgBorders>
            <w:top w:val="none" w:sz="0" w:space="0"/>
            <w:left w:val="none" w:sz="0" w:space="0"/>
            <w:bottom w:val="none" w:sz="0" w:space="0"/>
            <w:right w:val="none" w:sz="0" w:space="0"/>
          </w:pgBorders>
          <w:cols w:space="720" w:num="1"/>
          <w:docGrid w:type="linesAndChars" w:linePitch="312" w:charSpace="117"/>
        </w:sectPr>
      </w:pPr>
    </w:p>
    <w:p w14:paraId="44B62C2F">
      <w:pPr>
        <w:snapToGrid w:val="0"/>
        <w:spacing w:after="124" w:afterLines="40"/>
        <w:jc w:val="center"/>
        <w:rPr>
          <w:rFonts w:hint="eastAsia" w:ascii="黑体" w:hAnsi="黑体" w:eastAsia="黑体"/>
          <w:snapToGrid w:val="0"/>
          <w:color w:val="000000"/>
          <w:sz w:val="30"/>
          <w:szCs w:val="30"/>
        </w:rPr>
      </w:pPr>
      <w:r>
        <w:rPr>
          <w:rFonts w:hint="eastAsia" w:ascii="黑体" w:hAnsi="黑体" w:eastAsia="黑体"/>
          <w:snapToGrid w:val="0"/>
          <w:color w:val="000000"/>
          <w:sz w:val="30"/>
          <w:szCs w:val="30"/>
        </w:rPr>
        <w:t>四、主要环境影响和保护措施</w:t>
      </w:r>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674"/>
        <w:gridCol w:w="8335"/>
      </w:tblGrid>
      <w:tr w14:paraId="5A82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2717" w:hRule="atLeast"/>
        </w:trPr>
        <w:tc>
          <w:tcPr>
            <w:tcW w:w="374" w:type="pct"/>
            <w:noWrap w:val="0"/>
            <w:vAlign w:val="center"/>
          </w:tcPr>
          <w:p w14:paraId="6A98C7B8">
            <w:pPr>
              <w:pStyle w:val="14"/>
              <w:adjustRightInd w:val="0"/>
              <w:spacing w:before="0" w:beforeAutospacing="0" w:after="0" w:afterAutospacing="0"/>
              <w:jc w:val="center"/>
              <w:rPr>
                <w:rFonts w:hint="eastAsia" w:cs="宋体"/>
                <w:color w:val="000000"/>
                <w:kern w:val="2"/>
                <w:szCs w:val="24"/>
              </w:rPr>
            </w:pPr>
            <w:r>
              <w:rPr>
                <w:rFonts w:hint="eastAsia" w:cs="宋体"/>
                <w:color w:val="000000"/>
                <w:kern w:val="2"/>
                <w:szCs w:val="24"/>
              </w:rPr>
              <w:t>施工</w:t>
            </w:r>
          </w:p>
          <w:p w14:paraId="4A3AE77C">
            <w:pPr>
              <w:pStyle w:val="14"/>
              <w:adjustRightInd w:val="0"/>
              <w:spacing w:before="0" w:beforeAutospacing="0" w:after="0" w:afterAutospacing="0"/>
              <w:jc w:val="center"/>
              <w:rPr>
                <w:rFonts w:hint="eastAsia" w:cs="宋体"/>
                <w:color w:val="000000"/>
                <w:kern w:val="2"/>
                <w:szCs w:val="24"/>
              </w:rPr>
            </w:pPr>
            <w:r>
              <w:rPr>
                <w:rFonts w:hint="eastAsia" w:cs="宋体"/>
                <w:color w:val="000000"/>
                <w:kern w:val="2"/>
                <w:szCs w:val="24"/>
              </w:rPr>
              <w:t>期环</w:t>
            </w:r>
          </w:p>
          <w:p w14:paraId="7C5B224D">
            <w:pPr>
              <w:pStyle w:val="14"/>
              <w:adjustRightInd w:val="0"/>
              <w:spacing w:before="0" w:beforeAutospacing="0" w:after="0" w:afterAutospacing="0"/>
              <w:jc w:val="center"/>
              <w:rPr>
                <w:rFonts w:hint="eastAsia" w:cs="宋体"/>
                <w:color w:val="000000"/>
                <w:kern w:val="2"/>
                <w:szCs w:val="24"/>
              </w:rPr>
            </w:pPr>
            <w:r>
              <w:rPr>
                <w:rFonts w:hint="eastAsia" w:cs="宋体"/>
                <w:color w:val="000000"/>
                <w:kern w:val="2"/>
                <w:szCs w:val="24"/>
              </w:rPr>
              <w:t>境保</w:t>
            </w:r>
          </w:p>
          <w:p w14:paraId="25AA32DD">
            <w:pPr>
              <w:pStyle w:val="14"/>
              <w:adjustRightInd w:val="0"/>
              <w:spacing w:before="0" w:beforeAutospacing="0" w:after="0" w:afterAutospacing="0"/>
              <w:jc w:val="center"/>
              <w:rPr>
                <w:rFonts w:hint="eastAsia" w:cs="宋体"/>
                <w:color w:val="000000"/>
                <w:kern w:val="2"/>
                <w:szCs w:val="24"/>
              </w:rPr>
            </w:pPr>
            <w:r>
              <w:rPr>
                <w:rFonts w:hint="eastAsia" w:cs="宋体"/>
                <w:color w:val="000000"/>
                <w:kern w:val="2"/>
                <w:szCs w:val="24"/>
              </w:rPr>
              <w:t>护措</w:t>
            </w:r>
          </w:p>
          <w:p w14:paraId="6567DABE">
            <w:pPr>
              <w:jc w:val="center"/>
              <w:rPr>
                <w:rFonts w:hint="eastAsia"/>
                <w:color w:val="000000"/>
                <w:sz w:val="24"/>
                <w:szCs w:val="24"/>
              </w:rPr>
            </w:pPr>
            <w:r>
              <w:rPr>
                <w:rFonts w:hint="eastAsia" w:cs="宋体"/>
                <w:color w:val="000000"/>
                <w:sz w:val="24"/>
                <w:szCs w:val="24"/>
              </w:rPr>
              <w:t>施</w:t>
            </w:r>
          </w:p>
        </w:tc>
        <w:tc>
          <w:tcPr>
            <w:tcW w:w="4625" w:type="pct"/>
            <w:noWrap w:val="0"/>
            <w:vAlign w:val="center"/>
          </w:tcPr>
          <w:p w14:paraId="0C2832B7">
            <w:pPr>
              <w:adjustRightInd w:val="0"/>
              <w:spacing w:line="360" w:lineRule="auto"/>
              <w:ind w:firstLine="480" w:firstLineChars="200"/>
              <w:jc w:val="left"/>
              <w:rPr>
                <w:rFonts w:hint="eastAsia"/>
                <w:color w:val="000000"/>
                <w:kern w:val="0"/>
                <w:sz w:val="24"/>
              </w:rPr>
            </w:pPr>
            <w:r>
              <w:rPr>
                <w:color w:val="000000"/>
                <w:sz w:val="24"/>
                <w:szCs w:val="24"/>
              </w:rPr>
              <w:t>本项目</w:t>
            </w:r>
            <w:r>
              <w:rPr>
                <w:rFonts w:hint="eastAsia"/>
                <w:color w:val="000000"/>
                <w:sz w:val="24"/>
                <w:szCs w:val="24"/>
              </w:rPr>
              <w:t>施工期涉及生产设备、环保设备的安装调试</w:t>
            </w:r>
            <w:r>
              <w:rPr>
                <w:rFonts w:hint="eastAsia"/>
                <w:color w:val="000000"/>
                <w:sz w:val="24"/>
                <w:szCs w:val="24"/>
                <w:lang w:eastAsia="zh-CN"/>
              </w:rPr>
              <w:t>，</w:t>
            </w:r>
            <w:r>
              <w:rPr>
                <w:rFonts w:hint="eastAsia"/>
                <w:color w:val="000000"/>
                <w:sz w:val="24"/>
                <w:szCs w:val="24"/>
              </w:rPr>
              <w:t>不进行土建工作，施工期环境影响较小，不再对施工期进行环境影响分析。</w:t>
            </w:r>
          </w:p>
        </w:tc>
      </w:tr>
    </w:tbl>
    <w:p w14:paraId="41DBBA4C">
      <w:pPr>
        <w:keepNext w:val="0"/>
        <w:keepLines w:val="0"/>
        <w:pageBreakBefore w:val="0"/>
        <w:widowControl w:val="0"/>
        <w:kinsoku/>
        <w:wordWrap/>
        <w:overflowPunct/>
        <w:topLinePunct w:val="0"/>
        <w:autoSpaceDE/>
        <w:autoSpaceDN/>
        <w:bidi w:val="0"/>
        <w:adjustRightInd/>
        <w:snapToGrid w:val="0"/>
        <w:textAlignment w:val="auto"/>
        <w:rPr>
          <w:rFonts w:hint="eastAsia"/>
          <w:color w:val="000000"/>
          <w:sz w:val="10"/>
          <w:szCs w:val="10"/>
        </w:rPr>
      </w:pPr>
      <w:r>
        <w:rPr>
          <w:rFonts w:hint="eastAsia"/>
          <w:color w:val="000000"/>
          <w:sz w:val="10"/>
          <w:szCs w:val="10"/>
        </w:rPr>
        <w:t xml:space="preserve">     </w:t>
      </w:r>
    </w:p>
    <w:p w14:paraId="24F8DA42">
      <w:pPr>
        <w:spacing w:line="360" w:lineRule="auto"/>
        <w:rPr>
          <w:color w:val="000000"/>
          <w:sz w:val="24"/>
          <w:szCs w:val="24"/>
        </w:rPr>
        <w:sectPr>
          <w:pgSz w:w="11906" w:h="16838"/>
          <w:pgMar w:top="1701" w:right="1531" w:bottom="1644" w:left="1531" w:header="851" w:footer="992" w:gutter="0"/>
          <w:pgBorders>
            <w:top w:val="none" w:sz="0" w:space="0"/>
            <w:left w:val="none" w:sz="0" w:space="0"/>
            <w:bottom w:val="none" w:sz="0" w:space="0"/>
            <w:right w:val="none" w:sz="0" w:space="0"/>
          </w:pgBorders>
          <w:cols w:space="720" w:num="1"/>
          <w:docGrid w:type="linesAndChars" w:linePitch="312" w:charSpace="117"/>
        </w:sectPr>
      </w:pPr>
    </w:p>
    <w:p w14:paraId="2466D718">
      <w:pPr>
        <w:snapToGrid w:val="0"/>
        <w:spacing w:after="124" w:afterLines="40"/>
        <w:jc w:val="center"/>
        <w:rPr>
          <w:rFonts w:hint="eastAsia" w:ascii="黑体" w:hAnsi="黑体" w:eastAsia="黑体"/>
          <w:snapToGrid w:val="0"/>
          <w:color w:val="000000"/>
          <w:sz w:val="30"/>
          <w:szCs w:val="30"/>
        </w:rPr>
      </w:pPr>
      <w:r>
        <w:rPr>
          <w:rFonts w:hint="eastAsia" w:ascii="黑体" w:hAnsi="黑体" w:eastAsia="黑体"/>
          <w:snapToGrid w:val="0"/>
          <w:color w:val="000000"/>
          <w:sz w:val="30"/>
          <w:szCs w:val="30"/>
        </w:rPr>
        <w:t>四、主要环境影响和保护措施</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652"/>
        <w:gridCol w:w="12954"/>
      </w:tblGrid>
      <w:tr w14:paraId="29F0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652" w:type="dxa"/>
            <w:noWrap w:val="0"/>
            <w:vAlign w:val="center"/>
          </w:tcPr>
          <w:p w14:paraId="0D9DCE60">
            <w:pPr>
              <w:adjustRightInd w:val="0"/>
              <w:jc w:val="center"/>
              <w:rPr>
                <w:rFonts w:hint="eastAsia" w:ascii="宋体" w:hAnsi="宋体" w:cs="宋体"/>
                <w:bCs/>
                <w:color w:val="000000"/>
                <w:sz w:val="24"/>
                <w:u w:val="none"/>
              </w:rPr>
            </w:pPr>
            <w:r>
              <w:rPr>
                <w:rFonts w:hint="eastAsia" w:ascii="宋体" w:hAnsi="宋体" w:cs="宋体"/>
                <w:bCs/>
                <w:color w:val="000000"/>
                <w:sz w:val="24"/>
                <w:u w:val="none"/>
              </w:rPr>
              <w:t>运营</w:t>
            </w:r>
          </w:p>
          <w:p w14:paraId="48303054">
            <w:pPr>
              <w:adjustRightInd w:val="0"/>
              <w:jc w:val="center"/>
              <w:rPr>
                <w:rFonts w:hint="eastAsia" w:ascii="宋体" w:hAnsi="宋体" w:cs="宋体"/>
                <w:bCs/>
                <w:color w:val="000000"/>
                <w:sz w:val="24"/>
                <w:u w:val="none"/>
              </w:rPr>
            </w:pPr>
            <w:r>
              <w:rPr>
                <w:rFonts w:hint="eastAsia" w:ascii="宋体" w:hAnsi="宋体" w:cs="宋体"/>
                <w:bCs/>
                <w:color w:val="000000"/>
                <w:sz w:val="24"/>
                <w:u w:val="none"/>
              </w:rPr>
              <w:t>期环</w:t>
            </w:r>
          </w:p>
          <w:p w14:paraId="033FE3A8">
            <w:pPr>
              <w:adjustRightInd w:val="0"/>
              <w:jc w:val="center"/>
              <w:rPr>
                <w:rFonts w:hint="eastAsia" w:ascii="宋体" w:hAnsi="宋体" w:cs="宋体"/>
                <w:bCs/>
                <w:color w:val="000000"/>
                <w:sz w:val="24"/>
                <w:u w:val="none"/>
              </w:rPr>
            </w:pPr>
            <w:r>
              <w:rPr>
                <w:rFonts w:hint="eastAsia" w:ascii="宋体" w:hAnsi="宋体" w:cs="宋体"/>
                <w:bCs/>
                <w:color w:val="000000"/>
                <w:sz w:val="24"/>
                <w:u w:val="none"/>
              </w:rPr>
              <w:t>境影</w:t>
            </w:r>
          </w:p>
          <w:p w14:paraId="40939500">
            <w:pPr>
              <w:adjustRightInd w:val="0"/>
              <w:jc w:val="center"/>
              <w:rPr>
                <w:rFonts w:hint="eastAsia" w:ascii="宋体" w:hAnsi="宋体" w:cs="宋体"/>
                <w:bCs/>
                <w:color w:val="000000"/>
                <w:sz w:val="24"/>
                <w:u w:val="none"/>
              </w:rPr>
            </w:pPr>
            <w:r>
              <w:rPr>
                <w:rFonts w:hint="eastAsia" w:ascii="宋体" w:hAnsi="宋体" w:cs="宋体"/>
                <w:bCs/>
                <w:color w:val="000000"/>
                <w:sz w:val="24"/>
                <w:u w:val="none"/>
              </w:rPr>
              <w:t>响和</w:t>
            </w:r>
          </w:p>
          <w:p w14:paraId="28980579">
            <w:pPr>
              <w:adjustRightInd w:val="0"/>
              <w:jc w:val="center"/>
              <w:rPr>
                <w:rFonts w:hint="eastAsia" w:ascii="宋体" w:hAnsi="宋体" w:cs="宋体"/>
                <w:bCs/>
                <w:color w:val="000000"/>
                <w:sz w:val="24"/>
                <w:u w:val="none"/>
              </w:rPr>
            </w:pPr>
            <w:r>
              <w:rPr>
                <w:rFonts w:hint="eastAsia" w:ascii="宋体" w:hAnsi="宋体" w:cs="宋体"/>
                <w:bCs/>
                <w:color w:val="000000"/>
                <w:sz w:val="24"/>
                <w:u w:val="none"/>
              </w:rPr>
              <w:t>保护</w:t>
            </w:r>
          </w:p>
          <w:p w14:paraId="4D2B3B26">
            <w:pPr>
              <w:snapToGrid w:val="0"/>
              <w:jc w:val="center"/>
              <w:rPr>
                <w:rFonts w:hint="eastAsia" w:ascii="宋体" w:hAnsi="宋体" w:cs="宋体"/>
                <w:bCs/>
                <w:color w:val="000000"/>
                <w:sz w:val="24"/>
                <w:u w:val="none"/>
              </w:rPr>
            </w:pPr>
            <w:r>
              <w:rPr>
                <w:rFonts w:hint="eastAsia" w:ascii="宋体" w:hAnsi="宋体" w:cs="宋体"/>
                <w:bCs/>
                <w:color w:val="000000"/>
                <w:sz w:val="24"/>
                <w:u w:val="none"/>
              </w:rPr>
              <w:t>措施</w:t>
            </w:r>
          </w:p>
        </w:tc>
        <w:tc>
          <w:tcPr>
            <w:tcW w:w="12954" w:type="dxa"/>
            <w:noWrap w:val="0"/>
            <w:vAlign w:val="top"/>
          </w:tcPr>
          <w:p w14:paraId="0F40B2F2">
            <w:pPr>
              <w:adjustRightInd w:val="0"/>
              <w:spacing w:line="360" w:lineRule="auto"/>
              <w:rPr>
                <w:b/>
                <w:bCs/>
                <w:color w:val="000000"/>
                <w:sz w:val="24"/>
                <w:u w:val="none"/>
              </w:rPr>
            </w:pPr>
            <w:r>
              <w:rPr>
                <w:rFonts w:hint="eastAsia"/>
                <w:b/>
                <w:bCs/>
                <w:color w:val="000000"/>
                <w:sz w:val="24"/>
                <w:u w:val="none"/>
              </w:rPr>
              <w:t>1</w:t>
            </w:r>
            <w:r>
              <w:rPr>
                <w:b/>
                <w:bCs/>
                <w:color w:val="000000"/>
                <w:sz w:val="24"/>
                <w:u w:val="none"/>
              </w:rPr>
              <w:t xml:space="preserve">. </w:t>
            </w:r>
            <w:r>
              <w:rPr>
                <w:rFonts w:hint="eastAsia"/>
                <w:b/>
                <w:bCs/>
                <w:color w:val="000000"/>
                <w:sz w:val="24"/>
                <w:u w:val="none"/>
              </w:rPr>
              <w:t>废气环境影响分析</w:t>
            </w:r>
          </w:p>
          <w:p w14:paraId="587BD667">
            <w:pPr>
              <w:spacing w:line="360" w:lineRule="auto"/>
              <w:rPr>
                <w:color w:val="000000"/>
                <w:sz w:val="24"/>
                <w:szCs w:val="24"/>
                <w:u w:val="none"/>
              </w:rPr>
            </w:pPr>
            <w:r>
              <w:rPr>
                <w:color w:val="000000"/>
                <w:sz w:val="24"/>
                <w:szCs w:val="24"/>
                <w:u w:val="none"/>
              </w:rPr>
              <w:t>1.1废气产排放情况</w:t>
            </w:r>
          </w:p>
          <w:p w14:paraId="74DB82DB">
            <w:pPr>
              <w:spacing w:line="360" w:lineRule="auto"/>
              <w:ind w:firstLine="480" w:firstLineChars="200"/>
              <w:rPr>
                <w:color w:val="000000"/>
                <w:sz w:val="24"/>
                <w:szCs w:val="24"/>
                <w:u w:val="none"/>
              </w:rPr>
            </w:pPr>
            <w:r>
              <w:rPr>
                <w:rFonts w:hint="eastAsia"/>
                <w:bCs/>
                <w:color w:val="000000"/>
                <w:sz w:val="24"/>
                <w:szCs w:val="24"/>
                <w:u w:val="none"/>
              </w:rPr>
              <w:t>本项目</w:t>
            </w:r>
            <w:r>
              <w:rPr>
                <w:rFonts w:hint="eastAsia"/>
                <w:bCs/>
                <w:color w:val="000000"/>
                <w:sz w:val="24"/>
                <w:szCs w:val="24"/>
                <w:u w:val="none"/>
                <w:lang w:val="en-US" w:eastAsia="zh-CN"/>
              </w:rPr>
              <w:t>产生的废气主要为注塑过程产生的非甲烷总烃、氯化氢以及投料、粉碎过程产生的粉尘</w:t>
            </w:r>
            <w:r>
              <w:rPr>
                <w:rFonts w:hint="eastAsia"/>
                <w:bCs/>
                <w:color w:val="000000"/>
                <w:sz w:val="24"/>
                <w:szCs w:val="24"/>
                <w:u w:val="none"/>
              </w:rPr>
              <w:t>，</w:t>
            </w:r>
            <w:r>
              <w:rPr>
                <w:color w:val="000000"/>
                <w:sz w:val="24"/>
                <w:szCs w:val="24"/>
                <w:u w:val="none"/>
              </w:rPr>
              <w:t>工程废气污染物排放情况统计见下表。</w:t>
            </w:r>
          </w:p>
          <w:p w14:paraId="763275CD">
            <w:pPr>
              <w:adjustRightInd w:val="0"/>
              <w:spacing w:before="93" w:beforeLines="30"/>
              <w:jc w:val="center"/>
              <w:rPr>
                <w:rFonts w:ascii="黑体" w:hAnsi="黑体" w:eastAsia="黑体" w:cs="宋体"/>
                <w:bCs/>
                <w:color w:val="000000"/>
                <w:sz w:val="24"/>
                <w:szCs w:val="24"/>
                <w:u w:val="none"/>
              </w:rPr>
            </w:pPr>
            <w:r>
              <w:rPr>
                <w:rFonts w:ascii="黑体" w:hAnsi="黑体" w:eastAsia="黑体" w:cs="宋体"/>
                <w:bCs/>
                <w:color w:val="000000"/>
                <w:sz w:val="24"/>
                <w:szCs w:val="24"/>
                <w:u w:val="none"/>
              </w:rPr>
              <w:t>表</w:t>
            </w:r>
            <w:r>
              <w:rPr>
                <w:rFonts w:hint="eastAsia" w:ascii="黑体" w:hAnsi="黑体" w:eastAsia="黑体" w:cs="宋体"/>
                <w:bCs/>
                <w:color w:val="000000"/>
                <w:sz w:val="24"/>
                <w:szCs w:val="24"/>
                <w:u w:val="none"/>
                <w:lang w:val="en-US" w:eastAsia="zh-CN"/>
              </w:rPr>
              <w:t>25</w:t>
            </w:r>
            <w:r>
              <w:rPr>
                <w:rFonts w:ascii="黑体" w:hAnsi="黑体" w:eastAsia="黑体" w:cs="宋体"/>
                <w:bCs/>
                <w:color w:val="000000"/>
                <w:sz w:val="24"/>
                <w:szCs w:val="24"/>
                <w:u w:val="none"/>
              </w:rPr>
              <w:t xml:space="preserve">    废气产排放情况一览表</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43"/>
              <w:gridCol w:w="803"/>
              <w:gridCol w:w="780"/>
              <w:gridCol w:w="775"/>
              <w:gridCol w:w="931"/>
              <w:gridCol w:w="1789"/>
              <w:gridCol w:w="928"/>
              <w:gridCol w:w="639"/>
              <w:gridCol w:w="721"/>
              <w:gridCol w:w="792"/>
              <w:gridCol w:w="1168"/>
              <w:gridCol w:w="964"/>
              <w:gridCol w:w="964"/>
              <w:gridCol w:w="767"/>
            </w:tblGrid>
            <w:tr w14:paraId="590F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91" w:type="pct"/>
                  <w:noWrap w:val="0"/>
                  <w:vAlign w:val="center"/>
                </w:tcPr>
                <w:p w14:paraId="6B8A4B0F">
                  <w:pPr>
                    <w:adjustRightInd w:val="0"/>
                    <w:jc w:val="center"/>
                    <w:rPr>
                      <w:rFonts w:hint="eastAsia"/>
                      <w:bCs/>
                      <w:color w:val="000000"/>
                      <w:sz w:val="21"/>
                      <w:szCs w:val="21"/>
                      <w:u w:val="single"/>
                      <w:lang w:val="en-US" w:eastAsia="zh-CN"/>
                    </w:rPr>
                  </w:pPr>
                  <w:r>
                    <w:rPr>
                      <w:rFonts w:hint="eastAsia"/>
                      <w:bCs/>
                      <w:color w:val="000000"/>
                      <w:sz w:val="21"/>
                      <w:szCs w:val="21"/>
                      <w:u w:val="single"/>
                      <w:lang w:val="en-US" w:eastAsia="zh-CN"/>
                    </w:rPr>
                    <w:t>产排污</w:t>
                  </w:r>
                </w:p>
                <w:p w14:paraId="2993DAD5">
                  <w:pPr>
                    <w:adjustRightInd w:val="0"/>
                    <w:jc w:val="center"/>
                    <w:rPr>
                      <w:rFonts w:hint="default" w:eastAsia="宋体"/>
                      <w:bCs/>
                      <w:color w:val="000000"/>
                      <w:sz w:val="21"/>
                      <w:szCs w:val="21"/>
                      <w:u w:val="single"/>
                      <w:lang w:val="en-US" w:eastAsia="zh-CN"/>
                    </w:rPr>
                  </w:pPr>
                  <w:r>
                    <w:rPr>
                      <w:rFonts w:hint="eastAsia"/>
                      <w:bCs/>
                      <w:color w:val="000000"/>
                      <w:sz w:val="21"/>
                      <w:szCs w:val="21"/>
                      <w:u w:val="single"/>
                      <w:lang w:val="en-US" w:eastAsia="zh-CN"/>
                    </w:rPr>
                    <w:t>环节</w:t>
                  </w:r>
                </w:p>
              </w:tc>
              <w:tc>
                <w:tcPr>
                  <w:tcW w:w="314" w:type="pct"/>
                  <w:noWrap w:val="0"/>
                  <w:vAlign w:val="center"/>
                </w:tcPr>
                <w:p w14:paraId="30F01E49">
                  <w:pPr>
                    <w:adjustRightInd w:val="0"/>
                    <w:jc w:val="center"/>
                    <w:rPr>
                      <w:bCs/>
                      <w:color w:val="000000"/>
                      <w:sz w:val="21"/>
                      <w:szCs w:val="21"/>
                      <w:u w:val="single"/>
                    </w:rPr>
                  </w:pPr>
                  <w:r>
                    <w:rPr>
                      <w:bCs/>
                      <w:color w:val="000000"/>
                      <w:sz w:val="21"/>
                      <w:szCs w:val="21"/>
                      <w:u w:val="single"/>
                    </w:rPr>
                    <w:t>污染物</w:t>
                  </w:r>
                </w:p>
                <w:p w14:paraId="054F1014">
                  <w:pPr>
                    <w:adjustRightInd w:val="0"/>
                    <w:jc w:val="center"/>
                    <w:rPr>
                      <w:bCs/>
                      <w:color w:val="000000"/>
                      <w:sz w:val="21"/>
                      <w:szCs w:val="21"/>
                      <w:u w:val="single"/>
                    </w:rPr>
                  </w:pPr>
                  <w:r>
                    <w:rPr>
                      <w:bCs/>
                      <w:color w:val="000000"/>
                      <w:sz w:val="21"/>
                      <w:szCs w:val="21"/>
                      <w:u w:val="single"/>
                    </w:rPr>
                    <w:t>种类</w:t>
                  </w:r>
                </w:p>
              </w:tc>
              <w:tc>
                <w:tcPr>
                  <w:tcW w:w="305" w:type="pct"/>
                  <w:noWrap w:val="0"/>
                  <w:vAlign w:val="center"/>
                </w:tcPr>
                <w:p w14:paraId="1334527B">
                  <w:pPr>
                    <w:adjustRightInd w:val="0"/>
                    <w:jc w:val="center"/>
                    <w:rPr>
                      <w:bCs/>
                      <w:color w:val="000000"/>
                      <w:sz w:val="21"/>
                      <w:szCs w:val="21"/>
                      <w:u w:val="single"/>
                    </w:rPr>
                  </w:pPr>
                  <w:r>
                    <w:rPr>
                      <w:bCs/>
                      <w:color w:val="000000"/>
                      <w:sz w:val="21"/>
                      <w:szCs w:val="21"/>
                      <w:u w:val="single"/>
                    </w:rPr>
                    <w:t>排放</w:t>
                  </w:r>
                </w:p>
                <w:p w14:paraId="3BE09D10">
                  <w:pPr>
                    <w:adjustRightInd w:val="0"/>
                    <w:jc w:val="center"/>
                    <w:rPr>
                      <w:bCs/>
                      <w:color w:val="000000"/>
                      <w:sz w:val="21"/>
                      <w:szCs w:val="21"/>
                      <w:u w:val="single"/>
                    </w:rPr>
                  </w:pPr>
                  <w:r>
                    <w:rPr>
                      <w:bCs/>
                      <w:color w:val="000000"/>
                      <w:sz w:val="21"/>
                      <w:szCs w:val="21"/>
                      <w:u w:val="single"/>
                    </w:rPr>
                    <w:t>形式</w:t>
                  </w:r>
                </w:p>
              </w:tc>
              <w:tc>
                <w:tcPr>
                  <w:tcW w:w="303" w:type="pct"/>
                  <w:noWrap w:val="0"/>
                  <w:vAlign w:val="center"/>
                </w:tcPr>
                <w:p w14:paraId="73AB8EC9">
                  <w:pPr>
                    <w:adjustRightInd w:val="0"/>
                    <w:jc w:val="center"/>
                    <w:rPr>
                      <w:rFonts w:hint="eastAsia"/>
                      <w:bCs/>
                      <w:color w:val="000000"/>
                      <w:sz w:val="21"/>
                      <w:szCs w:val="21"/>
                      <w:u w:val="single"/>
                    </w:rPr>
                  </w:pPr>
                  <w:r>
                    <w:rPr>
                      <w:bCs/>
                      <w:color w:val="000000"/>
                      <w:sz w:val="21"/>
                      <w:szCs w:val="21"/>
                      <w:u w:val="single"/>
                    </w:rPr>
                    <w:t>产生量</w:t>
                  </w:r>
                </w:p>
                <w:p w14:paraId="6324511C">
                  <w:pPr>
                    <w:adjustRightInd w:val="0"/>
                    <w:jc w:val="center"/>
                    <w:rPr>
                      <w:bCs/>
                      <w:color w:val="000000"/>
                      <w:sz w:val="21"/>
                      <w:szCs w:val="21"/>
                      <w:u w:val="single"/>
                    </w:rPr>
                  </w:pPr>
                  <w:r>
                    <w:rPr>
                      <w:color w:val="000000"/>
                      <w:sz w:val="21"/>
                      <w:szCs w:val="21"/>
                      <w:u w:val="single"/>
                    </w:rPr>
                    <w:t>t</w:t>
                  </w:r>
                  <w:r>
                    <w:rPr>
                      <w:rFonts w:hint="eastAsia"/>
                      <w:color w:val="000000"/>
                      <w:sz w:val="21"/>
                      <w:szCs w:val="21"/>
                      <w:u w:val="single"/>
                    </w:rPr>
                    <w:t>/a</w:t>
                  </w:r>
                </w:p>
              </w:tc>
              <w:tc>
                <w:tcPr>
                  <w:tcW w:w="364" w:type="pct"/>
                  <w:noWrap w:val="0"/>
                  <w:vAlign w:val="center"/>
                </w:tcPr>
                <w:p w14:paraId="77434A07">
                  <w:pPr>
                    <w:adjustRightInd w:val="0"/>
                    <w:jc w:val="center"/>
                    <w:rPr>
                      <w:rFonts w:hint="eastAsia"/>
                      <w:bCs/>
                      <w:color w:val="000000"/>
                      <w:sz w:val="21"/>
                      <w:szCs w:val="21"/>
                      <w:u w:val="single"/>
                    </w:rPr>
                  </w:pPr>
                  <w:r>
                    <w:rPr>
                      <w:bCs/>
                      <w:color w:val="000000"/>
                      <w:sz w:val="21"/>
                      <w:szCs w:val="21"/>
                      <w:u w:val="single"/>
                    </w:rPr>
                    <w:t>产生浓度</w:t>
                  </w:r>
                </w:p>
                <w:p w14:paraId="3CA415A7">
                  <w:pPr>
                    <w:adjustRightInd w:val="0"/>
                    <w:jc w:val="center"/>
                    <w:rPr>
                      <w:bCs/>
                      <w:color w:val="000000"/>
                      <w:sz w:val="21"/>
                      <w:szCs w:val="21"/>
                      <w:u w:val="single"/>
                    </w:rPr>
                  </w:pPr>
                  <w:r>
                    <w:rPr>
                      <w:bCs/>
                      <w:color w:val="000000"/>
                      <w:sz w:val="21"/>
                      <w:szCs w:val="21"/>
                      <w:u w:val="single"/>
                    </w:rPr>
                    <w:t>mg/m</w:t>
                  </w:r>
                  <w:r>
                    <w:rPr>
                      <w:bCs/>
                      <w:color w:val="000000"/>
                      <w:sz w:val="21"/>
                      <w:szCs w:val="21"/>
                      <w:u w:val="single"/>
                      <w:vertAlign w:val="superscript"/>
                    </w:rPr>
                    <w:t>3</w:t>
                  </w:r>
                </w:p>
              </w:tc>
              <w:tc>
                <w:tcPr>
                  <w:tcW w:w="700" w:type="pct"/>
                  <w:noWrap w:val="0"/>
                  <w:vAlign w:val="center"/>
                </w:tcPr>
                <w:p w14:paraId="41B1CE53">
                  <w:pPr>
                    <w:adjustRightInd w:val="0"/>
                    <w:jc w:val="center"/>
                    <w:rPr>
                      <w:bCs/>
                      <w:color w:val="000000"/>
                      <w:sz w:val="21"/>
                      <w:szCs w:val="21"/>
                      <w:u w:val="single"/>
                    </w:rPr>
                  </w:pPr>
                  <w:r>
                    <w:rPr>
                      <w:bCs/>
                      <w:color w:val="000000"/>
                      <w:sz w:val="21"/>
                      <w:szCs w:val="21"/>
                      <w:u w:val="single"/>
                    </w:rPr>
                    <w:t>治理设施</w:t>
                  </w:r>
                </w:p>
              </w:tc>
              <w:tc>
                <w:tcPr>
                  <w:tcW w:w="363" w:type="pct"/>
                  <w:noWrap w:val="0"/>
                  <w:vAlign w:val="center"/>
                </w:tcPr>
                <w:p w14:paraId="045155EF">
                  <w:pPr>
                    <w:adjustRightInd w:val="0"/>
                    <w:jc w:val="center"/>
                    <w:rPr>
                      <w:rFonts w:hint="eastAsia"/>
                      <w:bCs/>
                      <w:color w:val="000000"/>
                      <w:sz w:val="21"/>
                      <w:szCs w:val="21"/>
                      <w:u w:val="single"/>
                    </w:rPr>
                  </w:pPr>
                  <w:r>
                    <w:rPr>
                      <w:bCs/>
                      <w:color w:val="000000"/>
                      <w:sz w:val="21"/>
                      <w:szCs w:val="21"/>
                      <w:u w:val="single"/>
                    </w:rPr>
                    <w:t>处理能力</w:t>
                  </w:r>
                </w:p>
                <w:p w14:paraId="07A11C52">
                  <w:pPr>
                    <w:adjustRightInd w:val="0"/>
                    <w:jc w:val="center"/>
                    <w:rPr>
                      <w:bCs/>
                      <w:color w:val="000000"/>
                      <w:sz w:val="21"/>
                      <w:szCs w:val="21"/>
                      <w:u w:val="single"/>
                    </w:rPr>
                  </w:pPr>
                  <w:r>
                    <w:rPr>
                      <w:bCs/>
                      <w:color w:val="000000"/>
                      <w:sz w:val="21"/>
                      <w:szCs w:val="21"/>
                      <w:u w:val="single"/>
                    </w:rPr>
                    <w:t>m</w:t>
                  </w:r>
                  <w:r>
                    <w:rPr>
                      <w:bCs/>
                      <w:color w:val="000000"/>
                      <w:sz w:val="21"/>
                      <w:szCs w:val="21"/>
                      <w:u w:val="single"/>
                      <w:vertAlign w:val="superscript"/>
                    </w:rPr>
                    <w:t>3</w:t>
                  </w:r>
                  <w:r>
                    <w:rPr>
                      <w:bCs/>
                      <w:color w:val="000000"/>
                      <w:sz w:val="21"/>
                      <w:szCs w:val="21"/>
                      <w:u w:val="single"/>
                    </w:rPr>
                    <w:t>/h</w:t>
                  </w:r>
                </w:p>
              </w:tc>
              <w:tc>
                <w:tcPr>
                  <w:tcW w:w="250" w:type="pct"/>
                  <w:noWrap w:val="0"/>
                  <w:vAlign w:val="center"/>
                </w:tcPr>
                <w:p w14:paraId="48F1A68B">
                  <w:pPr>
                    <w:adjustRightInd w:val="0"/>
                    <w:jc w:val="center"/>
                    <w:rPr>
                      <w:bCs/>
                      <w:color w:val="000000"/>
                      <w:sz w:val="21"/>
                      <w:szCs w:val="21"/>
                      <w:u w:val="single"/>
                    </w:rPr>
                  </w:pPr>
                  <w:r>
                    <w:rPr>
                      <w:bCs/>
                      <w:color w:val="000000"/>
                      <w:sz w:val="21"/>
                      <w:szCs w:val="21"/>
                      <w:u w:val="single"/>
                    </w:rPr>
                    <w:t>收集</w:t>
                  </w:r>
                </w:p>
                <w:p w14:paraId="30351305">
                  <w:pPr>
                    <w:adjustRightInd w:val="0"/>
                    <w:jc w:val="center"/>
                    <w:rPr>
                      <w:bCs/>
                      <w:color w:val="000000"/>
                      <w:sz w:val="21"/>
                      <w:szCs w:val="21"/>
                      <w:u w:val="single"/>
                    </w:rPr>
                  </w:pPr>
                  <w:r>
                    <w:rPr>
                      <w:bCs/>
                      <w:color w:val="000000"/>
                      <w:sz w:val="21"/>
                      <w:szCs w:val="21"/>
                      <w:u w:val="single"/>
                    </w:rPr>
                    <w:t>效率</w:t>
                  </w:r>
                </w:p>
              </w:tc>
              <w:tc>
                <w:tcPr>
                  <w:tcW w:w="282" w:type="pct"/>
                  <w:noWrap w:val="0"/>
                  <w:vAlign w:val="center"/>
                </w:tcPr>
                <w:p w14:paraId="11020171">
                  <w:pPr>
                    <w:adjustRightInd w:val="0"/>
                    <w:jc w:val="center"/>
                    <w:rPr>
                      <w:bCs/>
                      <w:color w:val="000000"/>
                      <w:sz w:val="21"/>
                      <w:szCs w:val="21"/>
                      <w:u w:val="single"/>
                    </w:rPr>
                  </w:pPr>
                  <w:r>
                    <w:rPr>
                      <w:bCs/>
                      <w:color w:val="000000"/>
                      <w:sz w:val="21"/>
                      <w:szCs w:val="21"/>
                      <w:u w:val="single"/>
                    </w:rPr>
                    <w:t>去除率</w:t>
                  </w:r>
                </w:p>
              </w:tc>
              <w:tc>
                <w:tcPr>
                  <w:tcW w:w="310" w:type="pct"/>
                  <w:noWrap w:val="0"/>
                  <w:vAlign w:val="center"/>
                </w:tcPr>
                <w:p w14:paraId="7FA58B5C">
                  <w:pPr>
                    <w:adjustRightInd w:val="0"/>
                    <w:jc w:val="center"/>
                    <w:rPr>
                      <w:rFonts w:hint="eastAsia"/>
                      <w:bCs/>
                      <w:color w:val="000000"/>
                      <w:sz w:val="21"/>
                      <w:szCs w:val="21"/>
                      <w:u w:val="single"/>
                    </w:rPr>
                  </w:pPr>
                  <w:r>
                    <w:rPr>
                      <w:bCs/>
                      <w:color w:val="000000"/>
                      <w:sz w:val="21"/>
                      <w:szCs w:val="21"/>
                      <w:u w:val="single"/>
                    </w:rPr>
                    <w:t>年运行</w:t>
                  </w:r>
                </w:p>
                <w:p w14:paraId="5F0C5874">
                  <w:pPr>
                    <w:adjustRightInd w:val="0"/>
                    <w:jc w:val="center"/>
                    <w:rPr>
                      <w:bCs/>
                      <w:color w:val="000000"/>
                      <w:sz w:val="21"/>
                      <w:szCs w:val="21"/>
                      <w:u w:val="single"/>
                    </w:rPr>
                  </w:pPr>
                  <w:r>
                    <w:rPr>
                      <w:bCs/>
                      <w:color w:val="000000"/>
                      <w:sz w:val="21"/>
                      <w:szCs w:val="21"/>
                      <w:u w:val="single"/>
                    </w:rPr>
                    <w:t>时间</w:t>
                  </w:r>
                </w:p>
              </w:tc>
              <w:tc>
                <w:tcPr>
                  <w:tcW w:w="457" w:type="pct"/>
                  <w:noWrap w:val="0"/>
                  <w:vAlign w:val="center"/>
                </w:tcPr>
                <w:p w14:paraId="69317963">
                  <w:pPr>
                    <w:adjustRightInd w:val="0"/>
                    <w:jc w:val="center"/>
                    <w:rPr>
                      <w:bCs/>
                      <w:color w:val="000000"/>
                      <w:sz w:val="21"/>
                      <w:szCs w:val="21"/>
                      <w:u w:val="single"/>
                    </w:rPr>
                  </w:pPr>
                  <w:r>
                    <w:rPr>
                      <w:bCs/>
                      <w:color w:val="000000"/>
                      <w:sz w:val="21"/>
                      <w:szCs w:val="21"/>
                      <w:u w:val="single"/>
                    </w:rPr>
                    <w:t>是否为可行技术</w:t>
                  </w:r>
                </w:p>
              </w:tc>
              <w:tc>
                <w:tcPr>
                  <w:tcW w:w="377" w:type="pct"/>
                  <w:noWrap w:val="0"/>
                  <w:vAlign w:val="center"/>
                </w:tcPr>
                <w:p w14:paraId="07B3C287">
                  <w:pPr>
                    <w:jc w:val="center"/>
                    <w:rPr>
                      <w:rFonts w:hint="eastAsia"/>
                      <w:color w:val="000000"/>
                      <w:sz w:val="21"/>
                      <w:szCs w:val="21"/>
                      <w:u w:val="single"/>
                    </w:rPr>
                  </w:pPr>
                  <w:r>
                    <w:rPr>
                      <w:color w:val="000000"/>
                      <w:sz w:val="21"/>
                      <w:szCs w:val="21"/>
                      <w:u w:val="single"/>
                    </w:rPr>
                    <w:t>排放浓度</w:t>
                  </w:r>
                </w:p>
                <w:p w14:paraId="25940B56">
                  <w:pPr>
                    <w:jc w:val="center"/>
                    <w:rPr>
                      <w:color w:val="000000"/>
                      <w:sz w:val="21"/>
                      <w:szCs w:val="21"/>
                      <w:u w:val="single"/>
                    </w:rPr>
                  </w:pPr>
                  <w:r>
                    <w:rPr>
                      <w:bCs/>
                      <w:color w:val="000000"/>
                      <w:sz w:val="21"/>
                      <w:szCs w:val="21"/>
                      <w:u w:val="single"/>
                    </w:rPr>
                    <w:t>mg/m</w:t>
                  </w:r>
                  <w:r>
                    <w:rPr>
                      <w:bCs/>
                      <w:color w:val="000000"/>
                      <w:sz w:val="21"/>
                      <w:szCs w:val="21"/>
                      <w:u w:val="single"/>
                      <w:vertAlign w:val="superscript"/>
                    </w:rPr>
                    <w:t>3</w:t>
                  </w:r>
                </w:p>
              </w:tc>
              <w:tc>
                <w:tcPr>
                  <w:tcW w:w="377" w:type="pct"/>
                  <w:noWrap w:val="0"/>
                  <w:vAlign w:val="center"/>
                </w:tcPr>
                <w:p w14:paraId="6F117C48">
                  <w:pPr>
                    <w:jc w:val="center"/>
                    <w:rPr>
                      <w:rFonts w:hint="eastAsia"/>
                      <w:color w:val="000000"/>
                      <w:sz w:val="21"/>
                      <w:szCs w:val="21"/>
                      <w:u w:val="single"/>
                    </w:rPr>
                  </w:pPr>
                  <w:r>
                    <w:rPr>
                      <w:color w:val="000000"/>
                      <w:sz w:val="21"/>
                      <w:szCs w:val="21"/>
                      <w:u w:val="single"/>
                    </w:rPr>
                    <w:t>排放速率</w:t>
                  </w:r>
                </w:p>
                <w:p w14:paraId="71299088">
                  <w:pPr>
                    <w:jc w:val="center"/>
                    <w:rPr>
                      <w:color w:val="000000"/>
                      <w:sz w:val="21"/>
                      <w:szCs w:val="21"/>
                      <w:u w:val="single"/>
                    </w:rPr>
                  </w:pPr>
                  <w:r>
                    <w:rPr>
                      <w:rFonts w:hint="eastAsia"/>
                      <w:color w:val="000000"/>
                      <w:sz w:val="21"/>
                      <w:szCs w:val="21"/>
                      <w:u w:val="single"/>
                    </w:rPr>
                    <w:t>kg/h</w:t>
                  </w:r>
                </w:p>
              </w:tc>
              <w:tc>
                <w:tcPr>
                  <w:tcW w:w="300" w:type="pct"/>
                  <w:noWrap w:val="0"/>
                  <w:vAlign w:val="center"/>
                </w:tcPr>
                <w:p w14:paraId="32D73B55">
                  <w:pPr>
                    <w:jc w:val="center"/>
                    <w:rPr>
                      <w:rFonts w:hint="eastAsia"/>
                      <w:color w:val="000000"/>
                      <w:sz w:val="21"/>
                      <w:szCs w:val="21"/>
                      <w:u w:val="single"/>
                    </w:rPr>
                  </w:pPr>
                  <w:r>
                    <w:rPr>
                      <w:color w:val="000000"/>
                      <w:sz w:val="21"/>
                      <w:szCs w:val="21"/>
                      <w:u w:val="single"/>
                    </w:rPr>
                    <w:t>排放量</w:t>
                  </w:r>
                </w:p>
                <w:p w14:paraId="750129C7">
                  <w:pPr>
                    <w:jc w:val="center"/>
                    <w:rPr>
                      <w:color w:val="000000"/>
                      <w:sz w:val="21"/>
                      <w:szCs w:val="21"/>
                      <w:u w:val="single"/>
                    </w:rPr>
                  </w:pPr>
                  <w:r>
                    <w:rPr>
                      <w:color w:val="000000"/>
                      <w:sz w:val="21"/>
                      <w:szCs w:val="21"/>
                      <w:u w:val="single"/>
                    </w:rPr>
                    <w:t>t</w:t>
                  </w:r>
                  <w:r>
                    <w:rPr>
                      <w:rFonts w:hint="eastAsia"/>
                      <w:color w:val="000000"/>
                      <w:sz w:val="21"/>
                      <w:szCs w:val="21"/>
                      <w:u w:val="single"/>
                    </w:rPr>
                    <w:t>/a</w:t>
                  </w:r>
                </w:p>
              </w:tc>
            </w:tr>
            <w:tr w14:paraId="0C97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91" w:type="pct"/>
                  <w:vMerge w:val="restart"/>
                  <w:noWrap w:val="0"/>
                  <w:vAlign w:val="center"/>
                </w:tcPr>
                <w:p w14:paraId="4DB7AEDE">
                  <w:pPr>
                    <w:adjustRightInd w:val="0"/>
                    <w:jc w:val="center"/>
                    <w:rPr>
                      <w:rFonts w:hint="eastAsia" w:eastAsia="宋体"/>
                      <w:bCs/>
                      <w:color w:val="000000"/>
                      <w:sz w:val="21"/>
                      <w:szCs w:val="21"/>
                      <w:u w:val="single"/>
                      <w:lang w:val="en-US" w:eastAsia="zh-CN"/>
                    </w:rPr>
                  </w:pPr>
                  <w:r>
                    <w:rPr>
                      <w:rFonts w:hint="eastAsia" w:eastAsia="宋体"/>
                      <w:bCs/>
                      <w:color w:val="000000"/>
                      <w:sz w:val="21"/>
                      <w:szCs w:val="21"/>
                      <w:u w:val="single"/>
                      <w:lang w:val="en-US" w:eastAsia="zh-CN"/>
                    </w:rPr>
                    <w:t>投料</w:t>
                  </w:r>
                </w:p>
                <w:p w14:paraId="4ADA1580">
                  <w:pPr>
                    <w:adjustRightInd w:val="0"/>
                    <w:jc w:val="center"/>
                    <w:rPr>
                      <w:rFonts w:hint="eastAsia"/>
                      <w:bCs/>
                      <w:color w:val="000000"/>
                      <w:sz w:val="21"/>
                      <w:szCs w:val="21"/>
                      <w:u w:val="single"/>
                      <w:lang w:val="en-US" w:eastAsia="zh-CN"/>
                    </w:rPr>
                  </w:pPr>
                  <w:r>
                    <w:rPr>
                      <w:rFonts w:hint="eastAsia"/>
                      <w:bCs/>
                      <w:color w:val="000000"/>
                      <w:sz w:val="21"/>
                      <w:szCs w:val="21"/>
                      <w:u w:val="single"/>
                      <w:lang w:val="en-US" w:eastAsia="zh-CN"/>
                    </w:rPr>
                    <w:t>搅拌</w:t>
                  </w:r>
                </w:p>
                <w:p w14:paraId="1868DF6A">
                  <w:pPr>
                    <w:adjustRightInd w:val="0"/>
                    <w:jc w:val="center"/>
                    <w:rPr>
                      <w:rFonts w:hint="default" w:eastAsia="宋体"/>
                      <w:bCs/>
                      <w:color w:val="000000"/>
                      <w:sz w:val="21"/>
                      <w:szCs w:val="21"/>
                      <w:u w:val="single"/>
                      <w:lang w:val="en-US" w:eastAsia="zh-CN"/>
                    </w:rPr>
                  </w:pPr>
                  <w:r>
                    <w:rPr>
                      <w:rFonts w:hint="eastAsia" w:eastAsia="宋体"/>
                      <w:bCs/>
                      <w:color w:val="000000"/>
                      <w:sz w:val="21"/>
                      <w:szCs w:val="21"/>
                      <w:u w:val="single"/>
                      <w:lang w:val="en-US" w:eastAsia="zh-CN"/>
                    </w:rPr>
                    <w:t>粉碎</w:t>
                  </w:r>
                </w:p>
              </w:tc>
              <w:tc>
                <w:tcPr>
                  <w:tcW w:w="314" w:type="pct"/>
                  <w:vMerge w:val="restart"/>
                  <w:noWrap w:val="0"/>
                  <w:vAlign w:val="center"/>
                </w:tcPr>
                <w:p w14:paraId="58F7B93F">
                  <w:pPr>
                    <w:adjustRightInd w:val="0"/>
                    <w:jc w:val="center"/>
                    <w:rPr>
                      <w:bCs/>
                      <w:color w:val="000000"/>
                      <w:sz w:val="21"/>
                      <w:szCs w:val="21"/>
                      <w:u w:val="single"/>
                    </w:rPr>
                  </w:pPr>
                  <w:r>
                    <w:rPr>
                      <w:rFonts w:hint="eastAsia"/>
                      <w:bCs/>
                      <w:color w:val="000000"/>
                      <w:sz w:val="21"/>
                      <w:szCs w:val="21"/>
                      <w:u w:val="single"/>
                      <w:lang w:val="en-US" w:eastAsia="zh-CN"/>
                    </w:rPr>
                    <w:t>颗粒物</w:t>
                  </w:r>
                </w:p>
              </w:tc>
              <w:tc>
                <w:tcPr>
                  <w:tcW w:w="305" w:type="pct"/>
                  <w:noWrap w:val="0"/>
                  <w:vAlign w:val="center"/>
                </w:tcPr>
                <w:p w14:paraId="6756B6A7">
                  <w:pPr>
                    <w:adjustRightInd w:val="0"/>
                    <w:jc w:val="center"/>
                    <w:rPr>
                      <w:rFonts w:hint="eastAsia" w:eastAsia="宋体"/>
                      <w:bCs/>
                      <w:color w:val="000000"/>
                      <w:sz w:val="21"/>
                      <w:szCs w:val="21"/>
                      <w:u w:val="single"/>
                      <w:lang w:val="en-US" w:eastAsia="zh-CN"/>
                    </w:rPr>
                  </w:pPr>
                  <w:r>
                    <w:rPr>
                      <w:rFonts w:hint="eastAsia"/>
                      <w:bCs/>
                      <w:color w:val="000000"/>
                      <w:sz w:val="21"/>
                      <w:szCs w:val="21"/>
                      <w:u w:val="single"/>
                      <w:lang w:val="en-US" w:eastAsia="zh-CN"/>
                    </w:rPr>
                    <w:t>有组织</w:t>
                  </w:r>
                </w:p>
              </w:tc>
              <w:tc>
                <w:tcPr>
                  <w:tcW w:w="303" w:type="pct"/>
                  <w:noWrap w:val="0"/>
                  <w:vAlign w:val="center"/>
                </w:tcPr>
                <w:p w14:paraId="19414A8A">
                  <w:pPr>
                    <w:adjustRightInd w:val="0"/>
                    <w:jc w:val="center"/>
                    <w:rPr>
                      <w:rFonts w:hint="default" w:eastAsia="宋体"/>
                      <w:color w:val="000000"/>
                      <w:sz w:val="21"/>
                      <w:szCs w:val="21"/>
                      <w:u w:val="single"/>
                      <w:lang w:val="en-US" w:eastAsia="zh-CN"/>
                    </w:rPr>
                  </w:pPr>
                  <w:r>
                    <w:rPr>
                      <w:rFonts w:hint="eastAsia"/>
                      <w:color w:val="000000"/>
                      <w:sz w:val="21"/>
                      <w:szCs w:val="21"/>
                      <w:u w:val="single"/>
                      <w:lang w:val="en-US" w:eastAsia="zh-CN"/>
                    </w:rPr>
                    <w:t>0.4515</w:t>
                  </w:r>
                </w:p>
              </w:tc>
              <w:tc>
                <w:tcPr>
                  <w:tcW w:w="364" w:type="pct"/>
                  <w:noWrap w:val="0"/>
                  <w:vAlign w:val="center"/>
                </w:tcPr>
                <w:p w14:paraId="66F651A4">
                  <w:pPr>
                    <w:adjustRightInd w:val="0"/>
                    <w:jc w:val="center"/>
                    <w:rPr>
                      <w:rFonts w:hint="default" w:eastAsia="宋体"/>
                      <w:bCs/>
                      <w:color w:val="000000"/>
                      <w:sz w:val="21"/>
                      <w:szCs w:val="21"/>
                      <w:u w:val="single"/>
                      <w:lang w:val="en-US" w:eastAsia="zh-CN"/>
                    </w:rPr>
                  </w:pPr>
                  <w:r>
                    <w:rPr>
                      <w:rFonts w:hint="eastAsia"/>
                      <w:bCs/>
                      <w:color w:val="000000"/>
                      <w:sz w:val="21"/>
                      <w:szCs w:val="21"/>
                      <w:u w:val="single"/>
                      <w:lang w:val="en-US" w:eastAsia="zh-CN"/>
                    </w:rPr>
                    <w:t>75.3</w:t>
                  </w:r>
                </w:p>
              </w:tc>
              <w:tc>
                <w:tcPr>
                  <w:tcW w:w="700" w:type="pct"/>
                  <w:vMerge w:val="restart"/>
                  <w:noWrap w:val="0"/>
                  <w:vAlign w:val="center"/>
                </w:tcPr>
                <w:p w14:paraId="2259059E">
                  <w:pPr>
                    <w:adjustRightInd w:val="0"/>
                    <w:jc w:val="center"/>
                    <w:rPr>
                      <w:bCs/>
                      <w:color w:val="000000"/>
                      <w:sz w:val="21"/>
                      <w:szCs w:val="21"/>
                      <w:u w:val="single"/>
                    </w:rPr>
                  </w:pPr>
                  <w:r>
                    <w:rPr>
                      <w:rFonts w:hint="eastAsia"/>
                      <w:bCs/>
                      <w:color w:val="000000"/>
                      <w:sz w:val="21"/>
                      <w:szCs w:val="21"/>
                      <w:u w:val="single"/>
                      <w:lang w:val="en-US" w:eastAsia="zh-CN"/>
                    </w:rPr>
                    <w:t>袋式除尘器</w:t>
                  </w:r>
                  <w:r>
                    <w:rPr>
                      <w:bCs/>
                      <w:color w:val="000000"/>
                      <w:sz w:val="21"/>
                      <w:szCs w:val="21"/>
                      <w:u w:val="single"/>
                    </w:rPr>
                    <w:t>+15m排气筒</w:t>
                  </w:r>
                  <w:r>
                    <w:rPr>
                      <w:rFonts w:hint="eastAsia"/>
                      <w:bCs/>
                      <w:color w:val="000000"/>
                      <w:sz w:val="21"/>
                      <w:szCs w:val="21"/>
                      <w:u w:val="single"/>
                    </w:rPr>
                    <w:t>（DA00</w:t>
                  </w:r>
                  <w:r>
                    <w:rPr>
                      <w:rFonts w:hint="eastAsia"/>
                      <w:bCs/>
                      <w:color w:val="000000"/>
                      <w:sz w:val="21"/>
                      <w:szCs w:val="21"/>
                      <w:u w:val="single"/>
                      <w:lang w:val="en-US" w:eastAsia="zh-CN"/>
                    </w:rPr>
                    <w:t>1</w:t>
                  </w:r>
                  <w:r>
                    <w:rPr>
                      <w:rFonts w:hint="eastAsia"/>
                      <w:bCs/>
                      <w:color w:val="000000"/>
                      <w:sz w:val="21"/>
                      <w:szCs w:val="21"/>
                      <w:u w:val="single"/>
                    </w:rPr>
                    <w:t>）</w:t>
                  </w:r>
                </w:p>
              </w:tc>
              <w:tc>
                <w:tcPr>
                  <w:tcW w:w="363" w:type="pct"/>
                  <w:noWrap w:val="0"/>
                  <w:vAlign w:val="center"/>
                </w:tcPr>
                <w:p w14:paraId="1E9EB147">
                  <w:pPr>
                    <w:adjustRightInd w:val="0"/>
                    <w:jc w:val="center"/>
                    <w:rPr>
                      <w:rFonts w:hint="default" w:eastAsia="宋体"/>
                      <w:bCs/>
                      <w:color w:val="000000"/>
                      <w:sz w:val="21"/>
                      <w:szCs w:val="21"/>
                      <w:u w:val="single"/>
                      <w:lang w:val="en-US" w:eastAsia="zh-CN"/>
                    </w:rPr>
                  </w:pPr>
                  <w:r>
                    <w:rPr>
                      <w:rFonts w:hint="eastAsia"/>
                      <w:bCs/>
                      <w:color w:val="000000"/>
                      <w:sz w:val="21"/>
                      <w:szCs w:val="21"/>
                      <w:u w:val="single"/>
                      <w:lang w:val="en-US" w:eastAsia="zh-CN"/>
                    </w:rPr>
                    <w:t>9000</w:t>
                  </w:r>
                </w:p>
              </w:tc>
              <w:tc>
                <w:tcPr>
                  <w:tcW w:w="250" w:type="pct"/>
                  <w:noWrap w:val="0"/>
                  <w:vAlign w:val="center"/>
                </w:tcPr>
                <w:p w14:paraId="1390EE0A">
                  <w:pPr>
                    <w:adjustRightInd w:val="0"/>
                    <w:jc w:val="center"/>
                    <w:rPr>
                      <w:bCs/>
                      <w:color w:val="000000"/>
                      <w:sz w:val="21"/>
                      <w:szCs w:val="21"/>
                      <w:u w:val="single"/>
                    </w:rPr>
                  </w:pPr>
                  <w:r>
                    <w:rPr>
                      <w:rFonts w:hint="eastAsia"/>
                      <w:bCs/>
                      <w:color w:val="000000"/>
                      <w:sz w:val="21"/>
                      <w:szCs w:val="21"/>
                      <w:u w:val="single"/>
                    </w:rPr>
                    <w:t>90</w:t>
                  </w:r>
                  <w:r>
                    <w:rPr>
                      <w:bCs/>
                      <w:color w:val="000000"/>
                      <w:sz w:val="21"/>
                      <w:szCs w:val="21"/>
                      <w:u w:val="single"/>
                    </w:rPr>
                    <w:t>%</w:t>
                  </w:r>
                </w:p>
              </w:tc>
              <w:tc>
                <w:tcPr>
                  <w:tcW w:w="282" w:type="pct"/>
                  <w:noWrap w:val="0"/>
                  <w:vAlign w:val="center"/>
                </w:tcPr>
                <w:p w14:paraId="26063A8D">
                  <w:pPr>
                    <w:adjustRightInd w:val="0"/>
                    <w:jc w:val="center"/>
                    <w:rPr>
                      <w:bCs/>
                      <w:color w:val="000000"/>
                      <w:sz w:val="21"/>
                      <w:szCs w:val="21"/>
                      <w:u w:val="single"/>
                    </w:rPr>
                  </w:pPr>
                  <w:r>
                    <w:rPr>
                      <w:rFonts w:hint="eastAsia"/>
                      <w:bCs/>
                      <w:color w:val="000000"/>
                      <w:sz w:val="21"/>
                      <w:szCs w:val="21"/>
                      <w:u w:val="single"/>
                      <w:lang w:val="en-US" w:eastAsia="zh-CN"/>
                    </w:rPr>
                    <w:t>95</w:t>
                  </w:r>
                  <w:r>
                    <w:rPr>
                      <w:bCs/>
                      <w:color w:val="000000"/>
                      <w:sz w:val="21"/>
                      <w:szCs w:val="21"/>
                      <w:u w:val="single"/>
                    </w:rPr>
                    <w:t>%</w:t>
                  </w:r>
                </w:p>
              </w:tc>
              <w:tc>
                <w:tcPr>
                  <w:tcW w:w="310" w:type="pct"/>
                  <w:noWrap w:val="0"/>
                  <w:vAlign w:val="center"/>
                </w:tcPr>
                <w:p w14:paraId="61DC17F7">
                  <w:pPr>
                    <w:adjustRightInd w:val="0"/>
                    <w:jc w:val="center"/>
                    <w:rPr>
                      <w:rFonts w:hint="default" w:eastAsia="宋体"/>
                      <w:bCs/>
                      <w:color w:val="000000"/>
                      <w:sz w:val="21"/>
                      <w:szCs w:val="21"/>
                      <w:u w:val="single"/>
                      <w:lang w:val="en-US" w:eastAsia="zh-CN"/>
                    </w:rPr>
                  </w:pPr>
                  <w:r>
                    <w:rPr>
                      <w:rFonts w:hint="eastAsia"/>
                      <w:bCs/>
                      <w:color w:val="000000"/>
                      <w:sz w:val="21"/>
                      <w:szCs w:val="21"/>
                      <w:u w:val="single"/>
                      <w:lang w:val="en-US" w:eastAsia="zh-CN"/>
                    </w:rPr>
                    <w:t>600h</w:t>
                  </w:r>
                </w:p>
              </w:tc>
              <w:tc>
                <w:tcPr>
                  <w:tcW w:w="457" w:type="pct"/>
                  <w:vMerge w:val="restart"/>
                  <w:noWrap w:val="0"/>
                  <w:vAlign w:val="center"/>
                </w:tcPr>
                <w:p w14:paraId="2A6EFE54">
                  <w:pPr>
                    <w:adjustRightInd w:val="0"/>
                    <w:jc w:val="center"/>
                    <w:rPr>
                      <w:rFonts w:hint="eastAsia" w:eastAsia="宋体"/>
                      <w:bCs/>
                      <w:color w:val="000000"/>
                      <w:sz w:val="21"/>
                      <w:szCs w:val="21"/>
                      <w:u w:val="single"/>
                      <w:lang w:val="en-US" w:eastAsia="zh-CN"/>
                    </w:rPr>
                  </w:pPr>
                  <w:r>
                    <w:rPr>
                      <w:rFonts w:hint="eastAsia"/>
                      <w:bCs/>
                      <w:color w:val="000000"/>
                      <w:sz w:val="21"/>
                      <w:szCs w:val="21"/>
                      <w:u w:val="single"/>
                      <w:lang w:val="en-US" w:eastAsia="zh-CN"/>
                    </w:rPr>
                    <w:t>是</w:t>
                  </w:r>
                </w:p>
              </w:tc>
              <w:tc>
                <w:tcPr>
                  <w:tcW w:w="377" w:type="pct"/>
                  <w:noWrap w:val="0"/>
                  <w:vAlign w:val="center"/>
                </w:tcPr>
                <w:p w14:paraId="74FCBB35">
                  <w:pPr>
                    <w:jc w:val="center"/>
                    <w:rPr>
                      <w:rFonts w:hint="default" w:eastAsia="宋体"/>
                      <w:bCs/>
                      <w:color w:val="000000"/>
                      <w:sz w:val="21"/>
                      <w:szCs w:val="21"/>
                      <w:u w:val="single"/>
                      <w:lang w:val="en-US" w:eastAsia="zh-CN"/>
                    </w:rPr>
                  </w:pPr>
                  <w:r>
                    <w:rPr>
                      <w:rFonts w:hint="eastAsia"/>
                      <w:bCs/>
                      <w:color w:val="000000"/>
                      <w:sz w:val="21"/>
                      <w:szCs w:val="21"/>
                      <w:u w:val="single"/>
                      <w:lang w:val="en-US" w:eastAsia="zh-CN"/>
                    </w:rPr>
                    <w:t>3.8</w:t>
                  </w:r>
                </w:p>
              </w:tc>
              <w:tc>
                <w:tcPr>
                  <w:tcW w:w="377" w:type="pct"/>
                  <w:noWrap w:val="0"/>
                  <w:vAlign w:val="center"/>
                </w:tcPr>
                <w:p w14:paraId="4681A588">
                  <w:pPr>
                    <w:jc w:val="center"/>
                    <w:rPr>
                      <w:rFonts w:hint="default" w:eastAsia="宋体"/>
                      <w:color w:val="000000"/>
                      <w:sz w:val="21"/>
                      <w:szCs w:val="21"/>
                      <w:u w:val="single"/>
                      <w:lang w:val="en-US" w:eastAsia="zh-CN"/>
                    </w:rPr>
                  </w:pPr>
                  <w:r>
                    <w:rPr>
                      <w:rFonts w:hint="eastAsia"/>
                      <w:color w:val="000000"/>
                      <w:sz w:val="21"/>
                      <w:szCs w:val="21"/>
                      <w:u w:val="single"/>
                      <w:lang w:val="en-US" w:eastAsia="zh-CN"/>
                    </w:rPr>
                    <w:t>0.0339</w:t>
                  </w:r>
                </w:p>
              </w:tc>
              <w:tc>
                <w:tcPr>
                  <w:tcW w:w="300" w:type="pct"/>
                  <w:noWrap w:val="0"/>
                  <w:vAlign w:val="center"/>
                </w:tcPr>
                <w:p w14:paraId="2D76E1C0">
                  <w:pPr>
                    <w:jc w:val="center"/>
                    <w:rPr>
                      <w:rFonts w:hint="default" w:eastAsia="宋体"/>
                      <w:color w:val="000000"/>
                      <w:sz w:val="21"/>
                      <w:szCs w:val="21"/>
                      <w:u w:val="single"/>
                      <w:lang w:val="en-US" w:eastAsia="zh-CN"/>
                    </w:rPr>
                  </w:pPr>
                  <w:r>
                    <w:rPr>
                      <w:rFonts w:hint="eastAsia"/>
                      <w:color w:val="000000"/>
                      <w:sz w:val="21"/>
                      <w:szCs w:val="21"/>
                      <w:u w:val="single"/>
                      <w:lang w:val="en-US" w:eastAsia="zh-CN"/>
                    </w:rPr>
                    <w:t>0.0203</w:t>
                  </w:r>
                </w:p>
              </w:tc>
            </w:tr>
            <w:tr w14:paraId="5EC9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91" w:type="pct"/>
                  <w:vMerge w:val="continue"/>
                  <w:noWrap w:val="0"/>
                  <w:vAlign w:val="center"/>
                </w:tcPr>
                <w:p w14:paraId="78D64365">
                  <w:pPr>
                    <w:jc w:val="center"/>
                    <w:rPr>
                      <w:color w:val="000000"/>
                      <w:sz w:val="21"/>
                      <w:szCs w:val="21"/>
                      <w:u w:val="single"/>
                    </w:rPr>
                  </w:pPr>
                </w:p>
              </w:tc>
              <w:tc>
                <w:tcPr>
                  <w:tcW w:w="314" w:type="pct"/>
                  <w:vMerge w:val="continue"/>
                  <w:noWrap w:val="0"/>
                  <w:vAlign w:val="center"/>
                </w:tcPr>
                <w:p w14:paraId="1A5C4CB8">
                  <w:pPr>
                    <w:adjustRightInd w:val="0"/>
                    <w:jc w:val="center"/>
                    <w:rPr>
                      <w:bCs/>
                      <w:color w:val="000000"/>
                      <w:sz w:val="21"/>
                      <w:szCs w:val="21"/>
                      <w:u w:val="single"/>
                    </w:rPr>
                  </w:pPr>
                </w:p>
              </w:tc>
              <w:tc>
                <w:tcPr>
                  <w:tcW w:w="305" w:type="pct"/>
                  <w:noWrap w:val="0"/>
                  <w:vAlign w:val="center"/>
                </w:tcPr>
                <w:p w14:paraId="24358960">
                  <w:pPr>
                    <w:jc w:val="center"/>
                    <w:rPr>
                      <w:rFonts w:cs="宋体"/>
                      <w:color w:val="000000"/>
                      <w:sz w:val="21"/>
                      <w:szCs w:val="21"/>
                      <w:u w:val="single"/>
                    </w:rPr>
                  </w:pPr>
                  <w:r>
                    <w:rPr>
                      <w:rFonts w:cs="宋体"/>
                      <w:color w:val="000000"/>
                      <w:sz w:val="21"/>
                      <w:szCs w:val="21"/>
                      <w:u w:val="single"/>
                    </w:rPr>
                    <w:t>无组织</w:t>
                  </w:r>
                </w:p>
              </w:tc>
              <w:tc>
                <w:tcPr>
                  <w:tcW w:w="303" w:type="pct"/>
                  <w:noWrap w:val="0"/>
                  <w:vAlign w:val="center"/>
                </w:tcPr>
                <w:p w14:paraId="2AE446AA">
                  <w:pPr>
                    <w:jc w:val="center"/>
                    <w:rPr>
                      <w:rFonts w:hint="default" w:ascii="Times New Roman" w:hAnsi="Times New Roman" w:eastAsia="宋体" w:cs="宋体"/>
                      <w:color w:val="000000"/>
                      <w:sz w:val="21"/>
                      <w:szCs w:val="21"/>
                      <w:u w:val="single"/>
                      <w:lang w:val="en-US" w:eastAsia="zh-CN"/>
                    </w:rPr>
                  </w:pPr>
                  <w:r>
                    <w:rPr>
                      <w:rFonts w:hint="eastAsia"/>
                      <w:color w:val="000000"/>
                      <w:sz w:val="21"/>
                      <w:szCs w:val="21"/>
                      <w:u w:val="single"/>
                      <w:lang w:val="en-US" w:eastAsia="zh-CN"/>
                    </w:rPr>
                    <w:t>0.0452</w:t>
                  </w:r>
                </w:p>
              </w:tc>
              <w:tc>
                <w:tcPr>
                  <w:tcW w:w="364" w:type="pct"/>
                  <w:noWrap w:val="0"/>
                  <w:vAlign w:val="center"/>
                </w:tcPr>
                <w:p w14:paraId="03C63EB3">
                  <w:pPr>
                    <w:jc w:val="center"/>
                    <w:rPr>
                      <w:rFonts w:cs="宋体"/>
                      <w:color w:val="000000"/>
                      <w:sz w:val="21"/>
                      <w:szCs w:val="21"/>
                      <w:u w:val="single"/>
                    </w:rPr>
                  </w:pPr>
                  <w:r>
                    <w:rPr>
                      <w:rFonts w:hint="eastAsia" w:cs="宋体"/>
                      <w:color w:val="000000"/>
                      <w:sz w:val="21"/>
                      <w:szCs w:val="21"/>
                      <w:u w:val="single"/>
                      <w:lang w:val="en-US" w:eastAsia="zh-CN"/>
                    </w:rPr>
                    <w:t>/</w:t>
                  </w:r>
                </w:p>
              </w:tc>
              <w:tc>
                <w:tcPr>
                  <w:tcW w:w="700" w:type="pct"/>
                  <w:vMerge w:val="continue"/>
                  <w:noWrap w:val="0"/>
                  <w:vAlign w:val="center"/>
                </w:tcPr>
                <w:p w14:paraId="393EBDD5">
                  <w:pPr>
                    <w:adjustRightInd w:val="0"/>
                    <w:jc w:val="center"/>
                    <w:rPr>
                      <w:bCs/>
                      <w:color w:val="000000"/>
                      <w:sz w:val="21"/>
                      <w:szCs w:val="21"/>
                      <w:u w:val="single"/>
                    </w:rPr>
                  </w:pPr>
                </w:p>
              </w:tc>
              <w:tc>
                <w:tcPr>
                  <w:tcW w:w="363" w:type="pct"/>
                  <w:noWrap w:val="0"/>
                  <w:vAlign w:val="center"/>
                </w:tcPr>
                <w:p w14:paraId="4E033893">
                  <w:pPr>
                    <w:adjustRightInd w:val="0"/>
                    <w:jc w:val="center"/>
                    <w:rPr>
                      <w:bCs/>
                      <w:color w:val="000000"/>
                      <w:sz w:val="21"/>
                      <w:szCs w:val="21"/>
                      <w:u w:val="single"/>
                    </w:rPr>
                  </w:pPr>
                  <w:r>
                    <w:rPr>
                      <w:bCs/>
                      <w:color w:val="000000"/>
                      <w:sz w:val="21"/>
                      <w:szCs w:val="21"/>
                      <w:u w:val="single"/>
                    </w:rPr>
                    <w:t>/</w:t>
                  </w:r>
                </w:p>
              </w:tc>
              <w:tc>
                <w:tcPr>
                  <w:tcW w:w="250" w:type="pct"/>
                  <w:noWrap w:val="0"/>
                  <w:vAlign w:val="center"/>
                </w:tcPr>
                <w:p w14:paraId="7DBA6A38">
                  <w:pPr>
                    <w:adjustRightInd w:val="0"/>
                    <w:jc w:val="center"/>
                    <w:rPr>
                      <w:bCs/>
                      <w:color w:val="000000"/>
                      <w:sz w:val="21"/>
                      <w:szCs w:val="21"/>
                      <w:u w:val="single"/>
                    </w:rPr>
                  </w:pPr>
                  <w:r>
                    <w:rPr>
                      <w:bCs/>
                      <w:color w:val="000000"/>
                      <w:sz w:val="21"/>
                      <w:szCs w:val="21"/>
                      <w:u w:val="single"/>
                    </w:rPr>
                    <w:t>/</w:t>
                  </w:r>
                </w:p>
              </w:tc>
              <w:tc>
                <w:tcPr>
                  <w:tcW w:w="282" w:type="pct"/>
                  <w:noWrap w:val="0"/>
                  <w:vAlign w:val="center"/>
                </w:tcPr>
                <w:p w14:paraId="66376DFB">
                  <w:pPr>
                    <w:adjustRightInd w:val="0"/>
                    <w:jc w:val="center"/>
                    <w:rPr>
                      <w:bCs/>
                      <w:color w:val="000000"/>
                      <w:sz w:val="21"/>
                      <w:szCs w:val="21"/>
                      <w:u w:val="single"/>
                    </w:rPr>
                  </w:pPr>
                  <w:r>
                    <w:rPr>
                      <w:bCs/>
                      <w:color w:val="000000"/>
                      <w:sz w:val="21"/>
                      <w:szCs w:val="21"/>
                      <w:u w:val="single"/>
                    </w:rPr>
                    <w:t>/</w:t>
                  </w:r>
                </w:p>
              </w:tc>
              <w:tc>
                <w:tcPr>
                  <w:tcW w:w="310" w:type="pct"/>
                  <w:noWrap w:val="0"/>
                  <w:vAlign w:val="center"/>
                </w:tcPr>
                <w:p w14:paraId="338E653A">
                  <w:pPr>
                    <w:adjustRightInd w:val="0"/>
                    <w:jc w:val="center"/>
                    <w:rPr>
                      <w:rFonts w:hint="eastAsia"/>
                      <w:bCs/>
                      <w:color w:val="000000"/>
                      <w:sz w:val="21"/>
                      <w:szCs w:val="21"/>
                      <w:u w:val="single"/>
                    </w:rPr>
                  </w:pPr>
                  <w:r>
                    <w:rPr>
                      <w:rFonts w:hint="eastAsia"/>
                      <w:bCs/>
                      <w:color w:val="000000"/>
                      <w:sz w:val="21"/>
                      <w:szCs w:val="21"/>
                      <w:u w:val="single"/>
                    </w:rPr>
                    <w:t>/</w:t>
                  </w:r>
                </w:p>
              </w:tc>
              <w:tc>
                <w:tcPr>
                  <w:tcW w:w="457" w:type="pct"/>
                  <w:vMerge w:val="continue"/>
                  <w:noWrap w:val="0"/>
                  <w:vAlign w:val="center"/>
                </w:tcPr>
                <w:p w14:paraId="612B061E">
                  <w:pPr>
                    <w:adjustRightInd w:val="0"/>
                    <w:jc w:val="center"/>
                    <w:rPr>
                      <w:bCs/>
                      <w:color w:val="000000"/>
                      <w:sz w:val="21"/>
                      <w:szCs w:val="21"/>
                      <w:u w:val="single"/>
                    </w:rPr>
                  </w:pPr>
                </w:p>
              </w:tc>
              <w:tc>
                <w:tcPr>
                  <w:tcW w:w="377" w:type="pct"/>
                  <w:noWrap w:val="0"/>
                  <w:vAlign w:val="center"/>
                </w:tcPr>
                <w:p w14:paraId="411B1D2A">
                  <w:pPr>
                    <w:adjustRightInd w:val="0"/>
                    <w:jc w:val="center"/>
                    <w:rPr>
                      <w:rFonts w:hint="eastAsia"/>
                      <w:bCs/>
                      <w:color w:val="000000"/>
                      <w:sz w:val="21"/>
                      <w:szCs w:val="21"/>
                      <w:u w:val="single"/>
                    </w:rPr>
                  </w:pPr>
                  <w:r>
                    <w:rPr>
                      <w:rFonts w:hint="eastAsia"/>
                      <w:bCs/>
                      <w:color w:val="000000"/>
                      <w:sz w:val="21"/>
                      <w:szCs w:val="21"/>
                      <w:u w:val="single"/>
                      <w:lang w:val="en-US" w:eastAsia="zh-CN"/>
                    </w:rPr>
                    <w:t>/</w:t>
                  </w:r>
                </w:p>
              </w:tc>
              <w:tc>
                <w:tcPr>
                  <w:tcW w:w="377" w:type="pct"/>
                  <w:noWrap w:val="0"/>
                  <w:vAlign w:val="center"/>
                </w:tcPr>
                <w:p w14:paraId="4693A379">
                  <w:pPr>
                    <w:adjustRightInd w:val="0"/>
                    <w:jc w:val="center"/>
                    <w:rPr>
                      <w:rFonts w:hint="eastAsia"/>
                      <w:bCs/>
                      <w:color w:val="000000"/>
                      <w:sz w:val="21"/>
                      <w:szCs w:val="21"/>
                      <w:u w:val="single"/>
                      <w:lang w:val="en-US" w:eastAsia="zh-CN"/>
                    </w:rPr>
                  </w:pPr>
                  <w:r>
                    <w:rPr>
                      <w:rFonts w:hint="eastAsia"/>
                      <w:bCs/>
                      <w:color w:val="000000"/>
                      <w:sz w:val="21"/>
                      <w:szCs w:val="21"/>
                      <w:u w:val="single"/>
                      <w:lang w:val="en-US" w:eastAsia="zh-CN"/>
                    </w:rPr>
                    <w:t>/</w:t>
                  </w:r>
                </w:p>
              </w:tc>
              <w:tc>
                <w:tcPr>
                  <w:tcW w:w="300" w:type="pct"/>
                  <w:noWrap w:val="0"/>
                  <w:vAlign w:val="center"/>
                </w:tcPr>
                <w:p w14:paraId="1BF4CCEC">
                  <w:pPr>
                    <w:adjustRightInd w:val="0"/>
                    <w:jc w:val="center"/>
                    <w:rPr>
                      <w:rFonts w:hint="default" w:ascii="Times New Roman" w:hAnsi="Times New Roman" w:eastAsia="宋体" w:cs="宋体"/>
                      <w:color w:val="000000"/>
                      <w:sz w:val="21"/>
                      <w:szCs w:val="21"/>
                      <w:u w:val="single"/>
                      <w:lang w:val="en-US" w:eastAsia="zh-CN"/>
                    </w:rPr>
                  </w:pPr>
                  <w:r>
                    <w:rPr>
                      <w:rFonts w:hint="eastAsia"/>
                      <w:bCs/>
                      <w:color w:val="000000"/>
                      <w:sz w:val="21"/>
                      <w:szCs w:val="21"/>
                      <w:u w:val="single"/>
                      <w:lang w:val="en-US" w:eastAsia="zh-CN"/>
                    </w:rPr>
                    <w:t>0.0452</w:t>
                  </w:r>
                </w:p>
              </w:tc>
            </w:tr>
            <w:tr w14:paraId="6103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91" w:type="pct"/>
                  <w:vMerge w:val="restart"/>
                  <w:noWrap w:val="0"/>
                  <w:vAlign w:val="center"/>
                </w:tcPr>
                <w:p w14:paraId="6E3EBE11">
                  <w:pPr>
                    <w:jc w:val="center"/>
                    <w:rPr>
                      <w:rFonts w:hint="default"/>
                      <w:color w:val="000000"/>
                      <w:sz w:val="21"/>
                      <w:szCs w:val="21"/>
                      <w:u w:val="single"/>
                      <w:lang w:val="en-US"/>
                    </w:rPr>
                  </w:pPr>
                  <w:r>
                    <w:rPr>
                      <w:rFonts w:hint="eastAsia"/>
                      <w:color w:val="000000"/>
                      <w:sz w:val="21"/>
                      <w:szCs w:val="21"/>
                      <w:u w:val="single"/>
                      <w:lang w:val="en-US" w:eastAsia="zh-CN"/>
                    </w:rPr>
                    <w:t>注塑</w:t>
                  </w:r>
                </w:p>
              </w:tc>
              <w:tc>
                <w:tcPr>
                  <w:tcW w:w="314" w:type="pct"/>
                  <w:vMerge w:val="restart"/>
                  <w:noWrap w:val="0"/>
                  <w:vAlign w:val="center"/>
                </w:tcPr>
                <w:p w14:paraId="4576FEC7">
                  <w:pPr>
                    <w:adjustRightInd w:val="0"/>
                    <w:jc w:val="center"/>
                    <w:rPr>
                      <w:bCs/>
                      <w:color w:val="000000"/>
                      <w:sz w:val="21"/>
                      <w:szCs w:val="21"/>
                      <w:u w:val="single"/>
                    </w:rPr>
                  </w:pPr>
                  <w:r>
                    <w:rPr>
                      <w:bCs/>
                      <w:color w:val="000000"/>
                      <w:sz w:val="21"/>
                      <w:szCs w:val="21"/>
                      <w:u w:val="single"/>
                    </w:rPr>
                    <w:t>非甲烷总烃</w:t>
                  </w:r>
                </w:p>
              </w:tc>
              <w:tc>
                <w:tcPr>
                  <w:tcW w:w="305" w:type="pct"/>
                  <w:noWrap w:val="0"/>
                  <w:vAlign w:val="center"/>
                </w:tcPr>
                <w:p w14:paraId="3377D575">
                  <w:pPr>
                    <w:jc w:val="center"/>
                    <w:rPr>
                      <w:rFonts w:cs="宋体"/>
                      <w:color w:val="000000"/>
                      <w:sz w:val="21"/>
                      <w:szCs w:val="21"/>
                      <w:u w:val="single"/>
                    </w:rPr>
                  </w:pPr>
                  <w:r>
                    <w:rPr>
                      <w:rFonts w:cs="宋体"/>
                      <w:color w:val="000000"/>
                      <w:sz w:val="21"/>
                      <w:szCs w:val="21"/>
                      <w:u w:val="single"/>
                    </w:rPr>
                    <w:t>有组织</w:t>
                  </w:r>
                </w:p>
              </w:tc>
              <w:tc>
                <w:tcPr>
                  <w:tcW w:w="303" w:type="pct"/>
                  <w:noWrap w:val="0"/>
                  <w:vAlign w:val="center"/>
                </w:tcPr>
                <w:p w14:paraId="7878B964">
                  <w:pPr>
                    <w:jc w:val="center"/>
                    <w:rPr>
                      <w:rFonts w:hint="default" w:ascii="Times New Roman" w:hAnsi="Times New Roman" w:eastAsia="宋体" w:cs="宋体"/>
                      <w:color w:val="000000"/>
                      <w:sz w:val="21"/>
                      <w:szCs w:val="21"/>
                      <w:u w:val="single"/>
                      <w:lang w:val="en-US" w:eastAsia="zh-CN"/>
                    </w:rPr>
                  </w:pPr>
                  <w:r>
                    <w:rPr>
                      <w:rFonts w:hint="eastAsia" w:ascii="Times New Roman" w:hAnsi="Times New Roman" w:eastAsia="宋体" w:cs="宋体"/>
                      <w:color w:val="000000"/>
                      <w:sz w:val="21"/>
                      <w:szCs w:val="21"/>
                      <w:u w:val="single"/>
                      <w:lang w:val="en-US" w:eastAsia="zh-CN"/>
                    </w:rPr>
                    <w:t>0.2005</w:t>
                  </w:r>
                </w:p>
              </w:tc>
              <w:tc>
                <w:tcPr>
                  <w:tcW w:w="364" w:type="pct"/>
                  <w:noWrap w:val="0"/>
                  <w:vAlign w:val="center"/>
                </w:tcPr>
                <w:p w14:paraId="365CDF1B">
                  <w:pPr>
                    <w:jc w:val="center"/>
                    <w:rPr>
                      <w:rFonts w:hint="default" w:eastAsia="宋体" w:cs="宋体"/>
                      <w:color w:val="000000"/>
                      <w:sz w:val="21"/>
                      <w:szCs w:val="21"/>
                      <w:u w:val="single"/>
                      <w:lang w:val="en-US" w:eastAsia="zh-CN"/>
                    </w:rPr>
                  </w:pPr>
                  <w:r>
                    <w:rPr>
                      <w:rFonts w:hint="eastAsia" w:eastAsia="宋体" w:cs="宋体"/>
                      <w:color w:val="000000"/>
                      <w:sz w:val="21"/>
                      <w:szCs w:val="21"/>
                      <w:u w:val="single"/>
                      <w:lang w:val="en-US" w:eastAsia="zh-CN"/>
                    </w:rPr>
                    <w:t>16.7</w:t>
                  </w:r>
                </w:p>
              </w:tc>
              <w:tc>
                <w:tcPr>
                  <w:tcW w:w="700" w:type="pct"/>
                  <w:vMerge w:val="restart"/>
                  <w:noWrap w:val="0"/>
                  <w:vAlign w:val="center"/>
                </w:tcPr>
                <w:p w14:paraId="288EF820">
                  <w:pPr>
                    <w:adjustRightInd w:val="0"/>
                    <w:jc w:val="center"/>
                    <w:rPr>
                      <w:bCs/>
                      <w:color w:val="000000"/>
                      <w:sz w:val="21"/>
                      <w:szCs w:val="21"/>
                      <w:u w:val="single"/>
                    </w:rPr>
                  </w:pPr>
                  <w:r>
                    <w:rPr>
                      <w:rFonts w:hint="eastAsia"/>
                      <w:bCs/>
                      <w:color w:val="000000"/>
                      <w:sz w:val="21"/>
                      <w:szCs w:val="21"/>
                      <w:u w:val="single"/>
                    </w:rPr>
                    <w:t>二级活性炭吸附</w:t>
                  </w:r>
                  <w:r>
                    <w:rPr>
                      <w:bCs/>
                      <w:color w:val="000000"/>
                      <w:sz w:val="21"/>
                      <w:szCs w:val="21"/>
                      <w:u w:val="single"/>
                    </w:rPr>
                    <w:t>+15m排气筒</w:t>
                  </w:r>
                  <w:r>
                    <w:rPr>
                      <w:rFonts w:hint="eastAsia"/>
                      <w:bCs/>
                      <w:color w:val="000000"/>
                      <w:sz w:val="21"/>
                      <w:szCs w:val="21"/>
                      <w:u w:val="single"/>
                    </w:rPr>
                    <w:t>（DA00</w:t>
                  </w:r>
                  <w:r>
                    <w:rPr>
                      <w:rFonts w:hint="eastAsia"/>
                      <w:bCs/>
                      <w:color w:val="000000"/>
                      <w:sz w:val="21"/>
                      <w:szCs w:val="21"/>
                      <w:u w:val="single"/>
                      <w:lang w:val="en-US" w:eastAsia="zh-CN"/>
                    </w:rPr>
                    <w:t>2</w:t>
                  </w:r>
                  <w:r>
                    <w:rPr>
                      <w:rFonts w:hint="eastAsia"/>
                      <w:bCs/>
                      <w:color w:val="000000"/>
                      <w:sz w:val="21"/>
                      <w:szCs w:val="21"/>
                      <w:u w:val="single"/>
                    </w:rPr>
                    <w:t>）</w:t>
                  </w:r>
                </w:p>
              </w:tc>
              <w:tc>
                <w:tcPr>
                  <w:tcW w:w="363" w:type="pct"/>
                  <w:noWrap w:val="0"/>
                  <w:vAlign w:val="center"/>
                </w:tcPr>
                <w:p w14:paraId="6D2D9767">
                  <w:pPr>
                    <w:adjustRightInd w:val="0"/>
                    <w:jc w:val="center"/>
                    <w:rPr>
                      <w:rFonts w:hint="default" w:eastAsia="宋体"/>
                      <w:bCs/>
                      <w:color w:val="000000"/>
                      <w:sz w:val="21"/>
                      <w:szCs w:val="21"/>
                      <w:u w:val="single"/>
                      <w:lang w:val="en-US" w:eastAsia="zh-CN"/>
                    </w:rPr>
                  </w:pPr>
                  <w:r>
                    <w:rPr>
                      <w:rFonts w:hint="eastAsia"/>
                      <w:bCs/>
                      <w:color w:val="000000"/>
                      <w:sz w:val="21"/>
                      <w:szCs w:val="21"/>
                      <w:u w:val="single"/>
                      <w:lang w:val="en-US" w:eastAsia="zh-CN"/>
                    </w:rPr>
                    <w:t>5000</w:t>
                  </w:r>
                </w:p>
              </w:tc>
              <w:tc>
                <w:tcPr>
                  <w:tcW w:w="250" w:type="pct"/>
                  <w:noWrap w:val="0"/>
                  <w:vAlign w:val="center"/>
                </w:tcPr>
                <w:p w14:paraId="223B78CB">
                  <w:pPr>
                    <w:adjustRightInd w:val="0"/>
                    <w:jc w:val="center"/>
                    <w:rPr>
                      <w:bCs/>
                      <w:color w:val="000000"/>
                      <w:sz w:val="21"/>
                      <w:szCs w:val="21"/>
                      <w:u w:val="single"/>
                    </w:rPr>
                  </w:pPr>
                  <w:r>
                    <w:rPr>
                      <w:rFonts w:hint="eastAsia"/>
                      <w:bCs/>
                      <w:color w:val="000000"/>
                      <w:sz w:val="21"/>
                      <w:szCs w:val="21"/>
                      <w:u w:val="single"/>
                    </w:rPr>
                    <w:t>90</w:t>
                  </w:r>
                  <w:r>
                    <w:rPr>
                      <w:bCs/>
                      <w:color w:val="000000"/>
                      <w:sz w:val="21"/>
                      <w:szCs w:val="21"/>
                      <w:u w:val="single"/>
                    </w:rPr>
                    <w:t>%</w:t>
                  </w:r>
                </w:p>
              </w:tc>
              <w:tc>
                <w:tcPr>
                  <w:tcW w:w="282" w:type="pct"/>
                  <w:noWrap w:val="0"/>
                  <w:vAlign w:val="center"/>
                </w:tcPr>
                <w:p w14:paraId="541123B1">
                  <w:pPr>
                    <w:adjustRightInd w:val="0"/>
                    <w:jc w:val="center"/>
                    <w:rPr>
                      <w:bCs/>
                      <w:color w:val="000000"/>
                      <w:sz w:val="21"/>
                      <w:szCs w:val="21"/>
                      <w:u w:val="single"/>
                    </w:rPr>
                  </w:pPr>
                  <w:r>
                    <w:rPr>
                      <w:bCs/>
                      <w:color w:val="000000"/>
                      <w:sz w:val="21"/>
                      <w:szCs w:val="21"/>
                      <w:u w:val="single"/>
                    </w:rPr>
                    <w:t>8</w:t>
                  </w:r>
                  <w:r>
                    <w:rPr>
                      <w:rFonts w:hint="eastAsia"/>
                      <w:bCs/>
                      <w:color w:val="000000"/>
                      <w:sz w:val="21"/>
                      <w:szCs w:val="21"/>
                      <w:u w:val="single"/>
                      <w:lang w:val="en-US" w:eastAsia="zh-CN"/>
                    </w:rPr>
                    <w:t>5</w:t>
                  </w:r>
                  <w:r>
                    <w:rPr>
                      <w:bCs/>
                      <w:color w:val="000000"/>
                      <w:sz w:val="21"/>
                      <w:szCs w:val="21"/>
                      <w:u w:val="single"/>
                    </w:rPr>
                    <w:t>%</w:t>
                  </w:r>
                </w:p>
              </w:tc>
              <w:tc>
                <w:tcPr>
                  <w:tcW w:w="310" w:type="pct"/>
                  <w:noWrap w:val="0"/>
                  <w:vAlign w:val="center"/>
                </w:tcPr>
                <w:p w14:paraId="3F08F86D">
                  <w:pPr>
                    <w:adjustRightInd w:val="0"/>
                    <w:jc w:val="center"/>
                    <w:rPr>
                      <w:rFonts w:hint="eastAsia"/>
                      <w:bCs/>
                      <w:color w:val="000000"/>
                      <w:sz w:val="21"/>
                      <w:szCs w:val="21"/>
                      <w:u w:val="single"/>
                    </w:rPr>
                  </w:pPr>
                  <w:r>
                    <w:rPr>
                      <w:rFonts w:hint="eastAsia"/>
                      <w:bCs/>
                      <w:color w:val="000000"/>
                      <w:sz w:val="21"/>
                      <w:szCs w:val="21"/>
                      <w:u w:val="single"/>
                      <w:lang w:val="en-US" w:eastAsia="zh-CN"/>
                    </w:rPr>
                    <w:t>2400</w:t>
                  </w:r>
                  <w:r>
                    <w:rPr>
                      <w:rFonts w:hint="eastAsia"/>
                      <w:bCs/>
                      <w:color w:val="000000"/>
                      <w:sz w:val="21"/>
                      <w:szCs w:val="21"/>
                      <w:u w:val="single"/>
                    </w:rPr>
                    <w:t>h</w:t>
                  </w:r>
                </w:p>
              </w:tc>
              <w:tc>
                <w:tcPr>
                  <w:tcW w:w="457" w:type="pct"/>
                  <w:vMerge w:val="restart"/>
                  <w:noWrap w:val="0"/>
                  <w:vAlign w:val="center"/>
                </w:tcPr>
                <w:p w14:paraId="71C579C9">
                  <w:pPr>
                    <w:adjustRightInd w:val="0"/>
                    <w:jc w:val="center"/>
                    <w:rPr>
                      <w:bCs/>
                      <w:color w:val="000000"/>
                      <w:sz w:val="21"/>
                      <w:szCs w:val="21"/>
                      <w:u w:val="single"/>
                    </w:rPr>
                  </w:pPr>
                  <w:r>
                    <w:rPr>
                      <w:bCs/>
                      <w:color w:val="000000"/>
                      <w:sz w:val="21"/>
                      <w:szCs w:val="21"/>
                      <w:u w:val="single"/>
                    </w:rPr>
                    <w:t>是</w:t>
                  </w:r>
                </w:p>
              </w:tc>
              <w:tc>
                <w:tcPr>
                  <w:tcW w:w="377" w:type="pct"/>
                  <w:noWrap w:val="0"/>
                  <w:vAlign w:val="center"/>
                </w:tcPr>
                <w:p w14:paraId="73915D5D">
                  <w:pPr>
                    <w:adjustRightInd w:val="0"/>
                    <w:jc w:val="center"/>
                    <w:rPr>
                      <w:rFonts w:hint="default" w:eastAsia="宋体"/>
                      <w:bCs/>
                      <w:color w:val="000000"/>
                      <w:sz w:val="21"/>
                      <w:szCs w:val="21"/>
                      <w:u w:val="single"/>
                      <w:lang w:val="en-US" w:eastAsia="zh-CN"/>
                    </w:rPr>
                  </w:pPr>
                  <w:r>
                    <w:rPr>
                      <w:rFonts w:hint="eastAsia"/>
                      <w:bCs/>
                      <w:color w:val="000000"/>
                      <w:sz w:val="21"/>
                      <w:szCs w:val="21"/>
                      <w:u w:val="single"/>
                      <w:lang w:val="en-US" w:eastAsia="zh-CN"/>
                    </w:rPr>
                    <w:t>2.5</w:t>
                  </w:r>
                </w:p>
              </w:tc>
              <w:tc>
                <w:tcPr>
                  <w:tcW w:w="377" w:type="pct"/>
                  <w:noWrap w:val="0"/>
                  <w:vAlign w:val="center"/>
                </w:tcPr>
                <w:p w14:paraId="5DBC342C">
                  <w:pPr>
                    <w:adjustRightInd w:val="0"/>
                    <w:jc w:val="center"/>
                    <w:rPr>
                      <w:rFonts w:hint="default" w:eastAsia="宋体"/>
                      <w:bCs/>
                      <w:color w:val="000000"/>
                      <w:sz w:val="21"/>
                      <w:szCs w:val="21"/>
                      <w:u w:val="single"/>
                      <w:lang w:val="en-US" w:eastAsia="zh-CN"/>
                    </w:rPr>
                  </w:pPr>
                  <w:r>
                    <w:rPr>
                      <w:rFonts w:hint="eastAsia"/>
                      <w:bCs/>
                      <w:color w:val="000000"/>
                      <w:sz w:val="21"/>
                      <w:szCs w:val="21"/>
                      <w:u w:val="single"/>
                      <w:lang w:val="en-US" w:eastAsia="zh-CN"/>
                    </w:rPr>
                    <w:t>0.0125</w:t>
                  </w:r>
                </w:p>
              </w:tc>
              <w:tc>
                <w:tcPr>
                  <w:tcW w:w="300" w:type="pct"/>
                  <w:noWrap w:val="0"/>
                  <w:vAlign w:val="center"/>
                </w:tcPr>
                <w:p w14:paraId="2E53231F">
                  <w:pPr>
                    <w:adjustRightInd w:val="0"/>
                    <w:jc w:val="center"/>
                    <w:rPr>
                      <w:rFonts w:hint="default" w:eastAsia="宋体"/>
                      <w:bCs/>
                      <w:color w:val="000000"/>
                      <w:sz w:val="21"/>
                      <w:szCs w:val="21"/>
                      <w:u w:val="single"/>
                      <w:lang w:val="en-US" w:eastAsia="zh-CN"/>
                    </w:rPr>
                  </w:pPr>
                  <w:r>
                    <w:rPr>
                      <w:rFonts w:hint="eastAsia"/>
                      <w:bCs/>
                      <w:color w:val="000000"/>
                      <w:sz w:val="21"/>
                      <w:szCs w:val="21"/>
                      <w:u w:val="single"/>
                      <w:lang w:val="en-US" w:eastAsia="zh-CN"/>
                    </w:rPr>
                    <w:t>0.0301</w:t>
                  </w:r>
                </w:p>
              </w:tc>
            </w:tr>
            <w:tr w14:paraId="34A6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91" w:type="pct"/>
                  <w:vMerge w:val="continue"/>
                  <w:noWrap w:val="0"/>
                  <w:vAlign w:val="center"/>
                </w:tcPr>
                <w:p w14:paraId="3A46751F">
                  <w:pPr>
                    <w:jc w:val="center"/>
                    <w:rPr>
                      <w:color w:val="000000"/>
                      <w:sz w:val="21"/>
                      <w:szCs w:val="21"/>
                      <w:u w:val="single"/>
                    </w:rPr>
                  </w:pPr>
                </w:p>
              </w:tc>
              <w:tc>
                <w:tcPr>
                  <w:tcW w:w="314" w:type="pct"/>
                  <w:vMerge w:val="continue"/>
                  <w:noWrap w:val="0"/>
                  <w:vAlign w:val="center"/>
                </w:tcPr>
                <w:p w14:paraId="6CBC39EA">
                  <w:pPr>
                    <w:adjustRightInd w:val="0"/>
                    <w:jc w:val="center"/>
                    <w:rPr>
                      <w:bCs/>
                      <w:color w:val="000000"/>
                      <w:sz w:val="21"/>
                      <w:szCs w:val="21"/>
                      <w:u w:val="single"/>
                    </w:rPr>
                  </w:pPr>
                </w:p>
              </w:tc>
              <w:tc>
                <w:tcPr>
                  <w:tcW w:w="305" w:type="pct"/>
                  <w:noWrap w:val="0"/>
                  <w:vAlign w:val="center"/>
                </w:tcPr>
                <w:p w14:paraId="4D3782CE">
                  <w:pPr>
                    <w:jc w:val="center"/>
                    <w:rPr>
                      <w:rFonts w:cs="宋体"/>
                      <w:color w:val="000000"/>
                      <w:sz w:val="21"/>
                      <w:szCs w:val="21"/>
                      <w:u w:val="single"/>
                    </w:rPr>
                  </w:pPr>
                  <w:r>
                    <w:rPr>
                      <w:rFonts w:cs="宋体"/>
                      <w:color w:val="000000"/>
                      <w:sz w:val="21"/>
                      <w:szCs w:val="21"/>
                      <w:u w:val="single"/>
                    </w:rPr>
                    <w:t>无组织</w:t>
                  </w:r>
                </w:p>
              </w:tc>
              <w:tc>
                <w:tcPr>
                  <w:tcW w:w="303" w:type="pct"/>
                  <w:noWrap w:val="0"/>
                  <w:vAlign w:val="center"/>
                </w:tcPr>
                <w:p w14:paraId="481E440D">
                  <w:pPr>
                    <w:jc w:val="center"/>
                    <w:rPr>
                      <w:rFonts w:hint="default" w:ascii="Times New Roman" w:hAnsi="Times New Roman" w:eastAsia="宋体" w:cs="宋体"/>
                      <w:color w:val="000000"/>
                      <w:sz w:val="21"/>
                      <w:szCs w:val="21"/>
                      <w:u w:val="single"/>
                      <w:lang w:val="en-US" w:eastAsia="zh-CN"/>
                    </w:rPr>
                  </w:pPr>
                  <w:r>
                    <w:rPr>
                      <w:rFonts w:hint="eastAsia" w:ascii="Times New Roman" w:hAnsi="Times New Roman" w:eastAsia="宋体" w:cs="宋体"/>
                      <w:color w:val="000000"/>
                      <w:sz w:val="21"/>
                      <w:szCs w:val="21"/>
                      <w:u w:val="single"/>
                      <w:lang w:val="en-US" w:eastAsia="zh-CN"/>
                    </w:rPr>
                    <w:t>0.0223</w:t>
                  </w:r>
                </w:p>
              </w:tc>
              <w:tc>
                <w:tcPr>
                  <w:tcW w:w="364" w:type="pct"/>
                  <w:noWrap w:val="0"/>
                  <w:vAlign w:val="center"/>
                </w:tcPr>
                <w:p w14:paraId="18DD0449">
                  <w:pPr>
                    <w:jc w:val="center"/>
                    <w:rPr>
                      <w:rFonts w:cs="宋体"/>
                      <w:color w:val="000000"/>
                      <w:sz w:val="21"/>
                      <w:szCs w:val="21"/>
                      <w:u w:val="single"/>
                    </w:rPr>
                  </w:pPr>
                  <w:r>
                    <w:rPr>
                      <w:rFonts w:cs="宋体"/>
                      <w:color w:val="000000"/>
                      <w:sz w:val="21"/>
                      <w:szCs w:val="21"/>
                      <w:u w:val="single"/>
                    </w:rPr>
                    <w:t>/</w:t>
                  </w:r>
                </w:p>
              </w:tc>
              <w:tc>
                <w:tcPr>
                  <w:tcW w:w="700" w:type="pct"/>
                  <w:vMerge w:val="continue"/>
                  <w:noWrap w:val="0"/>
                  <w:vAlign w:val="center"/>
                </w:tcPr>
                <w:p w14:paraId="48AFD5AB">
                  <w:pPr>
                    <w:adjustRightInd w:val="0"/>
                    <w:jc w:val="center"/>
                    <w:rPr>
                      <w:bCs/>
                      <w:color w:val="000000"/>
                      <w:sz w:val="21"/>
                      <w:szCs w:val="21"/>
                      <w:u w:val="single"/>
                    </w:rPr>
                  </w:pPr>
                </w:p>
              </w:tc>
              <w:tc>
                <w:tcPr>
                  <w:tcW w:w="363" w:type="pct"/>
                  <w:noWrap w:val="0"/>
                  <w:vAlign w:val="center"/>
                </w:tcPr>
                <w:p w14:paraId="586849A1">
                  <w:pPr>
                    <w:adjustRightInd w:val="0"/>
                    <w:jc w:val="center"/>
                    <w:rPr>
                      <w:bCs/>
                      <w:color w:val="000000"/>
                      <w:sz w:val="21"/>
                      <w:szCs w:val="21"/>
                      <w:u w:val="single"/>
                    </w:rPr>
                  </w:pPr>
                  <w:r>
                    <w:rPr>
                      <w:bCs/>
                      <w:color w:val="000000"/>
                      <w:sz w:val="21"/>
                      <w:szCs w:val="21"/>
                      <w:u w:val="single"/>
                    </w:rPr>
                    <w:t>/</w:t>
                  </w:r>
                </w:p>
              </w:tc>
              <w:tc>
                <w:tcPr>
                  <w:tcW w:w="250" w:type="pct"/>
                  <w:noWrap w:val="0"/>
                  <w:vAlign w:val="center"/>
                </w:tcPr>
                <w:p w14:paraId="1FFAB441">
                  <w:pPr>
                    <w:adjustRightInd w:val="0"/>
                    <w:jc w:val="center"/>
                    <w:rPr>
                      <w:bCs/>
                      <w:color w:val="000000"/>
                      <w:sz w:val="21"/>
                      <w:szCs w:val="21"/>
                      <w:u w:val="single"/>
                    </w:rPr>
                  </w:pPr>
                  <w:r>
                    <w:rPr>
                      <w:bCs/>
                      <w:color w:val="000000"/>
                      <w:sz w:val="21"/>
                      <w:szCs w:val="21"/>
                      <w:u w:val="single"/>
                    </w:rPr>
                    <w:t>/</w:t>
                  </w:r>
                </w:p>
              </w:tc>
              <w:tc>
                <w:tcPr>
                  <w:tcW w:w="282" w:type="pct"/>
                  <w:noWrap w:val="0"/>
                  <w:vAlign w:val="center"/>
                </w:tcPr>
                <w:p w14:paraId="7939A281">
                  <w:pPr>
                    <w:adjustRightInd w:val="0"/>
                    <w:jc w:val="center"/>
                    <w:rPr>
                      <w:bCs/>
                      <w:color w:val="000000"/>
                      <w:sz w:val="21"/>
                      <w:szCs w:val="21"/>
                      <w:u w:val="single"/>
                    </w:rPr>
                  </w:pPr>
                  <w:r>
                    <w:rPr>
                      <w:bCs/>
                      <w:color w:val="000000"/>
                      <w:sz w:val="21"/>
                      <w:szCs w:val="21"/>
                      <w:u w:val="single"/>
                    </w:rPr>
                    <w:t>/</w:t>
                  </w:r>
                </w:p>
              </w:tc>
              <w:tc>
                <w:tcPr>
                  <w:tcW w:w="310" w:type="pct"/>
                  <w:noWrap w:val="0"/>
                  <w:vAlign w:val="center"/>
                </w:tcPr>
                <w:p w14:paraId="319A1C4C">
                  <w:pPr>
                    <w:adjustRightInd w:val="0"/>
                    <w:jc w:val="center"/>
                    <w:rPr>
                      <w:rFonts w:hint="eastAsia"/>
                      <w:bCs/>
                      <w:color w:val="000000"/>
                      <w:sz w:val="21"/>
                      <w:szCs w:val="21"/>
                      <w:u w:val="single"/>
                    </w:rPr>
                  </w:pPr>
                  <w:r>
                    <w:rPr>
                      <w:rFonts w:hint="eastAsia"/>
                      <w:bCs/>
                      <w:color w:val="000000"/>
                      <w:sz w:val="21"/>
                      <w:szCs w:val="21"/>
                      <w:u w:val="single"/>
                    </w:rPr>
                    <w:t>/</w:t>
                  </w:r>
                </w:p>
              </w:tc>
              <w:tc>
                <w:tcPr>
                  <w:tcW w:w="457" w:type="pct"/>
                  <w:vMerge w:val="continue"/>
                  <w:noWrap w:val="0"/>
                  <w:vAlign w:val="center"/>
                </w:tcPr>
                <w:p w14:paraId="05977FFA">
                  <w:pPr>
                    <w:adjustRightInd w:val="0"/>
                    <w:jc w:val="center"/>
                    <w:rPr>
                      <w:bCs/>
                      <w:color w:val="000000"/>
                      <w:sz w:val="21"/>
                      <w:szCs w:val="21"/>
                      <w:u w:val="single"/>
                    </w:rPr>
                  </w:pPr>
                </w:p>
              </w:tc>
              <w:tc>
                <w:tcPr>
                  <w:tcW w:w="377" w:type="pct"/>
                  <w:noWrap w:val="0"/>
                  <w:vAlign w:val="center"/>
                </w:tcPr>
                <w:p w14:paraId="65A54B40">
                  <w:pPr>
                    <w:adjustRightInd w:val="0"/>
                    <w:jc w:val="center"/>
                    <w:rPr>
                      <w:rFonts w:hint="eastAsia"/>
                      <w:bCs/>
                      <w:color w:val="000000"/>
                      <w:sz w:val="21"/>
                      <w:szCs w:val="21"/>
                      <w:u w:val="single"/>
                    </w:rPr>
                  </w:pPr>
                  <w:r>
                    <w:rPr>
                      <w:rFonts w:hint="eastAsia"/>
                      <w:bCs/>
                      <w:color w:val="000000"/>
                      <w:sz w:val="21"/>
                      <w:szCs w:val="21"/>
                      <w:u w:val="single"/>
                    </w:rPr>
                    <w:t>/</w:t>
                  </w:r>
                </w:p>
              </w:tc>
              <w:tc>
                <w:tcPr>
                  <w:tcW w:w="377" w:type="pct"/>
                  <w:noWrap w:val="0"/>
                  <w:vAlign w:val="center"/>
                </w:tcPr>
                <w:p w14:paraId="4F6A9BF5">
                  <w:pPr>
                    <w:adjustRightInd w:val="0"/>
                    <w:jc w:val="center"/>
                    <w:rPr>
                      <w:bCs/>
                      <w:color w:val="000000"/>
                      <w:sz w:val="21"/>
                      <w:szCs w:val="21"/>
                      <w:u w:val="single"/>
                    </w:rPr>
                  </w:pPr>
                  <w:r>
                    <w:rPr>
                      <w:rFonts w:hint="eastAsia"/>
                      <w:bCs/>
                      <w:color w:val="000000"/>
                      <w:sz w:val="21"/>
                      <w:szCs w:val="21"/>
                      <w:u w:val="single"/>
                      <w:lang w:val="en-US" w:eastAsia="zh-CN"/>
                    </w:rPr>
                    <w:t>/</w:t>
                  </w:r>
                </w:p>
              </w:tc>
              <w:tc>
                <w:tcPr>
                  <w:tcW w:w="300" w:type="pct"/>
                  <w:noWrap w:val="0"/>
                  <w:vAlign w:val="center"/>
                </w:tcPr>
                <w:p w14:paraId="13E8C070">
                  <w:pPr>
                    <w:adjustRightInd w:val="0"/>
                    <w:jc w:val="center"/>
                    <w:rPr>
                      <w:rFonts w:hint="default" w:eastAsia="宋体"/>
                      <w:bCs/>
                      <w:color w:val="000000"/>
                      <w:sz w:val="21"/>
                      <w:szCs w:val="21"/>
                      <w:u w:val="single"/>
                      <w:lang w:val="en-US" w:eastAsia="zh-CN"/>
                    </w:rPr>
                  </w:pPr>
                  <w:r>
                    <w:rPr>
                      <w:rFonts w:hint="eastAsia"/>
                      <w:bCs/>
                      <w:color w:val="000000"/>
                      <w:sz w:val="21"/>
                      <w:szCs w:val="21"/>
                      <w:u w:val="single"/>
                      <w:lang w:val="en-US" w:eastAsia="zh-CN"/>
                    </w:rPr>
                    <w:t>0.0223</w:t>
                  </w:r>
                </w:p>
              </w:tc>
            </w:tr>
            <w:tr w14:paraId="041E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91" w:type="pct"/>
                  <w:vMerge w:val="continue"/>
                  <w:noWrap w:val="0"/>
                  <w:vAlign w:val="center"/>
                </w:tcPr>
                <w:p w14:paraId="13EE7A96">
                  <w:pPr>
                    <w:jc w:val="center"/>
                    <w:rPr>
                      <w:color w:val="000000"/>
                      <w:sz w:val="21"/>
                      <w:szCs w:val="21"/>
                      <w:u w:val="single"/>
                    </w:rPr>
                  </w:pPr>
                </w:p>
              </w:tc>
              <w:tc>
                <w:tcPr>
                  <w:tcW w:w="314" w:type="pct"/>
                  <w:vMerge w:val="restart"/>
                  <w:noWrap w:val="0"/>
                  <w:vAlign w:val="center"/>
                </w:tcPr>
                <w:p w14:paraId="1767BBD9">
                  <w:pPr>
                    <w:adjustRightInd w:val="0"/>
                    <w:jc w:val="center"/>
                    <w:rPr>
                      <w:rFonts w:hint="eastAsia" w:eastAsia="宋体"/>
                      <w:bCs/>
                      <w:color w:val="000000"/>
                      <w:sz w:val="21"/>
                      <w:szCs w:val="21"/>
                      <w:u w:val="single"/>
                      <w:lang w:val="en-US" w:eastAsia="zh-CN"/>
                    </w:rPr>
                  </w:pPr>
                  <w:r>
                    <w:rPr>
                      <w:rFonts w:hint="eastAsia"/>
                      <w:bCs/>
                      <w:color w:val="000000"/>
                      <w:sz w:val="21"/>
                      <w:szCs w:val="21"/>
                      <w:u w:val="single"/>
                      <w:lang w:val="en-US" w:eastAsia="zh-CN"/>
                    </w:rPr>
                    <w:t>氯化氢</w:t>
                  </w:r>
                </w:p>
              </w:tc>
              <w:tc>
                <w:tcPr>
                  <w:tcW w:w="305" w:type="pct"/>
                  <w:noWrap w:val="0"/>
                  <w:vAlign w:val="center"/>
                </w:tcPr>
                <w:p w14:paraId="65C58114">
                  <w:pPr>
                    <w:jc w:val="center"/>
                    <w:rPr>
                      <w:rFonts w:cs="宋体"/>
                      <w:color w:val="000000"/>
                      <w:sz w:val="21"/>
                      <w:szCs w:val="21"/>
                      <w:u w:val="single"/>
                    </w:rPr>
                  </w:pPr>
                  <w:r>
                    <w:rPr>
                      <w:rFonts w:cs="宋体"/>
                      <w:color w:val="000000"/>
                      <w:sz w:val="21"/>
                      <w:szCs w:val="21"/>
                      <w:u w:val="single"/>
                    </w:rPr>
                    <w:t>有组织</w:t>
                  </w:r>
                </w:p>
              </w:tc>
              <w:tc>
                <w:tcPr>
                  <w:tcW w:w="303" w:type="pct"/>
                  <w:noWrap w:val="0"/>
                  <w:vAlign w:val="center"/>
                </w:tcPr>
                <w:p w14:paraId="5B6D8AAC">
                  <w:pPr>
                    <w:jc w:val="center"/>
                    <w:rPr>
                      <w:rFonts w:hint="default" w:ascii="Times New Roman" w:hAnsi="Times New Roman" w:eastAsia="宋体" w:cs="宋体"/>
                      <w:color w:val="000000"/>
                      <w:sz w:val="21"/>
                      <w:szCs w:val="21"/>
                      <w:u w:val="single"/>
                      <w:lang w:val="en-US" w:eastAsia="zh-CN"/>
                    </w:rPr>
                  </w:pPr>
                  <w:r>
                    <w:rPr>
                      <w:rFonts w:hint="eastAsia" w:ascii="Times New Roman" w:hAnsi="Times New Roman" w:eastAsia="宋体" w:cs="宋体"/>
                      <w:color w:val="000000"/>
                      <w:sz w:val="21"/>
                      <w:szCs w:val="21"/>
                      <w:u w:val="single"/>
                      <w:lang w:val="en-US" w:eastAsia="zh-CN"/>
                    </w:rPr>
                    <w:t>0.0062</w:t>
                  </w:r>
                </w:p>
              </w:tc>
              <w:tc>
                <w:tcPr>
                  <w:tcW w:w="364" w:type="pct"/>
                  <w:noWrap w:val="0"/>
                  <w:vAlign w:val="center"/>
                </w:tcPr>
                <w:p w14:paraId="3FC1C506">
                  <w:pPr>
                    <w:jc w:val="center"/>
                    <w:rPr>
                      <w:rFonts w:hint="default" w:eastAsia="宋体" w:cs="宋体"/>
                      <w:color w:val="000000"/>
                      <w:sz w:val="21"/>
                      <w:szCs w:val="21"/>
                      <w:u w:val="single"/>
                      <w:lang w:val="en-US" w:eastAsia="zh-CN"/>
                    </w:rPr>
                  </w:pPr>
                  <w:r>
                    <w:rPr>
                      <w:rFonts w:hint="eastAsia" w:cs="宋体"/>
                      <w:color w:val="000000"/>
                      <w:sz w:val="21"/>
                      <w:szCs w:val="21"/>
                      <w:u w:val="single"/>
                      <w:lang w:val="en-US" w:eastAsia="zh-CN"/>
                    </w:rPr>
                    <w:t>0.5</w:t>
                  </w:r>
                </w:p>
              </w:tc>
              <w:tc>
                <w:tcPr>
                  <w:tcW w:w="700" w:type="pct"/>
                  <w:vMerge w:val="continue"/>
                  <w:noWrap w:val="0"/>
                  <w:vAlign w:val="center"/>
                </w:tcPr>
                <w:p w14:paraId="6226B2D6">
                  <w:pPr>
                    <w:adjustRightInd w:val="0"/>
                    <w:jc w:val="center"/>
                    <w:rPr>
                      <w:bCs/>
                      <w:color w:val="000000"/>
                      <w:sz w:val="21"/>
                      <w:szCs w:val="21"/>
                      <w:u w:val="single"/>
                    </w:rPr>
                  </w:pPr>
                </w:p>
              </w:tc>
              <w:tc>
                <w:tcPr>
                  <w:tcW w:w="363" w:type="pct"/>
                  <w:noWrap w:val="0"/>
                  <w:vAlign w:val="center"/>
                </w:tcPr>
                <w:p w14:paraId="102A36F8">
                  <w:pPr>
                    <w:adjustRightInd w:val="0"/>
                    <w:jc w:val="center"/>
                    <w:rPr>
                      <w:bCs/>
                      <w:color w:val="000000"/>
                      <w:sz w:val="21"/>
                      <w:szCs w:val="21"/>
                      <w:u w:val="single"/>
                    </w:rPr>
                  </w:pPr>
                  <w:r>
                    <w:rPr>
                      <w:rFonts w:hint="eastAsia"/>
                      <w:bCs/>
                      <w:color w:val="000000"/>
                      <w:sz w:val="21"/>
                      <w:szCs w:val="21"/>
                      <w:u w:val="single"/>
                      <w:lang w:val="en-US" w:eastAsia="zh-CN"/>
                    </w:rPr>
                    <w:t>5000</w:t>
                  </w:r>
                </w:p>
              </w:tc>
              <w:tc>
                <w:tcPr>
                  <w:tcW w:w="250" w:type="pct"/>
                  <w:noWrap w:val="0"/>
                  <w:vAlign w:val="center"/>
                </w:tcPr>
                <w:p w14:paraId="352AB72E">
                  <w:pPr>
                    <w:adjustRightInd w:val="0"/>
                    <w:jc w:val="center"/>
                    <w:rPr>
                      <w:rFonts w:hint="default" w:eastAsia="宋体"/>
                      <w:bCs/>
                      <w:color w:val="000000"/>
                      <w:sz w:val="21"/>
                      <w:szCs w:val="21"/>
                      <w:u w:val="single"/>
                      <w:lang w:val="en-US" w:eastAsia="zh-CN"/>
                    </w:rPr>
                  </w:pPr>
                  <w:r>
                    <w:rPr>
                      <w:rFonts w:hint="eastAsia"/>
                      <w:bCs/>
                      <w:color w:val="000000"/>
                      <w:sz w:val="21"/>
                      <w:szCs w:val="21"/>
                      <w:u w:val="single"/>
                    </w:rPr>
                    <w:t>90</w:t>
                  </w:r>
                  <w:r>
                    <w:rPr>
                      <w:bCs/>
                      <w:color w:val="000000"/>
                      <w:sz w:val="21"/>
                      <w:szCs w:val="21"/>
                      <w:u w:val="single"/>
                    </w:rPr>
                    <w:t>%</w:t>
                  </w:r>
                </w:p>
              </w:tc>
              <w:tc>
                <w:tcPr>
                  <w:tcW w:w="282" w:type="pct"/>
                  <w:noWrap w:val="0"/>
                  <w:vAlign w:val="center"/>
                </w:tcPr>
                <w:p w14:paraId="0880C86A">
                  <w:pPr>
                    <w:adjustRightInd w:val="0"/>
                    <w:jc w:val="center"/>
                    <w:rPr>
                      <w:bCs/>
                      <w:color w:val="000000"/>
                      <w:sz w:val="21"/>
                      <w:szCs w:val="21"/>
                      <w:u w:val="single"/>
                    </w:rPr>
                  </w:pPr>
                  <w:r>
                    <w:rPr>
                      <w:rFonts w:hint="eastAsia"/>
                      <w:bCs/>
                      <w:color w:val="000000"/>
                      <w:sz w:val="21"/>
                      <w:szCs w:val="21"/>
                      <w:u w:val="single"/>
                      <w:lang w:val="en-US" w:eastAsia="zh-CN"/>
                    </w:rPr>
                    <w:t>0</w:t>
                  </w:r>
                  <w:r>
                    <w:rPr>
                      <w:bCs/>
                      <w:color w:val="000000"/>
                      <w:sz w:val="21"/>
                      <w:szCs w:val="21"/>
                      <w:u w:val="single"/>
                    </w:rPr>
                    <w:t>%</w:t>
                  </w:r>
                </w:p>
              </w:tc>
              <w:tc>
                <w:tcPr>
                  <w:tcW w:w="310" w:type="pct"/>
                  <w:noWrap w:val="0"/>
                  <w:vAlign w:val="center"/>
                </w:tcPr>
                <w:p w14:paraId="50FFC7AC">
                  <w:pPr>
                    <w:adjustRightInd w:val="0"/>
                    <w:jc w:val="center"/>
                    <w:rPr>
                      <w:rFonts w:hint="eastAsia"/>
                      <w:bCs/>
                      <w:color w:val="000000"/>
                      <w:sz w:val="21"/>
                      <w:szCs w:val="21"/>
                      <w:u w:val="single"/>
                    </w:rPr>
                  </w:pPr>
                </w:p>
              </w:tc>
              <w:tc>
                <w:tcPr>
                  <w:tcW w:w="457" w:type="pct"/>
                  <w:vMerge w:val="continue"/>
                  <w:noWrap w:val="0"/>
                  <w:vAlign w:val="center"/>
                </w:tcPr>
                <w:p w14:paraId="6E0F7AD8">
                  <w:pPr>
                    <w:adjustRightInd w:val="0"/>
                    <w:jc w:val="center"/>
                    <w:rPr>
                      <w:bCs/>
                      <w:color w:val="000000"/>
                      <w:sz w:val="21"/>
                      <w:szCs w:val="21"/>
                      <w:u w:val="single"/>
                    </w:rPr>
                  </w:pPr>
                </w:p>
              </w:tc>
              <w:tc>
                <w:tcPr>
                  <w:tcW w:w="377" w:type="pct"/>
                  <w:noWrap w:val="0"/>
                  <w:vAlign w:val="center"/>
                </w:tcPr>
                <w:p w14:paraId="7A179B84">
                  <w:pPr>
                    <w:adjustRightInd w:val="0"/>
                    <w:jc w:val="center"/>
                    <w:rPr>
                      <w:rFonts w:hint="default" w:eastAsia="宋体"/>
                      <w:bCs/>
                      <w:color w:val="000000"/>
                      <w:sz w:val="21"/>
                      <w:szCs w:val="21"/>
                      <w:u w:val="single"/>
                      <w:lang w:val="en-US" w:eastAsia="zh-CN"/>
                    </w:rPr>
                  </w:pPr>
                  <w:r>
                    <w:rPr>
                      <w:rFonts w:hint="eastAsia"/>
                      <w:bCs/>
                      <w:color w:val="000000"/>
                      <w:sz w:val="21"/>
                      <w:szCs w:val="21"/>
                      <w:u w:val="single"/>
                      <w:lang w:val="en-US" w:eastAsia="zh-CN"/>
                    </w:rPr>
                    <w:t>0.5</w:t>
                  </w:r>
                </w:p>
              </w:tc>
              <w:tc>
                <w:tcPr>
                  <w:tcW w:w="377" w:type="pct"/>
                  <w:noWrap w:val="0"/>
                  <w:vAlign w:val="center"/>
                </w:tcPr>
                <w:p w14:paraId="0F1DE723">
                  <w:pPr>
                    <w:adjustRightInd w:val="0"/>
                    <w:jc w:val="center"/>
                    <w:rPr>
                      <w:rFonts w:hint="default"/>
                      <w:bCs/>
                      <w:color w:val="000000"/>
                      <w:sz w:val="21"/>
                      <w:szCs w:val="21"/>
                      <w:u w:val="single"/>
                      <w:lang w:val="en-US" w:eastAsia="zh-CN"/>
                    </w:rPr>
                  </w:pPr>
                  <w:r>
                    <w:rPr>
                      <w:rFonts w:hint="eastAsia"/>
                      <w:bCs/>
                      <w:color w:val="000000"/>
                      <w:sz w:val="21"/>
                      <w:szCs w:val="21"/>
                      <w:u w:val="single"/>
                      <w:lang w:val="en-US" w:eastAsia="zh-CN"/>
                    </w:rPr>
                    <w:t>0.0026</w:t>
                  </w:r>
                </w:p>
              </w:tc>
              <w:tc>
                <w:tcPr>
                  <w:tcW w:w="300" w:type="pct"/>
                  <w:noWrap w:val="0"/>
                  <w:vAlign w:val="center"/>
                </w:tcPr>
                <w:p w14:paraId="44EA3386">
                  <w:pPr>
                    <w:adjustRightInd w:val="0"/>
                    <w:jc w:val="center"/>
                    <w:rPr>
                      <w:rFonts w:hint="default"/>
                      <w:bCs/>
                      <w:color w:val="000000"/>
                      <w:sz w:val="21"/>
                      <w:szCs w:val="21"/>
                      <w:u w:val="single"/>
                      <w:lang w:val="en-US" w:eastAsia="zh-CN"/>
                    </w:rPr>
                  </w:pPr>
                  <w:r>
                    <w:rPr>
                      <w:rFonts w:hint="eastAsia"/>
                      <w:bCs/>
                      <w:color w:val="000000"/>
                      <w:sz w:val="21"/>
                      <w:szCs w:val="21"/>
                      <w:u w:val="single"/>
                      <w:lang w:val="en-US" w:eastAsia="zh-CN"/>
                    </w:rPr>
                    <w:t>0.0062</w:t>
                  </w:r>
                </w:p>
              </w:tc>
            </w:tr>
            <w:tr w14:paraId="2932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91" w:type="pct"/>
                  <w:vMerge w:val="continue"/>
                  <w:noWrap w:val="0"/>
                  <w:vAlign w:val="center"/>
                </w:tcPr>
                <w:p w14:paraId="464B6CED">
                  <w:pPr>
                    <w:jc w:val="center"/>
                    <w:rPr>
                      <w:color w:val="000000"/>
                      <w:sz w:val="21"/>
                      <w:szCs w:val="21"/>
                      <w:u w:val="single"/>
                    </w:rPr>
                  </w:pPr>
                </w:p>
              </w:tc>
              <w:tc>
                <w:tcPr>
                  <w:tcW w:w="314" w:type="pct"/>
                  <w:vMerge w:val="continue"/>
                  <w:noWrap w:val="0"/>
                  <w:vAlign w:val="center"/>
                </w:tcPr>
                <w:p w14:paraId="285B3D29">
                  <w:pPr>
                    <w:adjustRightInd w:val="0"/>
                    <w:jc w:val="center"/>
                    <w:rPr>
                      <w:bCs/>
                      <w:color w:val="000000"/>
                      <w:sz w:val="21"/>
                      <w:szCs w:val="21"/>
                      <w:u w:val="single"/>
                    </w:rPr>
                  </w:pPr>
                </w:p>
              </w:tc>
              <w:tc>
                <w:tcPr>
                  <w:tcW w:w="305" w:type="pct"/>
                  <w:noWrap w:val="0"/>
                  <w:vAlign w:val="center"/>
                </w:tcPr>
                <w:p w14:paraId="639C0093">
                  <w:pPr>
                    <w:jc w:val="center"/>
                    <w:rPr>
                      <w:rFonts w:cs="宋体"/>
                      <w:color w:val="000000"/>
                      <w:sz w:val="21"/>
                      <w:szCs w:val="21"/>
                      <w:u w:val="single"/>
                    </w:rPr>
                  </w:pPr>
                  <w:r>
                    <w:rPr>
                      <w:rFonts w:cs="宋体"/>
                      <w:color w:val="000000"/>
                      <w:sz w:val="21"/>
                      <w:szCs w:val="21"/>
                      <w:u w:val="single"/>
                    </w:rPr>
                    <w:t>无组织</w:t>
                  </w:r>
                </w:p>
              </w:tc>
              <w:tc>
                <w:tcPr>
                  <w:tcW w:w="303" w:type="pct"/>
                  <w:noWrap w:val="0"/>
                  <w:vAlign w:val="center"/>
                </w:tcPr>
                <w:p w14:paraId="28E484CC">
                  <w:pPr>
                    <w:jc w:val="center"/>
                    <w:rPr>
                      <w:rFonts w:hint="default" w:ascii="Times New Roman" w:hAnsi="Times New Roman" w:eastAsia="宋体" w:cs="宋体"/>
                      <w:color w:val="000000"/>
                      <w:sz w:val="21"/>
                      <w:szCs w:val="21"/>
                      <w:u w:val="single"/>
                      <w:lang w:val="en-US" w:eastAsia="zh-CN"/>
                    </w:rPr>
                  </w:pPr>
                  <w:r>
                    <w:rPr>
                      <w:rFonts w:hint="eastAsia" w:ascii="Times New Roman" w:hAnsi="Times New Roman" w:eastAsia="宋体" w:cs="宋体"/>
                      <w:color w:val="000000"/>
                      <w:sz w:val="21"/>
                      <w:szCs w:val="21"/>
                      <w:u w:val="single"/>
                      <w:lang w:val="en-US" w:eastAsia="zh-CN"/>
                    </w:rPr>
                    <w:t>0.0007</w:t>
                  </w:r>
                </w:p>
              </w:tc>
              <w:tc>
                <w:tcPr>
                  <w:tcW w:w="364" w:type="pct"/>
                  <w:noWrap w:val="0"/>
                  <w:vAlign w:val="center"/>
                </w:tcPr>
                <w:p w14:paraId="69DA680E">
                  <w:pPr>
                    <w:jc w:val="center"/>
                    <w:rPr>
                      <w:rFonts w:hint="eastAsia" w:eastAsia="宋体" w:cs="宋体"/>
                      <w:color w:val="000000"/>
                      <w:sz w:val="21"/>
                      <w:szCs w:val="21"/>
                      <w:u w:val="single"/>
                      <w:lang w:val="en-US" w:eastAsia="zh-CN"/>
                    </w:rPr>
                  </w:pPr>
                  <w:r>
                    <w:rPr>
                      <w:rFonts w:hint="eastAsia" w:cs="宋体"/>
                      <w:color w:val="000000"/>
                      <w:sz w:val="21"/>
                      <w:szCs w:val="21"/>
                      <w:u w:val="single"/>
                      <w:lang w:val="en-US" w:eastAsia="zh-CN"/>
                    </w:rPr>
                    <w:t>/</w:t>
                  </w:r>
                </w:p>
              </w:tc>
              <w:tc>
                <w:tcPr>
                  <w:tcW w:w="700" w:type="pct"/>
                  <w:vMerge w:val="continue"/>
                  <w:noWrap w:val="0"/>
                  <w:vAlign w:val="center"/>
                </w:tcPr>
                <w:p w14:paraId="1051B953">
                  <w:pPr>
                    <w:adjustRightInd w:val="0"/>
                    <w:jc w:val="center"/>
                    <w:rPr>
                      <w:bCs/>
                      <w:color w:val="000000"/>
                      <w:sz w:val="21"/>
                      <w:szCs w:val="21"/>
                      <w:u w:val="single"/>
                    </w:rPr>
                  </w:pPr>
                </w:p>
              </w:tc>
              <w:tc>
                <w:tcPr>
                  <w:tcW w:w="363" w:type="pct"/>
                  <w:noWrap w:val="0"/>
                  <w:vAlign w:val="center"/>
                </w:tcPr>
                <w:p w14:paraId="4A2F1441">
                  <w:pPr>
                    <w:adjustRightInd w:val="0"/>
                    <w:jc w:val="center"/>
                    <w:rPr>
                      <w:bCs/>
                      <w:color w:val="000000"/>
                      <w:sz w:val="21"/>
                      <w:szCs w:val="21"/>
                      <w:u w:val="single"/>
                    </w:rPr>
                  </w:pPr>
                  <w:r>
                    <w:rPr>
                      <w:rFonts w:hint="eastAsia"/>
                      <w:bCs/>
                      <w:color w:val="000000"/>
                      <w:sz w:val="21"/>
                      <w:szCs w:val="21"/>
                      <w:u w:val="single"/>
                    </w:rPr>
                    <w:t>/</w:t>
                  </w:r>
                </w:p>
              </w:tc>
              <w:tc>
                <w:tcPr>
                  <w:tcW w:w="250" w:type="pct"/>
                  <w:noWrap w:val="0"/>
                  <w:vAlign w:val="center"/>
                </w:tcPr>
                <w:p w14:paraId="593B5B91">
                  <w:pPr>
                    <w:adjustRightInd w:val="0"/>
                    <w:jc w:val="center"/>
                    <w:rPr>
                      <w:bCs/>
                      <w:color w:val="000000"/>
                      <w:sz w:val="21"/>
                      <w:szCs w:val="21"/>
                      <w:u w:val="single"/>
                    </w:rPr>
                  </w:pPr>
                  <w:r>
                    <w:rPr>
                      <w:rFonts w:hint="eastAsia"/>
                      <w:bCs/>
                      <w:color w:val="000000"/>
                      <w:sz w:val="21"/>
                      <w:szCs w:val="21"/>
                      <w:u w:val="single"/>
                      <w:lang w:val="en-US" w:eastAsia="zh-CN"/>
                    </w:rPr>
                    <w:t>/</w:t>
                  </w:r>
                </w:p>
              </w:tc>
              <w:tc>
                <w:tcPr>
                  <w:tcW w:w="282" w:type="pct"/>
                  <w:noWrap w:val="0"/>
                  <w:vAlign w:val="center"/>
                </w:tcPr>
                <w:p w14:paraId="2CD7BC9E">
                  <w:pPr>
                    <w:adjustRightInd w:val="0"/>
                    <w:jc w:val="center"/>
                    <w:rPr>
                      <w:bCs/>
                      <w:color w:val="000000"/>
                      <w:sz w:val="21"/>
                      <w:szCs w:val="21"/>
                      <w:u w:val="single"/>
                    </w:rPr>
                  </w:pPr>
                  <w:r>
                    <w:rPr>
                      <w:rFonts w:hint="eastAsia"/>
                      <w:bCs/>
                      <w:color w:val="000000"/>
                      <w:sz w:val="21"/>
                      <w:szCs w:val="21"/>
                      <w:u w:val="single"/>
                    </w:rPr>
                    <w:t>/</w:t>
                  </w:r>
                </w:p>
              </w:tc>
              <w:tc>
                <w:tcPr>
                  <w:tcW w:w="310" w:type="pct"/>
                  <w:noWrap w:val="0"/>
                  <w:vAlign w:val="center"/>
                </w:tcPr>
                <w:p w14:paraId="4CD14372">
                  <w:pPr>
                    <w:adjustRightInd w:val="0"/>
                    <w:jc w:val="center"/>
                    <w:rPr>
                      <w:rFonts w:hint="eastAsia"/>
                      <w:bCs/>
                      <w:color w:val="000000"/>
                      <w:sz w:val="21"/>
                      <w:szCs w:val="21"/>
                      <w:u w:val="single"/>
                    </w:rPr>
                  </w:pPr>
                  <w:r>
                    <w:rPr>
                      <w:rFonts w:hint="eastAsia"/>
                      <w:bCs/>
                      <w:color w:val="000000"/>
                      <w:sz w:val="21"/>
                      <w:szCs w:val="21"/>
                      <w:u w:val="single"/>
                      <w:lang w:val="en-US" w:eastAsia="zh-CN"/>
                    </w:rPr>
                    <w:t>/</w:t>
                  </w:r>
                </w:p>
              </w:tc>
              <w:tc>
                <w:tcPr>
                  <w:tcW w:w="457" w:type="pct"/>
                  <w:vMerge w:val="continue"/>
                  <w:noWrap w:val="0"/>
                  <w:vAlign w:val="center"/>
                </w:tcPr>
                <w:p w14:paraId="642109E3">
                  <w:pPr>
                    <w:adjustRightInd w:val="0"/>
                    <w:jc w:val="center"/>
                    <w:rPr>
                      <w:bCs/>
                      <w:color w:val="000000"/>
                      <w:sz w:val="21"/>
                      <w:szCs w:val="21"/>
                      <w:u w:val="single"/>
                    </w:rPr>
                  </w:pPr>
                </w:p>
              </w:tc>
              <w:tc>
                <w:tcPr>
                  <w:tcW w:w="377" w:type="pct"/>
                  <w:noWrap w:val="0"/>
                  <w:vAlign w:val="center"/>
                </w:tcPr>
                <w:p w14:paraId="54CFE6A1">
                  <w:pPr>
                    <w:adjustRightInd w:val="0"/>
                    <w:jc w:val="center"/>
                    <w:rPr>
                      <w:rFonts w:hint="eastAsia"/>
                      <w:bCs/>
                      <w:color w:val="000000"/>
                      <w:sz w:val="21"/>
                      <w:szCs w:val="21"/>
                      <w:u w:val="single"/>
                    </w:rPr>
                  </w:pPr>
                  <w:r>
                    <w:rPr>
                      <w:rFonts w:hint="eastAsia"/>
                      <w:bCs/>
                      <w:color w:val="000000"/>
                      <w:sz w:val="21"/>
                      <w:szCs w:val="21"/>
                      <w:u w:val="single"/>
                      <w:lang w:val="en-US" w:eastAsia="zh-CN"/>
                    </w:rPr>
                    <w:t>/</w:t>
                  </w:r>
                </w:p>
              </w:tc>
              <w:tc>
                <w:tcPr>
                  <w:tcW w:w="377" w:type="pct"/>
                  <w:noWrap w:val="0"/>
                  <w:vAlign w:val="center"/>
                </w:tcPr>
                <w:p w14:paraId="67E58EFB">
                  <w:pPr>
                    <w:adjustRightInd w:val="0"/>
                    <w:jc w:val="center"/>
                    <w:rPr>
                      <w:rFonts w:hint="eastAsia"/>
                      <w:bCs/>
                      <w:color w:val="000000"/>
                      <w:sz w:val="21"/>
                      <w:szCs w:val="21"/>
                      <w:u w:val="single"/>
                      <w:lang w:val="en-US" w:eastAsia="zh-CN"/>
                    </w:rPr>
                  </w:pPr>
                  <w:r>
                    <w:rPr>
                      <w:rFonts w:hint="eastAsia"/>
                      <w:bCs/>
                      <w:color w:val="000000"/>
                      <w:sz w:val="21"/>
                      <w:szCs w:val="21"/>
                      <w:u w:val="single"/>
                    </w:rPr>
                    <w:t>/</w:t>
                  </w:r>
                </w:p>
              </w:tc>
              <w:tc>
                <w:tcPr>
                  <w:tcW w:w="300" w:type="pct"/>
                  <w:noWrap w:val="0"/>
                  <w:vAlign w:val="center"/>
                </w:tcPr>
                <w:p w14:paraId="64146E86">
                  <w:pPr>
                    <w:adjustRightInd w:val="0"/>
                    <w:jc w:val="center"/>
                    <w:rPr>
                      <w:rFonts w:hint="default"/>
                      <w:bCs/>
                      <w:color w:val="000000"/>
                      <w:sz w:val="21"/>
                      <w:szCs w:val="21"/>
                      <w:u w:val="single"/>
                      <w:lang w:val="en-US" w:eastAsia="zh-CN"/>
                    </w:rPr>
                  </w:pPr>
                  <w:r>
                    <w:rPr>
                      <w:rFonts w:hint="eastAsia"/>
                      <w:bCs/>
                      <w:color w:val="000000"/>
                      <w:sz w:val="21"/>
                      <w:szCs w:val="21"/>
                      <w:u w:val="single"/>
                      <w:lang w:val="en-US" w:eastAsia="zh-CN"/>
                    </w:rPr>
                    <w:t>0.0007</w:t>
                  </w:r>
                </w:p>
              </w:tc>
            </w:tr>
          </w:tbl>
          <w:p w14:paraId="5418A4D4">
            <w:pPr>
              <w:spacing w:line="360" w:lineRule="auto"/>
              <w:ind w:firstLine="480" w:firstLineChars="200"/>
              <w:rPr>
                <w:rFonts w:hint="eastAsia"/>
                <w:bCs/>
                <w:color w:val="000000"/>
                <w:sz w:val="24"/>
                <w:u w:val="none"/>
              </w:rPr>
            </w:pPr>
            <w:r>
              <w:rPr>
                <w:rFonts w:hint="eastAsia"/>
                <w:bCs/>
                <w:color w:val="000000"/>
                <w:sz w:val="24"/>
                <w:u w:val="none"/>
              </w:rPr>
              <w:t xml:space="preserve">     </w:t>
            </w:r>
          </w:p>
          <w:p w14:paraId="7D3F53B9">
            <w:pPr>
              <w:spacing w:line="360" w:lineRule="auto"/>
              <w:ind w:firstLine="480" w:firstLineChars="200"/>
              <w:rPr>
                <w:rFonts w:hint="eastAsia"/>
                <w:bCs/>
                <w:color w:val="000000"/>
                <w:sz w:val="24"/>
                <w:u w:val="none"/>
              </w:rPr>
            </w:pPr>
          </w:p>
          <w:p w14:paraId="0F04F63B">
            <w:pPr>
              <w:spacing w:line="360" w:lineRule="auto"/>
              <w:ind w:firstLine="480" w:firstLineChars="200"/>
              <w:rPr>
                <w:rFonts w:hint="eastAsia" w:eastAsia="宋体"/>
                <w:bCs/>
                <w:color w:val="000000"/>
                <w:sz w:val="24"/>
                <w:u w:val="none"/>
                <w:lang w:eastAsia="zh-CN"/>
              </w:rPr>
            </w:pPr>
          </w:p>
          <w:p w14:paraId="2A69463D">
            <w:pPr>
              <w:rPr>
                <w:bCs/>
                <w:color w:val="000000"/>
                <w:sz w:val="24"/>
                <w:u w:val="none"/>
              </w:rPr>
            </w:pPr>
          </w:p>
        </w:tc>
      </w:tr>
    </w:tbl>
    <w:p w14:paraId="6B895787">
      <w:pPr>
        <w:snapToGrid w:val="0"/>
        <w:rPr>
          <w:color w:val="000000"/>
          <w:sz w:val="10"/>
          <w:szCs w:val="10"/>
        </w:rPr>
        <w:sectPr>
          <w:pgSz w:w="16838" w:h="11906" w:orient="landscape"/>
          <w:pgMar w:top="1531" w:right="1701" w:bottom="1531" w:left="1701" w:header="851" w:footer="992" w:gutter="0"/>
          <w:pgBorders>
            <w:top w:val="none" w:sz="0" w:space="0"/>
            <w:left w:val="none" w:sz="0" w:space="0"/>
            <w:bottom w:val="none" w:sz="0" w:space="0"/>
            <w:right w:val="none" w:sz="0" w:space="0"/>
          </w:pgBorders>
          <w:cols w:space="720" w:num="1"/>
          <w:docGrid w:type="linesAndChars" w:linePitch="312" w:charSpace="117"/>
        </w:sectPr>
      </w:pPr>
      <w:r>
        <w:rPr>
          <w:rFonts w:hint="eastAsia"/>
          <w:color w:val="000000"/>
          <w:sz w:val="10"/>
          <w:szCs w:val="10"/>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652"/>
        <w:gridCol w:w="8362"/>
      </w:tblGrid>
      <w:tr w14:paraId="5489F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0" w:hRule="atLeast"/>
        </w:trPr>
        <w:tc>
          <w:tcPr>
            <w:tcW w:w="652" w:type="dxa"/>
            <w:noWrap w:val="0"/>
            <w:vAlign w:val="center"/>
          </w:tcPr>
          <w:p w14:paraId="2CF3A24C">
            <w:pPr>
              <w:adjustRightInd w:val="0"/>
              <w:jc w:val="center"/>
              <w:rPr>
                <w:rFonts w:hint="eastAsia" w:ascii="宋体" w:hAnsi="宋体" w:cs="宋体"/>
                <w:bCs/>
                <w:color w:val="000000"/>
                <w:sz w:val="24"/>
              </w:rPr>
            </w:pPr>
            <w:r>
              <w:rPr>
                <w:rFonts w:hint="eastAsia" w:ascii="宋体" w:hAnsi="宋体" w:cs="宋体"/>
                <w:bCs/>
                <w:color w:val="000000"/>
                <w:sz w:val="24"/>
              </w:rPr>
              <w:t>运营</w:t>
            </w:r>
          </w:p>
          <w:p w14:paraId="782E51DD">
            <w:pPr>
              <w:adjustRightInd w:val="0"/>
              <w:jc w:val="center"/>
              <w:rPr>
                <w:rFonts w:hint="eastAsia" w:ascii="宋体" w:hAnsi="宋体" w:cs="宋体"/>
                <w:bCs/>
                <w:color w:val="000000"/>
                <w:sz w:val="24"/>
              </w:rPr>
            </w:pPr>
            <w:r>
              <w:rPr>
                <w:rFonts w:hint="eastAsia" w:ascii="宋体" w:hAnsi="宋体" w:cs="宋体"/>
                <w:bCs/>
                <w:color w:val="000000"/>
                <w:sz w:val="24"/>
              </w:rPr>
              <w:t>期环</w:t>
            </w:r>
          </w:p>
          <w:p w14:paraId="5350FE2A">
            <w:pPr>
              <w:adjustRightInd w:val="0"/>
              <w:jc w:val="center"/>
              <w:rPr>
                <w:rFonts w:hint="eastAsia" w:ascii="宋体" w:hAnsi="宋体" w:cs="宋体"/>
                <w:bCs/>
                <w:color w:val="000000"/>
                <w:sz w:val="24"/>
              </w:rPr>
            </w:pPr>
            <w:r>
              <w:rPr>
                <w:rFonts w:hint="eastAsia" w:ascii="宋体" w:hAnsi="宋体" w:cs="宋体"/>
                <w:bCs/>
                <w:color w:val="000000"/>
                <w:sz w:val="24"/>
              </w:rPr>
              <w:t>境影</w:t>
            </w:r>
          </w:p>
          <w:p w14:paraId="66A9E2A7">
            <w:pPr>
              <w:adjustRightInd w:val="0"/>
              <w:jc w:val="center"/>
              <w:rPr>
                <w:rFonts w:hint="eastAsia" w:ascii="宋体" w:hAnsi="宋体" w:cs="宋体"/>
                <w:bCs/>
                <w:color w:val="000000"/>
                <w:sz w:val="24"/>
              </w:rPr>
            </w:pPr>
            <w:r>
              <w:rPr>
                <w:rFonts w:hint="eastAsia" w:ascii="宋体" w:hAnsi="宋体" w:cs="宋体"/>
                <w:bCs/>
                <w:color w:val="000000"/>
                <w:sz w:val="24"/>
              </w:rPr>
              <w:t>响和</w:t>
            </w:r>
          </w:p>
          <w:p w14:paraId="4F34DCB6">
            <w:pPr>
              <w:adjustRightInd w:val="0"/>
              <w:jc w:val="center"/>
              <w:rPr>
                <w:rFonts w:hint="eastAsia" w:ascii="宋体" w:hAnsi="宋体" w:cs="宋体"/>
                <w:bCs/>
                <w:color w:val="000000"/>
                <w:sz w:val="24"/>
              </w:rPr>
            </w:pPr>
            <w:r>
              <w:rPr>
                <w:rFonts w:hint="eastAsia" w:ascii="宋体" w:hAnsi="宋体" w:cs="宋体"/>
                <w:bCs/>
                <w:color w:val="000000"/>
                <w:sz w:val="24"/>
              </w:rPr>
              <w:t>保护</w:t>
            </w:r>
          </w:p>
          <w:p w14:paraId="6AC08B98">
            <w:pPr>
              <w:jc w:val="center"/>
              <w:rPr>
                <w:rFonts w:hint="eastAsia"/>
                <w:color w:val="000000"/>
                <w:sz w:val="24"/>
                <w:szCs w:val="24"/>
              </w:rPr>
            </w:pPr>
            <w:r>
              <w:rPr>
                <w:rFonts w:hint="eastAsia" w:ascii="宋体" w:hAnsi="宋体" w:cs="宋体"/>
                <w:bCs/>
                <w:color w:val="000000"/>
                <w:sz w:val="24"/>
              </w:rPr>
              <w:t>措施</w:t>
            </w:r>
          </w:p>
        </w:tc>
        <w:tc>
          <w:tcPr>
            <w:tcW w:w="8362" w:type="dxa"/>
            <w:noWrap w:val="0"/>
            <w:vAlign w:val="top"/>
          </w:tcPr>
          <w:p w14:paraId="734CC836">
            <w:pPr>
              <w:adjustRightInd w:val="0"/>
              <w:spacing w:line="360" w:lineRule="auto"/>
              <w:rPr>
                <w:bCs/>
                <w:color w:val="000000"/>
                <w:sz w:val="24"/>
              </w:rPr>
            </w:pPr>
            <w:r>
              <w:rPr>
                <w:rFonts w:hint="eastAsia"/>
                <w:bCs/>
                <w:color w:val="000000"/>
                <w:sz w:val="24"/>
              </w:rPr>
              <w:t>1</w:t>
            </w:r>
            <w:r>
              <w:rPr>
                <w:bCs/>
                <w:color w:val="000000"/>
                <w:sz w:val="24"/>
              </w:rPr>
              <w:t>.</w:t>
            </w:r>
            <w:r>
              <w:rPr>
                <w:rFonts w:hint="eastAsia"/>
                <w:bCs/>
                <w:color w:val="000000"/>
                <w:sz w:val="24"/>
              </w:rPr>
              <w:t>2废气产生量核算</w:t>
            </w:r>
          </w:p>
          <w:p w14:paraId="149EEB7B">
            <w:pPr>
              <w:numPr>
                <w:ilvl w:val="0"/>
                <w:numId w:val="0"/>
              </w:numPr>
              <w:adjustRightInd w:val="0"/>
              <w:spacing w:line="360" w:lineRule="auto"/>
              <w:ind w:firstLine="480" w:firstLineChars="200"/>
              <w:rPr>
                <w:rFonts w:hint="eastAsia"/>
                <w:bCs/>
                <w:color w:val="000000"/>
                <w:sz w:val="24"/>
                <w:szCs w:val="24"/>
                <w:u w:val="single"/>
                <w:lang w:val="en-US" w:eastAsia="zh-CN"/>
              </w:rPr>
            </w:pPr>
            <w:r>
              <w:rPr>
                <w:rFonts w:hint="eastAsia"/>
                <w:bCs/>
                <w:color w:val="000000"/>
                <w:kern w:val="2"/>
                <w:sz w:val="24"/>
                <w:szCs w:val="24"/>
                <w:u w:val="single"/>
                <w:lang w:val="en-US" w:eastAsia="zh-CN" w:bidi="ar-SA"/>
              </w:rPr>
              <w:t>（1）</w:t>
            </w:r>
            <w:r>
              <w:rPr>
                <w:rFonts w:hint="eastAsia"/>
                <w:bCs/>
                <w:color w:val="000000"/>
                <w:sz w:val="24"/>
                <w:szCs w:val="24"/>
                <w:u w:val="single"/>
                <w:lang w:val="en-US" w:eastAsia="zh-CN"/>
              </w:rPr>
              <w:t>注塑废气</w:t>
            </w:r>
          </w:p>
          <w:p w14:paraId="73D1A08D">
            <w:pPr>
              <w:numPr>
                <w:ilvl w:val="0"/>
                <w:numId w:val="0"/>
              </w:numPr>
              <w:adjustRightInd w:val="0"/>
              <w:spacing w:line="360" w:lineRule="auto"/>
              <w:ind w:firstLine="480" w:firstLineChars="200"/>
              <w:rPr>
                <w:rFonts w:hint="eastAsia"/>
                <w:bCs/>
                <w:color w:val="000000"/>
                <w:sz w:val="24"/>
                <w:szCs w:val="24"/>
                <w:u w:val="single"/>
              </w:rPr>
            </w:pPr>
            <w:r>
              <w:rPr>
                <w:rFonts w:hint="eastAsia"/>
                <w:bCs/>
                <w:color w:val="000000"/>
                <w:sz w:val="24"/>
                <w:szCs w:val="24"/>
                <w:u w:val="single"/>
                <w:lang w:val="en-US" w:eastAsia="zh-CN"/>
              </w:rPr>
              <w:t>本项目采用注塑工艺生产鞋底，主要原料为PVC树脂，受热会产生少量有机废气，</w:t>
            </w:r>
            <w:r>
              <w:rPr>
                <w:rFonts w:hint="eastAsia"/>
                <w:color w:val="000000"/>
                <w:sz w:val="24"/>
                <w:u w:val="single"/>
                <w:lang w:val="en-US" w:eastAsia="zh-CN"/>
              </w:rPr>
              <w:t>以非甲烷总烃计。</w:t>
            </w:r>
            <w:r>
              <w:rPr>
                <w:rFonts w:hint="eastAsia"/>
                <w:bCs/>
                <w:color w:val="000000"/>
                <w:sz w:val="24"/>
                <w:szCs w:val="24"/>
                <w:u w:val="single"/>
                <w:lang w:val="en-US" w:eastAsia="zh-CN"/>
              </w:rPr>
              <w:t>参照《排放源统计调查产排污核算方法和系数手册》—195制鞋业</w:t>
            </w:r>
            <w:r>
              <w:rPr>
                <w:rFonts w:hint="eastAsia"/>
                <w:bCs/>
                <w:color w:val="000000"/>
                <w:sz w:val="24"/>
                <w:szCs w:val="24"/>
                <w:u w:val="single"/>
              </w:rPr>
              <w:t>系数手册</w:t>
            </w:r>
            <w:r>
              <w:rPr>
                <w:rFonts w:hint="eastAsia"/>
                <w:bCs/>
                <w:color w:val="000000"/>
                <w:sz w:val="24"/>
                <w:szCs w:val="24"/>
                <w:u w:val="single"/>
                <w:lang w:eastAsia="zh-CN"/>
              </w:rPr>
              <w:t>，</w:t>
            </w:r>
            <w:r>
              <w:rPr>
                <w:rFonts w:hint="eastAsia"/>
                <w:bCs/>
                <w:color w:val="000000"/>
                <w:sz w:val="24"/>
                <w:szCs w:val="24"/>
                <w:u w:val="single"/>
                <w:lang w:val="en-US" w:eastAsia="zh-CN"/>
              </w:rPr>
              <w:t>采用注塑工艺的塑料鞋非甲烷总烃产污系数为2.70kg/t-</w:t>
            </w:r>
            <w:r>
              <w:rPr>
                <w:rFonts w:hint="eastAsia"/>
                <w:bCs/>
                <w:color w:val="000000"/>
                <w:sz w:val="24"/>
                <w:szCs w:val="24"/>
                <w:u w:val="single"/>
              </w:rPr>
              <w:t>产品</w:t>
            </w:r>
            <w:r>
              <w:rPr>
                <w:rFonts w:hint="eastAsia"/>
                <w:bCs/>
                <w:color w:val="000000"/>
                <w:sz w:val="24"/>
                <w:szCs w:val="24"/>
                <w:u w:val="single"/>
                <w:lang w:eastAsia="zh-CN"/>
              </w:rPr>
              <w:t>。</w:t>
            </w:r>
            <w:r>
              <w:rPr>
                <w:rFonts w:hint="eastAsia"/>
                <w:bCs/>
                <w:color w:val="000000"/>
                <w:sz w:val="24"/>
                <w:szCs w:val="24"/>
                <w:u w:val="single"/>
              </w:rPr>
              <w:t>本项目</w:t>
            </w:r>
            <w:r>
              <w:rPr>
                <w:rFonts w:hint="eastAsia"/>
                <w:bCs/>
                <w:color w:val="000000"/>
                <w:sz w:val="24"/>
                <w:szCs w:val="24"/>
                <w:u w:val="single"/>
                <w:lang w:val="en-US" w:eastAsia="zh-CN"/>
              </w:rPr>
              <w:t>注塑工序</w:t>
            </w:r>
            <w:r>
              <w:rPr>
                <w:rFonts w:hint="eastAsia"/>
                <w:bCs/>
                <w:color w:val="000000"/>
                <w:sz w:val="24"/>
                <w:szCs w:val="24"/>
                <w:u w:val="single"/>
              </w:rPr>
              <w:t>产品重量</w:t>
            </w:r>
            <w:r>
              <w:rPr>
                <w:rFonts w:hint="eastAsia"/>
                <w:bCs/>
                <w:color w:val="000000"/>
                <w:sz w:val="24"/>
                <w:szCs w:val="24"/>
                <w:u w:val="single"/>
                <w:lang w:eastAsia="zh-CN"/>
              </w:rPr>
              <w:t>（</w:t>
            </w:r>
            <w:r>
              <w:rPr>
                <w:rFonts w:hint="eastAsia"/>
                <w:bCs/>
                <w:color w:val="000000"/>
                <w:sz w:val="24"/>
                <w:szCs w:val="24"/>
                <w:u w:val="single"/>
                <w:lang w:val="en-US" w:eastAsia="zh-CN"/>
              </w:rPr>
              <w:t>按未修整、检验前核算</w:t>
            </w:r>
            <w:r>
              <w:rPr>
                <w:rFonts w:hint="eastAsia"/>
                <w:bCs/>
                <w:color w:val="000000"/>
                <w:sz w:val="24"/>
                <w:szCs w:val="24"/>
                <w:u w:val="single"/>
                <w:lang w:eastAsia="zh-CN"/>
              </w:rPr>
              <w:t>）</w:t>
            </w:r>
            <w:r>
              <w:rPr>
                <w:rFonts w:hint="eastAsia"/>
                <w:bCs/>
                <w:color w:val="000000"/>
                <w:sz w:val="24"/>
                <w:szCs w:val="24"/>
                <w:u w:val="single"/>
              </w:rPr>
              <w:t>以</w:t>
            </w:r>
            <w:r>
              <w:rPr>
                <w:rFonts w:hint="eastAsia"/>
                <w:bCs/>
                <w:color w:val="000000"/>
                <w:sz w:val="24"/>
                <w:szCs w:val="24"/>
                <w:u w:val="single"/>
                <w:lang w:val="en-US" w:eastAsia="zh-CN"/>
              </w:rPr>
              <w:t>82.5</w:t>
            </w:r>
            <w:r>
              <w:rPr>
                <w:rFonts w:hint="eastAsia"/>
                <w:bCs/>
                <w:color w:val="000000"/>
                <w:sz w:val="24"/>
                <w:szCs w:val="24"/>
                <w:u w:val="single"/>
              </w:rPr>
              <w:t>t计，则</w:t>
            </w:r>
            <w:r>
              <w:rPr>
                <w:rFonts w:hint="eastAsia"/>
                <w:bCs/>
                <w:color w:val="000000"/>
                <w:sz w:val="24"/>
                <w:szCs w:val="24"/>
                <w:u w:val="single"/>
                <w:lang w:val="en-US" w:eastAsia="zh-CN"/>
              </w:rPr>
              <w:t>非甲烷总烃</w:t>
            </w:r>
            <w:r>
              <w:rPr>
                <w:rFonts w:hint="eastAsia"/>
                <w:bCs/>
                <w:color w:val="000000"/>
                <w:sz w:val="24"/>
                <w:szCs w:val="24"/>
                <w:u w:val="single"/>
              </w:rPr>
              <w:t>产生量</w:t>
            </w:r>
            <w:r>
              <w:rPr>
                <w:rFonts w:hint="eastAsia"/>
                <w:bCs/>
                <w:color w:val="000000"/>
                <w:sz w:val="24"/>
                <w:szCs w:val="24"/>
                <w:u w:val="single"/>
                <w:lang w:val="en-US" w:eastAsia="zh-CN"/>
              </w:rPr>
              <w:t>为0.2228</w:t>
            </w:r>
            <w:r>
              <w:rPr>
                <w:rFonts w:hint="eastAsia"/>
                <w:bCs/>
                <w:color w:val="000000"/>
                <w:sz w:val="24"/>
                <w:szCs w:val="24"/>
                <w:u w:val="single"/>
              </w:rPr>
              <w:t>t/a。</w:t>
            </w:r>
          </w:p>
          <w:p w14:paraId="7795448E">
            <w:pPr>
              <w:numPr>
                <w:ilvl w:val="0"/>
                <w:numId w:val="0"/>
              </w:numPr>
              <w:adjustRightInd w:val="0"/>
              <w:spacing w:line="360" w:lineRule="auto"/>
              <w:ind w:firstLine="480" w:firstLineChars="200"/>
              <w:rPr>
                <w:rFonts w:hint="eastAsia"/>
                <w:bCs/>
                <w:color w:val="000000"/>
                <w:sz w:val="24"/>
                <w:szCs w:val="24"/>
                <w:u w:val="single"/>
              </w:rPr>
            </w:pPr>
            <w:r>
              <w:rPr>
                <w:rFonts w:hint="eastAsia"/>
                <w:bCs/>
                <w:color w:val="000000"/>
                <w:sz w:val="24"/>
                <w:szCs w:val="24"/>
                <w:u w:val="single"/>
              </w:rPr>
              <w:t>参照《中国卫生检验杂志》2008年4月第18卷第4期《气象色谱-质谱法分析聚氯乙烯加热分解产物》的研究结论：在加热温度190℃时，每1吨聚氯乙烯分解产生氯化氢气体的量约为0.1683kg，即聚氯乙烯分解产生氯化氢的量为0.1683kg/t原料。</w:t>
            </w:r>
            <w:r>
              <w:rPr>
                <w:rFonts w:hint="eastAsia"/>
                <w:bCs/>
                <w:color w:val="000000"/>
                <w:sz w:val="24"/>
                <w:szCs w:val="24"/>
                <w:u w:val="single"/>
                <w:lang w:val="en-US" w:eastAsia="zh-CN"/>
              </w:rPr>
              <w:t>本项目PVC树脂用量为41.25t/a，</w:t>
            </w:r>
            <w:r>
              <w:rPr>
                <w:rFonts w:hint="eastAsia"/>
                <w:bCs/>
                <w:color w:val="000000"/>
                <w:sz w:val="24"/>
                <w:szCs w:val="24"/>
                <w:u w:val="single"/>
              </w:rPr>
              <w:t>则氯化氢产生量为0.00</w:t>
            </w:r>
            <w:r>
              <w:rPr>
                <w:rFonts w:hint="eastAsia"/>
                <w:bCs/>
                <w:color w:val="000000"/>
                <w:sz w:val="24"/>
                <w:szCs w:val="24"/>
                <w:u w:val="single"/>
                <w:lang w:val="en-US" w:eastAsia="zh-CN"/>
              </w:rPr>
              <w:t>69</w:t>
            </w:r>
            <w:r>
              <w:rPr>
                <w:rFonts w:hint="eastAsia"/>
                <w:bCs/>
                <w:color w:val="000000"/>
                <w:sz w:val="24"/>
                <w:szCs w:val="24"/>
                <w:u w:val="single"/>
              </w:rPr>
              <w:t>t/a。</w:t>
            </w:r>
          </w:p>
          <w:p w14:paraId="6BFEFB45">
            <w:pPr>
              <w:adjustRightInd w:val="0"/>
              <w:spacing w:line="360" w:lineRule="auto"/>
              <w:ind w:firstLine="480" w:firstLineChars="200"/>
              <w:rPr>
                <w:rFonts w:hint="eastAsia"/>
                <w:b w:val="0"/>
                <w:bCs/>
                <w:color w:val="000000"/>
                <w:sz w:val="24"/>
                <w:szCs w:val="24"/>
                <w:u w:val="single"/>
                <w:lang w:val="en-US" w:eastAsia="zh-CN"/>
              </w:rPr>
            </w:pPr>
            <w:r>
              <w:rPr>
                <w:rFonts w:hint="eastAsia"/>
                <w:b/>
                <w:color w:val="000000"/>
                <w:sz w:val="24"/>
                <w:szCs w:val="24"/>
                <w:u w:val="single"/>
              </w:rPr>
              <w:t>治理措施：</w:t>
            </w:r>
            <w:r>
              <w:rPr>
                <w:rFonts w:hint="eastAsia"/>
                <w:b w:val="0"/>
                <w:bCs/>
                <w:color w:val="000000"/>
                <w:sz w:val="24"/>
                <w:szCs w:val="24"/>
                <w:u w:val="single"/>
                <w:lang w:val="en-US" w:eastAsia="zh-CN"/>
              </w:rPr>
              <w:t>注塑废气经顶吸式集气罩收集后进入二级活性炭吸附装置进行处理，再通过15m排气筒排放。本项目共4台射出成型机，注塑废气</w:t>
            </w:r>
            <w:r>
              <w:rPr>
                <w:rFonts w:hint="eastAsia"/>
                <w:bCs/>
                <w:color w:val="000000"/>
                <w:sz w:val="24"/>
                <w:szCs w:val="24"/>
                <w:u w:val="single"/>
              </w:rPr>
              <w:t>集气罩共计</w:t>
            </w:r>
            <w:r>
              <w:rPr>
                <w:rFonts w:hint="eastAsia"/>
                <w:bCs/>
                <w:color w:val="000000"/>
                <w:sz w:val="24"/>
                <w:szCs w:val="24"/>
                <w:u w:val="single"/>
                <w:lang w:val="en-US" w:eastAsia="zh-CN"/>
              </w:rPr>
              <w:t>4</w:t>
            </w:r>
            <w:r>
              <w:rPr>
                <w:rFonts w:hint="eastAsia"/>
                <w:bCs/>
                <w:color w:val="000000"/>
                <w:sz w:val="24"/>
                <w:szCs w:val="24"/>
                <w:u w:val="single"/>
              </w:rPr>
              <w:t>个</w:t>
            </w:r>
            <w:r>
              <w:rPr>
                <w:rFonts w:hint="eastAsia"/>
                <w:bCs/>
                <w:color w:val="000000"/>
                <w:sz w:val="24"/>
                <w:szCs w:val="24"/>
                <w:u w:val="single"/>
                <w:lang w:eastAsia="zh-CN"/>
              </w:rPr>
              <w:t>（</w:t>
            </w:r>
            <w:r>
              <w:rPr>
                <w:rFonts w:hint="eastAsia"/>
                <w:bCs/>
                <w:color w:val="000000"/>
                <w:sz w:val="24"/>
                <w:szCs w:val="24"/>
                <w:u w:val="single"/>
                <w:lang w:val="en-US" w:eastAsia="zh-CN"/>
              </w:rPr>
              <w:t>设置软帘</w:t>
            </w:r>
            <w:r>
              <w:rPr>
                <w:rFonts w:hint="eastAsia"/>
                <w:bCs/>
                <w:color w:val="000000"/>
                <w:sz w:val="24"/>
                <w:szCs w:val="24"/>
                <w:u w:val="single"/>
                <w:lang w:eastAsia="zh-CN"/>
              </w:rPr>
              <w:t>）</w:t>
            </w:r>
            <w:r>
              <w:rPr>
                <w:rFonts w:hint="eastAsia"/>
                <w:bCs/>
                <w:color w:val="000000"/>
                <w:sz w:val="24"/>
                <w:szCs w:val="24"/>
                <w:u w:val="single"/>
              </w:rPr>
              <w:t>，</w:t>
            </w:r>
            <w:r>
              <w:rPr>
                <w:rFonts w:hint="eastAsia"/>
                <w:bCs/>
                <w:color w:val="000000"/>
                <w:sz w:val="24"/>
                <w:szCs w:val="24"/>
                <w:u w:val="single"/>
                <w:lang w:val="en-US" w:eastAsia="zh-CN"/>
              </w:rPr>
              <w:t>注塑废气经两</w:t>
            </w:r>
            <w:r>
              <w:rPr>
                <w:rFonts w:hint="eastAsia"/>
                <w:b w:val="0"/>
                <w:bCs/>
                <w:color w:val="000000"/>
                <w:sz w:val="24"/>
                <w:szCs w:val="24"/>
                <w:u w:val="single"/>
                <w:lang w:val="en-US" w:eastAsia="zh-CN"/>
              </w:rPr>
              <w:t>套二级活性炭吸附装置处理后由1根15m排气筒排放（排气筒DA001）。</w:t>
            </w:r>
          </w:p>
          <w:p w14:paraId="404CA33D">
            <w:pPr>
              <w:numPr>
                <w:ilvl w:val="0"/>
                <w:numId w:val="0"/>
              </w:numPr>
              <w:adjustRightInd w:val="0"/>
              <w:spacing w:line="360" w:lineRule="auto"/>
              <w:ind w:firstLine="480" w:firstLineChars="200"/>
              <w:rPr>
                <w:rFonts w:hint="eastAsia"/>
                <w:bCs/>
                <w:color w:val="000000"/>
                <w:sz w:val="24"/>
                <w:szCs w:val="24"/>
                <w:u w:val="single"/>
                <w:lang w:val="en-US" w:eastAsia="zh-CN"/>
              </w:rPr>
            </w:pPr>
            <w:r>
              <w:rPr>
                <w:rFonts w:hint="eastAsia"/>
                <w:bCs/>
                <w:color w:val="000000"/>
                <w:sz w:val="24"/>
                <w:szCs w:val="24"/>
                <w:u w:val="single"/>
                <w:lang w:eastAsia="zh-CN"/>
              </w:rPr>
              <w:t>（</w:t>
            </w:r>
            <w:r>
              <w:rPr>
                <w:rFonts w:hint="eastAsia"/>
                <w:bCs/>
                <w:color w:val="000000"/>
                <w:sz w:val="24"/>
                <w:szCs w:val="24"/>
                <w:u w:val="single"/>
                <w:lang w:val="en-US" w:eastAsia="zh-CN"/>
              </w:rPr>
              <w:t>2</w:t>
            </w:r>
            <w:r>
              <w:rPr>
                <w:rFonts w:hint="eastAsia"/>
                <w:bCs/>
                <w:color w:val="000000"/>
                <w:sz w:val="24"/>
                <w:szCs w:val="24"/>
                <w:u w:val="single"/>
                <w:lang w:eastAsia="zh-CN"/>
              </w:rPr>
              <w:t>）</w:t>
            </w:r>
            <w:r>
              <w:rPr>
                <w:rFonts w:hint="eastAsia"/>
                <w:bCs/>
                <w:color w:val="000000"/>
                <w:sz w:val="24"/>
                <w:szCs w:val="24"/>
                <w:u w:val="single"/>
                <w:lang w:val="en-US" w:eastAsia="zh-CN"/>
              </w:rPr>
              <w:t>投料粉尘</w:t>
            </w:r>
          </w:p>
          <w:p w14:paraId="18EA28A7">
            <w:pPr>
              <w:numPr>
                <w:ilvl w:val="0"/>
                <w:numId w:val="0"/>
              </w:numPr>
              <w:adjustRightInd w:val="0"/>
              <w:spacing w:line="360" w:lineRule="auto"/>
              <w:ind w:firstLine="480" w:firstLineChars="200"/>
              <w:rPr>
                <w:rFonts w:hint="default"/>
                <w:bCs/>
                <w:color w:val="000000"/>
                <w:sz w:val="24"/>
                <w:szCs w:val="24"/>
                <w:u w:val="single"/>
                <w:lang w:val="en-US" w:eastAsia="zh-CN"/>
              </w:rPr>
            </w:pPr>
            <w:r>
              <w:rPr>
                <w:rFonts w:hint="eastAsia"/>
                <w:bCs/>
                <w:color w:val="000000"/>
                <w:sz w:val="24"/>
                <w:szCs w:val="24"/>
                <w:u w:val="single"/>
                <w:lang w:val="en-US" w:eastAsia="zh-CN"/>
              </w:rPr>
              <w:t>塑料颗粒原料投入搅拌锅内，搅拌过程加盖封闭，</w:t>
            </w:r>
            <w:r>
              <w:rPr>
                <w:rFonts w:hint="default"/>
                <w:bCs/>
                <w:color w:val="000000"/>
                <w:sz w:val="24"/>
                <w:szCs w:val="24"/>
                <w:u w:val="single"/>
                <w:lang w:val="en-US" w:eastAsia="zh-CN"/>
              </w:rPr>
              <w:t>原料投料过程中会产生少量的粉尘，主要污染物为颗粒物。根据《逸散性工业粉尘控制技术》，投料粉尘产生系数按物料使用量的0.2%计算，项目</w:t>
            </w:r>
            <w:r>
              <w:rPr>
                <w:rFonts w:hint="eastAsia"/>
                <w:bCs/>
                <w:color w:val="000000"/>
                <w:sz w:val="24"/>
                <w:szCs w:val="24"/>
                <w:u w:val="single"/>
                <w:lang w:val="en-US" w:eastAsia="zh-CN"/>
              </w:rPr>
              <w:t>PVC</w:t>
            </w:r>
            <w:r>
              <w:rPr>
                <w:rFonts w:hint="default"/>
                <w:bCs/>
                <w:color w:val="000000"/>
                <w:sz w:val="24"/>
                <w:szCs w:val="24"/>
                <w:u w:val="single"/>
                <w:lang w:val="en-US" w:eastAsia="zh-CN"/>
              </w:rPr>
              <w:t>树脂粉、</w:t>
            </w:r>
            <w:r>
              <w:rPr>
                <w:rFonts w:hint="eastAsia"/>
                <w:bCs/>
                <w:color w:val="000000"/>
                <w:sz w:val="24"/>
                <w:szCs w:val="24"/>
                <w:u w:val="single"/>
                <w:lang w:val="en-US" w:eastAsia="zh-CN"/>
              </w:rPr>
              <w:t>钙粉等粉状原料</w:t>
            </w:r>
            <w:r>
              <w:rPr>
                <w:rFonts w:hint="default"/>
                <w:bCs/>
                <w:color w:val="000000"/>
                <w:sz w:val="24"/>
                <w:szCs w:val="24"/>
                <w:u w:val="single"/>
                <w:lang w:val="en-US" w:eastAsia="zh-CN"/>
              </w:rPr>
              <w:t>用量合计为</w:t>
            </w:r>
            <w:r>
              <w:rPr>
                <w:rFonts w:hint="eastAsia"/>
                <w:bCs/>
                <w:color w:val="000000"/>
                <w:sz w:val="24"/>
                <w:szCs w:val="24"/>
                <w:u w:val="single"/>
                <w:lang w:val="en-US" w:eastAsia="zh-CN"/>
              </w:rPr>
              <w:t>225</w:t>
            </w:r>
            <w:r>
              <w:rPr>
                <w:rFonts w:hint="default"/>
                <w:bCs/>
                <w:color w:val="000000"/>
                <w:sz w:val="24"/>
                <w:szCs w:val="24"/>
                <w:u w:val="single"/>
                <w:lang w:val="en-US" w:eastAsia="zh-CN"/>
              </w:rPr>
              <w:t>t/a，则颗粒物产生量为0.</w:t>
            </w:r>
            <w:r>
              <w:rPr>
                <w:rFonts w:hint="eastAsia"/>
                <w:bCs/>
                <w:color w:val="000000"/>
                <w:sz w:val="24"/>
                <w:szCs w:val="24"/>
                <w:u w:val="single"/>
                <w:lang w:val="en-US" w:eastAsia="zh-CN"/>
              </w:rPr>
              <w:t>45</w:t>
            </w:r>
            <w:r>
              <w:rPr>
                <w:rFonts w:hint="default"/>
                <w:bCs/>
                <w:color w:val="000000"/>
                <w:sz w:val="24"/>
                <w:szCs w:val="24"/>
                <w:u w:val="single"/>
                <w:lang w:val="en-US" w:eastAsia="zh-CN"/>
              </w:rPr>
              <w:t>t/a。</w:t>
            </w:r>
          </w:p>
          <w:p w14:paraId="3EDFE37F">
            <w:pPr>
              <w:numPr>
                <w:ilvl w:val="0"/>
                <w:numId w:val="0"/>
              </w:numPr>
              <w:adjustRightInd w:val="0"/>
              <w:spacing w:line="360" w:lineRule="auto"/>
              <w:ind w:firstLine="480" w:firstLineChars="200"/>
              <w:rPr>
                <w:rFonts w:hint="default" w:eastAsia="宋体"/>
                <w:bCs/>
                <w:color w:val="000000"/>
                <w:sz w:val="24"/>
                <w:szCs w:val="24"/>
                <w:u w:val="single"/>
                <w:lang w:val="en-US" w:eastAsia="zh-CN"/>
              </w:rPr>
            </w:pPr>
            <w:r>
              <w:rPr>
                <w:rFonts w:hint="eastAsia"/>
                <w:bCs/>
                <w:color w:val="000000"/>
                <w:sz w:val="24"/>
                <w:szCs w:val="24"/>
                <w:u w:val="single"/>
                <w:lang w:eastAsia="zh-CN"/>
              </w:rPr>
              <w:t>（</w:t>
            </w:r>
            <w:r>
              <w:rPr>
                <w:rFonts w:hint="eastAsia"/>
                <w:bCs/>
                <w:color w:val="000000"/>
                <w:sz w:val="24"/>
                <w:szCs w:val="24"/>
                <w:u w:val="single"/>
                <w:lang w:val="en-US" w:eastAsia="zh-CN"/>
              </w:rPr>
              <w:t>3</w:t>
            </w:r>
            <w:r>
              <w:rPr>
                <w:rFonts w:hint="eastAsia"/>
                <w:bCs/>
                <w:color w:val="000000"/>
                <w:sz w:val="24"/>
                <w:szCs w:val="24"/>
                <w:u w:val="single"/>
                <w:lang w:eastAsia="zh-CN"/>
              </w:rPr>
              <w:t>）</w:t>
            </w:r>
            <w:r>
              <w:rPr>
                <w:rFonts w:hint="eastAsia"/>
                <w:bCs/>
                <w:color w:val="000000"/>
                <w:sz w:val="24"/>
                <w:szCs w:val="24"/>
                <w:u w:val="single"/>
                <w:lang w:val="en-US" w:eastAsia="zh-CN"/>
              </w:rPr>
              <w:t>粉碎废气</w:t>
            </w:r>
          </w:p>
          <w:p w14:paraId="756D45F3">
            <w:pPr>
              <w:numPr>
                <w:ilvl w:val="0"/>
                <w:numId w:val="0"/>
              </w:numPr>
              <w:adjustRightInd w:val="0"/>
              <w:spacing w:line="360" w:lineRule="auto"/>
              <w:ind w:firstLine="480" w:firstLineChars="200"/>
              <w:rPr>
                <w:rFonts w:hint="default" w:eastAsia="宋体"/>
                <w:bCs/>
                <w:color w:val="000000"/>
                <w:sz w:val="24"/>
                <w:szCs w:val="24"/>
                <w:u w:val="single"/>
                <w:lang w:val="en-US" w:eastAsia="zh-CN"/>
              </w:rPr>
            </w:pPr>
            <w:r>
              <w:rPr>
                <w:rFonts w:hint="eastAsia"/>
                <w:bCs/>
                <w:color w:val="000000"/>
                <w:sz w:val="24"/>
                <w:szCs w:val="24"/>
                <w:u w:val="single"/>
                <w:lang w:val="en-US" w:eastAsia="zh-CN"/>
              </w:rPr>
              <w:t>项目废边角料、不合格品经粉碎机粉碎后回用于生产，粉碎过程中会产生少量的粉尘。参考《排放源统计调查产排污核算方法和系数手册》C4220非金属废料和碎屑加工处理行业系数表：废PVC干法破碎颗粒物的产污系数为450g/t-原料，根据企业生产经验，项目废边角料、不合格品约占产品4%，产品重量以82.5t/a计，则边角料、不合格品产生量约3.3t/a，则粉碎工序颗粒物产生量为0.0015t/a。</w:t>
            </w:r>
          </w:p>
          <w:p w14:paraId="76A5DC85">
            <w:pPr>
              <w:adjustRightInd w:val="0"/>
              <w:spacing w:line="360" w:lineRule="auto"/>
              <w:ind w:firstLine="480" w:firstLineChars="200"/>
              <w:rPr>
                <w:bCs/>
                <w:color w:val="000000"/>
                <w:sz w:val="24"/>
                <w:szCs w:val="24"/>
                <w:u w:val="single"/>
              </w:rPr>
            </w:pPr>
            <w:r>
              <w:rPr>
                <w:rFonts w:hint="eastAsia"/>
                <w:b/>
                <w:color w:val="000000"/>
                <w:sz w:val="24"/>
                <w:szCs w:val="24"/>
                <w:u w:val="single"/>
              </w:rPr>
              <w:t>治理措施：</w:t>
            </w:r>
            <w:r>
              <w:rPr>
                <w:rFonts w:hint="eastAsia"/>
                <w:b w:val="0"/>
                <w:bCs/>
                <w:color w:val="000000"/>
                <w:sz w:val="24"/>
                <w:szCs w:val="24"/>
                <w:u w:val="single"/>
                <w:lang w:val="en-US" w:eastAsia="zh-CN"/>
              </w:rPr>
              <w:t>投料和粉碎粉尘经顶吸式集气罩</w:t>
            </w:r>
            <w:r>
              <w:rPr>
                <w:rFonts w:hint="eastAsia"/>
                <w:bCs/>
                <w:color w:val="000000"/>
                <w:sz w:val="24"/>
                <w:szCs w:val="24"/>
                <w:u w:val="single"/>
                <w:lang w:eastAsia="zh-CN"/>
              </w:rPr>
              <w:t>（</w:t>
            </w:r>
            <w:r>
              <w:rPr>
                <w:rFonts w:hint="eastAsia"/>
                <w:bCs/>
                <w:color w:val="000000"/>
                <w:sz w:val="24"/>
                <w:szCs w:val="24"/>
                <w:u w:val="single"/>
                <w:lang w:val="en-US" w:eastAsia="zh-CN"/>
              </w:rPr>
              <w:t>设置软帘</w:t>
            </w:r>
            <w:r>
              <w:rPr>
                <w:rFonts w:hint="eastAsia"/>
                <w:bCs/>
                <w:color w:val="000000"/>
                <w:sz w:val="24"/>
                <w:szCs w:val="24"/>
                <w:u w:val="single"/>
                <w:lang w:eastAsia="zh-CN"/>
              </w:rPr>
              <w:t>）</w:t>
            </w:r>
            <w:r>
              <w:rPr>
                <w:rFonts w:hint="eastAsia"/>
                <w:b w:val="0"/>
                <w:bCs/>
                <w:color w:val="000000"/>
                <w:sz w:val="24"/>
                <w:szCs w:val="24"/>
                <w:u w:val="single"/>
                <w:lang w:val="en-US" w:eastAsia="zh-CN"/>
              </w:rPr>
              <w:t>收集后进入袋式除尘器进行处理，再通过15m排气筒排放。本项目共2台搅拌锅，4台粉碎机，配备一套袋式除尘器处理后由1根15m排气筒排放（排气筒DA001）。</w:t>
            </w:r>
          </w:p>
          <w:p w14:paraId="40249DE0">
            <w:pPr>
              <w:keepNext w:val="0"/>
              <w:keepLines w:val="0"/>
              <w:pageBreakBefore w:val="0"/>
              <w:widowControl/>
              <w:suppressLineNumbers w:val="0"/>
              <w:kinsoku/>
              <w:wordWrap/>
              <w:overflowPunct/>
              <w:topLinePunct w:val="0"/>
              <w:autoSpaceDE/>
              <w:autoSpaceDN/>
              <w:bidi w:val="0"/>
              <w:adjustRightInd w:val="0"/>
              <w:snapToGrid/>
              <w:spacing w:line="360" w:lineRule="auto"/>
              <w:jc w:val="both"/>
              <w:textAlignment w:val="auto"/>
              <w:rPr>
                <w:rFonts w:hint="eastAsia" w:cs="Times New Roman"/>
                <w:color w:val="000000"/>
                <w:kern w:val="0"/>
                <w:sz w:val="24"/>
                <w:szCs w:val="24"/>
                <w:u w:val="single"/>
                <w:lang w:val="en-US" w:eastAsia="zh-CN" w:bidi="ar"/>
              </w:rPr>
            </w:pPr>
            <w:r>
              <w:rPr>
                <w:rFonts w:hint="eastAsia" w:cs="Times New Roman"/>
                <w:color w:val="000000"/>
                <w:kern w:val="0"/>
                <w:sz w:val="24"/>
                <w:szCs w:val="24"/>
                <w:u w:val="single"/>
                <w:lang w:val="en-US" w:eastAsia="zh-CN" w:bidi="ar"/>
              </w:rPr>
              <w:t>1.3风量、集气效率、处理效率核算</w:t>
            </w:r>
          </w:p>
          <w:p w14:paraId="4A40E213">
            <w:pPr>
              <w:keepNext w:val="0"/>
              <w:keepLines w:val="0"/>
              <w:pageBreakBefore w:val="0"/>
              <w:widowControl/>
              <w:suppressLineNumbers w:val="0"/>
              <w:kinsoku/>
              <w:wordWrap/>
              <w:overflowPunct/>
              <w:topLinePunct w:val="0"/>
              <w:autoSpaceDE/>
              <w:autoSpaceDN/>
              <w:bidi w:val="0"/>
              <w:adjustRightInd w:val="0"/>
              <w:snapToGrid/>
              <w:spacing w:line="360" w:lineRule="auto"/>
              <w:ind w:firstLine="480" w:firstLineChars="200"/>
              <w:jc w:val="both"/>
              <w:textAlignment w:val="auto"/>
              <w:rPr>
                <w:rFonts w:hint="eastAsia" w:cs="Times New Roman"/>
                <w:color w:val="000000"/>
                <w:kern w:val="0"/>
                <w:sz w:val="24"/>
                <w:szCs w:val="24"/>
                <w:u w:val="single"/>
                <w:lang w:val="en-US" w:eastAsia="zh-CN" w:bidi="ar"/>
              </w:rPr>
            </w:pPr>
            <w:r>
              <w:rPr>
                <w:rFonts w:hint="eastAsia" w:cs="Times New Roman"/>
                <w:color w:val="000000"/>
                <w:kern w:val="0"/>
                <w:sz w:val="24"/>
                <w:szCs w:val="24"/>
                <w:u w:val="single"/>
                <w:lang w:val="en-US" w:eastAsia="zh-CN" w:bidi="ar"/>
              </w:rPr>
              <w:t>根据《环境工程技术手册》（主编魏先勋，湖南科学技术出版社，2012年11月），顶吸罩计算公式见下表。</w:t>
            </w:r>
          </w:p>
          <w:p w14:paraId="00153C81">
            <w:pPr>
              <w:adjustRightInd w:val="0"/>
              <w:spacing w:before="93" w:beforeLines="30"/>
              <w:jc w:val="center"/>
              <w:rPr>
                <w:rFonts w:ascii="黑体" w:hAnsi="黑体" w:eastAsia="黑体" w:cs="宋体"/>
                <w:bCs/>
                <w:color w:val="000000"/>
                <w:sz w:val="24"/>
                <w:szCs w:val="24"/>
                <w:u w:val="single"/>
              </w:rPr>
            </w:pPr>
            <w:r>
              <w:rPr>
                <w:rFonts w:ascii="黑体" w:hAnsi="黑体" w:eastAsia="黑体" w:cs="宋体"/>
                <w:bCs/>
                <w:color w:val="000000"/>
                <w:sz w:val="24"/>
                <w:szCs w:val="24"/>
                <w:u w:val="single"/>
              </w:rPr>
              <w:t>表</w:t>
            </w:r>
            <w:r>
              <w:rPr>
                <w:rFonts w:hint="eastAsia" w:ascii="黑体" w:hAnsi="黑体" w:eastAsia="黑体" w:cs="宋体"/>
                <w:bCs/>
                <w:color w:val="000000"/>
                <w:sz w:val="24"/>
                <w:szCs w:val="24"/>
                <w:u w:val="single"/>
                <w:lang w:val="en-US" w:eastAsia="zh-CN"/>
              </w:rPr>
              <w:t xml:space="preserve">26    </w:t>
            </w:r>
            <w:r>
              <w:rPr>
                <w:rFonts w:ascii="黑体" w:hAnsi="黑体" w:eastAsia="黑体" w:cs="宋体"/>
                <w:bCs/>
                <w:color w:val="000000"/>
                <w:sz w:val="24"/>
                <w:szCs w:val="24"/>
                <w:u w:val="single"/>
              </w:rPr>
              <w:t>集气罩设置情况一览表</w:t>
            </w:r>
          </w:p>
          <w:p w14:paraId="6902A20F">
            <w:pPr>
              <w:spacing w:line="23" w:lineRule="exact"/>
              <w:rPr>
                <w:color w:val="000000"/>
                <w:u w:val="single"/>
              </w:rPr>
            </w:pPr>
          </w:p>
          <w:tbl>
            <w:tblPr>
              <w:tblStyle w:val="55"/>
              <w:tblW w:w="498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
            <w:tblGrid>
              <w:gridCol w:w="795"/>
              <w:gridCol w:w="1728"/>
              <w:gridCol w:w="1723"/>
              <w:gridCol w:w="3918"/>
            </w:tblGrid>
            <w:tr w14:paraId="1202C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0" w:hRule="atLeast"/>
                <w:jc w:val="center"/>
              </w:trPr>
              <w:tc>
                <w:tcPr>
                  <w:tcW w:w="487" w:type="pct"/>
                  <w:tcBorders>
                    <w:tl2br w:val="nil"/>
                    <w:tr2bl w:val="nil"/>
                  </w:tcBorders>
                  <w:noWrap w:val="0"/>
                  <w:vAlign w:val="center"/>
                </w:tcPr>
                <w:p w14:paraId="1E3B3477">
                  <w:pPr>
                    <w:pStyle w:val="5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sz w:val="21"/>
                      <w:szCs w:val="21"/>
                      <w:u w:val="single"/>
                    </w:rPr>
                  </w:pPr>
                  <w:r>
                    <w:rPr>
                      <w:rFonts w:hint="default" w:ascii="Times New Roman" w:hAnsi="Times New Roman" w:eastAsia="宋体" w:cs="Times New Roman"/>
                      <w:color w:val="000000"/>
                      <w:spacing w:val="-3"/>
                      <w:sz w:val="21"/>
                      <w:szCs w:val="21"/>
                      <w:u w:val="single"/>
                    </w:rPr>
                    <w:t>类别</w:t>
                  </w:r>
                </w:p>
              </w:tc>
              <w:tc>
                <w:tcPr>
                  <w:tcW w:w="1058" w:type="pct"/>
                  <w:tcBorders>
                    <w:tl2br w:val="nil"/>
                    <w:tr2bl w:val="nil"/>
                  </w:tcBorders>
                  <w:noWrap w:val="0"/>
                  <w:vAlign w:val="center"/>
                </w:tcPr>
                <w:p w14:paraId="0D5FE838">
                  <w:pPr>
                    <w:pStyle w:val="5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sz w:val="21"/>
                      <w:szCs w:val="21"/>
                      <w:u w:val="single"/>
                    </w:rPr>
                  </w:pPr>
                  <w:r>
                    <w:rPr>
                      <w:rFonts w:hint="default" w:ascii="Times New Roman" w:hAnsi="Times New Roman" w:eastAsia="宋体" w:cs="Times New Roman"/>
                      <w:color w:val="000000"/>
                      <w:spacing w:val="-3"/>
                      <w:sz w:val="21"/>
                      <w:szCs w:val="21"/>
                      <w:u w:val="single"/>
                    </w:rPr>
                    <w:t>罩形</w:t>
                  </w:r>
                </w:p>
              </w:tc>
              <w:tc>
                <w:tcPr>
                  <w:tcW w:w="1055" w:type="pct"/>
                  <w:tcBorders>
                    <w:tl2br w:val="nil"/>
                    <w:tr2bl w:val="nil"/>
                  </w:tcBorders>
                  <w:noWrap w:val="0"/>
                  <w:vAlign w:val="center"/>
                </w:tcPr>
                <w:p w14:paraId="6A39AA20">
                  <w:pPr>
                    <w:pStyle w:val="5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sz w:val="21"/>
                      <w:szCs w:val="21"/>
                      <w:u w:val="single"/>
                    </w:rPr>
                  </w:pPr>
                  <w:r>
                    <w:rPr>
                      <w:rFonts w:hint="eastAsia" w:ascii="Times New Roman" w:hAnsi="Times New Roman" w:eastAsia="宋体" w:cs="Times New Roman"/>
                      <w:color w:val="000000"/>
                      <w:spacing w:val="-2"/>
                      <w:sz w:val="21"/>
                      <w:szCs w:val="21"/>
                      <w:u w:val="single"/>
                      <w:lang w:val="en-US" w:eastAsia="zh-CN"/>
                    </w:rPr>
                    <w:t>排气量</w:t>
                  </w:r>
                  <w:r>
                    <w:rPr>
                      <w:rFonts w:hint="default" w:ascii="Times New Roman" w:hAnsi="Times New Roman" w:eastAsia="宋体" w:cs="Times New Roman"/>
                      <w:color w:val="000000"/>
                      <w:spacing w:val="-2"/>
                      <w:sz w:val="21"/>
                      <w:szCs w:val="21"/>
                      <w:u w:val="single"/>
                    </w:rPr>
                    <w:t>计算公式</w:t>
                  </w:r>
                  <w:r>
                    <w:rPr>
                      <w:rFonts w:hint="default" w:ascii="Times New Roman" w:hAnsi="Times New Roman" w:eastAsia="宋体" w:cs="Times New Roman"/>
                      <w:color w:val="000000"/>
                      <w:spacing w:val="-42"/>
                      <w:sz w:val="21"/>
                      <w:szCs w:val="21"/>
                      <w:u w:val="single"/>
                    </w:rPr>
                    <w:t xml:space="preserve"> </w:t>
                  </w:r>
                </w:p>
              </w:tc>
              <w:tc>
                <w:tcPr>
                  <w:tcW w:w="2398" w:type="pct"/>
                  <w:tcBorders>
                    <w:tl2br w:val="nil"/>
                    <w:tr2bl w:val="nil"/>
                  </w:tcBorders>
                  <w:noWrap w:val="0"/>
                  <w:vAlign w:val="center"/>
                </w:tcPr>
                <w:p w14:paraId="06A65A26">
                  <w:pPr>
                    <w:pStyle w:val="5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sz w:val="21"/>
                      <w:szCs w:val="21"/>
                      <w:u w:val="single"/>
                    </w:rPr>
                  </w:pPr>
                  <w:r>
                    <w:rPr>
                      <w:rFonts w:hint="default" w:ascii="Times New Roman" w:hAnsi="Times New Roman" w:eastAsia="宋体" w:cs="Times New Roman"/>
                      <w:color w:val="000000"/>
                      <w:spacing w:val="-3"/>
                      <w:sz w:val="21"/>
                      <w:szCs w:val="21"/>
                      <w:u w:val="single"/>
                    </w:rPr>
                    <w:t>备注</w:t>
                  </w:r>
                </w:p>
              </w:tc>
            </w:tr>
            <w:tr w14:paraId="79EA0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0" w:hRule="atLeast"/>
                <w:jc w:val="center"/>
              </w:trPr>
              <w:tc>
                <w:tcPr>
                  <w:tcW w:w="487" w:type="pct"/>
                  <w:tcBorders>
                    <w:tl2br w:val="nil"/>
                    <w:tr2bl w:val="nil"/>
                  </w:tcBorders>
                  <w:noWrap w:val="0"/>
                  <w:vAlign w:val="center"/>
                </w:tcPr>
                <w:p w14:paraId="1CB9B8DD">
                  <w:pPr>
                    <w:pStyle w:val="5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spacing w:val="0"/>
                      <w:sz w:val="21"/>
                      <w:szCs w:val="21"/>
                      <w:u w:val="single"/>
                    </w:rPr>
                  </w:pPr>
                  <w:r>
                    <w:rPr>
                      <w:rFonts w:hint="default" w:ascii="Times New Roman" w:hAnsi="Times New Roman" w:eastAsia="宋体" w:cs="Times New Roman"/>
                      <w:color w:val="000000"/>
                      <w:spacing w:val="0"/>
                      <w:sz w:val="21"/>
                      <w:szCs w:val="21"/>
                      <w:u w:val="single"/>
                    </w:rPr>
                    <w:t>顶吸罩</w:t>
                  </w:r>
                </w:p>
              </w:tc>
              <w:tc>
                <w:tcPr>
                  <w:tcW w:w="1058" w:type="pct"/>
                  <w:tcBorders>
                    <w:tl2br w:val="nil"/>
                    <w:tr2bl w:val="nil"/>
                  </w:tcBorders>
                  <w:noWrap w:val="0"/>
                  <w:vAlign w:val="center"/>
                </w:tcPr>
                <w:p w14:paraId="799C4F0E">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spacing w:val="0"/>
                      <w:sz w:val="21"/>
                      <w:szCs w:val="21"/>
                      <w:u w:val="single"/>
                    </w:rPr>
                  </w:pPr>
                  <w:r>
                    <w:rPr>
                      <w:color w:val="000000"/>
                      <w:u w:val="single"/>
                    </w:rPr>
                    <w:drawing>
                      <wp:inline distT="0" distB="0" distL="114300" distR="114300">
                        <wp:extent cx="720090" cy="927100"/>
                        <wp:effectExtent l="0" t="0" r="3810" b="6350"/>
                        <wp:docPr id="4"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0"/>
                                <pic:cNvPicPr>
                                  <a:picLocks noChangeAspect="1"/>
                                </pic:cNvPicPr>
                              </pic:nvPicPr>
                              <pic:blipFill>
                                <a:blip r:embed="rId9"/>
                                <a:stretch>
                                  <a:fillRect/>
                                </a:stretch>
                              </pic:blipFill>
                              <pic:spPr>
                                <a:xfrm>
                                  <a:off x="0" y="0"/>
                                  <a:ext cx="720090" cy="927100"/>
                                </a:xfrm>
                                <a:prstGeom prst="rect">
                                  <a:avLst/>
                                </a:prstGeom>
                                <a:noFill/>
                                <a:ln>
                                  <a:noFill/>
                                </a:ln>
                              </pic:spPr>
                            </pic:pic>
                          </a:graphicData>
                        </a:graphic>
                      </wp:inline>
                    </w:drawing>
                  </w:r>
                </w:p>
              </w:tc>
              <w:tc>
                <w:tcPr>
                  <w:tcW w:w="1055" w:type="pct"/>
                  <w:tcBorders>
                    <w:tl2br w:val="nil"/>
                    <w:tr2bl w:val="nil"/>
                  </w:tcBorders>
                  <w:noWrap w:val="0"/>
                  <w:vAlign w:val="center"/>
                </w:tcPr>
                <w:p w14:paraId="524B2690">
                  <w:pPr>
                    <w:pStyle w:val="5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宋体" w:cs="Times New Roman"/>
                      <w:color w:val="000000"/>
                      <w:spacing w:val="0"/>
                      <w:sz w:val="21"/>
                      <w:szCs w:val="21"/>
                      <w:u w:val="single"/>
                      <w:vertAlign w:val="subscript"/>
                      <w:lang w:val="en-US"/>
                    </w:rPr>
                  </w:pPr>
                  <w:r>
                    <w:rPr>
                      <w:rFonts w:hint="default" w:ascii="Times New Roman" w:hAnsi="Times New Roman" w:eastAsia="宋体" w:cs="Times New Roman"/>
                      <w:color w:val="000000"/>
                      <w:spacing w:val="0"/>
                      <w:sz w:val="21"/>
                      <w:szCs w:val="21"/>
                      <w:u w:val="single"/>
                    </w:rPr>
                    <w:t>Q=1.</w:t>
                  </w:r>
                  <w:r>
                    <w:rPr>
                      <w:rFonts w:hint="eastAsia" w:ascii="Times New Roman" w:hAnsi="Times New Roman" w:eastAsia="宋体" w:cs="Times New Roman"/>
                      <w:color w:val="000000"/>
                      <w:spacing w:val="0"/>
                      <w:sz w:val="21"/>
                      <w:szCs w:val="21"/>
                      <w:u w:val="single"/>
                      <w:lang w:val="en-US" w:eastAsia="zh-CN"/>
                    </w:rPr>
                    <w:t>2</w:t>
                  </w:r>
                  <w:r>
                    <w:rPr>
                      <w:rFonts w:hint="default" w:ascii="Times New Roman" w:hAnsi="Times New Roman" w:eastAsia="宋体" w:cs="Times New Roman"/>
                      <w:color w:val="000000"/>
                      <w:spacing w:val="0"/>
                      <w:sz w:val="21"/>
                      <w:szCs w:val="21"/>
                      <w:u w:val="single"/>
                    </w:rPr>
                    <w:t>pH</w:t>
                  </w:r>
                  <w:r>
                    <w:rPr>
                      <w:rFonts w:hint="eastAsia" w:ascii="Times New Roman" w:hAnsi="Times New Roman" w:eastAsia="宋体" w:cs="Times New Roman"/>
                      <w:color w:val="000000"/>
                      <w:spacing w:val="0"/>
                      <w:sz w:val="21"/>
                      <w:szCs w:val="21"/>
                      <w:u w:val="single"/>
                      <w:lang w:val="en-US" w:eastAsia="zh-CN"/>
                    </w:rPr>
                    <w:t>v</w:t>
                  </w:r>
                  <w:r>
                    <w:rPr>
                      <w:rFonts w:hint="eastAsia" w:ascii="Times New Roman" w:hAnsi="Times New Roman" w:eastAsia="宋体" w:cs="Times New Roman"/>
                      <w:color w:val="000000"/>
                      <w:spacing w:val="0"/>
                      <w:sz w:val="21"/>
                      <w:szCs w:val="21"/>
                      <w:u w:val="single"/>
                      <w:vertAlign w:val="subscript"/>
                      <w:lang w:val="en-US" w:eastAsia="zh-CN"/>
                    </w:rPr>
                    <w:t>x</w:t>
                  </w:r>
                </w:p>
              </w:tc>
              <w:tc>
                <w:tcPr>
                  <w:tcW w:w="2398" w:type="pct"/>
                  <w:tcBorders>
                    <w:tl2br w:val="nil"/>
                    <w:tr2bl w:val="nil"/>
                  </w:tcBorders>
                  <w:noWrap w:val="0"/>
                  <w:vAlign w:val="center"/>
                </w:tcPr>
                <w:p w14:paraId="2909BC87">
                  <w:pPr>
                    <w:pStyle w:val="5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default" w:ascii="Times New Roman" w:hAnsi="Times New Roman" w:eastAsia="宋体" w:cs="Times New Roman"/>
                      <w:color w:val="000000"/>
                      <w:spacing w:val="0"/>
                      <w:sz w:val="21"/>
                      <w:szCs w:val="21"/>
                      <w:u w:val="single"/>
                    </w:rPr>
                  </w:pPr>
                  <w:r>
                    <w:rPr>
                      <w:rFonts w:hint="eastAsia" w:ascii="Times New Roman" w:hAnsi="Times New Roman" w:eastAsia="宋体" w:cs="Times New Roman"/>
                      <w:color w:val="000000"/>
                      <w:spacing w:val="0"/>
                      <w:sz w:val="21"/>
                      <w:szCs w:val="21"/>
                      <w:u w:val="single"/>
                      <w:lang w:val="en-US" w:eastAsia="zh-CN"/>
                    </w:rPr>
                    <w:t>p</w:t>
                  </w:r>
                  <w:r>
                    <w:rPr>
                      <w:rFonts w:hint="default" w:ascii="Times New Roman" w:hAnsi="Times New Roman" w:eastAsia="宋体" w:cs="Times New Roman"/>
                      <w:color w:val="000000"/>
                      <w:spacing w:val="0"/>
                      <w:sz w:val="21"/>
                      <w:szCs w:val="21"/>
                      <w:u w:val="single"/>
                    </w:rPr>
                    <w:t>为罩口周长</w:t>
                  </w:r>
                  <w:r>
                    <w:rPr>
                      <w:rFonts w:hint="eastAsia" w:ascii="Times New Roman" w:hAnsi="Times New Roman" w:eastAsia="宋体" w:cs="Times New Roman"/>
                      <w:color w:val="000000"/>
                      <w:spacing w:val="0"/>
                      <w:sz w:val="21"/>
                      <w:szCs w:val="21"/>
                      <w:u w:val="single"/>
                      <w:lang w:eastAsia="zh-CN"/>
                    </w:rPr>
                    <w:t>，</w:t>
                  </w:r>
                  <w:r>
                    <w:rPr>
                      <w:rFonts w:hint="default" w:ascii="Times New Roman" w:hAnsi="Times New Roman" w:eastAsia="宋体" w:cs="Times New Roman"/>
                      <w:color w:val="000000"/>
                      <w:spacing w:val="0"/>
                      <w:sz w:val="21"/>
                      <w:szCs w:val="21"/>
                      <w:u w:val="single"/>
                    </w:rPr>
                    <w:t>m；</w:t>
                  </w:r>
                </w:p>
                <w:p w14:paraId="3E63608B">
                  <w:pPr>
                    <w:pStyle w:val="5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default" w:ascii="Times New Roman" w:hAnsi="Times New Roman" w:eastAsia="宋体" w:cs="Times New Roman"/>
                      <w:color w:val="000000"/>
                      <w:spacing w:val="0"/>
                      <w:sz w:val="21"/>
                      <w:szCs w:val="21"/>
                      <w:u w:val="single"/>
                    </w:rPr>
                  </w:pPr>
                  <w:r>
                    <w:rPr>
                      <w:rFonts w:hint="default" w:ascii="Times New Roman" w:hAnsi="Times New Roman" w:eastAsia="宋体" w:cs="Times New Roman"/>
                      <w:color w:val="000000"/>
                      <w:spacing w:val="0"/>
                      <w:sz w:val="21"/>
                      <w:szCs w:val="21"/>
                      <w:u w:val="single"/>
                    </w:rPr>
                    <w:t>H为污染物产生点距离集气罩距离</w:t>
                  </w:r>
                  <w:r>
                    <w:rPr>
                      <w:rFonts w:hint="eastAsia" w:ascii="Times New Roman" w:hAnsi="Times New Roman" w:eastAsia="宋体" w:cs="Times New Roman"/>
                      <w:color w:val="000000"/>
                      <w:spacing w:val="0"/>
                      <w:sz w:val="21"/>
                      <w:szCs w:val="21"/>
                      <w:u w:val="single"/>
                      <w:lang w:eastAsia="zh-CN"/>
                    </w:rPr>
                    <w:t>，</w:t>
                  </w:r>
                  <w:r>
                    <w:rPr>
                      <w:rFonts w:hint="default" w:ascii="Times New Roman" w:hAnsi="Times New Roman" w:eastAsia="宋体" w:cs="Times New Roman"/>
                      <w:color w:val="000000"/>
                      <w:spacing w:val="0"/>
                      <w:sz w:val="21"/>
                      <w:szCs w:val="21"/>
                      <w:u w:val="single"/>
                    </w:rPr>
                    <w:t>m；</w:t>
                  </w:r>
                </w:p>
                <w:p w14:paraId="49129256">
                  <w:pPr>
                    <w:pStyle w:val="54"/>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both"/>
                    <w:textAlignment w:val="auto"/>
                    <w:rPr>
                      <w:rFonts w:hint="default" w:ascii="Times New Roman" w:hAnsi="Times New Roman" w:eastAsia="宋体" w:cs="Times New Roman"/>
                      <w:color w:val="000000"/>
                      <w:spacing w:val="0"/>
                      <w:sz w:val="21"/>
                      <w:szCs w:val="21"/>
                      <w:u w:val="single"/>
                      <w:lang w:val="en-US"/>
                    </w:rPr>
                  </w:pPr>
                  <w:r>
                    <w:rPr>
                      <w:rFonts w:hint="eastAsia" w:ascii="Times New Roman" w:hAnsi="Times New Roman" w:eastAsia="宋体" w:cs="Times New Roman"/>
                      <w:color w:val="000000"/>
                      <w:spacing w:val="0"/>
                      <w:sz w:val="21"/>
                      <w:szCs w:val="21"/>
                      <w:u w:val="single"/>
                      <w:lang w:val="en-US" w:eastAsia="zh-CN"/>
                    </w:rPr>
                    <w:t>v</w:t>
                  </w:r>
                  <w:r>
                    <w:rPr>
                      <w:rFonts w:hint="eastAsia" w:ascii="Times New Roman" w:hAnsi="Times New Roman" w:eastAsia="宋体" w:cs="Times New Roman"/>
                      <w:color w:val="000000"/>
                      <w:spacing w:val="0"/>
                      <w:sz w:val="21"/>
                      <w:szCs w:val="21"/>
                      <w:u w:val="single"/>
                      <w:vertAlign w:val="subscript"/>
                      <w:lang w:val="en-US" w:eastAsia="zh-CN"/>
                    </w:rPr>
                    <w:t>x</w:t>
                  </w:r>
                  <w:r>
                    <w:rPr>
                      <w:rFonts w:hint="default" w:ascii="Times New Roman" w:hAnsi="Times New Roman" w:eastAsia="宋体" w:cs="Times New Roman"/>
                      <w:color w:val="000000"/>
                      <w:spacing w:val="0"/>
                      <w:sz w:val="21"/>
                      <w:szCs w:val="21"/>
                      <w:u w:val="single"/>
                    </w:rPr>
                    <w:t>为</w:t>
                  </w:r>
                  <w:r>
                    <w:rPr>
                      <w:rFonts w:hint="eastAsia" w:ascii="Times New Roman" w:hAnsi="Times New Roman" w:eastAsia="宋体" w:cs="Times New Roman"/>
                      <w:color w:val="000000"/>
                      <w:spacing w:val="0"/>
                      <w:sz w:val="21"/>
                      <w:szCs w:val="21"/>
                      <w:u w:val="single"/>
                      <w:lang w:val="en-US" w:eastAsia="zh-CN"/>
                    </w:rPr>
                    <w:t>污染源边缘控制风速，m/s</w:t>
                  </w:r>
                </w:p>
              </w:tc>
            </w:tr>
          </w:tbl>
          <w:p w14:paraId="1954B4DC">
            <w:pPr>
              <w:adjustRightInd w:val="0"/>
              <w:spacing w:before="93" w:beforeLines="30"/>
              <w:jc w:val="center"/>
              <w:rPr>
                <w:rFonts w:hint="eastAsia" w:ascii="黑体" w:hAnsi="黑体" w:eastAsia="黑体" w:cs="宋体"/>
                <w:bCs/>
                <w:color w:val="000000"/>
                <w:sz w:val="24"/>
                <w:szCs w:val="24"/>
                <w:u w:val="single"/>
                <w:lang w:val="en-US" w:eastAsia="zh-CN"/>
              </w:rPr>
            </w:pPr>
            <w:r>
              <w:rPr>
                <w:rFonts w:hint="eastAsia" w:ascii="黑体" w:hAnsi="黑体" w:eastAsia="黑体" w:cs="宋体"/>
                <w:bCs/>
                <w:color w:val="000000"/>
                <w:sz w:val="24"/>
                <w:szCs w:val="24"/>
                <w:u w:val="single"/>
                <w:lang w:val="en-US" w:eastAsia="zh-CN"/>
              </w:rPr>
              <w:t>表27   排气量核算</w:t>
            </w:r>
            <w:r>
              <w:rPr>
                <w:rFonts w:ascii="黑体" w:hAnsi="黑体" w:eastAsia="黑体" w:cs="宋体"/>
                <w:bCs/>
                <w:color w:val="000000"/>
                <w:sz w:val="24"/>
                <w:szCs w:val="24"/>
                <w:u w:val="single"/>
              </w:rPr>
              <w:t>一览表</w:t>
            </w:r>
          </w:p>
          <w:tbl>
            <w:tblPr>
              <w:tblStyle w:val="55"/>
              <w:tblpPr w:leftFromText="180" w:rightFromText="180" w:vertAnchor="text" w:horzAnchor="page" w:tblpXSpec="center" w:tblpY="31"/>
              <w:tblOverlap w:val="never"/>
              <w:tblW w:w="499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
            <w:tblGrid>
              <w:gridCol w:w="840"/>
              <w:gridCol w:w="848"/>
              <w:gridCol w:w="850"/>
              <w:gridCol w:w="850"/>
              <w:gridCol w:w="1869"/>
              <w:gridCol w:w="751"/>
              <w:gridCol w:w="1087"/>
              <w:gridCol w:w="1087"/>
            </w:tblGrid>
            <w:tr w14:paraId="6BFAE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0" w:hRule="atLeast"/>
                <w:jc w:val="center"/>
              </w:trPr>
              <w:tc>
                <w:tcPr>
                  <w:tcW w:w="513" w:type="pct"/>
                  <w:vMerge w:val="restart"/>
                  <w:tcBorders>
                    <w:tl2br w:val="nil"/>
                    <w:tr2bl w:val="nil"/>
                  </w:tcBorders>
                  <w:noWrap w:val="0"/>
                  <w:vAlign w:val="center"/>
                </w:tcPr>
                <w:p w14:paraId="17EA65A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 w:val="21"/>
                      <w:szCs w:val="21"/>
                      <w:u w:val="single"/>
                      <w:lang w:val="en-US" w:eastAsia="zh-CN"/>
                    </w:rPr>
                  </w:pPr>
                  <w:r>
                    <w:rPr>
                      <w:rFonts w:hint="eastAsia" w:ascii="Times New Roman" w:hAnsi="Times New Roman" w:eastAsia="宋体" w:cs="Times New Roman"/>
                      <w:color w:val="000000"/>
                      <w:sz w:val="21"/>
                      <w:szCs w:val="21"/>
                      <w:u w:val="single"/>
                      <w:lang w:val="en-US" w:eastAsia="zh-CN"/>
                    </w:rPr>
                    <w:t>产污</w:t>
                  </w:r>
                </w:p>
                <w:p w14:paraId="0934A7F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 w:val="21"/>
                      <w:szCs w:val="21"/>
                      <w:u w:val="single"/>
                      <w:lang w:val="en-US" w:eastAsia="zh-CN"/>
                    </w:rPr>
                  </w:pPr>
                  <w:r>
                    <w:rPr>
                      <w:rFonts w:hint="default" w:ascii="Times New Roman" w:hAnsi="Times New Roman" w:eastAsia="宋体" w:cs="Times New Roman"/>
                      <w:color w:val="000000"/>
                      <w:sz w:val="21"/>
                      <w:szCs w:val="21"/>
                      <w:u w:val="single"/>
                    </w:rPr>
                    <w:t>环节</w:t>
                  </w:r>
                </w:p>
              </w:tc>
              <w:tc>
                <w:tcPr>
                  <w:tcW w:w="2698" w:type="pct"/>
                  <w:gridSpan w:val="4"/>
                  <w:tcBorders>
                    <w:tl2br w:val="nil"/>
                    <w:tr2bl w:val="nil"/>
                  </w:tcBorders>
                  <w:noWrap w:val="0"/>
                  <w:vAlign w:val="center"/>
                </w:tcPr>
                <w:p w14:paraId="4A5470A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 w:val="21"/>
                      <w:szCs w:val="21"/>
                      <w:u w:val="single"/>
                      <w:lang w:eastAsia="zh-CN"/>
                    </w:rPr>
                  </w:pPr>
                  <w:r>
                    <w:rPr>
                      <w:rFonts w:hint="default" w:ascii="Times New Roman" w:hAnsi="Times New Roman" w:eastAsia="宋体" w:cs="Times New Roman"/>
                      <w:color w:val="000000"/>
                      <w:sz w:val="21"/>
                      <w:szCs w:val="21"/>
                      <w:u w:val="single"/>
                    </w:rPr>
                    <w:t>单个集气罩</w:t>
                  </w:r>
                  <w:r>
                    <w:rPr>
                      <w:rFonts w:hint="eastAsia" w:ascii="Times New Roman" w:hAnsi="Times New Roman" w:eastAsia="宋体" w:cs="Times New Roman"/>
                      <w:color w:val="000000"/>
                      <w:sz w:val="21"/>
                      <w:szCs w:val="21"/>
                      <w:u w:val="single"/>
                      <w:lang w:val="en-US" w:eastAsia="zh-CN"/>
                    </w:rPr>
                    <w:t>参数</w:t>
                  </w:r>
                </w:p>
              </w:tc>
              <w:tc>
                <w:tcPr>
                  <w:tcW w:w="459" w:type="pct"/>
                  <w:vMerge w:val="restart"/>
                  <w:tcBorders>
                    <w:tl2br w:val="nil"/>
                    <w:tr2bl w:val="nil"/>
                  </w:tcBorders>
                  <w:noWrap w:val="0"/>
                  <w:vAlign w:val="center"/>
                </w:tcPr>
                <w:p w14:paraId="6784ABE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 w:val="21"/>
                      <w:szCs w:val="21"/>
                      <w:u w:val="single"/>
                      <w:lang w:val="en-US" w:eastAsia="zh-CN"/>
                    </w:rPr>
                  </w:pPr>
                  <w:r>
                    <w:rPr>
                      <w:rFonts w:hint="eastAsia" w:ascii="Times New Roman" w:hAnsi="Times New Roman" w:eastAsia="宋体" w:cs="Times New Roman"/>
                      <w:color w:val="000000"/>
                      <w:sz w:val="21"/>
                      <w:szCs w:val="21"/>
                      <w:u w:val="single"/>
                      <w:lang w:val="en-US" w:eastAsia="zh-CN"/>
                    </w:rPr>
                    <w:t>数量</w:t>
                  </w:r>
                </w:p>
                <w:p w14:paraId="7104EDE6">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 w:val="21"/>
                      <w:szCs w:val="21"/>
                      <w:u w:val="single"/>
                      <w:lang w:eastAsia="zh-CN"/>
                    </w:rPr>
                  </w:pPr>
                  <w:r>
                    <w:rPr>
                      <w:rFonts w:hint="eastAsia" w:ascii="Times New Roman" w:hAnsi="Times New Roman" w:eastAsia="宋体" w:cs="Times New Roman"/>
                      <w:color w:val="000000"/>
                      <w:sz w:val="21"/>
                      <w:szCs w:val="21"/>
                      <w:u w:val="single"/>
                      <w:lang w:eastAsia="zh-CN"/>
                    </w:rPr>
                    <w:t>（</w:t>
                  </w:r>
                  <w:r>
                    <w:rPr>
                      <w:rFonts w:hint="eastAsia" w:ascii="Times New Roman" w:hAnsi="Times New Roman" w:eastAsia="宋体" w:cs="Times New Roman"/>
                      <w:color w:val="000000"/>
                      <w:sz w:val="21"/>
                      <w:szCs w:val="21"/>
                      <w:u w:val="single"/>
                      <w:lang w:val="en-US" w:eastAsia="zh-CN"/>
                    </w:rPr>
                    <w:t>个</w:t>
                  </w:r>
                  <w:r>
                    <w:rPr>
                      <w:rFonts w:hint="eastAsia" w:ascii="Times New Roman" w:hAnsi="Times New Roman" w:eastAsia="宋体" w:cs="Times New Roman"/>
                      <w:color w:val="000000"/>
                      <w:sz w:val="21"/>
                      <w:szCs w:val="21"/>
                      <w:u w:val="single"/>
                      <w:lang w:eastAsia="zh-CN"/>
                    </w:rPr>
                    <w:t>）</w:t>
                  </w:r>
                </w:p>
              </w:tc>
              <w:tc>
                <w:tcPr>
                  <w:tcW w:w="664" w:type="pct"/>
                  <w:vMerge w:val="restart"/>
                  <w:tcBorders>
                    <w:tl2br w:val="nil"/>
                    <w:tr2bl w:val="nil"/>
                  </w:tcBorders>
                  <w:noWrap w:val="0"/>
                  <w:vAlign w:val="center"/>
                </w:tcPr>
                <w:p w14:paraId="49A5C3E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21"/>
                      <w:szCs w:val="21"/>
                      <w:u w:val="single"/>
                    </w:rPr>
                  </w:pPr>
                  <w:r>
                    <w:rPr>
                      <w:rFonts w:hint="default" w:ascii="Times New Roman" w:hAnsi="Times New Roman" w:eastAsia="宋体" w:cs="Times New Roman"/>
                      <w:color w:val="000000"/>
                      <w:sz w:val="21"/>
                      <w:szCs w:val="21"/>
                      <w:u w:val="single"/>
                    </w:rPr>
                    <w:t>最小风量</w:t>
                  </w:r>
                </w:p>
                <w:p w14:paraId="0B7E75E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21"/>
                      <w:szCs w:val="21"/>
                      <w:u w:val="single"/>
                    </w:rPr>
                  </w:pPr>
                  <w:r>
                    <w:rPr>
                      <w:rFonts w:hint="eastAsia" w:ascii="Times New Roman" w:hAnsi="Times New Roman" w:eastAsia="宋体" w:cs="Times New Roman"/>
                      <w:color w:val="000000"/>
                      <w:sz w:val="21"/>
                      <w:szCs w:val="21"/>
                      <w:u w:val="single"/>
                      <w:lang w:eastAsia="zh-CN"/>
                    </w:rPr>
                    <w:t>（</w:t>
                  </w:r>
                  <w:r>
                    <w:rPr>
                      <w:rFonts w:hint="default" w:ascii="Times New Roman" w:hAnsi="Times New Roman" w:eastAsia="宋体" w:cs="Times New Roman"/>
                      <w:color w:val="000000"/>
                      <w:sz w:val="21"/>
                      <w:szCs w:val="21"/>
                      <w:u w:val="single"/>
                    </w:rPr>
                    <w:t>m</w:t>
                  </w:r>
                  <w:r>
                    <w:rPr>
                      <w:rFonts w:hint="default" w:ascii="Times New Roman" w:hAnsi="Times New Roman" w:eastAsia="宋体" w:cs="Times New Roman"/>
                      <w:color w:val="000000"/>
                      <w:sz w:val="21"/>
                      <w:szCs w:val="21"/>
                      <w:u w:val="single"/>
                      <w:vertAlign w:val="superscript"/>
                    </w:rPr>
                    <w:t>3</w:t>
                  </w:r>
                  <w:r>
                    <w:rPr>
                      <w:rFonts w:hint="default" w:ascii="Times New Roman" w:hAnsi="Times New Roman" w:eastAsia="宋体" w:cs="Times New Roman"/>
                      <w:color w:val="000000"/>
                      <w:sz w:val="21"/>
                      <w:szCs w:val="21"/>
                      <w:u w:val="single"/>
                    </w:rPr>
                    <w:t>/h</w:t>
                  </w:r>
                  <w:r>
                    <w:rPr>
                      <w:rFonts w:hint="eastAsia" w:ascii="Times New Roman" w:hAnsi="Times New Roman" w:eastAsia="宋体" w:cs="Times New Roman"/>
                      <w:color w:val="000000"/>
                      <w:sz w:val="21"/>
                      <w:szCs w:val="21"/>
                      <w:u w:val="single"/>
                      <w:lang w:eastAsia="zh-CN"/>
                    </w:rPr>
                    <w:t>）</w:t>
                  </w:r>
                </w:p>
              </w:tc>
              <w:tc>
                <w:tcPr>
                  <w:tcW w:w="664" w:type="pct"/>
                  <w:vMerge w:val="restart"/>
                  <w:tcBorders>
                    <w:tl2br w:val="nil"/>
                    <w:tr2bl w:val="nil"/>
                  </w:tcBorders>
                  <w:noWrap w:val="0"/>
                  <w:vAlign w:val="center"/>
                </w:tcPr>
                <w:p w14:paraId="1C948F2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21"/>
                      <w:szCs w:val="21"/>
                      <w:u w:val="single"/>
                    </w:rPr>
                  </w:pPr>
                  <w:r>
                    <w:rPr>
                      <w:rFonts w:hint="default" w:ascii="Times New Roman" w:hAnsi="Times New Roman" w:eastAsia="宋体" w:cs="Times New Roman"/>
                      <w:color w:val="000000"/>
                      <w:sz w:val="21"/>
                      <w:szCs w:val="21"/>
                      <w:u w:val="single"/>
                    </w:rPr>
                    <w:t>设计风量</w:t>
                  </w:r>
                </w:p>
                <w:p w14:paraId="58E9576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21"/>
                      <w:szCs w:val="21"/>
                      <w:u w:val="single"/>
                    </w:rPr>
                  </w:pPr>
                  <w:r>
                    <w:rPr>
                      <w:rFonts w:hint="eastAsia" w:ascii="Times New Roman" w:hAnsi="Times New Roman" w:eastAsia="宋体" w:cs="Times New Roman"/>
                      <w:color w:val="000000"/>
                      <w:sz w:val="21"/>
                      <w:szCs w:val="21"/>
                      <w:u w:val="single"/>
                      <w:lang w:eastAsia="zh-CN"/>
                    </w:rPr>
                    <w:t>（</w:t>
                  </w:r>
                  <w:r>
                    <w:rPr>
                      <w:rFonts w:hint="default" w:ascii="Times New Roman" w:hAnsi="Times New Roman" w:eastAsia="宋体" w:cs="Times New Roman"/>
                      <w:color w:val="000000"/>
                      <w:sz w:val="21"/>
                      <w:szCs w:val="21"/>
                      <w:u w:val="single"/>
                    </w:rPr>
                    <w:t>m</w:t>
                  </w:r>
                  <w:r>
                    <w:rPr>
                      <w:rFonts w:hint="default" w:ascii="Times New Roman" w:hAnsi="Times New Roman" w:eastAsia="宋体" w:cs="Times New Roman"/>
                      <w:color w:val="000000"/>
                      <w:sz w:val="21"/>
                      <w:szCs w:val="21"/>
                      <w:u w:val="single"/>
                      <w:vertAlign w:val="superscript"/>
                    </w:rPr>
                    <w:t>3</w:t>
                  </w:r>
                  <w:r>
                    <w:rPr>
                      <w:rFonts w:hint="default" w:ascii="Times New Roman" w:hAnsi="Times New Roman" w:eastAsia="宋体" w:cs="Times New Roman"/>
                      <w:color w:val="000000"/>
                      <w:sz w:val="21"/>
                      <w:szCs w:val="21"/>
                      <w:u w:val="single"/>
                    </w:rPr>
                    <w:t>/h</w:t>
                  </w:r>
                  <w:r>
                    <w:rPr>
                      <w:rFonts w:hint="eastAsia" w:ascii="Times New Roman" w:hAnsi="Times New Roman" w:eastAsia="宋体" w:cs="Times New Roman"/>
                      <w:color w:val="000000"/>
                      <w:sz w:val="21"/>
                      <w:szCs w:val="21"/>
                      <w:u w:val="single"/>
                      <w:lang w:eastAsia="zh-CN"/>
                    </w:rPr>
                    <w:t>）</w:t>
                  </w:r>
                </w:p>
              </w:tc>
            </w:tr>
            <w:tr w14:paraId="71CA1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0" w:hRule="atLeast"/>
                <w:jc w:val="center"/>
              </w:trPr>
              <w:tc>
                <w:tcPr>
                  <w:tcW w:w="513" w:type="pct"/>
                  <w:vMerge w:val="continue"/>
                  <w:tcBorders>
                    <w:tl2br w:val="nil"/>
                    <w:tr2bl w:val="nil"/>
                  </w:tcBorders>
                  <w:noWrap w:val="0"/>
                  <w:vAlign w:val="center"/>
                </w:tcPr>
                <w:p w14:paraId="2ECA231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21"/>
                      <w:szCs w:val="21"/>
                      <w:u w:val="single"/>
                    </w:rPr>
                  </w:pPr>
                </w:p>
              </w:tc>
              <w:tc>
                <w:tcPr>
                  <w:tcW w:w="518" w:type="pct"/>
                  <w:tcBorders>
                    <w:tl2br w:val="nil"/>
                    <w:tr2bl w:val="nil"/>
                  </w:tcBorders>
                  <w:noWrap w:val="0"/>
                  <w:vAlign w:val="center"/>
                </w:tcPr>
                <w:p w14:paraId="4C8EBB3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 w:val="21"/>
                      <w:szCs w:val="21"/>
                      <w:u w:val="single"/>
                      <w:lang w:eastAsia="zh-CN"/>
                    </w:rPr>
                  </w:pPr>
                  <w:r>
                    <w:rPr>
                      <w:rFonts w:hint="default" w:ascii="Times New Roman" w:hAnsi="Times New Roman" w:eastAsia="宋体" w:cs="Times New Roman"/>
                      <w:color w:val="000000"/>
                      <w:sz w:val="21"/>
                      <w:szCs w:val="21"/>
                      <w:u w:val="single"/>
                    </w:rPr>
                    <w:t>H</w:t>
                  </w:r>
                  <w:r>
                    <w:rPr>
                      <w:rFonts w:hint="eastAsia" w:ascii="Times New Roman" w:hAnsi="Times New Roman" w:eastAsia="宋体" w:cs="Times New Roman"/>
                      <w:color w:val="000000"/>
                      <w:sz w:val="21"/>
                      <w:szCs w:val="21"/>
                      <w:u w:val="single"/>
                      <w:lang w:eastAsia="zh-CN"/>
                    </w:rPr>
                    <w:t>（</w:t>
                  </w:r>
                  <w:r>
                    <w:rPr>
                      <w:rFonts w:hint="eastAsia" w:ascii="Times New Roman" w:hAnsi="Times New Roman" w:eastAsia="宋体" w:cs="Times New Roman"/>
                      <w:color w:val="000000"/>
                      <w:sz w:val="21"/>
                      <w:szCs w:val="21"/>
                      <w:u w:val="single"/>
                      <w:lang w:val="en-US" w:eastAsia="zh-CN"/>
                    </w:rPr>
                    <w:t>m</w:t>
                  </w:r>
                  <w:r>
                    <w:rPr>
                      <w:rFonts w:hint="eastAsia" w:ascii="Times New Roman" w:hAnsi="Times New Roman" w:eastAsia="宋体" w:cs="Times New Roman"/>
                      <w:color w:val="000000"/>
                      <w:sz w:val="21"/>
                      <w:szCs w:val="21"/>
                      <w:u w:val="single"/>
                      <w:lang w:eastAsia="zh-CN"/>
                    </w:rPr>
                    <w:t>）</w:t>
                  </w:r>
                </w:p>
              </w:tc>
              <w:tc>
                <w:tcPr>
                  <w:tcW w:w="519" w:type="pct"/>
                  <w:tcBorders>
                    <w:tl2br w:val="nil"/>
                    <w:tr2bl w:val="nil"/>
                  </w:tcBorders>
                  <w:noWrap w:val="0"/>
                  <w:vAlign w:val="center"/>
                </w:tcPr>
                <w:p w14:paraId="3222202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21"/>
                      <w:szCs w:val="21"/>
                      <w:u w:val="single"/>
                    </w:rPr>
                  </w:pPr>
                  <w:r>
                    <w:rPr>
                      <w:rFonts w:hint="default" w:ascii="Times New Roman" w:hAnsi="Times New Roman" w:eastAsia="宋体" w:cs="Times New Roman"/>
                      <w:color w:val="000000"/>
                      <w:sz w:val="21"/>
                      <w:szCs w:val="21"/>
                      <w:u w:val="single"/>
                    </w:rPr>
                    <w:t>长</w:t>
                  </w:r>
                  <w:r>
                    <w:rPr>
                      <w:rFonts w:hint="eastAsia" w:ascii="Times New Roman" w:hAnsi="Times New Roman" w:eastAsia="宋体" w:cs="Times New Roman"/>
                      <w:color w:val="000000"/>
                      <w:sz w:val="21"/>
                      <w:szCs w:val="21"/>
                      <w:u w:val="single"/>
                      <w:lang w:eastAsia="zh-CN"/>
                    </w:rPr>
                    <w:t>（</w:t>
                  </w:r>
                  <w:r>
                    <w:rPr>
                      <w:rFonts w:hint="eastAsia" w:ascii="Times New Roman" w:hAnsi="Times New Roman" w:eastAsia="宋体" w:cs="Times New Roman"/>
                      <w:color w:val="000000"/>
                      <w:sz w:val="21"/>
                      <w:szCs w:val="21"/>
                      <w:u w:val="single"/>
                      <w:lang w:val="en-US" w:eastAsia="zh-CN"/>
                    </w:rPr>
                    <w:t>m</w:t>
                  </w:r>
                  <w:r>
                    <w:rPr>
                      <w:rFonts w:hint="eastAsia" w:ascii="Times New Roman" w:hAnsi="Times New Roman" w:eastAsia="宋体" w:cs="Times New Roman"/>
                      <w:color w:val="000000"/>
                      <w:sz w:val="21"/>
                      <w:szCs w:val="21"/>
                      <w:u w:val="single"/>
                      <w:lang w:eastAsia="zh-CN"/>
                    </w:rPr>
                    <w:t>）</w:t>
                  </w:r>
                </w:p>
              </w:tc>
              <w:tc>
                <w:tcPr>
                  <w:tcW w:w="519" w:type="pct"/>
                  <w:tcBorders>
                    <w:tl2br w:val="nil"/>
                    <w:tr2bl w:val="nil"/>
                  </w:tcBorders>
                  <w:noWrap w:val="0"/>
                  <w:vAlign w:val="center"/>
                </w:tcPr>
                <w:p w14:paraId="0A9A016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21"/>
                      <w:szCs w:val="21"/>
                      <w:u w:val="single"/>
                    </w:rPr>
                  </w:pPr>
                  <w:r>
                    <w:rPr>
                      <w:rFonts w:hint="default" w:ascii="Times New Roman" w:hAnsi="Times New Roman" w:eastAsia="宋体" w:cs="Times New Roman"/>
                      <w:color w:val="000000"/>
                      <w:sz w:val="21"/>
                      <w:szCs w:val="21"/>
                      <w:u w:val="single"/>
                    </w:rPr>
                    <w:t>宽</w:t>
                  </w:r>
                  <w:r>
                    <w:rPr>
                      <w:rFonts w:hint="eastAsia" w:ascii="Times New Roman" w:hAnsi="Times New Roman" w:eastAsia="宋体" w:cs="Times New Roman"/>
                      <w:color w:val="000000"/>
                      <w:sz w:val="21"/>
                      <w:szCs w:val="21"/>
                      <w:u w:val="single"/>
                      <w:lang w:eastAsia="zh-CN"/>
                    </w:rPr>
                    <w:t>（</w:t>
                  </w:r>
                  <w:r>
                    <w:rPr>
                      <w:rFonts w:hint="eastAsia" w:ascii="Times New Roman" w:hAnsi="Times New Roman" w:eastAsia="宋体" w:cs="Times New Roman"/>
                      <w:color w:val="000000"/>
                      <w:sz w:val="21"/>
                      <w:szCs w:val="21"/>
                      <w:u w:val="single"/>
                      <w:lang w:val="en-US" w:eastAsia="zh-CN"/>
                    </w:rPr>
                    <w:t>m</w:t>
                  </w:r>
                  <w:r>
                    <w:rPr>
                      <w:rFonts w:hint="eastAsia" w:ascii="Times New Roman" w:hAnsi="Times New Roman" w:eastAsia="宋体" w:cs="Times New Roman"/>
                      <w:color w:val="000000"/>
                      <w:sz w:val="21"/>
                      <w:szCs w:val="21"/>
                      <w:u w:val="single"/>
                      <w:lang w:eastAsia="zh-CN"/>
                    </w:rPr>
                    <w:t>）</w:t>
                  </w:r>
                </w:p>
              </w:tc>
              <w:tc>
                <w:tcPr>
                  <w:tcW w:w="1141" w:type="pct"/>
                  <w:tcBorders>
                    <w:tl2br w:val="nil"/>
                    <w:tr2bl w:val="nil"/>
                  </w:tcBorders>
                  <w:noWrap w:val="0"/>
                  <w:vAlign w:val="center"/>
                </w:tcPr>
                <w:p w14:paraId="3C05D68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21"/>
                      <w:szCs w:val="21"/>
                      <w:u w:val="single"/>
                    </w:rPr>
                  </w:pPr>
                  <w:r>
                    <w:rPr>
                      <w:rFonts w:hint="eastAsia" w:ascii="Times New Roman" w:hAnsi="Times New Roman" w:eastAsia="宋体" w:cs="Times New Roman"/>
                      <w:color w:val="000000"/>
                      <w:sz w:val="21"/>
                      <w:szCs w:val="21"/>
                      <w:u w:val="single"/>
                      <w:lang w:val="en-US" w:eastAsia="zh-CN"/>
                    </w:rPr>
                    <w:t>控制</w:t>
                  </w:r>
                  <w:r>
                    <w:rPr>
                      <w:rFonts w:hint="default" w:ascii="Times New Roman" w:hAnsi="Times New Roman" w:eastAsia="宋体" w:cs="Times New Roman"/>
                      <w:color w:val="000000"/>
                      <w:sz w:val="21"/>
                      <w:szCs w:val="21"/>
                      <w:u w:val="single"/>
                    </w:rPr>
                    <w:t>风速</w:t>
                  </w:r>
                  <w:r>
                    <w:rPr>
                      <w:rFonts w:hint="eastAsia" w:ascii="Times New Roman" w:hAnsi="Times New Roman" w:eastAsia="宋体" w:cs="Times New Roman"/>
                      <w:color w:val="000000"/>
                      <w:sz w:val="21"/>
                      <w:szCs w:val="21"/>
                      <w:u w:val="single"/>
                      <w:lang w:eastAsia="zh-CN"/>
                    </w:rPr>
                    <w:t>（</w:t>
                  </w:r>
                  <w:r>
                    <w:rPr>
                      <w:rFonts w:hint="default" w:ascii="Times New Roman" w:hAnsi="Times New Roman" w:eastAsia="宋体" w:cs="Times New Roman"/>
                      <w:color w:val="000000"/>
                      <w:sz w:val="21"/>
                      <w:szCs w:val="21"/>
                      <w:u w:val="single"/>
                    </w:rPr>
                    <w:t>m/s</w:t>
                  </w:r>
                  <w:r>
                    <w:rPr>
                      <w:rFonts w:hint="eastAsia" w:ascii="Times New Roman" w:hAnsi="Times New Roman" w:eastAsia="宋体" w:cs="Times New Roman"/>
                      <w:color w:val="000000"/>
                      <w:sz w:val="21"/>
                      <w:szCs w:val="21"/>
                      <w:u w:val="single"/>
                      <w:lang w:eastAsia="zh-CN"/>
                    </w:rPr>
                    <w:t>）</w:t>
                  </w:r>
                </w:p>
              </w:tc>
              <w:tc>
                <w:tcPr>
                  <w:tcW w:w="459" w:type="pct"/>
                  <w:vMerge w:val="continue"/>
                  <w:tcBorders>
                    <w:tl2br w:val="nil"/>
                    <w:tr2bl w:val="nil"/>
                  </w:tcBorders>
                  <w:noWrap w:val="0"/>
                  <w:vAlign w:val="center"/>
                </w:tcPr>
                <w:p w14:paraId="029BA34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21"/>
                      <w:szCs w:val="21"/>
                      <w:u w:val="single"/>
                    </w:rPr>
                  </w:pPr>
                </w:p>
              </w:tc>
              <w:tc>
                <w:tcPr>
                  <w:tcW w:w="664" w:type="pct"/>
                  <w:vMerge w:val="continue"/>
                  <w:tcBorders>
                    <w:tl2br w:val="nil"/>
                    <w:tr2bl w:val="nil"/>
                  </w:tcBorders>
                  <w:noWrap w:val="0"/>
                  <w:vAlign w:val="center"/>
                </w:tcPr>
                <w:p w14:paraId="35AB67D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21"/>
                      <w:szCs w:val="21"/>
                      <w:u w:val="single"/>
                    </w:rPr>
                  </w:pPr>
                </w:p>
              </w:tc>
              <w:tc>
                <w:tcPr>
                  <w:tcW w:w="664" w:type="pct"/>
                  <w:vMerge w:val="continue"/>
                  <w:tcBorders>
                    <w:tl2br w:val="nil"/>
                    <w:tr2bl w:val="nil"/>
                  </w:tcBorders>
                  <w:noWrap w:val="0"/>
                  <w:vAlign w:val="center"/>
                </w:tcPr>
                <w:p w14:paraId="1520BD3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21"/>
                      <w:szCs w:val="21"/>
                      <w:u w:val="single"/>
                    </w:rPr>
                  </w:pPr>
                </w:p>
              </w:tc>
            </w:tr>
            <w:tr w14:paraId="32869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0" w:hRule="atLeast"/>
                <w:jc w:val="center"/>
              </w:trPr>
              <w:tc>
                <w:tcPr>
                  <w:tcW w:w="513" w:type="pct"/>
                  <w:tcBorders>
                    <w:tl2br w:val="nil"/>
                    <w:tr2bl w:val="nil"/>
                  </w:tcBorders>
                  <w:noWrap w:val="0"/>
                  <w:vAlign w:val="center"/>
                </w:tcPr>
                <w:p w14:paraId="4BF1426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 w:val="21"/>
                      <w:szCs w:val="21"/>
                      <w:u w:val="single"/>
                      <w:lang w:val="en-US" w:eastAsia="zh-CN"/>
                    </w:rPr>
                  </w:pPr>
                  <w:r>
                    <w:rPr>
                      <w:rFonts w:hint="eastAsia" w:ascii="Times New Roman" w:hAnsi="Times New Roman" w:eastAsia="宋体" w:cs="Times New Roman"/>
                      <w:color w:val="000000"/>
                      <w:sz w:val="21"/>
                      <w:szCs w:val="21"/>
                      <w:u w:val="single"/>
                      <w:lang w:val="en-US" w:eastAsia="zh-CN"/>
                    </w:rPr>
                    <w:t>注塑</w:t>
                  </w:r>
                </w:p>
              </w:tc>
              <w:tc>
                <w:tcPr>
                  <w:tcW w:w="518" w:type="pct"/>
                  <w:tcBorders>
                    <w:tl2br w:val="nil"/>
                    <w:tr2bl w:val="nil"/>
                  </w:tcBorders>
                  <w:noWrap w:val="0"/>
                  <w:vAlign w:val="center"/>
                </w:tcPr>
                <w:p w14:paraId="399004EF">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 w:val="21"/>
                      <w:szCs w:val="21"/>
                      <w:u w:val="single"/>
                      <w:lang w:eastAsia="zh-CN"/>
                    </w:rPr>
                  </w:pPr>
                  <w:r>
                    <w:rPr>
                      <w:rFonts w:hint="default" w:ascii="Times New Roman" w:hAnsi="Times New Roman" w:eastAsia="宋体" w:cs="Times New Roman"/>
                      <w:color w:val="000000"/>
                      <w:sz w:val="21"/>
                      <w:szCs w:val="21"/>
                      <w:u w:val="single"/>
                    </w:rPr>
                    <w:t>0.</w:t>
                  </w:r>
                  <w:r>
                    <w:rPr>
                      <w:rFonts w:hint="eastAsia" w:ascii="Times New Roman" w:hAnsi="Times New Roman" w:eastAsia="宋体" w:cs="Times New Roman"/>
                      <w:color w:val="000000"/>
                      <w:sz w:val="21"/>
                      <w:szCs w:val="21"/>
                      <w:u w:val="single"/>
                      <w:lang w:val="en-US" w:eastAsia="zh-CN"/>
                    </w:rPr>
                    <w:t>3</w:t>
                  </w:r>
                </w:p>
              </w:tc>
              <w:tc>
                <w:tcPr>
                  <w:tcW w:w="519" w:type="pct"/>
                  <w:tcBorders>
                    <w:tl2br w:val="nil"/>
                    <w:tr2bl w:val="nil"/>
                  </w:tcBorders>
                  <w:noWrap w:val="0"/>
                  <w:vAlign w:val="center"/>
                </w:tcPr>
                <w:p w14:paraId="41436801">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sz w:val="21"/>
                      <w:szCs w:val="21"/>
                      <w:u w:val="single"/>
                      <w:lang w:eastAsia="zh-CN"/>
                    </w:rPr>
                  </w:pPr>
                  <w:r>
                    <w:rPr>
                      <w:rFonts w:hint="default" w:ascii="Times New Roman" w:hAnsi="Times New Roman" w:eastAsia="宋体" w:cs="Times New Roman"/>
                      <w:color w:val="000000"/>
                      <w:sz w:val="21"/>
                      <w:szCs w:val="21"/>
                      <w:u w:val="single"/>
                    </w:rPr>
                    <w:t>0.</w:t>
                  </w:r>
                  <w:r>
                    <w:rPr>
                      <w:rFonts w:hint="eastAsia" w:ascii="Times New Roman" w:hAnsi="Times New Roman" w:eastAsia="宋体" w:cs="Times New Roman"/>
                      <w:color w:val="000000"/>
                      <w:sz w:val="21"/>
                      <w:szCs w:val="21"/>
                      <w:u w:val="single"/>
                      <w:lang w:val="en-US" w:eastAsia="zh-CN"/>
                    </w:rPr>
                    <w:t>4</w:t>
                  </w:r>
                </w:p>
              </w:tc>
              <w:tc>
                <w:tcPr>
                  <w:tcW w:w="519" w:type="pct"/>
                  <w:tcBorders>
                    <w:tl2br w:val="nil"/>
                    <w:tr2bl w:val="nil"/>
                  </w:tcBorders>
                  <w:noWrap w:val="0"/>
                  <w:vAlign w:val="center"/>
                </w:tcPr>
                <w:p w14:paraId="7D61D04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21"/>
                      <w:szCs w:val="21"/>
                      <w:u w:val="single"/>
                      <w:lang w:val="en-US" w:eastAsia="zh-CN"/>
                    </w:rPr>
                  </w:pPr>
                  <w:r>
                    <w:rPr>
                      <w:rFonts w:hint="default" w:ascii="Times New Roman" w:hAnsi="Times New Roman" w:eastAsia="宋体" w:cs="Times New Roman"/>
                      <w:color w:val="000000"/>
                      <w:sz w:val="21"/>
                      <w:szCs w:val="21"/>
                      <w:u w:val="single"/>
                    </w:rPr>
                    <w:t>0.</w:t>
                  </w:r>
                  <w:r>
                    <w:rPr>
                      <w:rFonts w:hint="eastAsia" w:ascii="Times New Roman" w:hAnsi="Times New Roman" w:eastAsia="宋体" w:cs="Times New Roman"/>
                      <w:color w:val="000000"/>
                      <w:sz w:val="21"/>
                      <w:szCs w:val="21"/>
                      <w:u w:val="single"/>
                      <w:lang w:val="en-US" w:eastAsia="zh-CN"/>
                    </w:rPr>
                    <w:t>4</w:t>
                  </w:r>
                </w:p>
              </w:tc>
              <w:tc>
                <w:tcPr>
                  <w:tcW w:w="1141" w:type="pct"/>
                  <w:tcBorders>
                    <w:tl2br w:val="nil"/>
                    <w:tr2bl w:val="nil"/>
                  </w:tcBorders>
                  <w:noWrap w:val="0"/>
                  <w:vAlign w:val="center"/>
                </w:tcPr>
                <w:p w14:paraId="7B3314CD">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color w:val="000000"/>
                      <w:sz w:val="21"/>
                      <w:szCs w:val="21"/>
                      <w:u w:val="single"/>
                      <w:lang w:val="en-US" w:eastAsia="zh-CN"/>
                    </w:rPr>
                  </w:pPr>
                  <w:r>
                    <w:rPr>
                      <w:rFonts w:hint="eastAsia"/>
                      <w:color w:val="000000"/>
                      <w:sz w:val="21"/>
                      <w:szCs w:val="21"/>
                      <w:u w:val="single"/>
                      <w:lang w:val="en-US" w:eastAsia="zh-CN"/>
                    </w:rPr>
                    <w:t>0.5</w:t>
                  </w:r>
                </w:p>
              </w:tc>
              <w:tc>
                <w:tcPr>
                  <w:tcW w:w="459" w:type="pct"/>
                  <w:tcBorders>
                    <w:tl2br w:val="nil"/>
                    <w:tr2bl w:val="nil"/>
                  </w:tcBorders>
                  <w:noWrap w:val="0"/>
                  <w:vAlign w:val="center"/>
                </w:tcPr>
                <w:p w14:paraId="29EE761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21"/>
                      <w:szCs w:val="21"/>
                      <w:u w:val="single"/>
                      <w:lang w:val="en-US" w:eastAsia="zh-CN"/>
                    </w:rPr>
                  </w:pPr>
                  <w:r>
                    <w:rPr>
                      <w:rFonts w:hint="eastAsia" w:ascii="Times New Roman" w:hAnsi="Times New Roman" w:eastAsia="宋体" w:cs="Times New Roman"/>
                      <w:color w:val="000000"/>
                      <w:sz w:val="21"/>
                      <w:szCs w:val="21"/>
                      <w:u w:val="single"/>
                      <w:lang w:val="en-US" w:eastAsia="zh-CN"/>
                    </w:rPr>
                    <w:t>4</w:t>
                  </w:r>
                </w:p>
              </w:tc>
              <w:tc>
                <w:tcPr>
                  <w:tcW w:w="664" w:type="pct"/>
                  <w:tcBorders>
                    <w:tl2br w:val="nil"/>
                    <w:tr2bl w:val="nil"/>
                  </w:tcBorders>
                  <w:noWrap w:val="0"/>
                  <w:vAlign w:val="center"/>
                </w:tcPr>
                <w:p w14:paraId="2ECF44B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21"/>
                      <w:szCs w:val="21"/>
                      <w:u w:val="single"/>
                      <w:lang w:val="en-US" w:eastAsia="zh-CN"/>
                    </w:rPr>
                  </w:pPr>
                  <w:r>
                    <w:rPr>
                      <w:rFonts w:hint="eastAsia" w:ascii="Times New Roman" w:hAnsi="Times New Roman" w:eastAsia="宋体" w:cs="Times New Roman"/>
                      <w:color w:val="000000"/>
                      <w:sz w:val="21"/>
                      <w:szCs w:val="21"/>
                      <w:u w:val="single"/>
                      <w:lang w:val="en-US" w:eastAsia="zh-CN"/>
                    </w:rPr>
                    <w:t>4147.2</w:t>
                  </w:r>
                </w:p>
              </w:tc>
              <w:tc>
                <w:tcPr>
                  <w:tcW w:w="664" w:type="pct"/>
                  <w:tcBorders>
                    <w:tl2br w:val="nil"/>
                    <w:tr2bl w:val="nil"/>
                  </w:tcBorders>
                  <w:noWrap w:val="0"/>
                  <w:vAlign w:val="center"/>
                </w:tcPr>
                <w:p w14:paraId="49F36CB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21"/>
                      <w:szCs w:val="21"/>
                      <w:u w:val="single"/>
                      <w:lang w:val="en-US"/>
                    </w:rPr>
                  </w:pPr>
                  <w:r>
                    <w:rPr>
                      <w:rFonts w:hint="eastAsia" w:ascii="Times New Roman" w:hAnsi="Times New Roman" w:eastAsia="宋体" w:cs="Times New Roman"/>
                      <w:color w:val="000000"/>
                      <w:sz w:val="21"/>
                      <w:szCs w:val="21"/>
                      <w:u w:val="single"/>
                      <w:lang w:val="en-US" w:eastAsia="zh-CN"/>
                    </w:rPr>
                    <w:t>5000</w:t>
                  </w:r>
                </w:p>
              </w:tc>
            </w:tr>
            <w:tr w14:paraId="00892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90" w:hRule="atLeast"/>
                <w:jc w:val="center"/>
              </w:trPr>
              <w:tc>
                <w:tcPr>
                  <w:tcW w:w="513" w:type="pct"/>
                  <w:tcBorders>
                    <w:tl2br w:val="nil"/>
                    <w:tr2bl w:val="nil"/>
                  </w:tcBorders>
                  <w:noWrap w:val="0"/>
                  <w:vAlign w:val="center"/>
                </w:tcPr>
                <w:p w14:paraId="7AC3DCF9">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kern w:val="2"/>
                      <w:sz w:val="21"/>
                      <w:szCs w:val="21"/>
                      <w:u w:val="single"/>
                      <w:lang w:val="en-US" w:eastAsia="zh-CN" w:bidi="ar-SA"/>
                    </w:rPr>
                  </w:pPr>
                  <w:r>
                    <w:rPr>
                      <w:rFonts w:hint="eastAsia" w:ascii="Times New Roman" w:hAnsi="Times New Roman" w:eastAsia="宋体" w:cs="Times New Roman"/>
                      <w:color w:val="000000"/>
                      <w:sz w:val="21"/>
                      <w:szCs w:val="21"/>
                      <w:u w:val="single"/>
                      <w:lang w:val="en-US" w:eastAsia="zh-CN"/>
                    </w:rPr>
                    <w:t>投料</w:t>
                  </w:r>
                </w:p>
              </w:tc>
              <w:tc>
                <w:tcPr>
                  <w:tcW w:w="518" w:type="pct"/>
                  <w:tcBorders>
                    <w:tl2br w:val="nil"/>
                    <w:tr2bl w:val="nil"/>
                  </w:tcBorders>
                  <w:noWrap w:val="0"/>
                  <w:vAlign w:val="center"/>
                </w:tcPr>
                <w:p w14:paraId="5A1BE7A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21"/>
                      <w:szCs w:val="21"/>
                      <w:u w:val="single"/>
                      <w:lang w:val="en-US" w:eastAsia="zh-CN" w:bidi="ar-SA"/>
                    </w:rPr>
                  </w:pPr>
                  <w:r>
                    <w:rPr>
                      <w:rFonts w:hint="default" w:ascii="Times New Roman" w:hAnsi="Times New Roman" w:eastAsia="宋体" w:cs="Times New Roman"/>
                      <w:color w:val="000000"/>
                      <w:sz w:val="21"/>
                      <w:szCs w:val="21"/>
                      <w:u w:val="single"/>
                    </w:rPr>
                    <w:t>0.</w:t>
                  </w:r>
                  <w:r>
                    <w:rPr>
                      <w:rFonts w:hint="eastAsia" w:ascii="Times New Roman" w:hAnsi="Times New Roman" w:eastAsia="宋体" w:cs="Times New Roman"/>
                      <w:color w:val="000000"/>
                      <w:sz w:val="21"/>
                      <w:szCs w:val="21"/>
                      <w:u w:val="single"/>
                      <w:lang w:val="en-US" w:eastAsia="zh-CN"/>
                    </w:rPr>
                    <w:t>3</w:t>
                  </w:r>
                </w:p>
              </w:tc>
              <w:tc>
                <w:tcPr>
                  <w:tcW w:w="519" w:type="pct"/>
                  <w:tcBorders>
                    <w:tl2br w:val="nil"/>
                    <w:tr2bl w:val="nil"/>
                  </w:tcBorders>
                  <w:noWrap w:val="0"/>
                  <w:vAlign w:val="center"/>
                </w:tcPr>
                <w:p w14:paraId="07BA712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21"/>
                      <w:szCs w:val="21"/>
                      <w:u w:val="single"/>
                      <w:lang w:val="en-US" w:eastAsia="zh-CN" w:bidi="ar-SA"/>
                    </w:rPr>
                  </w:pPr>
                  <w:r>
                    <w:rPr>
                      <w:rFonts w:hint="default" w:ascii="Times New Roman" w:hAnsi="Times New Roman" w:eastAsia="宋体" w:cs="Times New Roman"/>
                      <w:color w:val="000000"/>
                      <w:sz w:val="21"/>
                      <w:szCs w:val="21"/>
                      <w:u w:val="single"/>
                    </w:rPr>
                    <w:t>0.</w:t>
                  </w:r>
                  <w:r>
                    <w:rPr>
                      <w:rFonts w:hint="eastAsia" w:ascii="Times New Roman" w:hAnsi="Times New Roman" w:eastAsia="宋体" w:cs="Times New Roman"/>
                      <w:color w:val="000000"/>
                      <w:sz w:val="21"/>
                      <w:szCs w:val="21"/>
                      <w:u w:val="single"/>
                      <w:lang w:val="en-US" w:eastAsia="zh-CN"/>
                    </w:rPr>
                    <w:t>5</w:t>
                  </w:r>
                </w:p>
              </w:tc>
              <w:tc>
                <w:tcPr>
                  <w:tcW w:w="519" w:type="pct"/>
                  <w:tcBorders>
                    <w:tl2br w:val="nil"/>
                    <w:tr2bl w:val="nil"/>
                  </w:tcBorders>
                  <w:noWrap w:val="0"/>
                  <w:vAlign w:val="center"/>
                </w:tcPr>
                <w:p w14:paraId="47737B6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21"/>
                      <w:szCs w:val="21"/>
                      <w:u w:val="single"/>
                      <w:lang w:val="en-US" w:eastAsia="zh-CN" w:bidi="ar-SA"/>
                    </w:rPr>
                  </w:pPr>
                  <w:r>
                    <w:rPr>
                      <w:rFonts w:hint="default" w:ascii="Times New Roman" w:hAnsi="Times New Roman" w:eastAsia="宋体" w:cs="Times New Roman"/>
                      <w:color w:val="000000"/>
                      <w:sz w:val="21"/>
                      <w:szCs w:val="21"/>
                      <w:u w:val="single"/>
                    </w:rPr>
                    <w:t>0.</w:t>
                  </w:r>
                  <w:r>
                    <w:rPr>
                      <w:rFonts w:hint="eastAsia" w:ascii="Times New Roman" w:hAnsi="Times New Roman" w:eastAsia="宋体" w:cs="Times New Roman"/>
                      <w:color w:val="000000"/>
                      <w:sz w:val="21"/>
                      <w:szCs w:val="21"/>
                      <w:u w:val="single"/>
                      <w:lang w:val="en-US" w:eastAsia="zh-CN"/>
                    </w:rPr>
                    <w:t>5</w:t>
                  </w:r>
                </w:p>
              </w:tc>
              <w:tc>
                <w:tcPr>
                  <w:tcW w:w="1141" w:type="pct"/>
                  <w:tcBorders>
                    <w:tl2br w:val="nil"/>
                    <w:tr2bl w:val="nil"/>
                  </w:tcBorders>
                  <w:noWrap w:val="0"/>
                  <w:vAlign w:val="center"/>
                </w:tcPr>
                <w:p w14:paraId="0514FD7F">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00"/>
                      <w:kern w:val="2"/>
                      <w:sz w:val="21"/>
                      <w:szCs w:val="21"/>
                      <w:u w:val="single"/>
                      <w:lang w:val="en-US" w:eastAsia="zh-CN" w:bidi="ar-SA"/>
                    </w:rPr>
                  </w:pPr>
                  <w:r>
                    <w:rPr>
                      <w:rFonts w:hint="eastAsia"/>
                      <w:color w:val="000000"/>
                      <w:sz w:val="21"/>
                      <w:szCs w:val="21"/>
                      <w:u w:val="single"/>
                      <w:lang w:val="en-US" w:eastAsia="zh-CN"/>
                    </w:rPr>
                    <w:t>0.5</w:t>
                  </w:r>
                </w:p>
              </w:tc>
              <w:tc>
                <w:tcPr>
                  <w:tcW w:w="459" w:type="pct"/>
                  <w:tcBorders>
                    <w:tl2br w:val="nil"/>
                    <w:tr2bl w:val="nil"/>
                  </w:tcBorders>
                  <w:noWrap w:val="0"/>
                  <w:vAlign w:val="center"/>
                </w:tcPr>
                <w:p w14:paraId="53149EE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kern w:val="2"/>
                      <w:sz w:val="21"/>
                      <w:szCs w:val="21"/>
                      <w:u w:val="single"/>
                      <w:lang w:val="en-US" w:eastAsia="zh-CN" w:bidi="ar-SA"/>
                    </w:rPr>
                  </w:pPr>
                  <w:r>
                    <w:rPr>
                      <w:rFonts w:hint="eastAsia" w:ascii="Times New Roman" w:hAnsi="Times New Roman" w:eastAsia="宋体" w:cs="Times New Roman"/>
                      <w:color w:val="000000"/>
                      <w:sz w:val="21"/>
                      <w:szCs w:val="21"/>
                      <w:u w:val="single"/>
                      <w:lang w:val="en-US" w:eastAsia="zh-CN"/>
                    </w:rPr>
                    <w:t>2</w:t>
                  </w:r>
                </w:p>
              </w:tc>
              <w:tc>
                <w:tcPr>
                  <w:tcW w:w="664" w:type="pct"/>
                  <w:tcBorders>
                    <w:tl2br w:val="nil"/>
                    <w:tr2bl w:val="nil"/>
                  </w:tcBorders>
                  <w:noWrap w:val="0"/>
                  <w:vAlign w:val="center"/>
                </w:tcPr>
                <w:p w14:paraId="2F33644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21"/>
                      <w:szCs w:val="21"/>
                      <w:u w:val="single"/>
                      <w:lang w:val="en-US" w:eastAsia="zh-CN" w:bidi="ar-SA"/>
                    </w:rPr>
                  </w:pPr>
                  <w:r>
                    <w:rPr>
                      <w:rFonts w:hint="eastAsia" w:ascii="Times New Roman" w:hAnsi="Times New Roman" w:eastAsia="宋体" w:cs="Times New Roman"/>
                      <w:color w:val="000000"/>
                      <w:sz w:val="21"/>
                      <w:szCs w:val="21"/>
                      <w:u w:val="single"/>
                      <w:lang w:val="en-US" w:eastAsia="zh-CN"/>
                    </w:rPr>
                    <w:t>2592</w:t>
                  </w:r>
                </w:p>
              </w:tc>
              <w:tc>
                <w:tcPr>
                  <w:tcW w:w="664" w:type="pct"/>
                  <w:vMerge w:val="restart"/>
                  <w:tcBorders>
                    <w:tl2br w:val="nil"/>
                    <w:tr2bl w:val="nil"/>
                  </w:tcBorders>
                  <w:noWrap w:val="0"/>
                  <w:vAlign w:val="center"/>
                </w:tcPr>
                <w:p w14:paraId="2CAC1AED">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000000"/>
                      <w:kern w:val="2"/>
                      <w:sz w:val="21"/>
                      <w:szCs w:val="21"/>
                      <w:u w:val="single"/>
                      <w:lang w:val="en-US" w:eastAsia="zh-CN" w:bidi="ar-SA"/>
                    </w:rPr>
                  </w:pPr>
                  <w:r>
                    <w:rPr>
                      <w:rFonts w:hint="eastAsia" w:cs="Times New Roman"/>
                      <w:color w:val="000000"/>
                      <w:sz w:val="21"/>
                      <w:szCs w:val="21"/>
                      <w:u w:val="single"/>
                      <w:lang w:val="en-US" w:eastAsia="zh-CN"/>
                    </w:rPr>
                    <w:t>9000</w:t>
                  </w:r>
                </w:p>
              </w:tc>
            </w:tr>
            <w:tr w14:paraId="07325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0" w:hRule="atLeast"/>
                <w:jc w:val="center"/>
              </w:trPr>
              <w:tc>
                <w:tcPr>
                  <w:tcW w:w="513" w:type="pct"/>
                  <w:tcBorders>
                    <w:tl2br w:val="nil"/>
                    <w:tr2bl w:val="nil"/>
                  </w:tcBorders>
                  <w:noWrap w:val="0"/>
                  <w:vAlign w:val="center"/>
                </w:tcPr>
                <w:p w14:paraId="401F8620">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kern w:val="2"/>
                      <w:sz w:val="21"/>
                      <w:szCs w:val="21"/>
                      <w:u w:val="single"/>
                      <w:lang w:val="en-US" w:eastAsia="zh-CN" w:bidi="ar-SA"/>
                    </w:rPr>
                  </w:pPr>
                  <w:r>
                    <w:rPr>
                      <w:rFonts w:hint="eastAsia" w:ascii="Times New Roman" w:hAnsi="Times New Roman" w:eastAsia="宋体" w:cs="Times New Roman"/>
                      <w:color w:val="000000"/>
                      <w:sz w:val="21"/>
                      <w:szCs w:val="21"/>
                      <w:u w:val="single"/>
                      <w:lang w:val="en-US" w:eastAsia="zh-CN"/>
                    </w:rPr>
                    <w:t>粉碎</w:t>
                  </w:r>
                </w:p>
              </w:tc>
              <w:tc>
                <w:tcPr>
                  <w:tcW w:w="518" w:type="pct"/>
                  <w:tcBorders>
                    <w:tl2br w:val="nil"/>
                    <w:tr2bl w:val="nil"/>
                  </w:tcBorders>
                  <w:noWrap w:val="0"/>
                  <w:vAlign w:val="center"/>
                </w:tcPr>
                <w:p w14:paraId="4674CEB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21"/>
                      <w:szCs w:val="21"/>
                      <w:u w:val="single"/>
                      <w:lang w:val="en-US" w:eastAsia="zh-CN" w:bidi="ar-SA"/>
                    </w:rPr>
                  </w:pPr>
                  <w:r>
                    <w:rPr>
                      <w:rFonts w:hint="default" w:ascii="Times New Roman" w:hAnsi="Times New Roman" w:eastAsia="宋体" w:cs="Times New Roman"/>
                      <w:color w:val="000000"/>
                      <w:sz w:val="21"/>
                      <w:szCs w:val="21"/>
                      <w:u w:val="single"/>
                    </w:rPr>
                    <w:t>0.</w:t>
                  </w:r>
                  <w:r>
                    <w:rPr>
                      <w:rFonts w:hint="eastAsia" w:ascii="Times New Roman" w:hAnsi="Times New Roman" w:eastAsia="宋体" w:cs="Times New Roman"/>
                      <w:color w:val="000000"/>
                      <w:sz w:val="21"/>
                      <w:szCs w:val="21"/>
                      <w:u w:val="single"/>
                      <w:lang w:val="en-US" w:eastAsia="zh-CN"/>
                    </w:rPr>
                    <w:t>3</w:t>
                  </w:r>
                </w:p>
              </w:tc>
              <w:tc>
                <w:tcPr>
                  <w:tcW w:w="519" w:type="pct"/>
                  <w:tcBorders>
                    <w:tl2br w:val="nil"/>
                    <w:tr2bl w:val="nil"/>
                  </w:tcBorders>
                  <w:noWrap w:val="0"/>
                  <w:vAlign w:val="center"/>
                </w:tcPr>
                <w:p w14:paraId="50FF56DB">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kern w:val="2"/>
                      <w:sz w:val="21"/>
                      <w:szCs w:val="21"/>
                      <w:u w:val="single"/>
                      <w:lang w:val="en-US" w:eastAsia="zh-CN" w:bidi="ar-SA"/>
                    </w:rPr>
                  </w:pPr>
                  <w:r>
                    <w:rPr>
                      <w:rFonts w:hint="default" w:ascii="Times New Roman" w:hAnsi="Times New Roman" w:eastAsia="宋体" w:cs="Times New Roman"/>
                      <w:color w:val="000000"/>
                      <w:sz w:val="21"/>
                      <w:szCs w:val="21"/>
                      <w:u w:val="single"/>
                    </w:rPr>
                    <w:t>0.</w:t>
                  </w:r>
                  <w:r>
                    <w:rPr>
                      <w:rFonts w:hint="eastAsia" w:ascii="Times New Roman" w:hAnsi="Times New Roman" w:eastAsia="宋体" w:cs="Times New Roman"/>
                      <w:color w:val="000000"/>
                      <w:sz w:val="21"/>
                      <w:szCs w:val="21"/>
                      <w:u w:val="single"/>
                      <w:lang w:val="en-US" w:eastAsia="zh-CN"/>
                    </w:rPr>
                    <w:t>5</w:t>
                  </w:r>
                </w:p>
              </w:tc>
              <w:tc>
                <w:tcPr>
                  <w:tcW w:w="519" w:type="pct"/>
                  <w:tcBorders>
                    <w:tl2br w:val="nil"/>
                    <w:tr2bl w:val="nil"/>
                  </w:tcBorders>
                  <w:noWrap w:val="0"/>
                  <w:vAlign w:val="center"/>
                </w:tcPr>
                <w:p w14:paraId="47B067F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kern w:val="2"/>
                      <w:sz w:val="21"/>
                      <w:szCs w:val="21"/>
                      <w:u w:val="single"/>
                      <w:lang w:val="en-US" w:eastAsia="zh-CN" w:bidi="ar-SA"/>
                    </w:rPr>
                  </w:pPr>
                  <w:r>
                    <w:rPr>
                      <w:rFonts w:hint="default" w:ascii="Times New Roman" w:hAnsi="Times New Roman" w:eastAsia="宋体" w:cs="Times New Roman"/>
                      <w:color w:val="000000"/>
                      <w:sz w:val="21"/>
                      <w:szCs w:val="21"/>
                      <w:u w:val="single"/>
                    </w:rPr>
                    <w:t>0.</w:t>
                  </w:r>
                  <w:r>
                    <w:rPr>
                      <w:rFonts w:hint="eastAsia" w:ascii="Times New Roman" w:hAnsi="Times New Roman" w:eastAsia="宋体" w:cs="Times New Roman"/>
                      <w:color w:val="000000"/>
                      <w:sz w:val="21"/>
                      <w:szCs w:val="21"/>
                      <w:u w:val="single"/>
                      <w:lang w:val="en-US" w:eastAsia="zh-CN"/>
                    </w:rPr>
                    <w:t>5</w:t>
                  </w:r>
                </w:p>
              </w:tc>
              <w:tc>
                <w:tcPr>
                  <w:tcW w:w="1141" w:type="pct"/>
                  <w:tcBorders>
                    <w:tl2br w:val="nil"/>
                    <w:tr2bl w:val="nil"/>
                  </w:tcBorders>
                  <w:noWrap w:val="0"/>
                  <w:vAlign w:val="center"/>
                </w:tcPr>
                <w:p w14:paraId="64EB4DDD">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color w:val="000000"/>
                      <w:kern w:val="2"/>
                      <w:sz w:val="21"/>
                      <w:szCs w:val="21"/>
                      <w:u w:val="single"/>
                      <w:lang w:val="en-US" w:eastAsia="zh-CN" w:bidi="ar-SA"/>
                    </w:rPr>
                  </w:pPr>
                  <w:r>
                    <w:rPr>
                      <w:rFonts w:hint="eastAsia"/>
                      <w:color w:val="000000"/>
                      <w:sz w:val="21"/>
                      <w:szCs w:val="21"/>
                      <w:u w:val="single"/>
                      <w:lang w:val="en-US" w:eastAsia="zh-CN"/>
                    </w:rPr>
                    <w:t>0.5</w:t>
                  </w:r>
                </w:p>
              </w:tc>
              <w:tc>
                <w:tcPr>
                  <w:tcW w:w="459" w:type="pct"/>
                  <w:tcBorders>
                    <w:tl2br w:val="nil"/>
                    <w:tr2bl w:val="nil"/>
                  </w:tcBorders>
                  <w:noWrap w:val="0"/>
                  <w:vAlign w:val="center"/>
                </w:tcPr>
                <w:p w14:paraId="3F20AC0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21"/>
                      <w:szCs w:val="21"/>
                      <w:u w:val="single"/>
                      <w:lang w:val="en-US" w:eastAsia="zh-CN" w:bidi="ar-SA"/>
                    </w:rPr>
                  </w:pPr>
                  <w:r>
                    <w:rPr>
                      <w:rFonts w:hint="eastAsia" w:ascii="Times New Roman" w:hAnsi="Times New Roman" w:eastAsia="宋体" w:cs="Times New Roman"/>
                      <w:color w:val="000000"/>
                      <w:sz w:val="21"/>
                      <w:szCs w:val="21"/>
                      <w:u w:val="single"/>
                      <w:lang w:val="en-US" w:eastAsia="zh-CN"/>
                    </w:rPr>
                    <w:t>4</w:t>
                  </w:r>
                </w:p>
              </w:tc>
              <w:tc>
                <w:tcPr>
                  <w:tcW w:w="664" w:type="pct"/>
                  <w:tcBorders>
                    <w:tl2br w:val="nil"/>
                    <w:tr2bl w:val="nil"/>
                  </w:tcBorders>
                  <w:noWrap w:val="0"/>
                  <w:vAlign w:val="center"/>
                </w:tcPr>
                <w:p w14:paraId="2F0515C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kern w:val="2"/>
                      <w:sz w:val="21"/>
                      <w:szCs w:val="21"/>
                      <w:u w:val="single"/>
                      <w:lang w:val="en-US" w:eastAsia="zh-CN" w:bidi="ar-SA"/>
                    </w:rPr>
                  </w:pPr>
                  <w:r>
                    <w:rPr>
                      <w:rFonts w:hint="eastAsia" w:ascii="Times New Roman" w:hAnsi="Times New Roman" w:eastAsia="宋体" w:cs="Times New Roman"/>
                      <w:color w:val="000000"/>
                      <w:sz w:val="21"/>
                      <w:szCs w:val="21"/>
                      <w:u w:val="single"/>
                      <w:lang w:val="en-US" w:eastAsia="zh-CN"/>
                    </w:rPr>
                    <w:t>5184</w:t>
                  </w:r>
                </w:p>
              </w:tc>
              <w:tc>
                <w:tcPr>
                  <w:tcW w:w="664" w:type="pct"/>
                  <w:vMerge w:val="continue"/>
                  <w:tcBorders>
                    <w:tl2br w:val="nil"/>
                    <w:tr2bl w:val="nil"/>
                  </w:tcBorders>
                  <w:noWrap w:val="0"/>
                  <w:vAlign w:val="center"/>
                </w:tcPr>
                <w:p w14:paraId="7F028E4B">
                  <w:pPr>
                    <w:keepNext w:val="0"/>
                    <w:keepLines w:val="0"/>
                    <w:pageBreakBefore w:val="0"/>
                    <w:widowControl w:val="0"/>
                    <w:kinsoku/>
                    <w:wordWrap/>
                    <w:overflowPunct/>
                    <w:topLinePunct w:val="0"/>
                    <w:autoSpaceDE/>
                    <w:autoSpaceDN/>
                    <w:bidi w:val="0"/>
                    <w:adjustRightInd/>
                    <w:snapToGrid/>
                    <w:jc w:val="center"/>
                    <w:textAlignment w:val="auto"/>
                    <w:rPr>
                      <w:rFonts w:hint="default" w:cs="Times New Roman"/>
                      <w:color w:val="000000"/>
                      <w:kern w:val="2"/>
                      <w:sz w:val="21"/>
                      <w:szCs w:val="21"/>
                      <w:u w:val="single"/>
                      <w:lang w:val="en-US" w:eastAsia="zh-CN" w:bidi="ar-SA"/>
                    </w:rPr>
                  </w:pPr>
                </w:p>
              </w:tc>
            </w:tr>
          </w:tbl>
          <w:p w14:paraId="2BCC3C61">
            <w:pPr>
              <w:adjustRightInd w:val="0"/>
              <w:spacing w:line="360" w:lineRule="auto"/>
              <w:ind w:firstLine="480" w:firstLineChars="200"/>
              <w:rPr>
                <w:rFonts w:hint="eastAsia"/>
                <w:bCs/>
                <w:color w:val="000000"/>
                <w:sz w:val="24"/>
                <w:szCs w:val="24"/>
                <w:u w:val="single"/>
              </w:rPr>
            </w:pPr>
            <w:r>
              <w:rPr>
                <w:rFonts w:hint="eastAsia"/>
                <w:bCs/>
                <w:color w:val="000000"/>
                <w:sz w:val="24"/>
                <w:szCs w:val="24"/>
                <w:u w:val="single"/>
              </w:rPr>
              <w:t>评价建议废气治理设施采用变频风机，各</w:t>
            </w:r>
            <w:r>
              <w:rPr>
                <w:rFonts w:hint="eastAsia"/>
                <w:bCs/>
                <w:color w:val="000000"/>
                <w:sz w:val="24"/>
                <w:szCs w:val="24"/>
                <w:u w:val="single"/>
                <w:lang w:val="en-US" w:eastAsia="zh-CN"/>
              </w:rPr>
              <w:t>分支管道上安装风阀</w:t>
            </w:r>
            <w:r>
              <w:rPr>
                <w:rFonts w:hint="eastAsia"/>
                <w:bCs/>
                <w:color w:val="000000"/>
                <w:sz w:val="24"/>
                <w:szCs w:val="24"/>
                <w:u w:val="single"/>
              </w:rPr>
              <w:t>，根据不同工况</w:t>
            </w:r>
            <w:r>
              <w:rPr>
                <w:rFonts w:hint="eastAsia"/>
                <w:bCs/>
                <w:color w:val="000000"/>
                <w:sz w:val="24"/>
                <w:szCs w:val="24"/>
                <w:u w:val="single"/>
                <w:lang w:val="en-US" w:eastAsia="zh-CN"/>
              </w:rPr>
              <w:t>开启或关闭调节阀门，</w:t>
            </w:r>
            <w:r>
              <w:rPr>
                <w:rFonts w:hint="eastAsia"/>
                <w:bCs/>
                <w:color w:val="000000"/>
                <w:sz w:val="24"/>
                <w:szCs w:val="24"/>
                <w:u w:val="single"/>
              </w:rPr>
              <w:t>确保在不同工况下都能达到较好的捕集效果，减少</w:t>
            </w:r>
            <w:r>
              <w:rPr>
                <w:rFonts w:hint="eastAsia"/>
                <w:bCs/>
                <w:color w:val="000000"/>
                <w:sz w:val="24"/>
                <w:szCs w:val="24"/>
                <w:u w:val="single"/>
                <w:lang w:val="en-US" w:eastAsia="zh-CN"/>
              </w:rPr>
              <w:t>无组织废气</w:t>
            </w:r>
            <w:r>
              <w:rPr>
                <w:rFonts w:hint="eastAsia"/>
                <w:bCs/>
                <w:color w:val="000000"/>
                <w:sz w:val="24"/>
                <w:szCs w:val="24"/>
                <w:u w:val="single"/>
              </w:rPr>
              <w:t>外逸。</w:t>
            </w:r>
          </w:p>
          <w:p w14:paraId="050CC134">
            <w:pPr>
              <w:adjustRightInd w:val="0"/>
              <w:spacing w:line="360" w:lineRule="auto"/>
              <w:rPr>
                <w:rFonts w:hint="eastAsia"/>
                <w:bCs/>
                <w:color w:val="000000"/>
                <w:sz w:val="24"/>
              </w:rPr>
            </w:pPr>
            <w:r>
              <w:rPr>
                <w:rFonts w:hint="eastAsia"/>
                <w:bCs/>
                <w:color w:val="000000"/>
                <w:sz w:val="24"/>
              </w:rPr>
              <w:t>1.4废气排放口设置情况</w:t>
            </w:r>
          </w:p>
          <w:p w14:paraId="2A0762D7">
            <w:pPr>
              <w:adjustRightInd w:val="0"/>
              <w:spacing w:line="360" w:lineRule="auto"/>
              <w:ind w:firstLine="480" w:firstLineChars="200"/>
              <w:rPr>
                <w:bCs/>
                <w:color w:val="000000"/>
                <w:sz w:val="24"/>
                <w:u w:val="none"/>
              </w:rPr>
            </w:pPr>
            <w:r>
              <w:rPr>
                <w:bCs/>
                <w:color w:val="000000"/>
                <w:sz w:val="24"/>
                <w:u w:val="none"/>
              </w:rPr>
              <w:t>本项目有机废气治理设施废气排放口设置基本情况见下表。</w:t>
            </w:r>
          </w:p>
          <w:p w14:paraId="645C402E">
            <w:pPr>
              <w:tabs>
                <w:tab w:val="left" w:pos="7140"/>
              </w:tabs>
              <w:adjustRightInd w:val="0"/>
              <w:snapToGrid w:val="0"/>
              <w:spacing w:before="156" w:beforeLines="50"/>
              <w:jc w:val="center"/>
              <w:rPr>
                <w:rFonts w:ascii="黑体" w:hAnsi="黑体" w:eastAsia="黑体"/>
                <w:color w:val="000000"/>
                <w:sz w:val="24"/>
                <w:u w:val="none"/>
              </w:rPr>
            </w:pPr>
            <w:r>
              <w:rPr>
                <w:rFonts w:ascii="黑体" w:hAnsi="黑体" w:eastAsia="黑体"/>
                <w:color w:val="000000"/>
                <w:sz w:val="24"/>
                <w:szCs w:val="24"/>
                <w:u w:val="none"/>
              </w:rPr>
              <w:t>表</w:t>
            </w:r>
            <w:r>
              <w:rPr>
                <w:rFonts w:hint="eastAsia" w:ascii="黑体" w:hAnsi="黑体" w:eastAsia="黑体"/>
                <w:color w:val="000000"/>
                <w:sz w:val="24"/>
                <w:szCs w:val="24"/>
                <w:u w:val="none"/>
                <w:lang w:val="en-US" w:eastAsia="zh-CN"/>
              </w:rPr>
              <w:t>28</w:t>
            </w:r>
            <w:r>
              <w:rPr>
                <w:rFonts w:ascii="黑体" w:hAnsi="黑体" w:eastAsia="黑体"/>
                <w:color w:val="000000"/>
                <w:sz w:val="24"/>
                <w:szCs w:val="24"/>
                <w:u w:val="none"/>
              </w:rPr>
              <w:t xml:space="preserve">    </w:t>
            </w:r>
            <w:r>
              <w:rPr>
                <w:rFonts w:hint="eastAsia" w:ascii="黑体" w:hAnsi="黑体" w:eastAsia="黑体"/>
                <w:color w:val="000000"/>
                <w:sz w:val="24"/>
                <w:szCs w:val="24"/>
                <w:u w:val="none"/>
              </w:rPr>
              <w:t>排放口基本情况</w:t>
            </w:r>
            <w:r>
              <w:rPr>
                <w:rFonts w:ascii="黑体" w:hAnsi="黑体" w:eastAsia="黑体"/>
                <w:color w:val="000000"/>
                <w:sz w:val="24"/>
                <w:szCs w:val="24"/>
                <w:u w:val="none"/>
              </w:rPr>
              <w:t>一览表</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45" w:type="dxa"/>
                <w:bottom w:w="0" w:type="dxa"/>
                <w:right w:w="45" w:type="dxa"/>
              </w:tblCellMar>
            </w:tblPr>
            <w:tblGrid>
              <w:gridCol w:w="1482"/>
              <w:gridCol w:w="1600"/>
              <w:gridCol w:w="1529"/>
              <w:gridCol w:w="931"/>
              <w:gridCol w:w="1002"/>
              <w:gridCol w:w="755"/>
              <w:gridCol w:w="883"/>
            </w:tblGrid>
            <w:tr w14:paraId="44728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45" w:type="dxa"/>
                  <w:bottom w:w="0" w:type="dxa"/>
                  <w:right w:w="45" w:type="dxa"/>
                </w:tblCellMar>
              </w:tblPrEx>
              <w:trPr>
                <w:trHeight w:val="64" w:hRule="atLeast"/>
                <w:jc w:val="center"/>
              </w:trPr>
              <w:tc>
                <w:tcPr>
                  <w:tcW w:w="905" w:type="pct"/>
                  <w:vMerge w:val="restart"/>
                  <w:noWrap w:val="0"/>
                  <w:vAlign w:val="center"/>
                </w:tcPr>
                <w:p w14:paraId="68A7225C">
                  <w:pPr>
                    <w:adjustRightInd w:val="0"/>
                    <w:jc w:val="center"/>
                    <w:rPr>
                      <w:color w:val="000000"/>
                      <w:szCs w:val="21"/>
                      <w:u w:val="none"/>
                    </w:rPr>
                  </w:pPr>
                  <w:r>
                    <w:rPr>
                      <w:color w:val="000000"/>
                      <w:szCs w:val="21"/>
                      <w:u w:val="none"/>
                    </w:rPr>
                    <w:t>名称</w:t>
                  </w:r>
                </w:p>
              </w:tc>
              <w:tc>
                <w:tcPr>
                  <w:tcW w:w="1912" w:type="pct"/>
                  <w:gridSpan w:val="2"/>
                  <w:noWrap w:val="0"/>
                  <w:vAlign w:val="center"/>
                </w:tcPr>
                <w:p w14:paraId="40296213">
                  <w:pPr>
                    <w:adjustRightInd w:val="0"/>
                    <w:jc w:val="center"/>
                    <w:rPr>
                      <w:color w:val="000000"/>
                      <w:szCs w:val="21"/>
                      <w:u w:val="none"/>
                    </w:rPr>
                  </w:pPr>
                  <w:r>
                    <w:rPr>
                      <w:color w:val="000000"/>
                      <w:szCs w:val="21"/>
                      <w:u w:val="none"/>
                    </w:rPr>
                    <w:t>排气筒底部中心坐标</w:t>
                  </w:r>
                </w:p>
              </w:tc>
              <w:tc>
                <w:tcPr>
                  <w:tcW w:w="568" w:type="pct"/>
                  <w:vMerge w:val="restart"/>
                  <w:noWrap w:val="0"/>
                  <w:vAlign w:val="center"/>
                </w:tcPr>
                <w:p w14:paraId="33E59530">
                  <w:pPr>
                    <w:adjustRightInd w:val="0"/>
                    <w:jc w:val="center"/>
                    <w:rPr>
                      <w:color w:val="000000"/>
                      <w:szCs w:val="21"/>
                      <w:u w:val="none"/>
                    </w:rPr>
                  </w:pPr>
                  <w:r>
                    <w:rPr>
                      <w:color w:val="000000"/>
                      <w:szCs w:val="21"/>
                      <w:u w:val="none"/>
                    </w:rPr>
                    <w:t>排气筒</w:t>
                  </w:r>
                </w:p>
                <w:p w14:paraId="60B81AE1">
                  <w:pPr>
                    <w:adjustRightInd w:val="0"/>
                    <w:jc w:val="center"/>
                    <w:rPr>
                      <w:color w:val="000000"/>
                      <w:szCs w:val="21"/>
                      <w:u w:val="none"/>
                    </w:rPr>
                  </w:pPr>
                  <w:r>
                    <w:rPr>
                      <w:color w:val="000000"/>
                      <w:szCs w:val="21"/>
                      <w:u w:val="none"/>
                    </w:rPr>
                    <w:t>高度</w:t>
                  </w:r>
                </w:p>
              </w:tc>
              <w:tc>
                <w:tcPr>
                  <w:tcW w:w="612" w:type="pct"/>
                  <w:vMerge w:val="restart"/>
                  <w:noWrap w:val="0"/>
                  <w:vAlign w:val="center"/>
                </w:tcPr>
                <w:p w14:paraId="5A7199D0">
                  <w:pPr>
                    <w:adjustRightInd w:val="0"/>
                    <w:jc w:val="center"/>
                    <w:rPr>
                      <w:rFonts w:hint="eastAsia"/>
                      <w:color w:val="000000"/>
                      <w:szCs w:val="21"/>
                      <w:u w:val="none"/>
                    </w:rPr>
                  </w:pPr>
                  <w:r>
                    <w:rPr>
                      <w:color w:val="000000"/>
                      <w:szCs w:val="21"/>
                      <w:u w:val="none"/>
                    </w:rPr>
                    <w:t>排气筒出</w:t>
                  </w:r>
                </w:p>
                <w:p w14:paraId="6BC06E82">
                  <w:pPr>
                    <w:adjustRightInd w:val="0"/>
                    <w:jc w:val="center"/>
                    <w:rPr>
                      <w:color w:val="000000"/>
                      <w:szCs w:val="21"/>
                      <w:u w:val="none"/>
                    </w:rPr>
                  </w:pPr>
                  <w:r>
                    <w:rPr>
                      <w:color w:val="000000"/>
                      <w:szCs w:val="21"/>
                      <w:u w:val="none"/>
                    </w:rPr>
                    <w:t>口内径</w:t>
                  </w:r>
                </w:p>
              </w:tc>
              <w:tc>
                <w:tcPr>
                  <w:tcW w:w="461" w:type="pct"/>
                  <w:vMerge w:val="restart"/>
                  <w:noWrap w:val="0"/>
                  <w:vAlign w:val="center"/>
                </w:tcPr>
                <w:p w14:paraId="59F384FE">
                  <w:pPr>
                    <w:adjustRightInd w:val="0"/>
                    <w:jc w:val="center"/>
                    <w:rPr>
                      <w:color w:val="000000"/>
                      <w:szCs w:val="21"/>
                      <w:u w:val="none"/>
                    </w:rPr>
                  </w:pPr>
                  <w:r>
                    <w:rPr>
                      <w:color w:val="000000"/>
                      <w:szCs w:val="21"/>
                      <w:u w:val="none"/>
                    </w:rPr>
                    <w:t>烟气</w:t>
                  </w:r>
                </w:p>
                <w:p w14:paraId="44B27E4B">
                  <w:pPr>
                    <w:adjustRightInd w:val="0"/>
                    <w:jc w:val="center"/>
                    <w:rPr>
                      <w:color w:val="000000"/>
                      <w:szCs w:val="21"/>
                      <w:u w:val="none"/>
                    </w:rPr>
                  </w:pPr>
                  <w:r>
                    <w:rPr>
                      <w:color w:val="000000"/>
                      <w:szCs w:val="21"/>
                      <w:u w:val="none"/>
                    </w:rPr>
                    <w:t>温度</w:t>
                  </w:r>
                </w:p>
              </w:tc>
              <w:tc>
                <w:tcPr>
                  <w:tcW w:w="539" w:type="pct"/>
                  <w:vMerge w:val="restart"/>
                  <w:noWrap w:val="0"/>
                  <w:vAlign w:val="center"/>
                </w:tcPr>
                <w:p w14:paraId="068D3C3A">
                  <w:pPr>
                    <w:adjustRightInd w:val="0"/>
                    <w:jc w:val="center"/>
                    <w:rPr>
                      <w:color w:val="000000"/>
                      <w:szCs w:val="21"/>
                      <w:u w:val="none"/>
                    </w:rPr>
                  </w:pPr>
                  <w:r>
                    <w:rPr>
                      <w:rFonts w:hint="eastAsia"/>
                      <w:color w:val="000000"/>
                      <w:szCs w:val="21"/>
                      <w:u w:val="none"/>
                    </w:rPr>
                    <w:t>类型</w:t>
                  </w:r>
                </w:p>
              </w:tc>
            </w:tr>
            <w:tr w14:paraId="5A930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45" w:type="dxa"/>
                  <w:bottom w:w="0" w:type="dxa"/>
                  <w:right w:w="45" w:type="dxa"/>
                </w:tblCellMar>
              </w:tblPrEx>
              <w:trPr>
                <w:trHeight w:val="60" w:hRule="atLeast"/>
                <w:jc w:val="center"/>
              </w:trPr>
              <w:tc>
                <w:tcPr>
                  <w:tcW w:w="905" w:type="pct"/>
                  <w:vMerge w:val="continue"/>
                  <w:noWrap w:val="0"/>
                  <w:vAlign w:val="center"/>
                </w:tcPr>
                <w:p w14:paraId="0B49191D">
                  <w:pPr>
                    <w:adjustRightInd w:val="0"/>
                    <w:ind w:firstLine="420"/>
                    <w:jc w:val="center"/>
                    <w:rPr>
                      <w:color w:val="000000"/>
                      <w:szCs w:val="21"/>
                      <w:u w:val="none"/>
                    </w:rPr>
                  </w:pPr>
                </w:p>
              </w:tc>
              <w:tc>
                <w:tcPr>
                  <w:tcW w:w="977" w:type="pct"/>
                  <w:noWrap w:val="0"/>
                  <w:vAlign w:val="center"/>
                </w:tcPr>
                <w:p w14:paraId="45B1D4FE">
                  <w:pPr>
                    <w:pStyle w:val="42"/>
                    <w:snapToGrid/>
                    <w:rPr>
                      <w:color w:val="000000"/>
                      <w:szCs w:val="21"/>
                      <w:u w:val="none"/>
                    </w:rPr>
                  </w:pPr>
                  <w:r>
                    <w:rPr>
                      <w:rFonts w:hint="eastAsia"/>
                      <w:color w:val="000000"/>
                      <w:szCs w:val="21"/>
                      <w:u w:val="none"/>
                    </w:rPr>
                    <w:t>经度</w:t>
                  </w:r>
                </w:p>
              </w:tc>
              <w:tc>
                <w:tcPr>
                  <w:tcW w:w="934" w:type="pct"/>
                  <w:noWrap w:val="0"/>
                  <w:vAlign w:val="center"/>
                </w:tcPr>
                <w:p w14:paraId="7A07CA9C">
                  <w:pPr>
                    <w:pStyle w:val="42"/>
                    <w:snapToGrid/>
                    <w:rPr>
                      <w:color w:val="000000"/>
                      <w:szCs w:val="21"/>
                      <w:u w:val="none"/>
                    </w:rPr>
                  </w:pPr>
                  <w:r>
                    <w:rPr>
                      <w:rFonts w:hint="eastAsia"/>
                      <w:color w:val="000000"/>
                      <w:szCs w:val="21"/>
                      <w:u w:val="none"/>
                    </w:rPr>
                    <w:t>纬度</w:t>
                  </w:r>
                </w:p>
              </w:tc>
              <w:tc>
                <w:tcPr>
                  <w:tcW w:w="568" w:type="pct"/>
                  <w:vMerge w:val="continue"/>
                  <w:noWrap w:val="0"/>
                  <w:vAlign w:val="center"/>
                </w:tcPr>
                <w:p w14:paraId="12CE8C10">
                  <w:pPr>
                    <w:adjustRightInd w:val="0"/>
                    <w:ind w:firstLine="420"/>
                    <w:jc w:val="center"/>
                    <w:rPr>
                      <w:b/>
                      <w:color w:val="000000"/>
                      <w:szCs w:val="21"/>
                      <w:u w:val="none"/>
                    </w:rPr>
                  </w:pPr>
                </w:p>
              </w:tc>
              <w:tc>
                <w:tcPr>
                  <w:tcW w:w="612" w:type="pct"/>
                  <w:vMerge w:val="continue"/>
                  <w:noWrap w:val="0"/>
                  <w:vAlign w:val="center"/>
                </w:tcPr>
                <w:p w14:paraId="7BF0282A">
                  <w:pPr>
                    <w:adjustRightInd w:val="0"/>
                    <w:ind w:firstLine="420"/>
                    <w:jc w:val="center"/>
                    <w:rPr>
                      <w:b/>
                      <w:color w:val="000000"/>
                      <w:szCs w:val="21"/>
                      <w:u w:val="none"/>
                    </w:rPr>
                  </w:pPr>
                </w:p>
              </w:tc>
              <w:tc>
                <w:tcPr>
                  <w:tcW w:w="461" w:type="pct"/>
                  <w:vMerge w:val="continue"/>
                  <w:noWrap w:val="0"/>
                  <w:vAlign w:val="center"/>
                </w:tcPr>
                <w:p w14:paraId="578A7102">
                  <w:pPr>
                    <w:adjustRightInd w:val="0"/>
                    <w:ind w:firstLine="420"/>
                    <w:jc w:val="center"/>
                    <w:rPr>
                      <w:b/>
                      <w:color w:val="000000"/>
                      <w:szCs w:val="21"/>
                      <w:u w:val="none"/>
                    </w:rPr>
                  </w:pPr>
                </w:p>
              </w:tc>
              <w:tc>
                <w:tcPr>
                  <w:tcW w:w="539" w:type="pct"/>
                  <w:vMerge w:val="continue"/>
                  <w:noWrap w:val="0"/>
                  <w:vAlign w:val="center"/>
                </w:tcPr>
                <w:p w14:paraId="7ABB4244">
                  <w:pPr>
                    <w:adjustRightInd w:val="0"/>
                    <w:ind w:firstLine="420"/>
                    <w:jc w:val="center"/>
                    <w:rPr>
                      <w:b/>
                      <w:color w:val="000000"/>
                      <w:szCs w:val="21"/>
                      <w:u w:val="none"/>
                    </w:rPr>
                  </w:pPr>
                </w:p>
              </w:tc>
            </w:tr>
            <w:tr w14:paraId="042B0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45" w:type="dxa"/>
                  <w:bottom w:w="0" w:type="dxa"/>
                  <w:right w:w="45" w:type="dxa"/>
                </w:tblCellMar>
              </w:tblPrEx>
              <w:trPr>
                <w:trHeight w:val="70" w:hRule="atLeast"/>
                <w:jc w:val="center"/>
              </w:trPr>
              <w:tc>
                <w:tcPr>
                  <w:tcW w:w="905" w:type="pct"/>
                  <w:noWrap w:val="0"/>
                  <w:vAlign w:val="center"/>
                </w:tcPr>
                <w:p w14:paraId="551125A4">
                  <w:pPr>
                    <w:adjustRightInd w:val="0"/>
                    <w:jc w:val="center"/>
                    <w:rPr>
                      <w:color w:val="000000"/>
                      <w:szCs w:val="21"/>
                      <w:u w:val="none"/>
                    </w:rPr>
                  </w:pPr>
                  <w:r>
                    <w:rPr>
                      <w:rFonts w:hint="eastAsia"/>
                      <w:color w:val="000000"/>
                      <w:szCs w:val="21"/>
                      <w:u w:val="none"/>
                    </w:rPr>
                    <w:t>DA001</w:t>
                  </w:r>
                  <w:r>
                    <w:rPr>
                      <w:color w:val="000000"/>
                      <w:szCs w:val="21"/>
                      <w:u w:val="none"/>
                    </w:rPr>
                    <w:t>排气筒</w:t>
                  </w:r>
                </w:p>
              </w:tc>
              <w:tc>
                <w:tcPr>
                  <w:tcW w:w="977" w:type="pct"/>
                  <w:noWrap w:val="0"/>
                  <w:vAlign w:val="center"/>
                </w:tcPr>
                <w:p w14:paraId="2333CFC7">
                  <w:pPr>
                    <w:jc w:val="center"/>
                    <w:rPr>
                      <w:rFonts w:hint="default" w:ascii="Times New Roman" w:hAnsi="Times New Roman" w:cs="Times New Roman"/>
                      <w:color w:val="000000"/>
                    </w:rPr>
                  </w:pPr>
                  <w:r>
                    <w:rPr>
                      <w:rFonts w:hint="default" w:ascii="Times New Roman" w:hAnsi="Times New Roman" w:cs="Times New Roman"/>
                      <w:color w:val="000000"/>
                    </w:rPr>
                    <w:t>112°46'43.80</w:t>
                  </w:r>
                  <w:r>
                    <w:rPr>
                      <w:rFonts w:hint="default" w:ascii="Times New Roman" w:hAnsi="Times New Roman" w:cs="Times New Roman"/>
                      <w:color w:val="000000"/>
                      <w:lang w:val="en-US" w:eastAsia="zh-CN"/>
                    </w:rPr>
                    <w:t>1</w:t>
                  </w:r>
                  <w:r>
                    <w:rPr>
                      <w:rFonts w:hint="default" w:ascii="Times New Roman" w:hAnsi="Times New Roman" w:cs="Times New Roman"/>
                      <w:color w:val="000000"/>
                    </w:rPr>
                    <w:t>"</w:t>
                  </w:r>
                </w:p>
              </w:tc>
              <w:tc>
                <w:tcPr>
                  <w:tcW w:w="934" w:type="pct"/>
                  <w:noWrap w:val="0"/>
                  <w:vAlign w:val="center"/>
                </w:tcPr>
                <w:p w14:paraId="300EDF5B">
                  <w:pPr>
                    <w:jc w:val="center"/>
                    <w:rPr>
                      <w:rFonts w:hint="default" w:ascii="Times New Roman" w:hAnsi="Times New Roman" w:cs="Times New Roman"/>
                      <w:color w:val="000000"/>
                    </w:rPr>
                  </w:pPr>
                  <w:r>
                    <w:rPr>
                      <w:rFonts w:hint="default" w:ascii="Times New Roman" w:hAnsi="Times New Roman" w:cs="Times New Roman"/>
                      <w:color w:val="000000"/>
                    </w:rPr>
                    <w:t>34°40'42.90</w:t>
                  </w:r>
                  <w:r>
                    <w:rPr>
                      <w:rFonts w:hint="default" w:ascii="Times New Roman" w:hAnsi="Times New Roman" w:cs="Times New Roman"/>
                      <w:color w:val="000000"/>
                      <w:lang w:val="en-US" w:eastAsia="zh-CN"/>
                    </w:rPr>
                    <w:t>2</w:t>
                  </w:r>
                  <w:r>
                    <w:rPr>
                      <w:rFonts w:hint="default" w:ascii="Times New Roman" w:hAnsi="Times New Roman" w:cs="Times New Roman"/>
                      <w:color w:val="000000"/>
                    </w:rPr>
                    <w:t>"</w:t>
                  </w:r>
                </w:p>
              </w:tc>
              <w:tc>
                <w:tcPr>
                  <w:tcW w:w="568" w:type="pct"/>
                  <w:noWrap w:val="0"/>
                  <w:vAlign w:val="center"/>
                </w:tcPr>
                <w:p w14:paraId="0435282B">
                  <w:pPr>
                    <w:adjustRightInd w:val="0"/>
                    <w:jc w:val="center"/>
                    <w:rPr>
                      <w:color w:val="000000"/>
                      <w:szCs w:val="21"/>
                      <w:u w:val="none"/>
                    </w:rPr>
                  </w:pPr>
                  <w:r>
                    <w:rPr>
                      <w:color w:val="000000"/>
                      <w:szCs w:val="21"/>
                      <w:u w:val="none"/>
                    </w:rPr>
                    <w:t>15</w:t>
                  </w:r>
                  <w:r>
                    <w:rPr>
                      <w:rFonts w:hint="eastAsia"/>
                      <w:color w:val="000000"/>
                      <w:szCs w:val="21"/>
                      <w:u w:val="none"/>
                    </w:rPr>
                    <w:t>m</w:t>
                  </w:r>
                </w:p>
              </w:tc>
              <w:tc>
                <w:tcPr>
                  <w:tcW w:w="612" w:type="pct"/>
                  <w:noWrap w:val="0"/>
                  <w:vAlign w:val="center"/>
                </w:tcPr>
                <w:p w14:paraId="444AFEA0">
                  <w:pPr>
                    <w:jc w:val="center"/>
                    <w:rPr>
                      <w:color w:val="000000"/>
                      <w:szCs w:val="21"/>
                      <w:u w:val="none"/>
                    </w:rPr>
                  </w:pPr>
                  <w:r>
                    <w:rPr>
                      <w:color w:val="000000"/>
                      <w:szCs w:val="21"/>
                      <w:u w:val="none"/>
                    </w:rPr>
                    <w:t>0.</w:t>
                  </w:r>
                  <w:r>
                    <w:rPr>
                      <w:rFonts w:hint="eastAsia"/>
                      <w:color w:val="000000"/>
                      <w:szCs w:val="21"/>
                      <w:u w:val="none"/>
                      <w:lang w:val="en-US" w:eastAsia="zh-CN"/>
                    </w:rPr>
                    <w:t>5</w:t>
                  </w:r>
                  <w:r>
                    <w:rPr>
                      <w:rFonts w:hint="eastAsia"/>
                      <w:color w:val="000000"/>
                      <w:szCs w:val="21"/>
                      <w:u w:val="none"/>
                    </w:rPr>
                    <w:t>m</w:t>
                  </w:r>
                </w:p>
              </w:tc>
              <w:tc>
                <w:tcPr>
                  <w:tcW w:w="461" w:type="pct"/>
                  <w:noWrap w:val="0"/>
                  <w:vAlign w:val="center"/>
                </w:tcPr>
                <w:p w14:paraId="148F5B9D">
                  <w:pPr>
                    <w:adjustRightInd w:val="0"/>
                    <w:jc w:val="center"/>
                    <w:rPr>
                      <w:color w:val="000000"/>
                      <w:szCs w:val="21"/>
                      <w:u w:val="none"/>
                    </w:rPr>
                  </w:pPr>
                  <w:r>
                    <w:rPr>
                      <w:rFonts w:hint="eastAsia"/>
                      <w:color w:val="000000"/>
                      <w:szCs w:val="21"/>
                      <w:u w:val="none"/>
                    </w:rPr>
                    <w:t>常温</w:t>
                  </w:r>
                </w:p>
              </w:tc>
              <w:tc>
                <w:tcPr>
                  <w:tcW w:w="539" w:type="pct"/>
                  <w:noWrap w:val="0"/>
                  <w:vAlign w:val="center"/>
                </w:tcPr>
                <w:p w14:paraId="4130ACEA">
                  <w:pPr>
                    <w:adjustRightInd w:val="0"/>
                    <w:jc w:val="center"/>
                    <w:rPr>
                      <w:color w:val="000000"/>
                      <w:szCs w:val="21"/>
                      <w:u w:val="none"/>
                    </w:rPr>
                  </w:pPr>
                  <w:r>
                    <w:rPr>
                      <w:rFonts w:hint="eastAsia"/>
                      <w:color w:val="000000"/>
                      <w:szCs w:val="21"/>
                      <w:u w:val="none"/>
                    </w:rPr>
                    <w:t>一般排放口</w:t>
                  </w:r>
                </w:p>
              </w:tc>
            </w:tr>
            <w:tr w14:paraId="5A3B6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45" w:type="dxa"/>
                  <w:bottom w:w="0" w:type="dxa"/>
                  <w:right w:w="45" w:type="dxa"/>
                </w:tblCellMar>
              </w:tblPrEx>
              <w:trPr>
                <w:trHeight w:val="70" w:hRule="atLeast"/>
                <w:jc w:val="center"/>
              </w:trPr>
              <w:tc>
                <w:tcPr>
                  <w:tcW w:w="905" w:type="pct"/>
                  <w:noWrap w:val="0"/>
                  <w:vAlign w:val="center"/>
                </w:tcPr>
                <w:p w14:paraId="11FF9107">
                  <w:pPr>
                    <w:adjustRightInd w:val="0"/>
                    <w:jc w:val="center"/>
                    <w:rPr>
                      <w:rFonts w:hint="eastAsia"/>
                      <w:color w:val="000000"/>
                      <w:szCs w:val="21"/>
                      <w:u w:val="none"/>
                    </w:rPr>
                  </w:pPr>
                  <w:r>
                    <w:rPr>
                      <w:rFonts w:hint="eastAsia"/>
                      <w:color w:val="000000"/>
                      <w:szCs w:val="21"/>
                      <w:u w:val="none"/>
                    </w:rPr>
                    <w:t>DA00</w:t>
                  </w:r>
                  <w:r>
                    <w:rPr>
                      <w:rFonts w:hint="eastAsia"/>
                      <w:color w:val="000000"/>
                      <w:szCs w:val="21"/>
                      <w:u w:val="none"/>
                      <w:lang w:val="en-US" w:eastAsia="zh-CN"/>
                    </w:rPr>
                    <w:t>2</w:t>
                  </w:r>
                  <w:r>
                    <w:rPr>
                      <w:color w:val="000000"/>
                      <w:szCs w:val="21"/>
                      <w:u w:val="none"/>
                    </w:rPr>
                    <w:t>排气筒</w:t>
                  </w:r>
                </w:p>
              </w:tc>
              <w:tc>
                <w:tcPr>
                  <w:tcW w:w="977" w:type="pct"/>
                  <w:noWrap w:val="0"/>
                  <w:vAlign w:val="center"/>
                </w:tcPr>
                <w:p w14:paraId="6FC53B2F">
                  <w:pPr>
                    <w:jc w:val="center"/>
                    <w:rPr>
                      <w:rFonts w:hint="default" w:ascii="Times New Roman" w:hAnsi="Times New Roman" w:cs="Times New Roman"/>
                      <w:color w:val="000000"/>
                    </w:rPr>
                  </w:pPr>
                  <w:r>
                    <w:rPr>
                      <w:rFonts w:hint="default" w:ascii="Times New Roman" w:hAnsi="Times New Roman" w:cs="Times New Roman"/>
                      <w:color w:val="000000"/>
                    </w:rPr>
                    <w:t>112°46'43.89</w:t>
                  </w:r>
                  <w:r>
                    <w:rPr>
                      <w:rFonts w:hint="default" w:ascii="Times New Roman" w:hAnsi="Times New Roman" w:cs="Times New Roman"/>
                      <w:color w:val="000000"/>
                      <w:lang w:val="en-US" w:eastAsia="zh-CN"/>
                    </w:rPr>
                    <w:t>3</w:t>
                  </w:r>
                  <w:r>
                    <w:rPr>
                      <w:rFonts w:hint="default" w:ascii="Times New Roman" w:hAnsi="Times New Roman" w:cs="Times New Roman"/>
                      <w:color w:val="000000"/>
                    </w:rPr>
                    <w:t>"</w:t>
                  </w:r>
                </w:p>
              </w:tc>
              <w:tc>
                <w:tcPr>
                  <w:tcW w:w="934" w:type="pct"/>
                  <w:noWrap w:val="0"/>
                  <w:vAlign w:val="center"/>
                </w:tcPr>
                <w:p w14:paraId="61949B8B">
                  <w:pPr>
                    <w:jc w:val="center"/>
                    <w:rPr>
                      <w:rFonts w:hint="default" w:ascii="Times New Roman" w:hAnsi="Times New Roman" w:cs="Times New Roman"/>
                      <w:color w:val="000000"/>
                    </w:rPr>
                  </w:pPr>
                  <w:r>
                    <w:rPr>
                      <w:rFonts w:hint="default" w:ascii="Times New Roman" w:hAnsi="Times New Roman" w:cs="Times New Roman"/>
                      <w:color w:val="000000"/>
                    </w:rPr>
                    <w:t>34°40'42.90</w:t>
                  </w:r>
                  <w:r>
                    <w:rPr>
                      <w:rFonts w:hint="default" w:ascii="Times New Roman" w:hAnsi="Times New Roman" w:cs="Times New Roman"/>
                      <w:color w:val="000000"/>
                      <w:lang w:val="en-US" w:eastAsia="zh-CN"/>
                    </w:rPr>
                    <w:t>5</w:t>
                  </w:r>
                  <w:r>
                    <w:rPr>
                      <w:rFonts w:hint="default" w:ascii="Times New Roman" w:hAnsi="Times New Roman" w:cs="Times New Roman"/>
                      <w:color w:val="000000"/>
                    </w:rPr>
                    <w:t>"</w:t>
                  </w:r>
                </w:p>
              </w:tc>
              <w:tc>
                <w:tcPr>
                  <w:tcW w:w="568" w:type="pct"/>
                  <w:noWrap w:val="0"/>
                  <w:vAlign w:val="center"/>
                </w:tcPr>
                <w:p w14:paraId="2045FCC3">
                  <w:pPr>
                    <w:adjustRightInd w:val="0"/>
                    <w:jc w:val="center"/>
                    <w:rPr>
                      <w:color w:val="000000"/>
                      <w:szCs w:val="21"/>
                      <w:u w:val="none"/>
                    </w:rPr>
                  </w:pPr>
                  <w:r>
                    <w:rPr>
                      <w:color w:val="000000"/>
                      <w:szCs w:val="21"/>
                      <w:u w:val="none"/>
                    </w:rPr>
                    <w:t>15</w:t>
                  </w:r>
                  <w:r>
                    <w:rPr>
                      <w:rFonts w:hint="eastAsia"/>
                      <w:color w:val="000000"/>
                      <w:szCs w:val="21"/>
                      <w:u w:val="none"/>
                    </w:rPr>
                    <w:t>m</w:t>
                  </w:r>
                </w:p>
              </w:tc>
              <w:tc>
                <w:tcPr>
                  <w:tcW w:w="612" w:type="pct"/>
                  <w:noWrap w:val="0"/>
                  <w:vAlign w:val="center"/>
                </w:tcPr>
                <w:p w14:paraId="1554C892">
                  <w:pPr>
                    <w:jc w:val="center"/>
                    <w:rPr>
                      <w:color w:val="000000"/>
                      <w:szCs w:val="21"/>
                      <w:u w:val="none"/>
                    </w:rPr>
                  </w:pPr>
                  <w:r>
                    <w:rPr>
                      <w:color w:val="000000"/>
                      <w:szCs w:val="21"/>
                      <w:u w:val="none"/>
                    </w:rPr>
                    <w:t>0.</w:t>
                  </w:r>
                  <w:r>
                    <w:rPr>
                      <w:rFonts w:hint="eastAsia"/>
                      <w:color w:val="000000"/>
                      <w:szCs w:val="21"/>
                      <w:u w:val="none"/>
                      <w:lang w:val="en-US" w:eastAsia="zh-CN"/>
                    </w:rPr>
                    <w:t>4</w:t>
                  </w:r>
                  <w:r>
                    <w:rPr>
                      <w:rFonts w:hint="eastAsia"/>
                      <w:color w:val="000000"/>
                      <w:szCs w:val="21"/>
                      <w:u w:val="none"/>
                    </w:rPr>
                    <w:t>m</w:t>
                  </w:r>
                </w:p>
              </w:tc>
              <w:tc>
                <w:tcPr>
                  <w:tcW w:w="461" w:type="pct"/>
                  <w:noWrap w:val="0"/>
                  <w:vAlign w:val="center"/>
                </w:tcPr>
                <w:p w14:paraId="5E7E1D86">
                  <w:pPr>
                    <w:adjustRightInd w:val="0"/>
                    <w:jc w:val="center"/>
                    <w:rPr>
                      <w:rFonts w:hint="eastAsia"/>
                      <w:color w:val="000000"/>
                      <w:szCs w:val="21"/>
                      <w:u w:val="none"/>
                    </w:rPr>
                  </w:pPr>
                  <w:r>
                    <w:rPr>
                      <w:rFonts w:hint="eastAsia"/>
                      <w:color w:val="000000"/>
                      <w:szCs w:val="21"/>
                      <w:u w:val="none"/>
                    </w:rPr>
                    <w:t>常温</w:t>
                  </w:r>
                </w:p>
              </w:tc>
              <w:tc>
                <w:tcPr>
                  <w:tcW w:w="539" w:type="pct"/>
                  <w:noWrap w:val="0"/>
                  <w:vAlign w:val="center"/>
                </w:tcPr>
                <w:p w14:paraId="25DCD97B">
                  <w:pPr>
                    <w:adjustRightInd w:val="0"/>
                    <w:jc w:val="center"/>
                    <w:rPr>
                      <w:rFonts w:hint="eastAsia"/>
                      <w:color w:val="000000"/>
                      <w:szCs w:val="21"/>
                      <w:u w:val="none"/>
                    </w:rPr>
                  </w:pPr>
                  <w:r>
                    <w:rPr>
                      <w:rFonts w:hint="eastAsia"/>
                      <w:color w:val="000000"/>
                      <w:szCs w:val="21"/>
                      <w:u w:val="none"/>
                    </w:rPr>
                    <w:t>一般排放口</w:t>
                  </w:r>
                </w:p>
              </w:tc>
            </w:tr>
          </w:tbl>
          <w:p w14:paraId="54D4ACE3">
            <w:pPr>
              <w:adjustRightInd w:val="0"/>
              <w:spacing w:line="360" w:lineRule="auto"/>
              <w:rPr>
                <w:b/>
                <w:bCs/>
                <w:color w:val="000000"/>
                <w:sz w:val="24"/>
              </w:rPr>
            </w:pPr>
          </w:p>
          <w:p w14:paraId="7F6F7542">
            <w:pPr>
              <w:adjustRightInd w:val="0"/>
              <w:spacing w:line="360" w:lineRule="auto"/>
              <w:rPr>
                <w:b/>
                <w:bCs/>
                <w:color w:val="000000"/>
                <w:sz w:val="24"/>
              </w:rPr>
            </w:pPr>
          </w:p>
          <w:p w14:paraId="0D106DA6">
            <w:pPr>
              <w:adjustRightInd w:val="0"/>
              <w:spacing w:line="360" w:lineRule="auto"/>
              <w:rPr>
                <w:b/>
                <w:bCs/>
                <w:color w:val="000000"/>
                <w:sz w:val="24"/>
              </w:rPr>
            </w:pPr>
          </w:p>
          <w:p w14:paraId="6BBB04C8">
            <w:pPr>
              <w:adjustRightInd w:val="0"/>
              <w:spacing w:line="360" w:lineRule="auto"/>
              <w:rPr>
                <w:b/>
                <w:bCs/>
                <w:color w:val="000000"/>
                <w:sz w:val="24"/>
              </w:rPr>
            </w:pPr>
            <w:r>
              <w:rPr>
                <w:b/>
                <w:bCs/>
                <w:color w:val="000000"/>
                <w:sz w:val="24"/>
              </w:rPr>
              <w:t>2. 水环境影响分析</w:t>
            </w:r>
          </w:p>
          <w:p w14:paraId="7544E2AB">
            <w:pPr>
              <w:adjustRightInd w:val="0"/>
              <w:spacing w:line="360" w:lineRule="auto"/>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2.1废水产生情况</w:t>
            </w:r>
          </w:p>
          <w:p w14:paraId="0E8DEE54">
            <w:pPr>
              <w:numPr>
                <w:ilvl w:val="0"/>
                <w:numId w:val="0"/>
              </w:numPr>
              <w:adjustRightInd w:val="0"/>
              <w:spacing w:line="360" w:lineRule="auto"/>
              <w:ind w:firstLine="480" w:firstLineChars="200"/>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kern w:val="2"/>
                <w:sz w:val="24"/>
                <w:szCs w:val="22"/>
                <w:lang w:val="en-US" w:eastAsia="zh-CN" w:bidi="ar-SA"/>
              </w:rPr>
              <w:t>（1）</w:t>
            </w:r>
            <w:r>
              <w:rPr>
                <w:rFonts w:hint="eastAsia" w:ascii="Times New Roman" w:hAnsi="Times New Roman" w:eastAsia="宋体" w:cs="Times New Roman"/>
                <w:color w:val="000000"/>
                <w:sz w:val="24"/>
                <w:lang w:val="en-US" w:eastAsia="zh-CN"/>
              </w:rPr>
              <w:t>冷却循环水</w:t>
            </w:r>
          </w:p>
          <w:p w14:paraId="779C2BD1">
            <w:pPr>
              <w:numPr>
                <w:ilvl w:val="0"/>
                <w:numId w:val="0"/>
              </w:numPr>
              <w:adjustRightInd w:val="0"/>
              <w:spacing w:line="360" w:lineRule="auto"/>
              <w:ind w:firstLine="480" w:firstLineChars="200"/>
              <w:rPr>
                <w:rFonts w:hint="eastAsia" w:ascii="Times New Roman" w:hAnsi="Times New Roman" w:eastAsia="宋体" w:cs="Times New Roman"/>
                <w:color w:val="000000"/>
                <w:sz w:val="24"/>
                <w:lang w:val="en-US" w:eastAsia="zh-CN"/>
              </w:rPr>
            </w:pPr>
            <w:r>
              <w:rPr>
                <w:rFonts w:hint="eastAsia"/>
                <w:color w:val="000000"/>
                <w:sz w:val="24"/>
                <w:szCs w:val="24"/>
                <w:lang w:val="en-US" w:eastAsia="zh-CN"/>
              </w:rPr>
              <w:t>注塑机冷却水需定期补充，补充水用量约0.5t/d，核150t/a。冷却水循环使用不外排</w:t>
            </w:r>
            <w:r>
              <w:rPr>
                <w:rFonts w:hint="eastAsia"/>
                <w:color w:val="000000"/>
                <w:sz w:val="24"/>
                <w:szCs w:val="24"/>
                <w:u w:val="none"/>
                <w:lang w:val="en-US" w:eastAsia="zh-CN"/>
              </w:rPr>
              <w:t>。</w:t>
            </w:r>
          </w:p>
          <w:p w14:paraId="735058E3">
            <w:pPr>
              <w:numPr>
                <w:ilvl w:val="0"/>
                <w:numId w:val="0"/>
              </w:numPr>
              <w:adjustRightInd w:val="0"/>
              <w:spacing w:line="360" w:lineRule="auto"/>
              <w:ind w:firstLine="480" w:firstLineChars="200"/>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（2）生活污水</w:t>
            </w:r>
          </w:p>
          <w:p w14:paraId="59EBF48A">
            <w:pPr>
              <w:numPr>
                <w:ilvl w:val="0"/>
                <w:numId w:val="0"/>
              </w:numPr>
              <w:adjustRightInd w:val="0"/>
              <w:spacing w:line="360" w:lineRule="auto"/>
              <w:ind w:firstLine="480" w:firstLineChars="200"/>
              <w:rPr>
                <w:rFonts w:hint="eastAsia" w:ascii="Times New Roman" w:hAnsi="Times New Roman" w:eastAsia="宋体" w:cs="Times New Roman"/>
                <w:color w:val="000000"/>
                <w:sz w:val="24"/>
                <w:lang w:eastAsia="zh-CN"/>
              </w:rPr>
            </w:pPr>
            <w:r>
              <w:rPr>
                <w:rFonts w:hint="eastAsia" w:ascii="Times New Roman" w:hAnsi="Times New Roman" w:eastAsia="宋体" w:cs="Times New Roman"/>
                <w:color w:val="000000"/>
                <w:sz w:val="24"/>
                <w:lang w:val="en-US" w:eastAsia="zh-CN"/>
              </w:rPr>
              <w:t>本项目劳动定员10人，均不在厂内食宿，生活用水量按40L/人·d计，则生活用水量为120t/a，生活污水产生量按80%计，则生活污水产生量为96t/a（0.32t/d），经类比，生活污水中COD、氨氮、SS产生浓度分别为350mg/L、30mg/L、280mg/L，则COD、氨氮、SS产生量分别为0.0336t/a、0.0029t/a、0.0269t/a。</w:t>
            </w:r>
          </w:p>
          <w:p w14:paraId="6BBE2D06">
            <w:pPr>
              <w:adjustRightInd w:val="0"/>
              <w:spacing w:line="360" w:lineRule="auto"/>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2.2废水治理措施</w:t>
            </w:r>
          </w:p>
          <w:p w14:paraId="3C5B893A">
            <w:pPr>
              <w:adjustRightInd w:val="0"/>
              <w:spacing w:line="360" w:lineRule="auto"/>
              <w:ind w:firstLine="480" w:firstLineChars="200"/>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生活污水经化粪池（10m</w:t>
            </w:r>
            <w:r>
              <w:rPr>
                <w:rFonts w:hint="eastAsia" w:ascii="Times New Roman" w:hAnsi="Times New Roman" w:eastAsia="宋体" w:cs="Times New Roman"/>
                <w:color w:val="000000"/>
                <w:sz w:val="24"/>
                <w:vertAlign w:val="superscript"/>
                <w:lang w:val="en-US" w:eastAsia="zh-CN"/>
              </w:rPr>
              <w:t>3</w:t>
            </w:r>
            <w:r>
              <w:rPr>
                <w:rFonts w:hint="eastAsia" w:ascii="Times New Roman" w:hAnsi="Times New Roman" w:eastAsia="宋体" w:cs="Times New Roman"/>
                <w:color w:val="000000"/>
                <w:sz w:val="24"/>
                <w:lang w:val="en-US" w:eastAsia="zh-CN"/>
              </w:rPr>
              <w:t>）处理，近期委托周边农户定期清理肥田，远期待管网铺设完毕通过市政管网排入偃师区第四污水处理厂进一步处理。化粪池对生活污水各因子的处理效率为COD：20%、氨氮：3%、SS：40%。</w:t>
            </w:r>
          </w:p>
          <w:p w14:paraId="60D8FFEA">
            <w:pPr>
              <w:adjustRightInd w:val="0"/>
              <w:spacing w:line="360" w:lineRule="auto"/>
              <w:ind w:firstLine="480" w:firstLineChars="200"/>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本项目废水产排放情况见下表。</w:t>
            </w:r>
          </w:p>
          <w:p w14:paraId="5E512552">
            <w:pPr>
              <w:pStyle w:val="47"/>
              <w:keepNext w:val="0"/>
              <w:keepLines w:val="0"/>
              <w:suppressLineNumbers w:val="0"/>
              <w:spacing w:before="93" w:beforeAutospacing="0" w:after="0" w:afterAutospacing="0"/>
              <w:ind w:right="0"/>
              <w:rPr>
                <w:rFonts w:hint="default" w:cs="Times New Roman"/>
                <w:color w:val="000000"/>
                <w:sz w:val="24"/>
                <w:szCs w:val="24"/>
                <w:u w:val="none"/>
              </w:rPr>
            </w:pPr>
            <w:r>
              <w:rPr>
                <w:rFonts w:hint="default" w:cs="Times New Roman"/>
                <w:color w:val="000000"/>
                <w:sz w:val="24"/>
                <w:szCs w:val="24"/>
                <w:u w:val="none"/>
              </w:rPr>
              <w:t>表</w:t>
            </w:r>
            <w:r>
              <w:rPr>
                <w:rFonts w:hint="eastAsia" w:cs="Times New Roman"/>
                <w:color w:val="000000"/>
                <w:sz w:val="24"/>
                <w:szCs w:val="24"/>
                <w:u w:val="none"/>
                <w:lang w:val="en-US" w:eastAsia="zh-CN"/>
              </w:rPr>
              <w:t>29</w:t>
            </w:r>
            <w:r>
              <w:rPr>
                <w:rFonts w:hint="eastAsia" w:cs="Times New Roman"/>
                <w:color w:val="000000"/>
                <w:sz w:val="24"/>
                <w:szCs w:val="24"/>
                <w:u w:val="none"/>
              </w:rPr>
              <w:t xml:space="preserve">  </w:t>
            </w:r>
            <w:r>
              <w:rPr>
                <w:rFonts w:hint="default" w:cs="Times New Roman"/>
                <w:color w:val="000000"/>
                <w:sz w:val="24"/>
                <w:szCs w:val="24"/>
                <w:u w:val="none"/>
              </w:rPr>
              <w:t xml:space="preserve">  </w:t>
            </w:r>
            <w:r>
              <w:rPr>
                <w:rFonts w:hint="eastAsia" w:cs="Times New Roman"/>
                <w:color w:val="000000"/>
                <w:sz w:val="24"/>
                <w:szCs w:val="24"/>
                <w:u w:val="none"/>
                <w:lang w:val="en-US" w:eastAsia="zh-CN"/>
              </w:rPr>
              <w:t>废水</w:t>
            </w:r>
            <w:r>
              <w:rPr>
                <w:rFonts w:hint="default" w:cs="Times New Roman"/>
                <w:color w:val="000000"/>
                <w:sz w:val="24"/>
                <w:szCs w:val="24"/>
                <w:u w:val="none"/>
              </w:rPr>
              <w:t>产排情况汇总表</w:t>
            </w:r>
          </w:p>
          <w:tbl>
            <w:tblPr>
              <w:tblStyle w:val="1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179"/>
              <w:gridCol w:w="1138"/>
              <w:gridCol w:w="1800"/>
              <w:gridCol w:w="1355"/>
              <w:gridCol w:w="1355"/>
              <w:gridCol w:w="1355"/>
            </w:tblGrid>
            <w:tr w14:paraId="42A5B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jc w:val="center"/>
              </w:trPr>
              <w:tc>
                <w:tcPr>
                  <w:tcW w:w="720" w:type="pct"/>
                  <w:vMerge w:val="restart"/>
                  <w:tcBorders>
                    <w:tl2br w:val="nil"/>
                    <w:tr2bl w:val="nil"/>
                  </w:tcBorders>
                  <w:noWrap/>
                  <w:vAlign w:val="center"/>
                </w:tcPr>
                <w:p w14:paraId="5C83E9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废水</w:t>
                  </w:r>
                  <w:r>
                    <w:rPr>
                      <w:rFonts w:hint="default" w:ascii="Times New Roman" w:hAnsi="Times New Roman" w:eastAsia="宋体" w:cs="Times New Roman"/>
                      <w:i w:val="0"/>
                      <w:iCs w:val="0"/>
                      <w:color w:val="000000"/>
                      <w:kern w:val="0"/>
                      <w:sz w:val="21"/>
                      <w:szCs w:val="21"/>
                      <w:u w:val="none"/>
                      <w:lang w:val="en-US" w:eastAsia="zh-CN" w:bidi="ar"/>
                    </w:rPr>
                    <w:t>种类</w:t>
                  </w:r>
                </w:p>
              </w:tc>
              <w:tc>
                <w:tcPr>
                  <w:tcW w:w="695" w:type="pct"/>
                  <w:vMerge w:val="restart"/>
                  <w:tcBorders>
                    <w:tl2br w:val="nil"/>
                    <w:tr2bl w:val="nil"/>
                  </w:tcBorders>
                  <w:noWrap/>
                  <w:vAlign w:val="center"/>
                </w:tcPr>
                <w:p w14:paraId="286275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废水量</w:t>
                  </w:r>
                </w:p>
                <w:p w14:paraId="57079B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（t/a）</w:t>
                  </w:r>
                </w:p>
              </w:tc>
              <w:tc>
                <w:tcPr>
                  <w:tcW w:w="1099" w:type="pct"/>
                  <w:vMerge w:val="restart"/>
                  <w:tcBorders>
                    <w:tl2br w:val="nil"/>
                    <w:tr2bl w:val="nil"/>
                  </w:tcBorders>
                  <w:noWrap/>
                  <w:vAlign w:val="center"/>
                </w:tcPr>
                <w:p w14:paraId="33E2E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项目</w:t>
                  </w:r>
                </w:p>
              </w:tc>
              <w:tc>
                <w:tcPr>
                  <w:tcW w:w="2484" w:type="pct"/>
                  <w:gridSpan w:val="3"/>
                  <w:tcBorders>
                    <w:tl2br w:val="nil"/>
                    <w:tr2bl w:val="nil"/>
                  </w:tcBorders>
                  <w:noWrap/>
                  <w:vAlign w:val="center"/>
                </w:tcPr>
                <w:p w14:paraId="2DEF73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imes New Roman" w:hAnsi="Times New Roman" w:eastAsia="宋体" w:cs="Times New Roman"/>
                      <w:i w:val="0"/>
                      <w:iCs w:val="0"/>
                      <w:color w:val="000000"/>
                      <w:sz w:val="21"/>
                      <w:szCs w:val="21"/>
                      <w:u w:val="none"/>
                      <w:lang w:val="en-US" w:eastAsia="zh-CN"/>
                    </w:rPr>
                  </w:pPr>
                  <w:r>
                    <w:rPr>
                      <w:rFonts w:hint="eastAsia" w:ascii="Times New Roman" w:hAnsi="Times New Roman" w:eastAsia="宋体" w:cs="Times New Roman"/>
                      <w:i w:val="0"/>
                      <w:iCs w:val="0"/>
                      <w:color w:val="000000"/>
                      <w:sz w:val="21"/>
                      <w:szCs w:val="21"/>
                      <w:u w:val="none"/>
                      <w:lang w:val="en-US" w:eastAsia="zh-CN"/>
                    </w:rPr>
                    <w:t>污染因子</w:t>
                  </w:r>
                </w:p>
              </w:tc>
            </w:tr>
            <w:tr w14:paraId="210C1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0" w:hRule="atLeast"/>
                <w:jc w:val="center"/>
              </w:trPr>
              <w:tc>
                <w:tcPr>
                  <w:tcW w:w="720" w:type="pct"/>
                  <w:vMerge w:val="continue"/>
                  <w:tcBorders>
                    <w:tl2br w:val="nil"/>
                    <w:tr2bl w:val="nil"/>
                  </w:tcBorders>
                  <w:noWrap/>
                  <w:vAlign w:val="center"/>
                </w:tcPr>
                <w:p w14:paraId="30F06A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000000"/>
                      <w:sz w:val="21"/>
                      <w:szCs w:val="21"/>
                      <w:u w:val="none"/>
                    </w:rPr>
                  </w:pPr>
                </w:p>
              </w:tc>
              <w:tc>
                <w:tcPr>
                  <w:tcW w:w="695" w:type="pct"/>
                  <w:vMerge w:val="continue"/>
                  <w:tcBorders>
                    <w:tl2br w:val="nil"/>
                    <w:tr2bl w:val="nil"/>
                  </w:tcBorders>
                  <w:noWrap/>
                  <w:vAlign w:val="center"/>
                </w:tcPr>
                <w:p w14:paraId="40D056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000000"/>
                      <w:sz w:val="21"/>
                      <w:szCs w:val="21"/>
                      <w:u w:val="none"/>
                    </w:rPr>
                  </w:pPr>
                </w:p>
              </w:tc>
              <w:tc>
                <w:tcPr>
                  <w:tcW w:w="1099" w:type="pct"/>
                  <w:vMerge w:val="continue"/>
                  <w:tcBorders>
                    <w:tl2br w:val="nil"/>
                    <w:tr2bl w:val="nil"/>
                  </w:tcBorders>
                  <w:noWrap/>
                  <w:vAlign w:val="center"/>
                </w:tcPr>
                <w:p w14:paraId="413D09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000000"/>
                      <w:kern w:val="0"/>
                      <w:sz w:val="21"/>
                      <w:szCs w:val="21"/>
                      <w:u w:val="none"/>
                      <w:lang w:val="en-US" w:eastAsia="zh-CN" w:bidi="ar"/>
                    </w:rPr>
                  </w:pPr>
                </w:p>
              </w:tc>
              <w:tc>
                <w:tcPr>
                  <w:tcW w:w="828" w:type="pct"/>
                  <w:tcBorders>
                    <w:tl2br w:val="nil"/>
                    <w:tr2bl w:val="nil"/>
                  </w:tcBorders>
                  <w:noWrap/>
                  <w:vAlign w:val="center"/>
                </w:tcPr>
                <w:p w14:paraId="492DCA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COD</w:t>
                  </w:r>
                </w:p>
              </w:tc>
              <w:tc>
                <w:tcPr>
                  <w:tcW w:w="828" w:type="pct"/>
                  <w:tcBorders>
                    <w:tl2br w:val="nil"/>
                    <w:tr2bl w:val="nil"/>
                  </w:tcBorders>
                  <w:noWrap/>
                  <w:vAlign w:val="center"/>
                </w:tcPr>
                <w:p w14:paraId="75C6AF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氨氮</w:t>
                  </w:r>
                </w:p>
              </w:tc>
              <w:tc>
                <w:tcPr>
                  <w:tcW w:w="828" w:type="pct"/>
                  <w:tcBorders>
                    <w:tl2br w:val="nil"/>
                    <w:tr2bl w:val="nil"/>
                  </w:tcBorders>
                  <w:noWrap/>
                  <w:vAlign w:val="center"/>
                </w:tcPr>
                <w:p w14:paraId="14D17D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SS</w:t>
                  </w:r>
                </w:p>
              </w:tc>
            </w:tr>
            <w:tr w14:paraId="70797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0" w:hRule="atLeast"/>
                <w:jc w:val="center"/>
              </w:trPr>
              <w:tc>
                <w:tcPr>
                  <w:tcW w:w="720" w:type="pct"/>
                  <w:vMerge w:val="restart"/>
                  <w:tcBorders>
                    <w:tl2br w:val="nil"/>
                    <w:tr2bl w:val="nil"/>
                  </w:tcBorders>
                  <w:noWrap/>
                  <w:vAlign w:val="center"/>
                </w:tcPr>
                <w:p w14:paraId="64F22F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生活污水</w:t>
                  </w:r>
                </w:p>
              </w:tc>
              <w:tc>
                <w:tcPr>
                  <w:tcW w:w="695" w:type="pct"/>
                  <w:vMerge w:val="restart"/>
                  <w:tcBorders>
                    <w:tl2br w:val="nil"/>
                    <w:tr2bl w:val="nil"/>
                  </w:tcBorders>
                  <w:noWrap/>
                  <w:vAlign w:val="center"/>
                </w:tcPr>
                <w:p w14:paraId="251595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21"/>
                      <w:szCs w:val="21"/>
                      <w:u w:val="none"/>
                      <w:lang w:val="en-US"/>
                    </w:rPr>
                  </w:pPr>
                  <w:r>
                    <w:rPr>
                      <w:rFonts w:hint="eastAsia" w:ascii="Times New Roman" w:hAnsi="Times New Roman" w:eastAsia="宋体" w:cs="Times New Roman"/>
                      <w:i w:val="0"/>
                      <w:iCs w:val="0"/>
                      <w:color w:val="000000"/>
                      <w:kern w:val="0"/>
                      <w:sz w:val="21"/>
                      <w:szCs w:val="21"/>
                      <w:u w:val="none"/>
                      <w:lang w:val="en-US" w:eastAsia="zh-CN" w:bidi="ar"/>
                    </w:rPr>
                    <w:t>76.8</w:t>
                  </w:r>
                </w:p>
              </w:tc>
              <w:tc>
                <w:tcPr>
                  <w:tcW w:w="1099" w:type="pct"/>
                  <w:tcBorders>
                    <w:tl2br w:val="nil"/>
                    <w:tr2bl w:val="nil"/>
                  </w:tcBorders>
                  <w:noWrap w:val="0"/>
                  <w:vAlign w:val="center"/>
                </w:tcPr>
                <w:p w14:paraId="5613F8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sz w:val="21"/>
                      <w:szCs w:val="21"/>
                      <w:u w:val="none"/>
                      <w:lang w:val="en-US" w:eastAsia="zh-CN"/>
                    </w:rPr>
                    <w:t>产生浓度（mg/L）</w:t>
                  </w:r>
                </w:p>
              </w:tc>
              <w:tc>
                <w:tcPr>
                  <w:tcW w:w="828" w:type="pct"/>
                  <w:tcBorders>
                    <w:tl2br w:val="nil"/>
                    <w:tr2bl w:val="nil"/>
                  </w:tcBorders>
                  <w:noWrap w:val="0"/>
                  <w:vAlign w:val="center"/>
                </w:tcPr>
                <w:p w14:paraId="191A0C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350</w:t>
                  </w:r>
                </w:p>
              </w:tc>
              <w:tc>
                <w:tcPr>
                  <w:tcW w:w="828" w:type="pct"/>
                  <w:tcBorders>
                    <w:tl2br w:val="nil"/>
                    <w:tr2bl w:val="nil"/>
                  </w:tcBorders>
                  <w:noWrap/>
                  <w:vAlign w:val="center"/>
                </w:tcPr>
                <w:p w14:paraId="35F552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30</w:t>
                  </w:r>
                </w:p>
              </w:tc>
              <w:tc>
                <w:tcPr>
                  <w:tcW w:w="828" w:type="pct"/>
                  <w:tcBorders>
                    <w:tl2br w:val="nil"/>
                    <w:tr2bl w:val="nil"/>
                  </w:tcBorders>
                  <w:noWrap/>
                  <w:vAlign w:val="center"/>
                </w:tcPr>
                <w:p w14:paraId="542CE2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280</w:t>
                  </w:r>
                </w:p>
              </w:tc>
            </w:tr>
            <w:tr w14:paraId="00E6C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0" w:hRule="atLeast"/>
                <w:jc w:val="center"/>
              </w:trPr>
              <w:tc>
                <w:tcPr>
                  <w:tcW w:w="720" w:type="pct"/>
                  <w:vMerge w:val="continue"/>
                  <w:tcBorders>
                    <w:tl2br w:val="nil"/>
                    <w:tr2bl w:val="nil"/>
                  </w:tcBorders>
                  <w:noWrap/>
                  <w:vAlign w:val="center"/>
                </w:tcPr>
                <w:p w14:paraId="3351C5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000000"/>
                      <w:sz w:val="21"/>
                      <w:szCs w:val="21"/>
                      <w:u w:val="none"/>
                    </w:rPr>
                  </w:pPr>
                </w:p>
              </w:tc>
              <w:tc>
                <w:tcPr>
                  <w:tcW w:w="695" w:type="pct"/>
                  <w:vMerge w:val="continue"/>
                  <w:tcBorders>
                    <w:tl2br w:val="nil"/>
                    <w:tr2bl w:val="nil"/>
                  </w:tcBorders>
                  <w:noWrap/>
                  <w:vAlign w:val="center"/>
                </w:tcPr>
                <w:p w14:paraId="6DD376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000000"/>
                      <w:sz w:val="21"/>
                      <w:szCs w:val="21"/>
                      <w:u w:val="none"/>
                    </w:rPr>
                  </w:pPr>
                </w:p>
              </w:tc>
              <w:tc>
                <w:tcPr>
                  <w:tcW w:w="1099" w:type="pct"/>
                  <w:tcBorders>
                    <w:tl2br w:val="nil"/>
                    <w:tr2bl w:val="nil"/>
                  </w:tcBorders>
                  <w:noWrap w:val="0"/>
                  <w:vAlign w:val="center"/>
                </w:tcPr>
                <w:p w14:paraId="352B6A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eastAsia" w:ascii="Times New Roman" w:hAnsi="Times New Roman" w:eastAsia="宋体" w:cs="Times New Roman"/>
                      <w:i w:val="0"/>
                      <w:iCs w:val="0"/>
                      <w:color w:val="000000"/>
                      <w:kern w:val="0"/>
                      <w:sz w:val="21"/>
                      <w:szCs w:val="21"/>
                      <w:u w:val="none"/>
                      <w:lang w:val="en-US" w:eastAsia="zh-CN" w:bidi="ar"/>
                    </w:rPr>
                    <w:t>产生量（t/a）</w:t>
                  </w:r>
                </w:p>
              </w:tc>
              <w:tc>
                <w:tcPr>
                  <w:tcW w:w="828" w:type="pct"/>
                  <w:tcBorders>
                    <w:tl2br w:val="nil"/>
                    <w:tr2bl w:val="nil"/>
                  </w:tcBorders>
                  <w:noWrap w:val="0"/>
                  <w:vAlign w:val="center"/>
                </w:tcPr>
                <w:p w14:paraId="766B91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0.0336 </w:t>
                  </w:r>
                </w:p>
              </w:tc>
              <w:tc>
                <w:tcPr>
                  <w:tcW w:w="828" w:type="pct"/>
                  <w:tcBorders>
                    <w:tl2br w:val="nil"/>
                    <w:tr2bl w:val="nil"/>
                  </w:tcBorders>
                  <w:noWrap/>
                  <w:vAlign w:val="center"/>
                </w:tcPr>
                <w:p w14:paraId="5E058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0.0029 </w:t>
                  </w:r>
                </w:p>
              </w:tc>
              <w:tc>
                <w:tcPr>
                  <w:tcW w:w="828" w:type="pct"/>
                  <w:tcBorders>
                    <w:tl2br w:val="nil"/>
                    <w:tr2bl w:val="nil"/>
                  </w:tcBorders>
                  <w:noWrap/>
                  <w:vAlign w:val="center"/>
                </w:tcPr>
                <w:p w14:paraId="4D6805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0.0269 </w:t>
                  </w:r>
                </w:p>
              </w:tc>
            </w:tr>
            <w:tr w14:paraId="579E5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0" w:hRule="atLeast"/>
                <w:jc w:val="center"/>
              </w:trPr>
              <w:tc>
                <w:tcPr>
                  <w:tcW w:w="720" w:type="pct"/>
                  <w:vMerge w:val="continue"/>
                  <w:tcBorders>
                    <w:tl2br w:val="nil"/>
                    <w:tr2bl w:val="nil"/>
                  </w:tcBorders>
                  <w:noWrap/>
                  <w:vAlign w:val="center"/>
                </w:tcPr>
                <w:p w14:paraId="5F6293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000000"/>
                      <w:sz w:val="21"/>
                      <w:szCs w:val="21"/>
                      <w:u w:val="none"/>
                    </w:rPr>
                  </w:pPr>
                </w:p>
              </w:tc>
              <w:tc>
                <w:tcPr>
                  <w:tcW w:w="695" w:type="pct"/>
                  <w:vMerge w:val="continue"/>
                  <w:tcBorders>
                    <w:tl2br w:val="nil"/>
                    <w:tr2bl w:val="nil"/>
                  </w:tcBorders>
                  <w:noWrap/>
                  <w:vAlign w:val="center"/>
                </w:tcPr>
                <w:p w14:paraId="1CEB3D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000000"/>
                      <w:sz w:val="21"/>
                      <w:szCs w:val="21"/>
                      <w:u w:val="none"/>
                    </w:rPr>
                  </w:pPr>
                </w:p>
              </w:tc>
              <w:tc>
                <w:tcPr>
                  <w:tcW w:w="1099" w:type="pct"/>
                  <w:tcBorders>
                    <w:tl2br w:val="nil"/>
                    <w:tr2bl w:val="nil"/>
                  </w:tcBorders>
                  <w:noWrap w:val="0"/>
                  <w:vAlign w:val="center"/>
                </w:tcPr>
                <w:p w14:paraId="1F1B9F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sz w:val="21"/>
                      <w:szCs w:val="21"/>
                      <w:u w:val="none"/>
                    </w:rPr>
                  </w:pPr>
                  <w:r>
                    <w:rPr>
                      <w:rFonts w:hint="eastAsia" w:ascii="Times New Roman" w:hAnsi="Times New Roman" w:eastAsia="宋体" w:cs="Times New Roman"/>
                      <w:i w:val="0"/>
                      <w:iCs w:val="0"/>
                      <w:color w:val="000000"/>
                      <w:kern w:val="0"/>
                      <w:sz w:val="21"/>
                      <w:szCs w:val="21"/>
                      <w:u w:val="none"/>
                      <w:lang w:val="en-US" w:eastAsia="zh-CN" w:bidi="ar"/>
                    </w:rPr>
                    <w:t>处理措施</w:t>
                  </w:r>
                </w:p>
              </w:tc>
              <w:tc>
                <w:tcPr>
                  <w:tcW w:w="2484" w:type="pct"/>
                  <w:gridSpan w:val="3"/>
                  <w:tcBorders>
                    <w:tl2br w:val="nil"/>
                    <w:tr2bl w:val="nil"/>
                  </w:tcBorders>
                  <w:noWrap w:val="0"/>
                  <w:vAlign w:val="center"/>
                </w:tcPr>
                <w:p w14:paraId="4781A2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化粪池处理后，近期委托周边农户定期清理肥田，远期待管网铺设完毕通过市政管网排入偃师区第四污水处理厂进一步处理</w:t>
                  </w:r>
                </w:p>
              </w:tc>
            </w:tr>
            <w:tr w14:paraId="74DB5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0" w:hRule="atLeast"/>
                <w:jc w:val="center"/>
              </w:trPr>
              <w:tc>
                <w:tcPr>
                  <w:tcW w:w="720" w:type="pct"/>
                  <w:vMerge w:val="continue"/>
                  <w:tcBorders>
                    <w:tl2br w:val="nil"/>
                    <w:tr2bl w:val="nil"/>
                  </w:tcBorders>
                  <w:noWrap/>
                  <w:vAlign w:val="center"/>
                </w:tcPr>
                <w:p w14:paraId="245D9B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000000"/>
                      <w:sz w:val="21"/>
                      <w:szCs w:val="21"/>
                      <w:u w:val="none"/>
                    </w:rPr>
                  </w:pPr>
                </w:p>
              </w:tc>
              <w:tc>
                <w:tcPr>
                  <w:tcW w:w="695" w:type="pct"/>
                  <w:vMerge w:val="continue"/>
                  <w:tcBorders>
                    <w:tl2br w:val="nil"/>
                    <w:tr2bl w:val="nil"/>
                  </w:tcBorders>
                  <w:noWrap/>
                  <w:vAlign w:val="center"/>
                </w:tcPr>
                <w:p w14:paraId="0E8D20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000000"/>
                      <w:sz w:val="21"/>
                      <w:szCs w:val="21"/>
                      <w:u w:val="none"/>
                    </w:rPr>
                  </w:pPr>
                </w:p>
              </w:tc>
              <w:tc>
                <w:tcPr>
                  <w:tcW w:w="1099" w:type="pct"/>
                  <w:tcBorders>
                    <w:tl2br w:val="nil"/>
                    <w:tr2bl w:val="nil"/>
                  </w:tcBorders>
                  <w:noWrap w:val="0"/>
                  <w:vAlign w:val="center"/>
                </w:tcPr>
                <w:p w14:paraId="17D35E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处理效率</w:t>
                  </w:r>
                </w:p>
              </w:tc>
              <w:tc>
                <w:tcPr>
                  <w:tcW w:w="828" w:type="pct"/>
                  <w:tcBorders>
                    <w:tl2br w:val="nil"/>
                    <w:tr2bl w:val="nil"/>
                  </w:tcBorders>
                  <w:noWrap w:val="0"/>
                  <w:vAlign w:val="center"/>
                </w:tcPr>
                <w:p w14:paraId="5268E3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20%</w:t>
                  </w:r>
                </w:p>
              </w:tc>
              <w:tc>
                <w:tcPr>
                  <w:tcW w:w="828" w:type="pct"/>
                  <w:tcBorders>
                    <w:tl2br w:val="nil"/>
                    <w:tr2bl w:val="nil"/>
                  </w:tcBorders>
                  <w:noWrap w:val="0"/>
                  <w:vAlign w:val="center"/>
                </w:tcPr>
                <w:p w14:paraId="1D0995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w:t>
                  </w:r>
                </w:p>
              </w:tc>
              <w:tc>
                <w:tcPr>
                  <w:tcW w:w="828" w:type="pct"/>
                  <w:tcBorders>
                    <w:tl2br w:val="nil"/>
                    <w:tr2bl w:val="nil"/>
                  </w:tcBorders>
                  <w:noWrap w:val="0"/>
                  <w:vAlign w:val="center"/>
                </w:tcPr>
                <w:p w14:paraId="7C415C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40%</w:t>
                  </w:r>
                </w:p>
              </w:tc>
            </w:tr>
            <w:tr w14:paraId="11C78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7" w:hRule="atLeast"/>
                <w:jc w:val="center"/>
              </w:trPr>
              <w:tc>
                <w:tcPr>
                  <w:tcW w:w="720" w:type="pct"/>
                  <w:vMerge w:val="continue"/>
                  <w:tcBorders>
                    <w:tl2br w:val="nil"/>
                    <w:tr2bl w:val="nil"/>
                  </w:tcBorders>
                  <w:noWrap/>
                  <w:vAlign w:val="center"/>
                </w:tcPr>
                <w:p w14:paraId="2109B2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21"/>
                      <w:szCs w:val="21"/>
                      <w:u w:val="none"/>
                    </w:rPr>
                  </w:pPr>
                </w:p>
              </w:tc>
              <w:tc>
                <w:tcPr>
                  <w:tcW w:w="695" w:type="pct"/>
                  <w:vMerge w:val="continue"/>
                  <w:tcBorders>
                    <w:tl2br w:val="nil"/>
                    <w:tr2bl w:val="nil"/>
                  </w:tcBorders>
                  <w:noWrap/>
                  <w:vAlign w:val="center"/>
                </w:tcPr>
                <w:p w14:paraId="6088F3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sz w:val="21"/>
                      <w:szCs w:val="21"/>
                      <w:u w:val="none"/>
                      <w:lang w:val="en-US"/>
                    </w:rPr>
                  </w:pPr>
                </w:p>
              </w:tc>
              <w:tc>
                <w:tcPr>
                  <w:tcW w:w="1099" w:type="pct"/>
                  <w:tcBorders>
                    <w:tl2br w:val="nil"/>
                    <w:tr2bl w:val="nil"/>
                  </w:tcBorders>
                  <w:noWrap w:val="0"/>
                  <w:vAlign w:val="center"/>
                </w:tcPr>
                <w:p w14:paraId="5F5FE8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排放浓度</w:t>
                  </w:r>
                  <w:r>
                    <w:rPr>
                      <w:rFonts w:hint="eastAsia" w:ascii="Times New Roman" w:hAnsi="Times New Roman" w:eastAsia="宋体" w:cs="Times New Roman"/>
                      <w:i w:val="0"/>
                      <w:iCs w:val="0"/>
                      <w:color w:val="000000"/>
                      <w:sz w:val="21"/>
                      <w:szCs w:val="21"/>
                      <w:u w:val="none"/>
                      <w:lang w:val="en-US" w:eastAsia="zh-CN"/>
                    </w:rPr>
                    <w:t>（mg/L）</w:t>
                  </w:r>
                </w:p>
              </w:tc>
              <w:tc>
                <w:tcPr>
                  <w:tcW w:w="828" w:type="pct"/>
                  <w:tcBorders>
                    <w:tl2br w:val="nil"/>
                    <w:tr2bl w:val="nil"/>
                  </w:tcBorders>
                  <w:noWrap w:val="0"/>
                  <w:vAlign w:val="center"/>
                </w:tcPr>
                <w:p w14:paraId="3B572B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280</w:t>
                  </w:r>
                </w:p>
              </w:tc>
              <w:tc>
                <w:tcPr>
                  <w:tcW w:w="828" w:type="pct"/>
                  <w:tcBorders>
                    <w:tl2br w:val="nil"/>
                    <w:tr2bl w:val="nil"/>
                  </w:tcBorders>
                  <w:noWrap w:val="0"/>
                  <w:vAlign w:val="center"/>
                </w:tcPr>
                <w:p w14:paraId="327455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29.1</w:t>
                  </w:r>
                </w:p>
              </w:tc>
              <w:tc>
                <w:tcPr>
                  <w:tcW w:w="828" w:type="pct"/>
                  <w:tcBorders>
                    <w:tl2br w:val="nil"/>
                    <w:tr2bl w:val="nil"/>
                  </w:tcBorders>
                  <w:noWrap w:val="0"/>
                  <w:vAlign w:val="center"/>
                </w:tcPr>
                <w:p w14:paraId="1241AD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168</w:t>
                  </w:r>
                </w:p>
              </w:tc>
            </w:tr>
            <w:tr w14:paraId="69E1D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0" w:hRule="atLeast"/>
                <w:jc w:val="center"/>
              </w:trPr>
              <w:tc>
                <w:tcPr>
                  <w:tcW w:w="720" w:type="pct"/>
                  <w:vMerge w:val="continue"/>
                  <w:tcBorders>
                    <w:tl2br w:val="nil"/>
                    <w:tr2bl w:val="nil"/>
                  </w:tcBorders>
                  <w:noWrap/>
                  <w:vAlign w:val="center"/>
                </w:tcPr>
                <w:p w14:paraId="30E8BA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000000"/>
                      <w:sz w:val="21"/>
                      <w:szCs w:val="21"/>
                      <w:u w:val="none"/>
                    </w:rPr>
                  </w:pPr>
                </w:p>
              </w:tc>
              <w:tc>
                <w:tcPr>
                  <w:tcW w:w="695" w:type="pct"/>
                  <w:vMerge w:val="continue"/>
                  <w:tcBorders>
                    <w:tl2br w:val="nil"/>
                    <w:tr2bl w:val="nil"/>
                  </w:tcBorders>
                  <w:noWrap/>
                  <w:vAlign w:val="center"/>
                </w:tcPr>
                <w:p w14:paraId="59B32A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i w:val="0"/>
                      <w:iCs w:val="0"/>
                      <w:color w:val="000000"/>
                      <w:sz w:val="21"/>
                      <w:szCs w:val="21"/>
                      <w:u w:val="none"/>
                    </w:rPr>
                  </w:pPr>
                </w:p>
              </w:tc>
              <w:tc>
                <w:tcPr>
                  <w:tcW w:w="1099" w:type="pct"/>
                  <w:tcBorders>
                    <w:tl2br w:val="nil"/>
                    <w:tr2bl w:val="nil"/>
                  </w:tcBorders>
                  <w:noWrap w:val="0"/>
                  <w:vAlign w:val="center"/>
                </w:tcPr>
                <w:p w14:paraId="3676F5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排放量（t/a）</w:t>
                  </w:r>
                </w:p>
              </w:tc>
              <w:tc>
                <w:tcPr>
                  <w:tcW w:w="828" w:type="pct"/>
                  <w:tcBorders>
                    <w:tl2br w:val="nil"/>
                    <w:tr2bl w:val="nil"/>
                  </w:tcBorders>
                  <w:noWrap w:val="0"/>
                  <w:vAlign w:val="center"/>
                </w:tcPr>
                <w:p w14:paraId="47E77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0.0269 </w:t>
                  </w:r>
                </w:p>
              </w:tc>
              <w:tc>
                <w:tcPr>
                  <w:tcW w:w="828" w:type="pct"/>
                  <w:tcBorders>
                    <w:tl2br w:val="nil"/>
                    <w:tr2bl w:val="nil"/>
                  </w:tcBorders>
                  <w:noWrap/>
                  <w:vAlign w:val="center"/>
                </w:tcPr>
                <w:p w14:paraId="35BB6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0.0028 </w:t>
                  </w:r>
                </w:p>
              </w:tc>
              <w:tc>
                <w:tcPr>
                  <w:tcW w:w="828" w:type="pct"/>
                  <w:tcBorders>
                    <w:tl2br w:val="nil"/>
                    <w:tr2bl w:val="nil"/>
                  </w:tcBorders>
                  <w:noWrap/>
                  <w:vAlign w:val="center"/>
                </w:tcPr>
                <w:p w14:paraId="048C14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0.0161 </w:t>
                  </w:r>
                </w:p>
              </w:tc>
            </w:tr>
            <w:tr w14:paraId="2712B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0" w:hRule="atLeast"/>
                <w:jc w:val="center"/>
              </w:trPr>
              <w:tc>
                <w:tcPr>
                  <w:tcW w:w="2515" w:type="pct"/>
                  <w:gridSpan w:val="3"/>
                  <w:tcBorders>
                    <w:tl2br w:val="nil"/>
                    <w:tr2bl w:val="nil"/>
                  </w:tcBorders>
                  <w:noWrap/>
                  <w:vAlign w:val="center"/>
                </w:tcPr>
                <w:p w14:paraId="1FD609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cs="Times New Roman"/>
                      <w:color w:val="000000"/>
                      <w:sz w:val="21"/>
                      <w:szCs w:val="21"/>
                      <w:lang w:eastAsia="zh-CN"/>
                    </w:rPr>
                    <w:t>《污水综合排放标准》（GB8978-1996）表4三级</w:t>
                  </w:r>
                  <w:r>
                    <w:rPr>
                      <w:rFonts w:hint="eastAsia" w:cs="Times New Roman"/>
                      <w:color w:val="000000"/>
                      <w:sz w:val="21"/>
                      <w:szCs w:val="21"/>
                      <w:lang w:val="en-US" w:eastAsia="zh-CN"/>
                    </w:rPr>
                    <w:t>标准</w:t>
                  </w:r>
                  <w:r>
                    <w:rPr>
                      <w:rFonts w:hint="eastAsia" w:ascii="Times New Roman" w:hAnsi="Times New Roman" w:eastAsia="宋体" w:cs="Times New Roman"/>
                      <w:i w:val="0"/>
                      <w:iCs w:val="0"/>
                      <w:color w:val="000000"/>
                      <w:sz w:val="21"/>
                      <w:szCs w:val="21"/>
                      <w:u w:val="none"/>
                      <w:lang w:val="en-US" w:eastAsia="zh-CN"/>
                    </w:rPr>
                    <w:t>（mg/L）</w:t>
                  </w:r>
                </w:p>
              </w:tc>
              <w:tc>
                <w:tcPr>
                  <w:tcW w:w="828" w:type="pct"/>
                  <w:tcBorders>
                    <w:tl2br w:val="nil"/>
                    <w:tr2bl w:val="nil"/>
                  </w:tcBorders>
                  <w:noWrap w:val="0"/>
                  <w:vAlign w:val="center"/>
                </w:tcPr>
                <w:p w14:paraId="03068B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500</w:t>
                  </w:r>
                </w:p>
              </w:tc>
              <w:tc>
                <w:tcPr>
                  <w:tcW w:w="828" w:type="pct"/>
                  <w:tcBorders>
                    <w:tl2br w:val="nil"/>
                    <w:tr2bl w:val="nil"/>
                  </w:tcBorders>
                  <w:noWrap/>
                  <w:vAlign w:val="center"/>
                </w:tcPr>
                <w:p w14:paraId="1A4A6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w:t>
                  </w:r>
                </w:p>
              </w:tc>
              <w:tc>
                <w:tcPr>
                  <w:tcW w:w="828" w:type="pct"/>
                  <w:tcBorders>
                    <w:tl2br w:val="nil"/>
                    <w:tr2bl w:val="nil"/>
                  </w:tcBorders>
                  <w:noWrap/>
                  <w:vAlign w:val="center"/>
                </w:tcPr>
                <w:p w14:paraId="6C120D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400</w:t>
                  </w:r>
                </w:p>
              </w:tc>
            </w:tr>
            <w:tr w14:paraId="4F60C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0" w:hRule="atLeast"/>
                <w:jc w:val="center"/>
              </w:trPr>
              <w:tc>
                <w:tcPr>
                  <w:tcW w:w="2515" w:type="pct"/>
                  <w:gridSpan w:val="3"/>
                  <w:tcBorders>
                    <w:tl2br w:val="nil"/>
                    <w:tr2bl w:val="nil"/>
                  </w:tcBorders>
                  <w:noWrap/>
                  <w:vAlign w:val="center"/>
                </w:tcPr>
                <w:p w14:paraId="122C32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eastAsia" w:cs="Times New Roman"/>
                      <w:color w:val="000000"/>
                      <w:sz w:val="21"/>
                      <w:szCs w:val="21"/>
                      <w:lang w:eastAsia="zh-CN"/>
                    </w:rPr>
                  </w:pPr>
                  <w:r>
                    <w:rPr>
                      <w:rFonts w:hint="eastAsia" w:cs="Times New Roman"/>
                      <w:color w:val="000000"/>
                      <w:sz w:val="21"/>
                      <w:szCs w:val="21"/>
                      <w:lang w:val="en-US" w:eastAsia="zh-CN"/>
                    </w:rPr>
                    <w:t>偃师区第四污水处理厂</w:t>
                  </w:r>
                  <w:r>
                    <w:rPr>
                      <w:rFonts w:hint="eastAsia" w:cs="Times New Roman"/>
                      <w:color w:val="000000"/>
                      <w:sz w:val="21"/>
                      <w:szCs w:val="21"/>
                      <w:lang w:eastAsia="zh-CN"/>
                    </w:rPr>
                    <w:t>接管标准</w:t>
                  </w:r>
                  <w:r>
                    <w:rPr>
                      <w:rFonts w:hint="eastAsia" w:ascii="Times New Roman" w:hAnsi="Times New Roman" w:eastAsia="宋体" w:cs="Times New Roman"/>
                      <w:i w:val="0"/>
                      <w:iCs w:val="0"/>
                      <w:color w:val="000000"/>
                      <w:sz w:val="21"/>
                      <w:szCs w:val="21"/>
                      <w:u w:val="none"/>
                      <w:lang w:val="en-US" w:eastAsia="zh-CN"/>
                    </w:rPr>
                    <w:t>（mg/L）</w:t>
                  </w:r>
                </w:p>
              </w:tc>
              <w:tc>
                <w:tcPr>
                  <w:tcW w:w="828" w:type="pct"/>
                  <w:tcBorders>
                    <w:tl2br w:val="nil"/>
                    <w:tr2bl w:val="nil"/>
                  </w:tcBorders>
                  <w:noWrap w:val="0"/>
                  <w:vAlign w:val="center"/>
                </w:tcPr>
                <w:p w14:paraId="0EF671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320</w:t>
                  </w:r>
                </w:p>
              </w:tc>
              <w:tc>
                <w:tcPr>
                  <w:tcW w:w="828" w:type="pct"/>
                  <w:tcBorders>
                    <w:tl2br w:val="nil"/>
                    <w:tr2bl w:val="nil"/>
                  </w:tcBorders>
                  <w:noWrap/>
                  <w:vAlign w:val="center"/>
                </w:tcPr>
                <w:p w14:paraId="13FE4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35</w:t>
                  </w:r>
                </w:p>
              </w:tc>
              <w:tc>
                <w:tcPr>
                  <w:tcW w:w="828" w:type="pct"/>
                  <w:tcBorders>
                    <w:tl2br w:val="nil"/>
                    <w:tr2bl w:val="nil"/>
                  </w:tcBorders>
                  <w:noWrap/>
                  <w:vAlign w:val="center"/>
                </w:tcPr>
                <w:p w14:paraId="6B1DDC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180</w:t>
                  </w:r>
                </w:p>
              </w:tc>
            </w:tr>
          </w:tbl>
          <w:p w14:paraId="3C3AACA6">
            <w:pPr>
              <w:adjustRightInd w:val="0"/>
              <w:spacing w:line="360" w:lineRule="auto"/>
              <w:ind w:firstLine="480" w:firstLineChars="200"/>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由上表可以看出，本项目生活污水经化粪池处理后近期委托周边农户定期清理肥田，远期待管网铺设完毕通过市政管网排入偃师区第四污水处理厂进一步处理，各污染因子满足《污水综合排放标准》（GB8978-1996）表4三级标准要求，同时也满足偃师区第四污水处理厂进水水质要求。因此，本项目建设对地表水环境产生污染影响较小。</w:t>
            </w:r>
          </w:p>
          <w:p w14:paraId="02D6C0D1">
            <w:pPr>
              <w:adjustRightInd w:val="0"/>
              <w:spacing w:line="360" w:lineRule="auto"/>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2.3废水进偃师区第四污水处理厂可行性分析</w:t>
            </w:r>
          </w:p>
          <w:p w14:paraId="5FF06FD1">
            <w:pPr>
              <w:adjustRightInd w:val="0"/>
              <w:spacing w:line="360" w:lineRule="auto"/>
              <w:ind w:firstLine="480" w:firstLineChars="200"/>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偃师区第四污水处理厂位于洛阳市偃师区顾县镇南环路南，污水处理工程采用二级生物处理和深度处理相结合的处理工艺，处理规模为1.5万m</w:t>
            </w:r>
            <w:r>
              <w:rPr>
                <w:rFonts w:hint="eastAsia" w:ascii="Times New Roman" w:hAnsi="Times New Roman" w:eastAsia="宋体" w:cs="Times New Roman"/>
                <w:color w:val="000000"/>
                <w:sz w:val="24"/>
                <w:vertAlign w:val="superscript"/>
                <w:lang w:val="en-US" w:eastAsia="zh-CN"/>
              </w:rPr>
              <w:t>3</w:t>
            </w:r>
            <w:r>
              <w:rPr>
                <w:rFonts w:hint="eastAsia" w:ascii="Times New Roman" w:hAnsi="Times New Roman" w:eastAsia="宋体" w:cs="Times New Roman"/>
                <w:color w:val="000000"/>
                <w:sz w:val="24"/>
                <w:lang w:val="en-US" w:eastAsia="zh-CN"/>
              </w:rPr>
              <w:t>/d，二级生物处理采用多级A/O工艺，深度处理工艺采用“磁混凝沉淀池+转筒滤池+臭氧高级氧化”工艺；污泥处理处置采用机械脱水后外运至污泥处置中心进行焚烧处理、消毒工艺采用二氧化氯消毒工艺。收水范围：西至顾县镇区，北至规划滨河路，南至规划路，东至史家湾村，主要处理收集范围内的生活污水和部分工业废水。收水管网包括：南环路（商都路一污水处理厂）、国道310（商都路一东环路）、商都路（南环路一故县镇政府）、规划路（南环路一国道310）污水管道等。2023年1月19日，洛阳市生态环境局偃师分局对《河南鸿丰工程管理有限公司顾县片区污水处理工程项目环境影响报告表》进行了批复，批复文号为偃环监表〔2023〕8号。目前项目已建成并计划投运。</w:t>
            </w:r>
          </w:p>
          <w:p w14:paraId="25E21A03">
            <w:pPr>
              <w:adjustRightInd w:val="0"/>
              <w:spacing w:line="360" w:lineRule="auto"/>
              <w:ind w:firstLine="480" w:firstLineChars="200"/>
              <w:rPr>
                <w:rFonts w:hint="eastAsia"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本项目位于偃师区第四污水处理厂范围内，目前该污水处理厂已建成但管网未铺设到位，因此本项目生活污水近期经化粪池处理后定期清理肥田，远期排入该污水处理厂进一步处理。本项目废水排放总量为0.256t/d，远远小于该污水处理厂日处理规模，项目废水的排入对污水处理厂的冲击影响很小。厂区总排口水质可以满足《污水综合排放标准》（GB8978-1996）表4三级标准要求和偃师区第四污水处理厂接管要求，因此，本项目废水进入偃师区第四污水处理厂进一步处理是可行的，水环境影响可以接受。</w:t>
            </w:r>
          </w:p>
          <w:p w14:paraId="5142B1BB">
            <w:pPr>
              <w:adjustRightInd w:val="0"/>
              <w:spacing w:line="360" w:lineRule="auto"/>
              <w:rPr>
                <w:b/>
                <w:bCs/>
                <w:color w:val="000000"/>
                <w:sz w:val="24"/>
              </w:rPr>
            </w:pPr>
            <w:r>
              <w:rPr>
                <w:b/>
                <w:bCs/>
                <w:color w:val="000000"/>
                <w:sz w:val="24"/>
              </w:rPr>
              <w:t>3. 噪声影响分析</w:t>
            </w:r>
          </w:p>
          <w:p w14:paraId="2222E527">
            <w:pPr>
              <w:spacing w:line="360" w:lineRule="auto"/>
              <w:rPr>
                <w:color w:val="000000"/>
                <w:kern w:val="0"/>
                <w:sz w:val="24"/>
              </w:rPr>
            </w:pPr>
            <w:r>
              <w:rPr>
                <w:color w:val="000000"/>
                <w:kern w:val="0"/>
                <w:sz w:val="24"/>
              </w:rPr>
              <w:t>3.1噪声产排放情况分析</w:t>
            </w:r>
          </w:p>
          <w:p w14:paraId="15C32930">
            <w:pPr>
              <w:adjustRightInd w:val="0"/>
              <w:spacing w:line="360" w:lineRule="auto"/>
              <w:ind w:firstLine="480" w:firstLineChars="200"/>
              <w:rPr>
                <w:color w:val="000000"/>
                <w:sz w:val="24"/>
                <w:u w:val="none"/>
              </w:rPr>
            </w:pPr>
            <w:r>
              <w:rPr>
                <w:rFonts w:hint="eastAsia"/>
                <w:color w:val="000000"/>
                <w:sz w:val="24"/>
                <w:u w:val="none"/>
              </w:rPr>
              <w:t>项目运营期噪声主要来自生产设备、风机等高噪声设备运行产生的噪声，建设单位拟在设备安装及设备连接处采用减震垫或柔性接头措施，噪声设备均设置在车间内。</w:t>
            </w:r>
            <w:r>
              <w:rPr>
                <w:color w:val="000000"/>
                <w:sz w:val="24"/>
                <w:u w:val="none"/>
              </w:rPr>
              <w:t>项目生产设备噪声预测以</w:t>
            </w:r>
            <w:r>
              <w:rPr>
                <w:rFonts w:hint="eastAsia"/>
                <w:color w:val="000000"/>
                <w:sz w:val="24"/>
                <w:u w:val="none"/>
                <w:lang w:val="en-US" w:eastAsia="zh-CN"/>
              </w:rPr>
              <w:t>厂区</w:t>
            </w:r>
            <w:r>
              <w:rPr>
                <w:rFonts w:hint="eastAsia"/>
                <w:color w:val="000000"/>
                <w:sz w:val="24"/>
                <w:u w:val="none"/>
              </w:rPr>
              <w:t>西南</w:t>
            </w:r>
            <w:r>
              <w:rPr>
                <w:color w:val="000000"/>
                <w:sz w:val="24"/>
                <w:u w:val="none"/>
              </w:rPr>
              <w:t>角为中心坐标，则项目主要噪声源强及防治措施见下表。</w:t>
            </w:r>
          </w:p>
          <w:p w14:paraId="5FBD9A99">
            <w:pPr>
              <w:pStyle w:val="47"/>
              <w:spacing w:before="93"/>
              <w:rPr>
                <w:color w:val="000000"/>
              </w:rPr>
            </w:pPr>
            <w:r>
              <w:rPr>
                <w:color w:val="000000"/>
                <w:sz w:val="24"/>
                <w:szCs w:val="24"/>
              </w:rPr>
              <w:t>表</w:t>
            </w:r>
            <w:r>
              <w:rPr>
                <w:rFonts w:hint="eastAsia"/>
                <w:color w:val="000000"/>
                <w:sz w:val="24"/>
                <w:szCs w:val="24"/>
              </w:rPr>
              <w:t>3</w:t>
            </w:r>
            <w:r>
              <w:rPr>
                <w:rFonts w:hint="eastAsia"/>
                <w:color w:val="000000"/>
                <w:sz w:val="24"/>
                <w:szCs w:val="24"/>
                <w:lang w:val="en-US" w:eastAsia="zh-CN"/>
              </w:rPr>
              <w:t>0</w:t>
            </w:r>
            <w:r>
              <w:rPr>
                <w:rFonts w:hint="eastAsia"/>
                <w:color w:val="000000"/>
                <w:sz w:val="24"/>
                <w:szCs w:val="24"/>
              </w:rPr>
              <w:t xml:space="preserve"> </w:t>
            </w:r>
            <w:r>
              <w:rPr>
                <w:color w:val="000000"/>
                <w:sz w:val="24"/>
                <w:szCs w:val="24"/>
              </w:rPr>
              <w:t xml:space="preserve">   工业企业噪声源强调查清单（室内声源）</w:t>
            </w:r>
          </w:p>
          <w:tbl>
            <w:tblPr>
              <w:tblStyle w:val="18"/>
              <w:tblW w:w="49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520"/>
              <w:gridCol w:w="487"/>
              <w:gridCol w:w="669"/>
              <w:gridCol w:w="795"/>
              <w:gridCol w:w="461"/>
              <w:gridCol w:w="461"/>
              <w:gridCol w:w="469"/>
              <w:gridCol w:w="456"/>
              <w:gridCol w:w="639"/>
              <w:gridCol w:w="721"/>
              <w:gridCol w:w="356"/>
              <w:gridCol w:w="721"/>
              <w:gridCol w:w="708"/>
              <w:gridCol w:w="711"/>
            </w:tblGrid>
            <w:tr w14:paraId="78FB4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jc w:val="center"/>
              </w:trPr>
              <w:tc>
                <w:tcPr>
                  <w:tcW w:w="318" w:type="pct"/>
                  <w:vMerge w:val="restart"/>
                  <w:noWrap w:val="0"/>
                  <w:vAlign w:val="center"/>
                </w:tcPr>
                <w:p w14:paraId="468391BE">
                  <w:pPr>
                    <w:pStyle w:val="48"/>
                    <w:jc w:val="center"/>
                    <w:rPr>
                      <w:color w:val="000000"/>
                      <w:sz w:val="18"/>
                      <w:szCs w:val="18"/>
                      <w:u w:val="none"/>
                    </w:rPr>
                  </w:pPr>
                  <w:r>
                    <w:rPr>
                      <w:color w:val="000000"/>
                      <w:sz w:val="18"/>
                      <w:szCs w:val="18"/>
                      <w:u w:val="none"/>
                    </w:rPr>
                    <w:t>建筑物名称</w:t>
                  </w:r>
                </w:p>
              </w:tc>
              <w:tc>
                <w:tcPr>
                  <w:tcW w:w="298" w:type="pct"/>
                  <w:vMerge w:val="restart"/>
                  <w:noWrap w:val="0"/>
                  <w:vAlign w:val="center"/>
                </w:tcPr>
                <w:p w14:paraId="3983BBFA">
                  <w:pPr>
                    <w:pStyle w:val="48"/>
                    <w:jc w:val="center"/>
                    <w:rPr>
                      <w:color w:val="000000"/>
                      <w:sz w:val="18"/>
                      <w:szCs w:val="18"/>
                      <w:u w:val="none"/>
                    </w:rPr>
                  </w:pPr>
                  <w:r>
                    <w:rPr>
                      <w:color w:val="000000"/>
                      <w:sz w:val="18"/>
                      <w:szCs w:val="18"/>
                      <w:u w:val="none"/>
                    </w:rPr>
                    <w:t>声源名称</w:t>
                  </w:r>
                </w:p>
              </w:tc>
              <w:tc>
                <w:tcPr>
                  <w:tcW w:w="409" w:type="pct"/>
                  <w:vMerge w:val="restart"/>
                  <w:noWrap w:val="0"/>
                  <w:vAlign w:val="center"/>
                </w:tcPr>
                <w:p w14:paraId="5179C1CA">
                  <w:pPr>
                    <w:pStyle w:val="48"/>
                    <w:jc w:val="center"/>
                    <w:rPr>
                      <w:rFonts w:hint="eastAsia"/>
                      <w:color w:val="000000"/>
                      <w:sz w:val="18"/>
                      <w:szCs w:val="18"/>
                      <w:u w:val="none"/>
                    </w:rPr>
                  </w:pPr>
                  <w:r>
                    <w:rPr>
                      <w:color w:val="000000"/>
                      <w:sz w:val="18"/>
                      <w:szCs w:val="18"/>
                      <w:u w:val="none"/>
                    </w:rPr>
                    <w:t>声功</w:t>
                  </w:r>
                </w:p>
                <w:p w14:paraId="320C3B07">
                  <w:pPr>
                    <w:pStyle w:val="48"/>
                    <w:jc w:val="center"/>
                    <w:rPr>
                      <w:color w:val="000000"/>
                      <w:sz w:val="18"/>
                      <w:szCs w:val="18"/>
                      <w:u w:val="none"/>
                    </w:rPr>
                  </w:pPr>
                  <w:r>
                    <w:rPr>
                      <w:color w:val="000000"/>
                      <w:sz w:val="18"/>
                      <w:szCs w:val="18"/>
                      <w:u w:val="none"/>
                    </w:rPr>
                    <w:t>率级</w:t>
                  </w:r>
                </w:p>
                <w:p w14:paraId="4CE53C08">
                  <w:pPr>
                    <w:pStyle w:val="48"/>
                    <w:jc w:val="center"/>
                    <w:rPr>
                      <w:color w:val="000000"/>
                      <w:sz w:val="18"/>
                      <w:szCs w:val="18"/>
                      <w:u w:val="none"/>
                    </w:rPr>
                  </w:pPr>
                  <w:r>
                    <w:rPr>
                      <w:color w:val="000000"/>
                      <w:sz w:val="18"/>
                      <w:szCs w:val="18"/>
                      <w:u w:val="none"/>
                    </w:rPr>
                    <w:t>/dB(A)</w:t>
                  </w:r>
                </w:p>
              </w:tc>
              <w:tc>
                <w:tcPr>
                  <w:tcW w:w="486" w:type="pct"/>
                  <w:vMerge w:val="restart"/>
                  <w:noWrap w:val="0"/>
                  <w:vAlign w:val="center"/>
                </w:tcPr>
                <w:p w14:paraId="5019DCDB">
                  <w:pPr>
                    <w:pStyle w:val="48"/>
                    <w:jc w:val="center"/>
                    <w:rPr>
                      <w:color w:val="000000"/>
                      <w:sz w:val="18"/>
                      <w:szCs w:val="18"/>
                      <w:u w:val="none"/>
                    </w:rPr>
                  </w:pPr>
                  <w:r>
                    <w:rPr>
                      <w:color w:val="000000"/>
                      <w:sz w:val="18"/>
                      <w:szCs w:val="18"/>
                      <w:u w:val="none"/>
                    </w:rPr>
                    <w:t>声源控制措施</w:t>
                  </w:r>
                </w:p>
              </w:tc>
              <w:tc>
                <w:tcPr>
                  <w:tcW w:w="851" w:type="pct"/>
                  <w:gridSpan w:val="3"/>
                  <w:noWrap w:val="0"/>
                  <w:vAlign w:val="center"/>
                </w:tcPr>
                <w:p w14:paraId="0E9EA157">
                  <w:pPr>
                    <w:pStyle w:val="48"/>
                    <w:jc w:val="center"/>
                    <w:rPr>
                      <w:color w:val="000000"/>
                      <w:sz w:val="18"/>
                      <w:szCs w:val="18"/>
                      <w:u w:val="none"/>
                    </w:rPr>
                  </w:pPr>
                  <w:r>
                    <w:rPr>
                      <w:color w:val="000000"/>
                      <w:sz w:val="18"/>
                      <w:szCs w:val="18"/>
                      <w:u w:val="none"/>
                    </w:rPr>
                    <w:t>空间相对位置/m</w:t>
                  </w:r>
                </w:p>
              </w:tc>
              <w:tc>
                <w:tcPr>
                  <w:tcW w:w="279" w:type="pct"/>
                  <w:vMerge w:val="restart"/>
                  <w:noWrap w:val="0"/>
                  <w:vAlign w:val="center"/>
                </w:tcPr>
                <w:p w14:paraId="21B5E53B">
                  <w:pPr>
                    <w:pStyle w:val="48"/>
                    <w:jc w:val="center"/>
                    <w:rPr>
                      <w:rFonts w:hint="eastAsia" w:eastAsia="宋体"/>
                      <w:color w:val="000000"/>
                      <w:sz w:val="18"/>
                      <w:szCs w:val="18"/>
                      <w:u w:val="none"/>
                      <w:lang w:val="en-US" w:eastAsia="zh-CN"/>
                    </w:rPr>
                  </w:pPr>
                  <w:r>
                    <w:rPr>
                      <w:rFonts w:hint="eastAsia"/>
                      <w:color w:val="000000"/>
                      <w:sz w:val="18"/>
                      <w:szCs w:val="18"/>
                      <w:u w:val="none"/>
                      <w:lang w:val="en-US" w:eastAsia="zh-CN"/>
                    </w:rPr>
                    <w:t>数量(台)</w:t>
                  </w:r>
                </w:p>
              </w:tc>
              <w:tc>
                <w:tcPr>
                  <w:tcW w:w="391" w:type="pct"/>
                  <w:vMerge w:val="restart"/>
                  <w:noWrap w:val="0"/>
                  <w:vAlign w:val="center"/>
                </w:tcPr>
                <w:p w14:paraId="2579DB5A">
                  <w:pPr>
                    <w:pStyle w:val="48"/>
                    <w:jc w:val="center"/>
                    <w:rPr>
                      <w:color w:val="000000"/>
                      <w:sz w:val="18"/>
                      <w:szCs w:val="18"/>
                      <w:u w:val="none"/>
                    </w:rPr>
                  </w:pPr>
                  <w:r>
                    <w:rPr>
                      <w:color w:val="000000"/>
                      <w:sz w:val="18"/>
                      <w:szCs w:val="18"/>
                      <w:u w:val="none"/>
                    </w:rPr>
                    <w:t>距室内边界距离/m</w:t>
                  </w:r>
                </w:p>
              </w:tc>
              <w:tc>
                <w:tcPr>
                  <w:tcW w:w="441" w:type="pct"/>
                  <w:vMerge w:val="restart"/>
                  <w:noWrap w:val="0"/>
                  <w:vAlign w:val="center"/>
                </w:tcPr>
                <w:p w14:paraId="5B3EF242">
                  <w:pPr>
                    <w:pStyle w:val="48"/>
                    <w:jc w:val="center"/>
                    <w:rPr>
                      <w:color w:val="000000"/>
                      <w:sz w:val="18"/>
                      <w:szCs w:val="18"/>
                      <w:u w:val="none"/>
                    </w:rPr>
                  </w:pPr>
                  <w:r>
                    <w:rPr>
                      <w:color w:val="000000"/>
                      <w:sz w:val="18"/>
                      <w:szCs w:val="18"/>
                      <w:u w:val="none"/>
                    </w:rPr>
                    <w:t>室内边界声级</w:t>
                  </w:r>
                </w:p>
                <w:p w14:paraId="5FDF4327">
                  <w:pPr>
                    <w:pStyle w:val="48"/>
                    <w:jc w:val="center"/>
                    <w:rPr>
                      <w:color w:val="000000"/>
                      <w:sz w:val="18"/>
                      <w:szCs w:val="18"/>
                      <w:u w:val="none"/>
                    </w:rPr>
                  </w:pPr>
                  <w:r>
                    <w:rPr>
                      <w:color w:val="000000"/>
                      <w:sz w:val="18"/>
                      <w:szCs w:val="18"/>
                      <w:u w:val="none"/>
                    </w:rPr>
                    <w:t>/dB(A)</w:t>
                  </w:r>
                </w:p>
              </w:tc>
              <w:tc>
                <w:tcPr>
                  <w:tcW w:w="218" w:type="pct"/>
                  <w:vMerge w:val="restart"/>
                  <w:noWrap w:val="0"/>
                  <w:vAlign w:val="center"/>
                </w:tcPr>
                <w:p w14:paraId="257E67FC">
                  <w:pPr>
                    <w:pStyle w:val="48"/>
                    <w:jc w:val="center"/>
                    <w:rPr>
                      <w:rFonts w:hint="eastAsia"/>
                      <w:color w:val="000000"/>
                      <w:sz w:val="18"/>
                      <w:szCs w:val="18"/>
                      <w:u w:val="none"/>
                    </w:rPr>
                  </w:pPr>
                  <w:r>
                    <w:rPr>
                      <w:rFonts w:hint="eastAsia"/>
                      <w:color w:val="000000"/>
                      <w:sz w:val="18"/>
                      <w:szCs w:val="18"/>
                      <w:u w:val="none"/>
                    </w:rPr>
                    <w:t>运行时段</w:t>
                  </w:r>
                </w:p>
              </w:tc>
              <w:tc>
                <w:tcPr>
                  <w:tcW w:w="441" w:type="pct"/>
                  <w:vMerge w:val="restart"/>
                  <w:noWrap w:val="0"/>
                  <w:vAlign w:val="center"/>
                </w:tcPr>
                <w:p w14:paraId="3596A5A1">
                  <w:pPr>
                    <w:pStyle w:val="48"/>
                    <w:jc w:val="center"/>
                    <w:rPr>
                      <w:color w:val="000000"/>
                      <w:sz w:val="18"/>
                      <w:szCs w:val="18"/>
                      <w:u w:val="none"/>
                    </w:rPr>
                  </w:pPr>
                  <w:r>
                    <w:rPr>
                      <w:color w:val="000000"/>
                      <w:sz w:val="18"/>
                      <w:szCs w:val="18"/>
                      <w:u w:val="none"/>
                    </w:rPr>
                    <w:t>建筑物插入损失/dB(A)</w:t>
                  </w:r>
                </w:p>
              </w:tc>
              <w:tc>
                <w:tcPr>
                  <w:tcW w:w="864" w:type="pct"/>
                  <w:gridSpan w:val="2"/>
                  <w:noWrap w:val="0"/>
                  <w:vAlign w:val="center"/>
                </w:tcPr>
                <w:p w14:paraId="0D56C929">
                  <w:pPr>
                    <w:pStyle w:val="48"/>
                    <w:jc w:val="center"/>
                    <w:rPr>
                      <w:color w:val="000000"/>
                      <w:sz w:val="18"/>
                      <w:szCs w:val="18"/>
                      <w:u w:val="none"/>
                    </w:rPr>
                  </w:pPr>
                  <w:r>
                    <w:rPr>
                      <w:color w:val="000000"/>
                      <w:sz w:val="18"/>
                      <w:szCs w:val="18"/>
                      <w:u w:val="none"/>
                    </w:rPr>
                    <w:t>建筑物外噪声</w:t>
                  </w:r>
                </w:p>
              </w:tc>
            </w:tr>
            <w:tr w14:paraId="627A6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jc w:val="center"/>
              </w:trPr>
              <w:tc>
                <w:tcPr>
                  <w:tcW w:w="318" w:type="pct"/>
                  <w:vMerge w:val="continue"/>
                  <w:noWrap w:val="0"/>
                  <w:vAlign w:val="center"/>
                </w:tcPr>
                <w:p w14:paraId="56A124A7">
                  <w:pPr>
                    <w:pStyle w:val="48"/>
                    <w:jc w:val="center"/>
                    <w:rPr>
                      <w:color w:val="000000"/>
                      <w:sz w:val="18"/>
                      <w:szCs w:val="18"/>
                      <w:u w:val="none"/>
                    </w:rPr>
                  </w:pPr>
                </w:p>
              </w:tc>
              <w:tc>
                <w:tcPr>
                  <w:tcW w:w="298" w:type="pct"/>
                  <w:vMerge w:val="continue"/>
                  <w:noWrap w:val="0"/>
                  <w:vAlign w:val="center"/>
                </w:tcPr>
                <w:p w14:paraId="0999D1CD">
                  <w:pPr>
                    <w:pStyle w:val="48"/>
                    <w:jc w:val="center"/>
                    <w:rPr>
                      <w:color w:val="000000"/>
                      <w:sz w:val="18"/>
                      <w:szCs w:val="18"/>
                      <w:u w:val="none"/>
                    </w:rPr>
                  </w:pPr>
                </w:p>
              </w:tc>
              <w:tc>
                <w:tcPr>
                  <w:tcW w:w="409" w:type="pct"/>
                  <w:vMerge w:val="continue"/>
                  <w:noWrap w:val="0"/>
                  <w:vAlign w:val="center"/>
                </w:tcPr>
                <w:p w14:paraId="6104273C">
                  <w:pPr>
                    <w:pStyle w:val="48"/>
                    <w:jc w:val="center"/>
                    <w:rPr>
                      <w:color w:val="000000"/>
                      <w:sz w:val="18"/>
                      <w:szCs w:val="18"/>
                      <w:u w:val="none"/>
                    </w:rPr>
                  </w:pPr>
                </w:p>
              </w:tc>
              <w:tc>
                <w:tcPr>
                  <w:tcW w:w="486" w:type="pct"/>
                  <w:vMerge w:val="continue"/>
                  <w:noWrap w:val="0"/>
                  <w:vAlign w:val="center"/>
                </w:tcPr>
                <w:p w14:paraId="678C5ED5">
                  <w:pPr>
                    <w:pStyle w:val="48"/>
                    <w:jc w:val="center"/>
                    <w:rPr>
                      <w:color w:val="000000"/>
                      <w:sz w:val="18"/>
                      <w:szCs w:val="18"/>
                      <w:u w:val="none"/>
                    </w:rPr>
                  </w:pPr>
                </w:p>
              </w:tc>
              <w:tc>
                <w:tcPr>
                  <w:tcW w:w="282" w:type="pct"/>
                  <w:noWrap w:val="0"/>
                  <w:vAlign w:val="center"/>
                </w:tcPr>
                <w:p w14:paraId="5F4E623F">
                  <w:pPr>
                    <w:pStyle w:val="48"/>
                    <w:jc w:val="center"/>
                    <w:rPr>
                      <w:color w:val="000000"/>
                      <w:sz w:val="18"/>
                      <w:szCs w:val="18"/>
                      <w:u w:val="none"/>
                    </w:rPr>
                  </w:pPr>
                  <w:r>
                    <w:rPr>
                      <w:color w:val="000000"/>
                      <w:sz w:val="18"/>
                      <w:szCs w:val="18"/>
                      <w:u w:val="none"/>
                    </w:rPr>
                    <w:t>X</w:t>
                  </w:r>
                </w:p>
              </w:tc>
              <w:tc>
                <w:tcPr>
                  <w:tcW w:w="282" w:type="pct"/>
                  <w:noWrap w:val="0"/>
                  <w:vAlign w:val="center"/>
                </w:tcPr>
                <w:p w14:paraId="71BA1DE5">
                  <w:pPr>
                    <w:pStyle w:val="48"/>
                    <w:jc w:val="center"/>
                    <w:rPr>
                      <w:color w:val="000000"/>
                      <w:sz w:val="18"/>
                      <w:szCs w:val="18"/>
                      <w:u w:val="none"/>
                    </w:rPr>
                  </w:pPr>
                  <w:r>
                    <w:rPr>
                      <w:color w:val="000000"/>
                      <w:sz w:val="18"/>
                      <w:szCs w:val="18"/>
                      <w:u w:val="none"/>
                    </w:rPr>
                    <w:t>Y</w:t>
                  </w:r>
                </w:p>
              </w:tc>
              <w:tc>
                <w:tcPr>
                  <w:tcW w:w="287" w:type="pct"/>
                  <w:noWrap w:val="0"/>
                  <w:vAlign w:val="center"/>
                </w:tcPr>
                <w:p w14:paraId="0528D5BD">
                  <w:pPr>
                    <w:pStyle w:val="48"/>
                    <w:jc w:val="center"/>
                    <w:rPr>
                      <w:color w:val="000000"/>
                      <w:sz w:val="18"/>
                      <w:szCs w:val="18"/>
                      <w:u w:val="none"/>
                    </w:rPr>
                  </w:pPr>
                  <w:r>
                    <w:rPr>
                      <w:color w:val="000000"/>
                      <w:sz w:val="18"/>
                      <w:szCs w:val="18"/>
                      <w:u w:val="none"/>
                    </w:rPr>
                    <w:t>Z</w:t>
                  </w:r>
                </w:p>
              </w:tc>
              <w:tc>
                <w:tcPr>
                  <w:tcW w:w="279" w:type="pct"/>
                  <w:vMerge w:val="continue"/>
                  <w:noWrap w:val="0"/>
                  <w:vAlign w:val="center"/>
                </w:tcPr>
                <w:p w14:paraId="05575968">
                  <w:pPr>
                    <w:pStyle w:val="48"/>
                    <w:jc w:val="center"/>
                    <w:rPr>
                      <w:color w:val="000000"/>
                      <w:sz w:val="18"/>
                      <w:szCs w:val="18"/>
                      <w:u w:val="none"/>
                    </w:rPr>
                  </w:pPr>
                </w:p>
              </w:tc>
              <w:tc>
                <w:tcPr>
                  <w:tcW w:w="391" w:type="pct"/>
                  <w:vMerge w:val="continue"/>
                  <w:noWrap w:val="0"/>
                  <w:vAlign w:val="center"/>
                </w:tcPr>
                <w:p w14:paraId="7C37CC92">
                  <w:pPr>
                    <w:pStyle w:val="48"/>
                    <w:jc w:val="center"/>
                    <w:rPr>
                      <w:color w:val="000000"/>
                      <w:sz w:val="18"/>
                      <w:szCs w:val="18"/>
                      <w:u w:val="none"/>
                    </w:rPr>
                  </w:pPr>
                </w:p>
              </w:tc>
              <w:tc>
                <w:tcPr>
                  <w:tcW w:w="441" w:type="pct"/>
                  <w:vMerge w:val="continue"/>
                  <w:noWrap w:val="0"/>
                  <w:vAlign w:val="center"/>
                </w:tcPr>
                <w:p w14:paraId="71AEC71C">
                  <w:pPr>
                    <w:pStyle w:val="48"/>
                    <w:jc w:val="center"/>
                    <w:rPr>
                      <w:color w:val="000000"/>
                      <w:sz w:val="18"/>
                      <w:szCs w:val="18"/>
                      <w:u w:val="none"/>
                    </w:rPr>
                  </w:pPr>
                </w:p>
              </w:tc>
              <w:tc>
                <w:tcPr>
                  <w:tcW w:w="218" w:type="pct"/>
                  <w:vMerge w:val="continue"/>
                  <w:noWrap w:val="0"/>
                  <w:vAlign w:val="center"/>
                </w:tcPr>
                <w:p w14:paraId="2502F7D6">
                  <w:pPr>
                    <w:pStyle w:val="48"/>
                    <w:jc w:val="center"/>
                    <w:rPr>
                      <w:color w:val="000000"/>
                      <w:sz w:val="18"/>
                      <w:szCs w:val="18"/>
                      <w:u w:val="none"/>
                    </w:rPr>
                  </w:pPr>
                </w:p>
              </w:tc>
              <w:tc>
                <w:tcPr>
                  <w:tcW w:w="441" w:type="pct"/>
                  <w:vMerge w:val="continue"/>
                  <w:noWrap w:val="0"/>
                  <w:vAlign w:val="center"/>
                </w:tcPr>
                <w:p w14:paraId="7D8E50E5">
                  <w:pPr>
                    <w:pStyle w:val="48"/>
                    <w:jc w:val="center"/>
                    <w:rPr>
                      <w:color w:val="000000"/>
                      <w:sz w:val="18"/>
                      <w:szCs w:val="18"/>
                      <w:u w:val="none"/>
                    </w:rPr>
                  </w:pPr>
                </w:p>
              </w:tc>
              <w:tc>
                <w:tcPr>
                  <w:tcW w:w="433" w:type="pct"/>
                  <w:noWrap w:val="0"/>
                  <w:vAlign w:val="center"/>
                </w:tcPr>
                <w:p w14:paraId="365474AC">
                  <w:pPr>
                    <w:pStyle w:val="48"/>
                    <w:jc w:val="center"/>
                    <w:rPr>
                      <w:color w:val="000000"/>
                      <w:sz w:val="18"/>
                      <w:szCs w:val="18"/>
                      <w:u w:val="none"/>
                    </w:rPr>
                  </w:pPr>
                  <w:r>
                    <w:rPr>
                      <w:color w:val="000000"/>
                      <w:sz w:val="18"/>
                      <w:szCs w:val="18"/>
                      <w:u w:val="none"/>
                    </w:rPr>
                    <w:t>声压级</w:t>
                  </w:r>
                </w:p>
                <w:p w14:paraId="78C5ACD5">
                  <w:pPr>
                    <w:pStyle w:val="48"/>
                    <w:jc w:val="center"/>
                    <w:rPr>
                      <w:color w:val="000000"/>
                      <w:sz w:val="18"/>
                      <w:szCs w:val="18"/>
                      <w:u w:val="none"/>
                    </w:rPr>
                  </w:pPr>
                  <w:r>
                    <w:rPr>
                      <w:color w:val="000000"/>
                      <w:sz w:val="18"/>
                      <w:szCs w:val="18"/>
                      <w:u w:val="none"/>
                    </w:rPr>
                    <w:t>/dB(A)</w:t>
                  </w:r>
                </w:p>
              </w:tc>
              <w:tc>
                <w:tcPr>
                  <w:tcW w:w="431" w:type="pct"/>
                  <w:noWrap w:val="0"/>
                  <w:vAlign w:val="center"/>
                </w:tcPr>
                <w:p w14:paraId="23E358B3">
                  <w:pPr>
                    <w:pStyle w:val="48"/>
                    <w:jc w:val="center"/>
                    <w:rPr>
                      <w:color w:val="000000"/>
                      <w:sz w:val="18"/>
                      <w:szCs w:val="18"/>
                      <w:u w:val="none"/>
                    </w:rPr>
                  </w:pPr>
                  <w:r>
                    <w:rPr>
                      <w:color w:val="000000"/>
                      <w:sz w:val="18"/>
                      <w:szCs w:val="18"/>
                      <w:u w:val="none"/>
                    </w:rPr>
                    <w:t>建筑物外距离/m</w:t>
                  </w:r>
                </w:p>
              </w:tc>
            </w:tr>
            <w:tr w14:paraId="47F70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48" w:hRule="atLeast"/>
                <w:jc w:val="center"/>
              </w:trPr>
              <w:tc>
                <w:tcPr>
                  <w:tcW w:w="318" w:type="pct"/>
                  <w:vMerge w:val="restart"/>
                  <w:noWrap w:val="0"/>
                  <w:vAlign w:val="center"/>
                </w:tcPr>
                <w:p w14:paraId="19BEA327">
                  <w:pPr>
                    <w:pStyle w:val="48"/>
                    <w:jc w:val="center"/>
                    <w:rPr>
                      <w:color w:val="000000"/>
                      <w:sz w:val="18"/>
                      <w:szCs w:val="18"/>
                      <w:u w:val="none"/>
                    </w:rPr>
                  </w:pPr>
                  <w:r>
                    <w:rPr>
                      <w:rFonts w:hint="eastAsia"/>
                      <w:color w:val="000000"/>
                      <w:sz w:val="18"/>
                      <w:szCs w:val="18"/>
                      <w:u w:val="none"/>
                    </w:rPr>
                    <w:t>生产车间</w:t>
                  </w:r>
                </w:p>
              </w:tc>
              <w:tc>
                <w:tcPr>
                  <w:tcW w:w="298" w:type="pct"/>
                  <w:noWrap w:val="0"/>
                  <w:vAlign w:val="center"/>
                </w:tcPr>
                <w:p w14:paraId="6AC3E284">
                  <w:pPr>
                    <w:pStyle w:val="5"/>
                    <w:spacing w:line="240" w:lineRule="auto"/>
                    <w:ind w:firstLine="0" w:firstLineChars="0"/>
                    <w:jc w:val="center"/>
                    <w:rPr>
                      <w:rFonts w:hint="default" w:eastAsia="宋体"/>
                      <w:color w:val="000000"/>
                      <w:sz w:val="18"/>
                      <w:szCs w:val="18"/>
                      <w:u w:val="none"/>
                      <w:lang w:val="en-US" w:eastAsia="zh-CN"/>
                    </w:rPr>
                  </w:pPr>
                  <w:r>
                    <w:rPr>
                      <w:rFonts w:hint="eastAsia"/>
                      <w:color w:val="000000"/>
                      <w:sz w:val="18"/>
                      <w:szCs w:val="18"/>
                      <w:u w:val="none"/>
                      <w:lang w:val="en-US" w:eastAsia="zh-CN"/>
                    </w:rPr>
                    <w:t>全自动射出机</w:t>
                  </w:r>
                </w:p>
              </w:tc>
              <w:tc>
                <w:tcPr>
                  <w:tcW w:w="409" w:type="pct"/>
                  <w:noWrap w:val="0"/>
                  <w:vAlign w:val="center"/>
                </w:tcPr>
                <w:p w14:paraId="7F6B369C">
                  <w:pPr>
                    <w:pStyle w:val="48"/>
                    <w:jc w:val="center"/>
                    <w:rPr>
                      <w:color w:val="000000"/>
                      <w:sz w:val="18"/>
                      <w:szCs w:val="18"/>
                      <w:u w:val="none"/>
                    </w:rPr>
                  </w:pPr>
                  <w:r>
                    <w:rPr>
                      <w:rFonts w:hint="eastAsia"/>
                      <w:color w:val="000000"/>
                      <w:sz w:val="18"/>
                      <w:szCs w:val="18"/>
                      <w:u w:val="none"/>
                    </w:rPr>
                    <w:t>75</w:t>
                  </w:r>
                </w:p>
              </w:tc>
              <w:tc>
                <w:tcPr>
                  <w:tcW w:w="486" w:type="pct"/>
                  <w:noWrap w:val="0"/>
                  <w:vAlign w:val="center"/>
                </w:tcPr>
                <w:p w14:paraId="1DDA5D67">
                  <w:pPr>
                    <w:pStyle w:val="48"/>
                    <w:jc w:val="center"/>
                    <w:rPr>
                      <w:color w:val="000000"/>
                      <w:sz w:val="18"/>
                      <w:szCs w:val="18"/>
                      <w:u w:val="none"/>
                    </w:rPr>
                  </w:pPr>
                  <w:r>
                    <w:rPr>
                      <w:rFonts w:hint="eastAsia"/>
                      <w:color w:val="000000"/>
                      <w:sz w:val="18"/>
                      <w:szCs w:val="18"/>
                      <w:u w:val="none"/>
                    </w:rPr>
                    <w:t>基础减振、厂房隔声</w:t>
                  </w:r>
                </w:p>
              </w:tc>
              <w:tc>
                <w:tcPr>
                  <w:tcW w:w="282" w:type="pct"/>
                  <w:noWrap w:val="0"/>
                  <w:vAlign w:val="center"/>
                </w:tcPr>
                <w:p w14:paraId="707A05AD">
                  <w:pPr>
                    <w:pStyle w:val="48"/>
                    <w:jc w:val="center"/>
                    <w:rPr>
                      <w:rFonts w:hint="default" w:eastAsia="宋体"/>
                      <w:color w:val="000000"/>
                      <w:sz w:val="18"/>
                      <w:szCs w:val="18"/>
                      <w:u w:val="none"/>
                      <w:lang w:val="en-US" w:eastAsia="zh-CN"/>
                    </w:rPr>
                  </w:pPr>
                  <w:r>
                    <w:rPr>
                      <w:rFonts w:hint="eastAsia"/>
                      <w:color w:val="000000"/>
                      <w:sz w:val="18"/>
                      <w:szCs w:val="18"/>
                      <w:u w:val="none"/>
                      <w:lang w:val="en-US" w:eastAsia="zh-CN"/>
                    </w:rPr>
                    <w:t>14</w:t>
                  </w:r>
                </w:p>
              </w:tc>
              <w:tc>
                <w:tcPr>
                  <w:tcW w:w="282" w:type="pct"/>
                  <w:noWrap w:val="0"/>
                  <w:vAlign w:val="center"/>
                </w:tcPr>
                <w:p w14:paraId="3E2650F5">
                  <w:pPr>
                    <w:pStyle w:val="48"/>
                    <w:jc w:val="center"/>
                    <w:rPr>
                      <w:rFonts w:hint="default" w:eastAsia="宋体"/>
                      <w:color w:val="000000"/>
                      <w:sz w:val="18"/>
                      <w:szCs w:val="18"/>
                      <w:u w:val="none"/>
                      <w:lang w:val="en-US" w:eastAsia="zh-CN"/>
                    </w:rPr>
                  </w:pPr>
                  <w:r>
                    <w:rPr>
                      <w:rFonts w:hint="eastAsia"/>
                      <w:color w:val="000000"/>
                      <w:sz w:val="18"/>
                      <w:szCs w:val="18"/>
                      <w:u w:val="none"/>
                      <w:lang w:val="en-US" w:eastAsia="zh-CN"/>
                    </w:rPr>
                    <w:t>63</w:t>
                  </w:r>
                </w:p>
              </w:tc>
              <w:tc>
                <w:tcPr>
                  <w:tcW w:w="287" w:type="pct"/>
                  <w:noWrap w:val="0"/>
                  <w:vAlign w:val="center"/>
                </w:tcPr>
                <w:p w14:paraId="4280090C">
                  <w:pPr>
                    <w:pStyle w:val="48"/>
                    <w:jc w:val="center"/>
                    <w:rPr>
                      <w:rFonts w:hint="eastAsia"/>
                      <w:color w:val="000000"/>
                      <w:sz w:val="18"/>
                      <w:szCs w:val="18"/>
                      <w:u w:val="none"/>
                    </w:rPr>
                  </w:pPr>
                  <w:r>
                    <w:rPr>
                      <w:rFonts w:hint="eastAsia"/>
                      <w:color w:val="000000"/>
                      <w:sz w:val="18"/>
                      <w:szCs w:val="18"/>
                      <w:u w:val="none"/>
                    </w:rPr>
                    <w:t>1</w:t>
                  </w:r>
                </w:p>
              </w:tc>
              <w:tc>
                <w:tcPr>
                  <w:tcW w:w="279" w:type="pct"/>
                  <w:noWrap w:val="0"/>
                  <w:vAlign w:val="center"/>
                </w:tcPr>
                <w:p w14:paraId="3DA5001F">
                  <w:pPr>
                    <w:pStyle w:val="49"/>
                    <w:snapToGrid/>
                    <w:spacing w:line="240" w:lineRule="auto"/>
                    <w:jc w:val="center"/>
                    <w:rPr>
                      <w:rFonts w:hint="default" w:eastAsia="宋体"/>
                      <w:color w:val="000000"/>
                      <w:sz w:val="18"/>
                      <w:szCs w:val="18"/>
                      <w:u w:val="none"/>
                      <w:lang w:val="en-US" w:eastAsia="zh-CN"/>
                    </w:rPr>
                  </w:pPr>
                  <w:r>
                    <w:rPr>
                      <w:rFonts w:hint="eastAsia"/>
                      <w:color w:val="000000"/>
                      <w:sz w:val="18"/>
                      <w:szCs w:val="18"/>
                      <w:u w:val="none"/>
                      <w:lang w:val="en-US" w:eastAsia="zh-CN"/>
                    </w:rPr>
                    <w:t>1</w:t>
                  </w:r>
                </w:p>
              </w:tc>
              <w:tc>
                <w:tcPr>
                  <w:tcW w:w="391" w:type="pct"/>
                  <w:noWrap w:val="0"/>
                  <w:vAlign w:val="center"/>
                </w:tcPr>
                <w:p w14:paraId="5AF24430">
                  <w:pPr>
                    <w:pStyle w:val="49"/>
                    <w:snapToGrid/>
                    <w:spacing w:line="240" w:lineRule="auto"/>
                    <w:jc w:val="center"/>
                    <w:rPr>
                      <w:rFonts w:hint="eastAsia"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6</w:t>
                  </w:r>
                </w:p>
                <w:p w14:paraId="5A104610">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8</w:t>
                  </w:r>
                </w:p>
                <w:p w14:paraId="7A19DA55">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14</w:t>
                  </w:r>
                </w:p>
                <w:p w14:paraId="654BDB75">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N</w:t>
                  </w:r>
                  <w:r>
                    <w:rPr>
                      <w:rFonts w:hint="eastAsia"/>
                      <w:color w:val="000000"/>
                      <w:sz w:val="18"/>
                      <w:szCs w:val="18"/>
                      <w:u w:val="none"/>
                      <w:lang w:val="en-US" w:eastAsia="zh-CN"/>
                    </w:rPr>
                    <w:t>63</w:t>
                  </w:r>
                </w:p>
              </w:tc>
              <w:tc>
                <w:tcPr>
                  <w:tcW w:w="441" w:type="pct"/>
                  <w:noWrap w:val="0"/>
                  <w:vAlign w:val="center"/>
                </w:tcPr>
                <w:p w14:paraId="512FE221">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59</w:t>
                  </w:r>
                </w:p>
                <w:p w14:paraId="449ACDE2">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57</w:t>
                  </w:r>
                </w:p>
                <w:p w14:paraId="038466C3">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52</w:t>
                  </w:r>
                </w:p>
                <w:p w14:paraId="2E57E7D3">
                  <w:pPr>
                    <w:jc w:val="center"/>
                    <w:rPr>
                      <w:rFonts w:hint="default" w:eastAsia="宋体"/>
                      <w:color w:val="000000"/>
                      <w:sz w:val="18"/>
                      <w:szCs w:val="18"/>
                      <w:u w:val="none"/>
                      <w:lang w:val="en-US" w:eastAsia="zh-CN"/>
                    </w:rPr>
                  </w:pPr>
                  <w:r>
                    <w:rPr>
                      <w:color w:val="000000"/>
                      <w:sz w:val="18"/>
                      <w:szCs w:val="18"/>
                      <w:u w:val="none"/>
                    </w:rPr>
                    <w:t>N</w:t>
                  </w:r>
                  <w:r>
                    <w:rPr>
                      <w:rFonts w:hint="eastAsia"/>
                      <w:color w:val="000000"/>
                      <w:sz w:val="18"/>
                      <w:szCs w:val="18"/>
                      <w:u w:val="none"/>
                      <w:lang w:val="en-US" w:eastAsia="zh-CN"/>
                    </w:rPr>
                    <w:t>39</w:t>
                  </w:r>
                </w:p>
              </w:tc>
              <w:tc>
                <w:tcPr>
                  <w:tcW w:w="218" w:type="pct"/>
                  <w:noWrap w:val="0"/>
                  <w:vAlign w:val="center"/>
                </w:tcPr>
                <w:p w14:paraId="76F061CE">
                  <w:pPr>
                    <w:pStyle w:val="48"/>
                    <w:jc w:val="center"/>
                    <w:rPr>
                      <w:rFonts w:hint="eastAsia"/>
                      <w:color w:val="000000"/>
                      <w:sz w:val="18"/>
                      <w:szCs w:val="18"/>
                      <w:u w:val="none"/>
                    </w:rPr>
                  </w:pPr>
                  <w:r>
                    <w:rPr>
                      <w:rFonts w:hint="eastAsia"/>
                      <w:color w:val="000000"/>
                      <w:sz w:val="18"/>
                      <w:szCs w:val="18"/>
                      <w:u w:val="none"/>
                    </w:rPr>
                    <w:t>昼间</w:t>
                  </w:r>
                </w:p>
              </w:tc>
              <w:tc>
                <w:tcPr>
                  <w:tcW w:w="441" w:type="pct"/>
                  <w:noWrap w:val="0"/>
                  <w:vAlign w:val="center"/>
                </w:tcPr>
                <w:p w14:paraId="090DE5C4">
                  <w:pPr>
                    <w:pStyle w:val="48"/>
                    <w:jc w:val="center"/>
                    <w:rPr>
                      <w:color w:val="000000"/>
                      <w:sz w:val="18"/>
                      <w:szCs w:val="18"/>
                      <w:u w:val="none"/>
                    </w:rPr>
                  </w:pPr>
                  <w:r>
                    <w:rPr>
                      <w:rFonts w:hint="eastAsia"/>
                      <w:color w:val="000000"/>
                      <w:sz w:val="18"/>
                      <w:szCs w:val="18"/>
                      <w:u w:val="none"/>
                    </w:rPr>
                    <w:t>20</w:t>
                  </w:r>
                </w:p>
              </w:tc>
              <w:tc>
                <w:tcPr>
                  <w:tcW w:w="433" w:type="pct"/>
                  <w:noWrap w:val="0"/>
                  <w:vAlign w:val="center"/>
                </w:tcPr>
                <w:p w14:paraId="22103927">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39</w:t>
                  </w:r>
                </w:p>
                <w:p w14:paraId="23BE91A9">
                  <w:pPr>
                    <w:jc w:val="center"/>
                    <w:rPr>
                      <w:rFonts w:hint="eastAsia"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7</w:t>
                  </w:r>
                </w:p>
                <w:p w14:paraId="79373B5A">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32</w:t>
                  </w:r>
                </w:p>
                <w:p w14:paraId="29E2C68D">
                  <w:pPr>
                    <w:jc w:val="center"/>
                    <w:rPr>
                      <w:rFonts w:hint="default" w:eastAsia="宋体"/>
                      <w:color w:val="000000"/>
                      <w:sz w:val="18"/>
                      <w:szCs w:val="18"/>
                      <w:u w:val="none"/>
                      <w:lang w:val="en-US" w:eastAsia="zh-CN"/>
                    </w:rPr>
                  </w:pPr>
                  <w:r>
                    <w:rPr>
                      <w:color w:val="000000"/>
                      <w:sz w:val="18"/>
                      <w:szCs w:val="18"/>
                      <w:u w:val="none"/>
                    </w:rPr>
                    <w:t>N</w:t>
                  </w:r>
                  <w:r>
                    <w:rPr>
                      <w:rFonts w:hint="eastAsia"/>
                      <w:color w:val="000000"/>
                      <w:sz w:val="18"/>
                      <w:szCs w:val="18"/>
                      <w:u w:val="none"/>
                      <w:lang w:val="en-US" w:eastAsia="zh-CN"/>
                    </w:rPr>
                    <w:t>19</w:t>
                  </w:r>
                </w:p>
              </w:tc>
              <w:tc>
                <w:tcPr>
                  <w:tcW w:w="431" w:type="pct"/>
                  <w:noWrap w:val="0"/>
                  <w:vAlign w:val="center"/>
                </w:tcPr>
                <w:p w14:paraId="628C82AB">
                  <w:pPr>
                    <w:pStyle w:val="48"/>
                    <w:jc w:val="center"/>
                    <w:rPr>
                      <w:rFonts w:hint="eastAsia"/>
                      <w:color w:val="000000"/>
                      <w:sz w:val="18"/>
                      <w:szCs w:val="18"/>
                      <w:u w:val="none"/>
                    </w:rPr>
                  </w:pPr>
                  <w:r>
                    <w:rPr>
                      <w:rFonts w:hint="eastAsia"/>
                      <w:color w:val="000000"/>
                      <w:sz w:val="18"/>
                      <w:szCs w:val="18"/>
                      <w:u w:val="none"/>
                    </w:rPr>
                    <w:t>1</w:t>
                  </w:r>
                </w:p>
              </w:tc>
            </w:tr>
            <w:tr w14:paraId="034A4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48" w:hRule="atLeast"/>
                <w:jc w:val="center"/>
              </w:trPr>
              <w:tc>
                <w:tcPr>
                  <w:tcW w:w="318" w:type="pct"/>
                  <w:vMerge w:val="continue"/>
                  <w:noWrap w:val="0"/>
                  <w:vAlign w:val="center"/>
                </w:tcPr>
                <w:p w14:paraId="703DCCE5">
                  <w:pPr>
                    <w:pStyle w:val="48"/>
                    <w:jc w:val="center"/>
                    <w:rPr>
                      <w:rFonts w:hint="eastAsia"/>
                      <w:color w:val="000000"/>
                      <w:sz w:val="18"/>
                      <w:szCs w:val="18"/>
                      <w:u w:val="none"/>
                    </w:rPr>
                  </w:pPr>
                </w:p>
              </w:tc>
              <w:tc>
                <w:tcPr>
                  <w:tcW w:w="298" w:type="pct"/>
                  <w:noWrap w:val="0"/>
                  <w:vAlign w:val="center"/>
                </w:tcPr>
                <w:p w14:paraId="24508EB3">
                  <w:pPr>
                    <w:pStyle w:val="5"/>
                    <w:spacing w:line="240" w:lineRule="auto"/>
                    <w:ind w:firstLine="0" w:firstLineChars="0"/>
                    <w:jc w:val="center"/>
                    <w:rPr>
                      <w:rFonts w:hint="eastAsia"/>
                      <w:color w:val="000000"/>
                      <w:sz w:val="18"/>
                      <w:szCs w:val="18"/>
                      <w:u w:val="none"/>
                      <w:lang w:val="en-US" w:eastAsia="zh-CN"/>
                    </w:rPr>
                  </w:pPr>
                  <w:r>
                    <w:rPr>
                      <w:rFonts w:hint="eastAsia"/>
                      <w:color w:val="000000"/>
                      <w:sz w:val="18"/>
                      <w:szCs w:val="18"/>
                      <w:u w:val="none"/>
                      <w:lang w:val="en-US" w:eastAsia="zh-CN"/>
                    </w:rPr>
                    <w:t>全自动射出机</w:t>
                  </w:r>
                </w:p>
              </w:tc>
              <w:tc>
                <w:tcPr>
                  <w:tcW w:w="409" w:type="pct"/>
                  <w:noWrap w:val="0"/>
                  <w:vAlign w:val="center"/>
                </w:tcPr>
                <w:p w14:paraId="613B88BF">
                  <w:pPr>
                    <w:pStyle w:val="48"/>
                    <w:jc w:val="center"/>
                    <w:rPr>
                      <w:rFonts w:hint="eastAsia"/>
                      <w:color w:val="000000"/>
                      <w:sz w:val="18"/>
                      <w:szCs w:val="18"/>
                      <w:u w:val="none"/>
                    </w:rPr>
                  </w:pPr>
                  <w:r>
                    <w:rPr>
                      <w:rFonts w:hint="eastAsia"/>
                      <w:color w:val="000000"/>
                      <w:sz w:val="18"/>
                      <w:szCs w:val="18"/>
                      <w:u w:val="none"/>
                    </w:rPr>
                    <w:t>75</w:t>
                  </w:r>
                </w:p>
              </w:tc>
              <w:tc>
                <w:tcPr>
                  <w:tcW w:w="486" w:type="pct"/>
                  <w:noWrap w:val="0"/>
                  <w:vAlign w:val="center"/>
                </w:tcPr>
                <w:p w14:paraId="54F261E5">
                  <w:pPr>
                    <w:pStyle w:val="48"/>
                    <w:jc w:val="center"/>
                    <w:rPr>
                      <w:rFonts w:hint="eastAsia"/>
                      <w:color w:val="000000"/>
                      <w:sz w:val="18"/>
                      <w:szCs w:val="18"/>
                      <w:u w:val="none"/>
                    </w:rPr>
                  </w:pPr>
                  <w:r>
                    <w:rPr>
                      <w:rFonts w:hint="eastAsia"/>
                      <w:color w:val="000000"/>
                      <w:sz w:val="18"/>
                      <w:szCs w:val="18"/>
                      <w:u w:val="none"/>
                    </w:rPr>
                    <w:t>基础减振、厂房隔声</w:t>
                  </w:r>
                </w:p>
              </w:tc>
              <w:tc>
                <w:tcPr>
                  <w:tcW w:w="282" w:type="pct"/>
                  <w:noWrap w:val="0"/>
                  <w:vAlign w:val="center"/>
                </w:tcPr>
                <w:p w14:paraId="34238D08">
                  <w:pPr>
                    <w:pStyle w:val="48"/>
                    <w:jc w:val="center"/>
                    <w:rPr>
                      <w:rFonts w:hint="default"/>
                      <w:color w:val="000000"/>
                      <w:sz w:val="18"/>
                      <w:szCs w:val="18"/>
                      <w:u w:val="none"/>
                      <w:lang w:val="en-US" w:eastAsia="zh-CN"/>
                    </w:rPr>
                  </w:pPr>
                  <w:r>
                    <w:rPr>
                      <w:rFonts w:hint="eastAsia"/>
                      <w:color w:val="000000"/>
                      <w:sz w:val="18"/>
                      <w:szCs w:val="18"/>
                      <w:u w:val="none"/>
                      <w:lang w:val="en-US" w:eastAsia="zh-CN"/>
                    </w:rPr>
                    <w:t>14</w:t>
                  </w:r>
                </w:p>
              </w:tc>
              <w:tc>
                <w:tcPr>
                  <w:tcW w:w="282" w:type="pct"/>
                  <w:noWrap w:val="0"/>
                  <w:vAlign w:val="center"/>
                </w:tcPr>
                <w:p w14:paraId="3D0373CA">
                  <w:pPr>
                    <w:pStyle w:val="48"/>
                    <w:jc w:val="center"/>
                    <w:rPr>
                      <w:rFonts w:hint="default"/>
                      <w:color w:val="000000"/>
                      <w:sz w:val="18"/>
                      <w:szCs w:val="18"/>
                      <w:u w:val="none"/>
                      <w:lang w:val="en-US" w:eastAsia="zh-CN"/>
                    </w:rPr>
                  </w:pPr>
                  <w:r>
                    <w:rPr>
                      <w:rFonts w:hint="eastAsia"/>
                      <w:color w:val="000000"/>
                      <w:sz w:val="18"/>
                      <w:szCs w:val="18"/>
                      <w:u w:val="none"/>
                      <w:lang w:val="en-US" w:eastAsia="zh-CN"/>
                    </w:rPr>
                    <w:t>61</w:t>
                  </w:r>
                </w:p>
              </w:tc>
              <w:tc>
                <w:tcPr>
                  <w:tcW w:w="287" w:type="pct"/>
                  <w:noWrap w:val="0"/>
                  <w:vAlign w:val="center"/>
                </w:tcPr>
                <w:p w14:paraId="252CA146">
                  <w:pPr>
                    <w:pStyle w:val="48"/>
                    <w:jc w:val="center"/>
                    <w:rPr>
                      <w:rFonts w:hint="eastAsia"/>
                      <w:color w:val="000000"/>
                      <w:sz w:val="18"/>
                      <w:szCs w:val="18"/>
                      <w:u w:val="none"/>
                    </w:rPr>
                  </w:pPr>
                  <w:r>
                    <w:rPr>
                      <w:rFonts w:hint="eastAsia"/>
                      <w:color w:val="000000"/>
                      <w:sz w:val="18"/>
                      <w:szCs w:val="18"/>
                      <w:u w:val="none"/>
                    </w:rPr>
                    <w:t>1</w:t>
                  </w:r>
                </w:p>
              </w:tc>
              <w:tc>
                <w:tcPr>
                  <w:tcW w:w="279" w:type="pct"/>
                  <w:noWrap w:val="0"/>
                  <w:vAlign w:val="center"/>
                </w:tcPr>
                <w:p w14:paraId="7181FE6D">
                  <w:pPr>
                    <w:snapToGrid/>
                    <w:spacing w:line="240" w:lineRule="auto"/>
                    <w:jc w:val="center"/>
                    <w:rPr>
                      <w:rFonts w:hint="eastAsia"/>
                      <w:color w:val="000000"/>
                      <w:sz w:val="18"/>
                      <w:szCs w:val="18"/>
                      <w:u w:val="none"/>
                      <w:lang w:val="en-US" w:eastAsia="zh-CN"/>
                    </w:rPr>
                  </w:pPr>
                  <w:r>
                    <w:rPr>
                      <w:rFonts w:hint="eastAsia"/>
                      <w:color w:val="000000"/>
                      <w:sz w:val="18"/>
                      <w:szCs w:val="18"/>
                      <w:u w:val="none"/>
                      <w:lang w:val="en-US" w:eastAsia="zh-CN"/>
                    </w:rPr>
                    <w:t>1</w:t>
                  </w:r>
                </w:p>
              </w:tc>
              <w:tc>
                <w:tcPr>
                  <w:tcW w:w="391" w:type="pct"/>
                  <w:noWrap w:val="0"/>
                  <w:vAlign w:val="center"/>
                </w:tcPr>
                <w:p w14:paraId="5735166B">
                  <w:pPr>
                    <w:pStyle w:val="49"/>
                    <w:snapToGrid/>
                    <w:spacing w:line="240" w:lineRule="auto"/>
                    <w:jc w:val="center"/>
                    <w:rPr>
                      <w:rFonts w:hint="eastAsia"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6</w:t>
                  </w:r>
                </w:p>
                <w:p w14:paraId="02961593">
                  <w:pPr>
                    <w:pStyle w:val="49"/>
                    <w:snapToGrid/>
                    <w:spacing w:line="240" w:lineRule="auto"/>
                    <w:jc w:val="center"/>
                    <w:rPr>
                      <w:rFonts w:hint="eastAsia"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9</w:t>
                  </w:r>
                </w:p>
                <w:p w14:paraId="6CC39C28">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14</w:t>
                  </w:r>
                </w:p>
                <w:p w14:paraId="2F0E46CC">
                  <w:pPr>
                    <w:pStyle w:val="49"/>
                    <w:snapToGrid/>
                    <w:spacing w:line="240" w:lineRule="auto"/>
                    <w:jc w:val="center"/>
                    <w:rPr>
                      <w:rFonts w:hint="default"/>
                      <w:color w:val="000000"/>
                      <w:sz w:val="18"/>
                      <w:szCs w:val="18"/>
                      <w:u w:val="none"/>
                      <w:lang w:val="en-US"/>
                    </w:rPr>
                  </w:pPr>
                  <w:r>
                    <w:rPr>
                      <w:color w:val="000000"/>
                      <w:sz w:val="18"/>
                      <w:szCs w:val="18"/>
                      <w:u w:val="none"/>
                    </w:rPr>
                    <w:t>N</w:t>
                  </w:r>
                  <w:r>
                    <w:rPr>
                      <w:rFonts w:hint="eastAsia"/>
                      <w:color w:val="000000"/>
                      <w:sz w:val="18"/>
                      <w:szCs w:val="18"/>
                      <w:u w:val="none"/>
                      <w:lang w:val="en-US" w:eastAsia="zh-CN"/>
                    </w:rPr>
                    <w:t>61</w:t>
                  </w:r>
                </w:p>
              </w:tc>
              <w:tc>
                <w:tcPr>
                  <w:tcW w:w="441" w:type="pct"/>
                  <w:noWrap w:val="0"/>
                  <w:vAlign w:val="center"/>
                </w:tcPr>
                <w:p w14:paraId="1D7ABB33">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59</w:t>
                  </w:r>
                </w:p>
                <w:p w14:paraId="4A4DFC1F">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56</w:t>
                  </w:r>
                </w:p>
                <w:p w14:paraId="365CD504">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52</w:t>
                  </w:r>
                </w:p>
                <w:p w14:paraId="3CA4B436">
                  <w:pPr>
                    <w:jc w:val="center"/>
                    <w:rPr>
                      <w:rFonts w:hint="default"/>
                      <w:color w:val="000000"/>
                      <w:sz w:val="18"/>
                      <w:szCs w:val="18"/>
                      <w:u w:val="none"/>
                      <w:lang w:val="en-US"/>
                    </w:rPr>
                  </w:pPr>
                  <w:r>
                    <w:rPr>
                      <w:color w:val="000000"/>
                      <w:sz w:val="18"/>
                      <w:szCs w:val="18"/>
                      <w:u w:val="none"/>
                    </w:rPr>
                    <w:t>N</w:t>
                  </w:r>
                  <w:r>
                    <w:rPr>
                      <w:rFonts w:hint="eastAsia"/>
                      <w:color w:val="000000"/>
                      <w:sz w:val="18"/>
                      <w:szCs w:val="18"/>
                      <w:u w:val="none"/>
                      <w:lang w:val="en-US" w:eastAsia="zh-CN"/>
                    </w:rPr>
                    <w:t>39</w:t>
                  </w:r>
                </w:p>
              </w:tc>
              <w:tc>
                <w:tcPr>
                  <w:tcW w:w="218" w:type="pct"/>
                  <w:noWrap w:val="0"/>
                  <w:vAlign w:val="center"/>
                </w:tcPr>
                <w:p w14:paraId="4CDC3A09">
                  <w:pPr>
                    <w:pStyle w:val="48"/>
                    <w:jc w:val="center"/>
                    <w:rPr>
                      <w:rFonts w:hint="eastAsia"/>
                      <w:color w:val="000000"/>
                      <w:sz w:val="18"/>
                      <w:szCs w:val="18"/>
                      <w:u w:val="none"/>
                    </w:rPr>
                  </w:pPr>
                  <w:r>
                    <w:rPr>
                      <w:rFonts w:hint="eastAsia"/>
                      <w:color w:val="000000"/>
                      <w:sz w:val="18"/>
                      <w:szCs w:val="18"/>
                      <w:u w:val="none"/>
                    </w:rPr>
                    <w:t>昼间</w:t>
                  </w:r>
                </w:p>
              </w:tc>
              <w:tc>
                <w:tcPr>
                  <w:tcW w:w="441" w:type="pct"/>
                  <w:noWrap w:val="0"/>
                  <w:vAlign w:val="center"/>
                </w:tcPr>
                <w:p w14:paraId="315B5439">
                  <w:pPr>
                    <w:pStyle w:val="48"/>
                    <w:jc w:val="center"/>
                    <w:rPr>
                      <w:rFonts w:hint="eastAsia"/>
                      <w:color w:val="000000"/>
                      <w:sz w:val="18"/>
                      <w:szCs w:val="18"/>
                      <w:u w:val="none"/>
                    </w:rPr>
                  </w:pPr>
                  <w:r>
                    <w:rPr>
                      <w:rFonts w:hint="eastAsia"/>
                      <w:color w:val="000000"/>
                      <w:sz w:val="18"/>
                      <w:szCs w:val="18"/>
                      <w:u w:val="none"/>
                    </w:rPr>
                    <w:t>20</w:t>
                  </w:r>
                </w:p>
              </w:tc>
              <w:tc>
                <w:tcPr>
                  <w:tcW w:w="433" w:type="pct"/>
                  <w:noWrap w:val="0"/>
                  <w:vAlign w:val="center"/>
                </w:tcPr>
                <w:p w14:paraId="623FA49B">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39</w:t>
                  </w:r>
                </w:p>
                <w:p w14:paraId="4429EB53">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36</w:t>
                  </w:r>
                </w:p>
                <w:p w14:paraId="7355F523">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42</w:t>
                  </w:r>
                </w:p>
                <w:p w14:paraId="05D28BB0">
                  <w:pPr>
                    <w:jc w:val="center"/>
                    <w:rPr>
                      <w:rFonts w:hint="default" w:eastAsia="宋体"/>
                      <w:color w:val="000000"/>
                      <w:sz w:val="18"/>
                      <w:szCs w:val="18"/>
                      <w:u w:val="none"/>
                      <w:lang w:val="en-US" w:eastAsia="zh-CN"/>
                    </w:rPr>
                  </w:pPr>
                  <w:r>
                    <w:rPr>
                      <w:color w:val="000000"/>
                      <w:sz w:val="18"/>
                      <w:szCs w:val="18"/>
                      <w:u w:val="none"/>
                    </w:rPr>
                    <w:t>N</w:t>
                  </w:r>
                  <w:r>
                    <w:rPr>
                      <w:rFonts w:hint="eastAsia"/>
                      <w:color w:val="000000"/>
                      <w:sz w:val="18"/>
                      <w:szCs w:val="18"/>
                      <w:u w:val="none"/>
                      <w:lang w:val="en-US" w:eastAsia="zh-CN"/>
                    </w:rPr>
                    <w:t>19</w:t>
                  </w:r>
                </w:p>
              </w:tc>
              <w:tc>
                <w:tcPr>
                  <w:tcW w:w="431" w:type="pct"/>
                  <w:noWrap w:val="0"/>
                  <w:vAlign w:val="center"/>
                </w:tcPr>
                <w:p w14:paraId="137282AD">
                  <w:pPr>
                    <w:pStyle w:val="48"/>
                    <w:jc w:val="center"/>
                    <w:rPr>
                      <w:rFonts w:hint="eastAsia"/>
                      <w:color w:val="000000"/>
                      <w:sz w:val="18"/>
                      <w:szCs w:val="18"/>
                      <w:u w:val="none"/>
                    </w:rPr>
                  </w:pPr>
                  <w:r>
                    <w:rPr>
                      <w:rFonts w:hint="eastAsia"/>
                      <w:color w:val="000000"/>
                      <w:sz w:val="18"/>
                      <w:szCs w:val="18"/>
                      <w:u w:val="none"/>
                    </w:rPr>
                    <w:t>1</w:t>
                  </w:r>
                </w:p>
              </w:tc>
            </w:tr>
            <w:tr w14:paraId="69E28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48" w:hRule="atLeast"/>
                <w:jc w:val="center"/>
              </w:trPr>
              <w:tc>
                <w:tcPr>
                  <w:tcW w:w="318" w:type="pct"/>
                  <w:vMerge w:val="continue"/>
                  <w:noWrap w:val="0"/>
                  <w:vAlign w:val="center"/>
                </w:tcPr>
                <w:p w14:paraId="766FFA4B">
                  <w:pPr>
                    <w:pStyle w:val="48"/>
                    <w:jc w:val="center"/>
                    <w:rPr>
                      <w:rFonts w:hint="eastAsia"/>
                      <w:color w:val="000000"/>
                      <w:sz w:val="18"/>
                      <w:szCs w:val="18"/>
                      <w:u w:val="none"/>
                    </w:rPr>
                  </w:pPr>
                </w:p>
              </w:tc>
              <w:tc>
                <w:tcPr>
                  <w:tcW w:w="298" w:type="pct"/>
                  <w:noWrap w:val="0"/>
                  <w:vAlign w:val="center"/>
                </w:tcPr>
                <w:p w14:paraId="709369A9">
                  <w:pPr>
                    <w:pStyle w:val="5"/>
                    <w:spacing w:line="240" w:lineRule="auto"/>
                    <w:ind w:firstLine="0" w:firstLineChars="0"/>
                    <w:jc w:val="center"/>
                    <w:rPr>
                      <w:rFonts w:hint="eastAsia"/>
                      <w:color w:val="000000"/>
                      <w:sz w:val="18"/>
                      <w:szCs w:val="18"/>
                      <w:u w:val="none"/>
                      <w:lang w:val="en-US" w:eastAsia="zh-CN"/>
                    </w:rPr>
                  </w:pPr>
                  <w:r>
                    <w:rPr>
                      <w:rFonts w:hint="eastAsia"/>
                      <w:color w:val="000000"/>
                      <w:sz w:val="18"/>
                      <w:szCs w:val="18"/>
                      <w:u w:val="none"/>
                      <w:lang w:val="en-US" w:eastAsia="zh-CN"/>
                    </w:rPr>
                    <w:t>全自动射出机</w:t>
                  </w:r>
                </w:p>
              </w:tc>
              <w:tc>
                <w:tcPr>
                  <w:tcW w:w="409" w:type="pct"/>
                  <w:noWrap w:val="0"/>
                  <w:vAlign w:val="center"/>
                </w:tcPr>
                <w:p w14:paraId="7D624732">
                  <w:pPr>
                    <w:pStyle w:val="48"/>
                    <w:jc w:val="center"/>
                    <w:rPr>
                      <w:rFonts w:hint="eastAsia"/>
                      <w:color w:val="000000"/>
                      <w:sz w:val="18"/>
                      <w:szCs w:val="18"/>
                      <w:u w:val="none"/>
                    </w:rPr>
                  </w:pPr>
                  <w:r>
                    <w:rPr>
                      <w:rFonts w:hint="eastAsia"/>
                      <w:color w:val="000000"/>
                      <w:sz w:val="18"/>
                      <w:szCs w:val="18"/>
                      <w:u w:val="none"/>
                    </w:rPr>
                    <w:t>75</w:t>
                  </w:r>
                </w:p>
              </w:tc>
              <w:tc>
                <w:tcPr>
                  <w:tcW w:w="486" w:type="pct"/>
                  <w:noWrap w:val="0"/>
                  <w:vAlign w:val="center"/>
                </w:tcPr>
                <w:p w14:paraId="6C19DF16">
                  <w:pPr>
                    <w:pStyle w:val="48"/>
                    <w:jc w:val="center"/>
                    <w:rPr>
                      <w:rFonts w:hint="eastAsia"/>
                      <w:color w:val="000000"/>
                      <w:sz w:val="18"/>
                      <w:szCs w:val="18"/>
                      <w:u w:val="none"/>
                    </w:rPr>
                  </w:pPr>
                  <w:r>
                    <w:rPr>
                      <w:rFonts w:hint="eastAsia"/>
                      <w:color w:val="000000"/>
                      <w:sz w:val="18"/>
                      <w:szCs w:val="18"/>
                      <w:u w:val="none"/>
                    </w:rPr>
                    <w:t>基础减振、厂房隔声</w:t>
                  </w:r>
                </w:p>
              </w:tc>
              <w:tc>
                <w:tcPr>
                  <w:tcW w:w="282" w:type="pct"/>
                  <w:noWrap w:val="0"/>
                  <w:vAlign w:val="center"/>
                </w:tcPr>
                <w:p w14:paraId="0030A8BB">
                  <w:pPr>
                    <w:pStyle w:val="48"/>
                    <w:jc w:val="center"/>
                    <w:rPr>
                      <w:rFonts w:hint="default"/>
                      <w:color w:val="000000"/>
                      <w:sz w:val="18"/>
                      <w:szCs w:val="18"/>
                      <w:u w:val="none"/>
                      <w:lang w:val="en-US" w:eastAsia="zh-CN"/>
                    </w:rPr>
                  </w:pPr>
                  <w:r>
                    <w:rPr>
                      <w:rFonts w:hint="eastAsia"/>
                      <w:color w:val="000000"/>
                      <w:sz w:val="18"/>
                      <w:szCs w:val="18"/>
                      <w:u w:val="none"/>
                      <w:lang w:val="en-US" w:eastAsia="zh-CN"/>
                    </w:rPr>
                    <w:t>14</w:t>
                  </w:r>
                </w:p>
              </w:tc>
              <w:tc>
                <w:tcPr>
                  <w:tcW w:w="282" w:type="pct"/>
                  <w:noWrap w:val="0"/>
                  <w:vAlign w:val="center"/>
                </w:tcPr>
                <w:p w14:paraId="20045016">
                  <w:pPr>
                    <w:pStyle w:val="48"/>
                    <w:jc w:val="center"/>
                    <w:rPr>
                      <w:rFonts w:hint="default"/>
                      <w:color w:val="000000"/>
                      <w:sz w:val="18"/>
                      <w:szCs w:val="18"/>
                      <w:u w:val="none"/>
                      <w:lang w:val="en-US" w:eastAsia="zh-CN"/>
                    </w:rPr>
                  </w:pPr>
                  <w:r>
                    <w:rPr>
                      <w:rFonts w:hint="eastAsia"/>
                      <w:color w:val="000000"/>
                      <w:sz w:val="18"/>
                      <w:szCs w:val="18"/>
                      <w:u w:val="none"/>
                      <w:lang w:val="en-US" w:eastAsia="zh-CN"/>
                    </w:rPr>
                    <w:t>59</w:t>
                  </w:r>
                </w:p>
              </w:tc>
              <w:tc>
                <w:tcPr>
                  <w:tcW w:w="287" w:type="pct"/>
                  <w:noWrap w:val="0"/>
                  <w:vAlign w:val="center"/>
                </w:tcPr>
                <w:p w14:paraId="41A17BF1">
                  <w:pPr>
                    <w:pStyle w:val="48"/>
                    <w:jc w:val="center"/>
                    <w:rPr>
                      <w:rFonts w:hint="eastAsia"/>
                      <w:color w:val="000000"/>
                      <w:sz w:val="18"/>
                      <w:szCs w:val="18"/>
                      <w:u w:val="none"/>
                    </w:rPr>
                  </w:pPr>
                  <w:r>
                    <w:rPr>
                      <w:rFonts w:hint="eastAsia"/>
                      <w:color w:val="000000"/>
                      <w:sz w:val="18"/>
                      <w:szCs w:val="18"/>
                      <w:u w:val="none"/>
                    </w:rPr>
                    <w:t>1</w:t>
                  </w:r>
                </w:p>
              </w:tc>
              <w:tc>
                <w:tcPr>
                  <w:tcW w:w="279" w:type="pct"/>
                  <w:noWrap w:val="0"/>
                  <w:vAlign w:val="center"/>
                </w:tcPr>
                <w:p w14:paraId="75A50178">
                  <w:pPr>
                    <w:snapToGrid/>
                    <w:spacing w:line="240" w:lineRule="auto"/>
                    <w:jc w:val="center"/>
                    <w:rPr>
                      <w:rFonts w:hint="eastAsia"/>
                      <w:color w:val="000000"/>
                      <w:sz w:val="18"/>
                      <w:szCs w:val="18"/>
                      <w:u w:val="none"/>
                      <w:lang w:val="en-US" w:eastAsia="zh-CN"/>
                    </w:rPr>
                  </w:pPr>
                  <w:r>
                    <w:rPr>
                      <w:rFonts w:hint="eastAsia"/>
                      <w:color w:val="000000"/>
                      <w:sz w:val="18"/>
                      <w:szCs w:val="18"/>
                      <w:u w:val="none"/>
                      <w:lang w:val="en-US" w:eastAsia="zh-CN"/>
                    </w:rPr>
                    <w:t>1</w:t>
                  </w:r>
                </w:p>
              </w:tc>
              <w:tc>
                <w:tcPr>
                  <w:tcW w:w="391" w:type="pct"/>
                  <w:noWrap w:val="0"/>
                  <w:vAlign w:val="center"/>
                </w:tcPr>
                <w:p w14:paraId="3F0FDCB3">
                  <w:pPr>
                    <w:pStyle w:val="49"/>
                    <w:snapToGrid/>
                    <w:spacing w:line="240" w:lineRule="auto"/>
                    <w:jc w:val="center"/>
                    <w:rPr>
                      <w:rFonts w:hint="eastAsia"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6</w:t>
                  </w:r>
                </w:p>
                <w:p w14:paraId="290959E7">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11</w:t>
                  </w:r>
                </w:p>
                <w:p w14:paraId="3785D61F">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14</w:t>
                  </w:r>
                </w:p>
                <w:p w14:paraId="578B3975">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N</w:t>
                  </w:r>
                  <w:r>
                    <w:rPr>
                      <w:rFonts w:hint="eastAsia"/>
                      <w:color w:val="000000"/>
                      <w:sz w:val="18"/>
                      <w:szCs w:val="18"/>
                      <w:u w:val="none"/>
                      <w:lang w:val="en-US" w:eastAsia="zh-CN"/>
                    </w:rPr>
                    <w:t>59</w:t>
                  </w:r>
                </w:p>
              </w:tc>
              <w:tc>
                <w:tcPr>
                  <w:tcW w:w="441" w:type="pct"/>
                  <w:noWrap w:val="0"/>
                  <w:vAlign w:val="center"/>
                </w:tcPr>
                <w:p w14:paraId="17D8D98D">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59</w:t>
                  </w:r>
                </w:p>
                <w:p w14:paraId="2EE6EC9A">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54</w:t>
                  </w:r>
                </w:p>
                <w:p w14:paraId="15E4074F">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52</w:t>
                  </w:r>
                </w:p>
                <w:p w14:paraId="2106EC1F">
                  <w:pPr>
                    <w:jc w:val="center"/>
                    <w:rPr>
                      <w:rFonts w:hint="default"/>
                      <w:color w:val="000000"/>
                      <w:sz w:val="18"/>
                      <w:szCs w:val="18"/>
                      <w:u w:val="none"/>
                      <w:lang w:val="en-US"/>
                    </w:rPr>
                  </w:pPr>
                  <w:r>
                    <w:rPr>
                      <w:color w:val="000000"/>
                      <w:sz w:val="18"/>
                      <w:szCs w:val="18"/>
                      <w:u w:val="none"/>
                    </w:rPr>
                    <w:t>N</w:t>
                  </w:r>
                  <w:r>
                    <w:rPr>
                      <w:rFonts w:hint="eastAsia"/>
                      <w:color w:val="000000"/>
                      <w:sz w:val="18"/>
                      <w:szCs w:val="18"/>
                      <w:u w:val="none"/>
                      <w:lang w:val="en-US" w:eastAsia="zh-CN"/>
                    </w:rPr>
                    <w:t>39</w:t>
                  </w:r>
                </w:p>
              </w:tc>
              <w:tc>
                <w:tcPr>
                  <w:tcW w:w="218" w:type="pct"/>
                  <w:noWrap w:val="0"/>
                  <w:vAlign w:val="center"/>
                </w:tcPr>
                <w:p w14:paraId="0D0F55C2">
                  <w:pPr>
                    <w:pStyle w:val="48"/>
                    <w:jc w:val="center"/>
                    <w:rPr>
                      <w:rFonts w:hint="eastAsia"/>
                      <w:color w:val="000000"/>
                      <w:sz w:val="18"/>
                      <w:szCs w:val="18"/>
                      <w:u w:val="none"/>
                    </w:rPr>
                  </w:pPr>
                  <w:r>
                    <w:rPr>
                      <w:rFonts w:hint="eastAsia"/>
                      <w:color w:val="000000"/>
                      <w:sz w:val="18"/>
                      <w:szCs w:val="18"/>
                      <w:u w:val="none"/>
                    </w:rPr>
                    <w:t>昼间</w:t>
                  </w:r>
                </w:p>
              </w:tc>
              <w:tc>
                <w:tcPr>
                  <w:tcW w:w="441" w:type="pct"/>
                  <w:noWrap w:val="0"/>
                  <w:vAlign w:val="center"/>
                </w:tcPr>
                <w:p w14:paraId="7BC06CAD">
                  <w:pPr>
                    <w:pStyle w:val="48"/>
                    <w:jc w:val="center"/>
                    <w:rPr>
                      <w:rFonts w:hint="eastAsia"/>
                      <w:color w:val="000000"/>
                      <w:sz w:val="18"/>
                      <w:szCs w:val="18"/>
                      <w:u w:val="none"/>
                    </w:rPr>
                  </w:pPr>
                  <w:r>
                    <w:rPr>
                      <w:rFonts w:hint="eastAsia"/>
                      <w:color w:val="000000"/>
                      <w:sz w:val="18"/>
                      <w:szCs w:val="18"/>
                      <w:u w:val="none"/>
                    </w:rPr>
                    <w:t>20</w:t>
                  </w:r>
                </w:p>
              </w:tc>
              <w:tc>
                <w:tcPr>
                  <w:tcW w:w="433" w:type="pct"/>
                  <w:noWrap w:val="0"/>
                  <w:vAlign w:val="center"/>
                </w:tcPr>
                <w:p w14:paraId="58BF5EAE">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39</w:t>
                  </w:r>
                </w:p>
                <w:p w14:paraId="67371FE6">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39</w:t>
                  </w:r>
                </w:p>
                <w:p w14:paraId="11B22C76">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32</w:t>
                  </w:r>
                </w:p>
                <w:p w14:paraId="093EEFBC">
                  <w:pPr>
                    <w:jc w:val="center"/>
                    <w:rPr>
                      <w:rFonts w:hint="default" w:eastAsia="宋体"/>
                      <w:color w:val="000000"/>
                      <w:sz w:val="18"/>
                      <w:szCs w:val="18"/>
                      <w:u w:val="none"/>
                      <w:lang w:val="en-US" w:eastAsia="zh-CN"/>
                    </w:rPr>
                  </w:pPr>
                  <w:r>
                    <w:rPr>
                      <w:color w:val="000000"/>
                      <w:sz w:val="18"/>
                      <w:szCs w:val="18"/>
                      <w:u w:val="none"/>
                    </w:rPr>
                    <w:t>N</w:t>
                  </w:r>
                  <w:r>
                    <w:rPr>
                      <w:rFonts w:hint="eastAsia"/>
                      <w:color w:val="000000"/>
                      <w:sz w:val="18"/>
                      <w:szCs w:val="18"/>
                      <w:u w:val="none"/>
                      <w:lang w:val="en-US" w:eastAsia="zh-CN"/>
                    </w:rPr>
                    <w:t>19</w:t>
                  </w:r>
                </w:p>
              </w:tc>
              <w:tc>
                <w:tcPr>
                  <w:tcW w:w="431" w:type="pct"/>
                  <w:noWrap w:val="0"/>
                  <w:vAlign w:val="center"/>
                </w:tcPr>
                <w:p w14:paraId="49B35CBD">
                  <w:pPr>
                    <w:pStyle w:val="48"/>
                    <w:jc w:val="center"/>
                    <w:rPr>
                      <w:rFonts w:hint="eastAsia"/>
                      <w:color w:val="000000"/>
                      <w:sz w:val="18"/>
                      <w:szCs w:val="18"/>
                      <w:u w:val="none"/>
                    </w:rPr>
                  </w:pPr>
                  <w:r>
                    <w:rPr>
                      <w:rFonts w:hint="eastAsia"/>
                      <w:color w:val="000000"/>
                      <w:sz w:val="18"/>
                      <w:szCs w:val="18"/>
                      <w:u w:val="none"/>
                    </w:rPr>
                    <w:t>1</w:t>
                  </w:r>
                </w:p>
              </w:tc>
            </w:tr>
            <w:tr w14:paraId="175E2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48" w:hRule="atLeast"/>
                <w:jc w:val="center"/>
              </w:trPr>
              <w:tc>
                <w:tcPr>
                  <w:tcW w:w="318" w:type="pct"/>
                  <w:vMerge w:val="continue"/>
                  <w:noWrap w:val="0"/>
                  <w:vAlign w:val="center"/>
                </w:tcPr>
                <w:p w14:paraId="2959BC28">
                  <w:pPr>
                    <w:pStyle w:val="48"/>
                    <w:jc w:val="center"/>
                    <w:rPr>
                      <w:rFonts w:hint="eastAsia"/>
                      <w:color w:val="000000"/>
                      <w:sz w:val="18"/>
                      <w:szCs w:val="18"/>
                      <w:u w:val="none"/>
                    </w:rPr>
                  </w:pPr>
                </w:p>
              </w:tc>
              <w:tc>
                <w:tcPr>
                  <w:tcW w:w="298" w:type="pct"/>
                  <w:noWrap w:val="0"/>
                  <w:vAlign w:val="center"/>
                </w:tcPr>
                <w:p w14:paraId="2CC721C8">
                  <w:pPr>
                    <w:pStyle w:val="5"/>
                    <w:spacing w:line="240" w:lineRule="auto"/>
                    <w:ind w:firstLine="0" w:firstLineChars="0"/>
                    <w:jc w:val="center"/>
                    <w:rPr>
                      <w:rFonts w:hint="eastAsia"/>
                      <w:color w:val="000000"/>
                      <w:sz w:val="18"/>
                      <w:szCs w:val="18"/>
                      <w:u w:val="none"/>
                      <w:lang w:val="en-US" w:eastAsia="zh-CN"/>
                    </w:rPr>
                  </w:pPr>
                  <w:r>
                    <w:rPr>
                      <w:rFonts w:hint="eastAsia"/>
                      <w:color w:val="000000"/>
                      <w:sz w:val="18"/>
                      <w:szCs w:val="18"/>
                      <w:u w:val="none"/>
                      <w:lang w:val="en-US" w:eastAsia="zh-CN"/>
                    </w:rPr>
                    <w:t>全自动射出机</w:t>
                  </w:r>
                </w:p>
              </w:tc>
              <w:tc>
                <w:tcPr>
                  <w:tcW w:w="409" w:type="pct"/>
                  <w:noWrap w:val="0"/>
                  <w:vAlign w:val="center"/>
                </w:tcPr>
                <w:p w14:paraId="18EAB527">
                  <w:pPr>
                    <w:pStyle w:val="48"/>
                    <w:jc w:val="center"/>
                    <w:rPr>
                      <w:rFonts w:hint="eastAsia"/>
                      <w:color w:val="000000"/>
                      <w:sz w:val="18"/>
                      <w:szCs w:val="18"/>
                      <w:u w:val="none"/>
                    </w:rPr>
                  </w:pPr>
                  <w:r>
                    <w:rPr>
                      <w:rFonts w:hint="eastAsia"/>
                      <w:color w:val="000000"/>
                      <w:sz w:val="18"/>
                      <w:szCs w:val="18"/>
                      <w:u w:val="none"/>
                    </w:rPr>
                    <w:t>75</w:t>
                  </w:r>
                </w:p>
              </w:tc>
              <w:tc>
                <w:tcPr>
                  <w:tcW w:w="486" w:type="pct"/>
                  <w:noWrap w:val="0"/>
                  <w:vAlign w:val="center"/>
                </w:tcPr>
                <w:p w14:paraId="6CEC63F2">
                  <w:pPr>
                    <w:pStyle w:val="48"/>
                    <w:jc w:val="center"/>
                    <w:rPr>
                      <w:rFonts w:hint="eastAsia"/>
                      <w:color w:val="000000"/>
                      <w:sz w:val="18"/>
                      <w:szCs w:val="18"/>
                      <w:u w:val="none"/>
                    </w:rPr>
                  </w:pPr>
                  <w:r>
                    <w:rPr>
                      <w:rFonts w:hint="eastAsia"/>
                      <w:color w:val="000000"/>
                      <w:sz w:val="18"/>
                      <w:szCs w:val="18"/>
                      <w:u w:val="none"/>
                    </w:rPr>
                    <w:t>基础减振、厂房隔声</w:t>
                  </w:r>
                </w:p>
              </w:tc>
              <w:tc>
                <w:tcPr>
                  <w:tcW w:w="282" w:type="pct"/>
                  <w:noWrap w:val="0"/>
                  <w:vAlign w:val="center"/>
                </w:tcPr>
                <w:p w14:paraId="655A3FE1">
                  <w:pPr>
                    <w:pStyle w:val="48"/>
                    <w:jc w:val="center"/>
                    <w:rPr>
                      <w:rFonts w:hint="default"/>
                      <w:color w:val="000000"/>
                      <w:sz w:val="18"/>
                      <w:szCs w:val="18"/>
                      <w:u w:val="none"/>
                      <w:lang w:val="en-US" w:eastAsia="zh-CN"/>
                    </w:rPr>
                  </w:pPr>
                  <w:r>
                    <w:rPr>
                      <w:rFonts w:hint="eastAsia"/>
                      <w:color w:val="000000"/>
                      <w:sz w:val="18"/>
                      <w:szCs w:val="18"/>
                      <w:u w:val="none"/>
                      <w:lang w:val="en-US" w:eastAsia="zh-CN"/>
                    </w:rPr>
                    <w:t>14</w:t>
                  </w:r>
                </w:p>
              </w:tc>
              <w:tc>
                <w:tcPr>
                  <w:tcW w:w="282" w:type="pct"/>
                  <w:noWrap w:val="0"/>
                  <w:vAlign w:val="center"/>
                </w:tcPr>
                <w:p w14:paraId="09000FE4">
                  <w:pPr>
                    <w:pStyle w:val="48"/>
                    <w:jc w:val="center"/>
                    <w:rPr>
                      <w:rFonts w:hint="default"/>
                      <w:color w:val="000000"/>
                      <w:sz w:val="18"/>
                      <w:szCs w:val="18"/>
                      <w:u w:val="none"/>
                      <w:lang w:val="en-US" w:eastAsia="zh-CN"/>
                    </w:rPr>
                  </w:pPr>
                  <w:r>
                    <w:rPr>
                      <w:rFonts w:hint="eastAsia"/>
                      <w:color w:val="000000"/>
                      <w:sz w:val="18"/>
                      <w:szCs w:val="18"/>
                      <w:u w:val="none"/>
                      <w:lang w:val="en-US" w:eastAsia="zh-CN"/>
                    </w:rPr>
                    <w:t>57</w:t>
                  </w:r>
                </w:p>
              </w:tc>
              <w:tc>
                <w:tcPr>
                  <w:tcW w:w="287" w:type="pct"/>
                  <w:noWrap w:val="0"/>
                  <w:vAlign w:val="center"/>
                </w:tcPr>
                <w:p w14:paraId="210A882B">
                  <w:pPr>
                    <w:pStyle w:val="48"/>
                    <w:jc w:val="center"/>
                    <w:rPr>
                      <w:rFonts w:hint="eastAsia"/>
                      <w:color w:val="000000"/>
                      <w:sz w:val="18"/>
                      <w:szCs w:val="18"/>
                      <w:u w:val="none"/>
                    </w:rPr>
                  </w:pPr>
                  <w:r>
                    <w:rPr>
                      <w:rFonts w:hint="eastAsia"/>
                      <w:color w:val="000000"/>
                      <w:sz w:val="18"/>
                      <w:szCs w:val="18"/>
                      <w:u w:val="none"/>
                    </w:rPr>
                    <w:t>1</w:t>
                  </w:r>
                </w:p>
              </w:tc>
              <w:tc>
                <w:tcPr>
                  <w:tcW w:w="279" w:type="pct"/>
                  <w:noWrap w:val="0"/>
                  <w:vAlign w:val="center"/>
                </w:tcPr>
                <w:p w14:paraId="4F5F66C1">
                  <w:pPr>
                    <w:snapToGrid/>
                    <w:spacing w:line="240" w:lineRule="auto"/>
                    <w:jc w:val="center"/>
                    <w:rPr>
                      <w:rFonts w:hint="eastAsia"/>
                      <w:color w:val="000000"/>
                      <w:sz w:val="18"/>
                      <w:szCs w:val="18"/>
                      <w:u w:val="none"/>
                      <w:lang w:val="en-US" w:eastAsia="zh-CN"/>
                    </w:rPr>
                  </w:pPr>
                  <w:r>
                    <w:rPr>
                      <w:rFonts w:hint="eastAsia"/>
                      <w:color w:val="000000"/>
                      <w:sz w:val="18"/>
                      <w:szCs w:val="18"/>
                      <w:u w:val="none"/>
                      <w:lang w:val="en-US" w:eastAsia="zh-CN"/>
                    </w:rPr>
                    <w:t>1</w:t>
                  </w:r>
                </w:p>
              </w:tc>
              <w:tc>
                <w:tcPr>
                  <w:tcW w:w="391" w:type="pct"/>
                  <w:noWrap w:val="0"/>
                  <w:vAlign w:val="center"/>
                </w:tcPr>
                <w:p w14:paraId="16CCC4E6">
                  <w:pPr>
                    <w:pStyle w:val="49"/>
                    <w:snapToGrid/>
                    <w:spacing w:line="240" w:lineRule="auto"/>
                    <w:jc w:val="center"/>
                    <w:rPr>
                      <w:rFonts w:hint="eastAsia"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6</w:t>
                  </w:r>
                </w:p>
                <w:p w14:paraId="4F53E86C">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13</w:t>
                  </w:r>
                </w:p>
                <w:p w14:paraId="36E4DCC1">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14</w:t>
                  </w:r>
                </w:p>
                <w:p w14:paraId="008A3A85">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N</w:t>
                  </w:r>
                  <w:r>
                    <w:rPr>
                      <w:rFonts w:hint="eastAsia"/>
                      <w:color w:val="000000"/>
                      <w:sz w:val="18"/>
                      <w:szCs w:val="18"/>
                      <w:u w:val="none"/>
                      <w:lang w:val="en-US" w:eastAsia="zh-CN"/>
                    </w:rPr>
                    <w:t>57</w:t>
                  </w:r>
                </w:p>
              </w:tc>
              <w:tc>
                <w:tcPr>
                  <w:tcW w:w="441" w:type="pct"/>
                  <w:noWrap w:val="0"/>
                  <w:vAlign w:val="center"/>
                </w:tcPr>
                <w:p w14:paraId="4D8611ED">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59</w:t>
                  </w:r>
                </w:p>
                <w:p w14:paraId="47DC1766">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52</w:t>
                  </w:r>
                </w:p>
                <w:p w14:paraId="72EBB0F3">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52</w:t>
                  </w:r>
                </w:p>
                <w:p w14:paraId="7E521909">
                  <w:pPr>
                    <w:jc w:val="center"/>
                    <w:rPr>
                      <w:rFonts w:hint="default"/>
                      <w:color w:val="000000"/>
                      <w:sz w:val="18"/>
                      <w:szCs w:val="18"/>
                      <w:u w:val="none"/>
                      <w:lang w:val="en-US"/>
                    </w:rPr>
                  </w:pPr>
                  <w:r>
                    <w:rPr>
                      <w:color w:val="000000"/>
                      <w:sz w:val="18"/>
                      <w:szCs w:val="18"/>
                      <w:u w:val="none"/>
                    </w:rPr>
                    <w:t>N</w:t>
                  </w:r>
                  <w:r>
                    <w:rPr>
                      <w:rFonts w:hint="eastAsia"/>
                      <w:color w:val="000000"/>
                      <w:sz w:val="18"/>
                      <w:szCs w:val="18"/>
                      <w:u w:val="none"/>
                      <w:lang w:val="en-US" w:eastAsia="zh-CN"/>
                    </w:rPr>
                    <w:t>39</w:t>
                  </w:r>
                </w:p>
              </w:tc>
              <w:tc>
                <w:tcPr>
                  <w:tcW w:w="218" w:type="pct"/>
                  <w:noWrap w:val="0"/>
                  <w:vAlign w:val="center"/>
                </w:tcPr>
                <w:p w14:paraId="72CABF59">
                  <w:pPr>
                    <w:pStyle w:val="48"/>
                    <w:jc w:val="center"/>
                    <w:rPr>
                      <w:rFonts w:hint="eastAsia"/>
                      <w:color w:val="000000"/>
                      <w:sz w:val="18"/>
                      <w:szCs w:val="18"/>
                      <w:u w:val="none"/>
                    </w:rPr>
                  </w:pPr>
                  <w:r>
                    <w:rPr>
                      <w:rFonts w:hint="eastAsia"/>
                      <w:color w:val="000000"/>
                      <w:sz w:val="18"/>
                      <w:szCs w:val="18"/>
                      <w:u w:val="none"/>
                    </w:rPr>
                    <w:t>昼间</w:t>
                  </w:r>
                </w:p>
              </w:tc>
              <w:tc>
                <w:tcPr>
                  <w:tcW w:w="441" w:type="pct"/>
                  <w:noWrap w:val="0"/>
                  <w:vAlign w:val="center"/>
                </w:tcPr>
                <w:p w14:paraId="79C49497">
                  <w:pPr>
                    <w:pStyle w:val="48"/>
                    <w:jc w:val="center"/>
                    <w:rPr>
                      <w:rFonts w:hint="eastAsia"/>
                      <w:color w:val="000000"/>
                      <w:sz w:val="18"/>
                      <w:szCs w:val="18"/>
                      <w:u w:val="none"/>
                    </w:rPr>
                  </w:pPr>
                  <w:r>
                    <w:rPr>
                      <w:rFonts w:hint="eastAsia"/>
                      <w:color w:val="000000"/>
                      <w:sz w:val="18"/>
                      <w:szCs w:val="18"/>
                      <w:u w:val="none"/>
                    </w:rPr>
                    <w:t>20</w:t>
                  </w:r>
                </w:p>
              </w:tc>
              <w:tc>
                <w:tcPr>
                  <w:tcW w:w="433" w:type="pct"/>
                  <w:noWrap w:val="0"/>
                  <w:vAlign w:val="center"/>
                </w:tcPr>
                <w:p w14:paraId="42BC65B7">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39</w:t>
                  </w:r>
                </w:p>
                <w:p w14:paraId="2E6EF996">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32</w:t>
                  </w:r>
                </w:p>
                <w:p w14:paraId="088A4D33">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32</w:t>
                  </w:r>
                </w:p>
                <w:p w14:paraId="77DD5F9B">
                  <w:pPr>
                    <w:jc w:val="center"/>
                    <w:rPr>
                      <w:rFonts w:hint="default" w:eastAsia="宋体"/>
                      <w:color w:val="000000"/>
                      <w:sz w:val="18"/>
                      <w:szCs w:val="18"/>
                      <w:u w:val="none"/>
                      <w:lang w:val="en-US" w:eastAsia="zh-CN"/>
                    </w:rPr>
                  </w:pPr>
                  <w:r>
                    <w:rPr>
                      <w:color w:val="000000"/>
                      <w:sz w:val="18"/>
                      <w:szCs w:val="18"/>
                      <w:u w:val="none"/>
                    </w:rPr>
                    <w:t>N</w:t>
                  </w:r>
                  <w:r>
                    <w:rPr>
                      <w:rFonts w:hint="eastAsia"/>
                      <w:color w:val="000000"/>
                      <w:sz w:val="18"/>
                      <w:szCs w:val="18"/>
                      <w:u w:val="none"/>
                      <w:lang w:val="en-US" w:eastAsia="zh-CN"/>
                    </w:rPr>
                    <w:t>19</w:t>
                  </w:r>
                </w:p>
              </w:tc>
              <w:tc>
                <w:tcPr>
                  <w:tcW w:w="431" w:type="pct"/>
                  <w:noWrap w:val="0"/>
                  <w:vAlign w:val="center"/>
                </w:tcPr>
                <w:p w14:paraId="5FCCAD96">
                  <w:pPr>
                    <w:pStyle w:val="48"/>
                    <w:jc w:val="center"/>
                    <w:rPr>
                      <w:rFonts w:hint="eastAsia"/>
                      <w:color w:val="000000"/>
                      <w:sz w:val="18"/>
                      <w:szCs w:val="18"/>
                      <w:u w:val="none"/>
                    </w:rPr>
                  </w:pPr>
                  <w:r>
                    <w:rPr>
                      <w:rFonts w:hint="eastAsia"/>
                      <w:color w:val="000000"/>
                      <w:sz w:val="18"/>
                      <w:szCs w:val="18"/>
                      <w:u w:val="none"/>
                    </w:rPr>
                    <w:t>1</w:t>
                  </w:r>
                </w:p>
              </w:tc>
            </w:tr>
            <w:tr w14:paraId="0CBF9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48" w:hRule="atLeast"/>
                <w:jc w:val="center"/>
              </w:trPr>
              <w:tc>
                <w:tcPr>
                  <w:tcW w:w="318" w:type="pct"/>
                  <w:vMerge w:val="continue"/>
                  <w:noWrap w:val="0"/>
                  <w:vAlign w:val="center"/>
                </w:tcPr>
                <w:p w14:paraId="39097806">
                  <w:pPr>
                    <w:pStyle w:val="48"/>
                    <w:jc w:val="center"/>
                    <w:rPr>
                      <w:rFonts w:hint="eastAsia"/>
                      <w:color w:val="000000"/>
                      <w:sz w:val="18"/>
                      <w:szCs w:val="18"/>
                      <w:u w:val="none"/>
                    </w:rPr>
                  </w:pPr>
                </w:p>
              </w:tc>
              <w:tc>
                <w:tcPr>
                  <w:tcW w:w="298" w:type="pct"/>
                  <w:noWrap w:val="0"/>
                  <w:vAlign w:val="center"/>
                </w:tcPr>
                <w:p w14:paraId="442402DE">
                  <w:pPr>
                    <w:spacing w:line="240" w:lineRule="auto"/>
                    <w:ind w:firstLine="0" w:firstLineChars="0"/>
                    <w:jc w:val="center"/>
                    <w:rPr>
                      <w:rFonts w:hint="eastAsia"/>
                      <w:color w:val="000000"/>
                      <w:sz w:val="18"/>
                      <w:szCs w:val="18"/>
                      <w:u w:val="none"/>
                      <w:lang w:val="en-US" w:eastAsia="zh-CN"/>
                    </w:rPr>
                  </w:pPr>
                  <w:r>
                    <w:rPr>
                      <w:rFonts w:hint="eastAsia" w:ascii="Times New Roman" w:hAnsi="Times New Roman"/>
                      <w:color w:val="000000"/>
                      <w:kern w:val="2"/>
                      <w:sz w:val="18"/>
                      <w:szCs w:val="18"/>
                      <w:u w:val="none"/>
                      <w:lang w:val="en-US" w:eastAsia="zh-CN" w:bidi="ar-SA"/>
                    </w:rPr>
                    <w:t>投料搅拌锅</w:t>
                  </w:r>
                </w:p>
              </w:tc>
              <w:tc>
                <w:tcPr>
                  <w:tcW w:w="409" w:type="pct"/>
                  <w:noWrap w:val="0"/>
                  <w:vAlign w:val="center"/>
                </w:tcPr>
                <w:p w14:paraId="7B2913FA">
                  <w:pPr>
                    <w:pStyle w:val="48"/>
                    <w:jc w:val="center"/>
                    <w:rPr>
                      <w:rFonts w:hint="default" w:eastAsia="宋体"/>
                      <w:color w:val="000000"/>
                      <w:sz w:val="18"/>
                      <w:szCs w:val="18"/>
                      <w:u w:val="none"/>
                      <w:lang w:val="en-US" w:eastAsia="zh-CN"/>
                    </w:rPr>
                  </w:pPr>
                  <w:r>
                    <w:rPr>
                      <w:rFonts w:hint="eastAsia"/>
                      <w:color w:val="000000"/>
                      <w:sz w:val="18"/>
                      <w:szCs w:val="18"/>
                      <w:u w:val="none"/>
                      <w:lang w:val="en-US" w:eastAsia="zh-CN"/>
                    </w:rPr>
                    <w:t>80</w:t>
                  </w:r>
                </w:p>
              </w:tc>
              <w:tc>
                <w:tcPr>
                  <w:tcW w:w="486" w:type="pct"/>
                  <w:noWrap w:val="0"/>
                  <w:vAlign w:val="center"/>
                </w:tcPr>
                <w:p w14:paraId="3705C928">
                  <w:pPr>
                    <w:pStyle w:val="48"/>
                    <w:jc w:val="center"/>
                    <w:rPr>
                      <w:rFonts w:hint="eastAsia"/>
                      <w:color w:val="000000"/>
                      <w:sz w:val="18"/>
                      <w:szCs w:val="18"/>
                      <w:u w:val="none"/>
                    </w:rPr>
                  </w:pPr>
                  <w:r>
                    <w:rPr>
                      <w:rFonts w:hint="eastAsia"/>
                      <w:color w:val="000000"/>
                      <w:sz w:val="18"/>
                      <w:szCs w:val="18"/>
                      <w:u w:val="none"/>
                    </w:rPr>
                    <w:t>基础减振、厂房隔声</w:t>
                  </w:r>
                </w:p>
              </w:tc>
              <w:tc>
                <w:tcPr>
                  <w:tcW w:w="282" w:type="pct"/>
                  <w:noWrap w:val="0"/>
                  <w:vAlign w:val="center"/>
                </w:tcPr>
                <w:p w14:paraId="6C74CE21">
                  <w:pPr>
                    <w:pStyle w:val="48"/>
                    <w:jc w:val="center"/>
                    <w:rPr>
                      <w:rFonts w:hint="default"/>
                      <w:color w:val="000000"/>
                      <w:sz w:val="18"/>
                      <w:szCs w:val="18"/>
                      <w:u w:val="none"/>
                      <w:lang w:val="en-US" w:eastAsia="zh-CN"/>
                    </w:rPr>
                  </w:pPr>
                  <w:r>
                    <w:rPr>
                      <w:rFonts w:hint="eastAsia"/>
                      <w:color w:val="000000"/>
                      <w:sz w:val="18"/>
                      <w:szCs w:val="18"/>
                      <w:u w:val="none"/>
                      <w:lang w:val="en-US" w:eastAsia="zh-CN"/>
                    </w:rPr>
                    <w:t>3</w:t>
                  </w:r>
                </w:p>
              </w:tc>
              <w:tc>
                <w:tcPr>
                  <w:tcW w:w="282" w:type="pct"/>
                  <w:noWrap w:val="0"/>
                  <w:vAlign w:val="center"/>
                </w:tcPr>
                <w:p w14:paraId="0C3617D8">
                  <w:pPr>
                    <w:pStyle w:val="48"/>
                    <w:jc w:val="center"/>
                    <w:rPr>
                      <w:rFonts w:hint="default"/>
                      <w:color w:val="000000"/>
                      <w:sz w:val="18"/>
                      <w:szCs w:val="18"/>
                      <w:u w:val="none"/>
                      <w:lang w:val="en-US" w:eastAsia="zh-CN"/>
                    </w:rPr>
                  </w:pPr>
                  <w:r>
                    <w:rPr>
                      <w:rFonts w:hint="eastAsia"/>
                      <w:color w:val="000000"/>
                      <w:sz w:val="18"/>
                      <w:szCs w:val="18"/>
                      <w:u w:val="none"/>
                      <w:lang w:val="en-US" w:eastAsia="zh-CN"/>
                    </w:rPr>
                    <w:t>70</w:t>
                  </w:r>
                </w:p>
              </w:tc>
              <w:tc>
                <w:tcPr>
                  <w:tcW w:w="287" w:type="pct"/>
                  <w:noWrap w:val="0"/>
                  <w:vAlign w:val="center"/>
                </w:tcPr>
                <w:p w14:paraId="7A50564B">
                  <w:pPr>
                    <w:pStyle w:val="48"/>
                    <w:jc w:val="center"/>
                    <w:rPr>
                      <w:rFonts w:hint="eastAsia"/>
                      <w:color w:val="000000"/>
                      <w:sz w:val="18"/>
                      <w:szCs w:val="18"/>
                      <w:u w:val="none"/>
                    </w:rPr>
                  </w:pPr>
                  <w:r>
                    <w:rPr>
                      <w:rFonts w:hint="eastAsia"/>
                      <w:color w:val="000000"/>
                      <w:sz w:val="18"/>
                      <w:szCs w:val="18"/>
                      <w:u w:val="none"/>
                    </w:rPr>
                    <w:t>1</w:t>
                  </w:r>
                </w:p>
              </w:tc>
              <w:tc>
                <w:tcPr>
                  <w:tcW w:w="279" w:type="pct"/>
                  <w:noWrap w:val="0"/>
                  <w:vAlign w:val="center"/>
                </w:tcPr>
                <w:p w14:paraId="0BE717FD">
                  <w:pPr>
                    <w:pStyle w:val="49"/>
                    <w:snapToGrid/>
                    <w:spacing w:line="240" w:lineRule="auto"/>
                    <w:jc w:val="center"/>
                    <w:rPr>
                      <w:rFonts w:hint="default"/>
                      <w:color w:val="000000"/>
                      <w:sz w:val="18"/>
                      <w:szCs w:val="18"/>
                      <w:u w:val="none"/>
                      <w:lang w:val="en-US" w:eastAsia="zh-CN"/>
                    </w:rPr>
                  </w:pPr>
                  <w:r>
                    <w:rPr>
                      <w:rFonts w:hint="eastAsia"/>
                      <w:color w:val="000000"/>
                      <w:sz w:val="18"/>
                      <w:szCs w:val="18"/>
                      <w:u w:val="none"/>
                      <w:lang w:val="en-US" w:eastAsia="zh-CN"/>
                    </w:rPr>
                    <w:t>1</w:t>
                  </w:r>
                </w:p>
              </w:tc>
              <w:tc>
                <w:tcPr>
                  <w:tcW w:w="391" w:type="pct"/>
                  <w:noWrap w:val="0"/>
                  <w:vAlign w:val="center"/>
                </w:tcPr>
                <w:p w14:paraId="22D34419">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17</w:t>
                  </w:r>
                </w:p>
                <w:p w14:paraId="2BC0CB5B">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2</w:t>
                  </w:r>
                </w:p>
                <w:p w14:paraId="72ED5465">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33</w:t>
                  </w:r>
                </w:p>
                <w:p w14:paraId="377E13BF">
                  <w:pPr>
                    <w:pStyle w:val="49"/>
                    <w:snapToGrid/>
                    <w:spacing w:line="240" w:lineRule="auto"/>
                    <w:jc w:val="center"/>
                    <w:rPr>
                      <w:rFonts w:hint="default"/>
                      <w:color w:val="000000"/>
                      <w:sz w:val="18"/>
                      <w:szCs w:val="18"/>
                      <w:u w:val="none"/>
                      <w:lang w:val="en-US"/>
                    </w:rPr>
                  </w:pPr>
                  <w:r>
                    <w:rPr>
                      <w:color w:val="000000"/>
                      <w:sz w:val="18"/>
                      <w:szCs w:val="18"/>
                      <w:u w:val="none"/>
                    </w:rPr>
                    <w:t>N</w:t>
                  </w:r>
                  <w:r>
                    <w:rPr>
                      <w:rFonts w:hint="eastAsia"/>
                      <w:color w:val="000000"/>
                      <w:sz w:val="18"/>
                      <w:szCs w:val="18"/>
                      <w:u w:val="none"/>
                      <w:lang w:val="en-US" w:eastAsia="zh-CN"/>
                    </w:rPr>
                    <w:t>70</w:t>
                  </w:r>
                </w:p>
              </w:tc>
              <w:tc>
                <w:tcPr>
                  <w:tcW w:w="441" w:type="pct"/>
                  <w:noWrap w:val="0"/>
                  <w:vAlign w:val="center"/>
                </w:tcPr>
                <w:p w14:paraId="497D8053">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50</w:t>
                  </w:r>
                </w:p>
                <w:p w14:paraId="4E64647A">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68</w:t>
                  </w:r>
                </w:p>
                <w:p w14:paraId="6E020F67">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48</w:t>
                  </w:r>
                </w:p>
                <w:p w14:paraId="35E82E66">
                  <w:pPr>
                    <w:jc w:val="center"/>
                    <w:rPr>
                      <w:rFonts w:hint="default" w:eastAsia="宋体"/>
                      <w:color w:val="000000"/>
                      <w:sz w:val="18"/>
                      <w:szCs w:val="18"/>
                      <w:u w:val="none"/>
                      <w:lang w:val="en-US" w:eastAsia="zh-CN"/>
                    </w:rPr>
                  </w:pPr>
                  <w:r>
                    <w:rPr>
                      <w:color w:val="000000"/>
                      <w:sz w:val="18"/>
                      <w:szCs w:val="18"/>
                      <w:u w:val="none"/>
                    </w:rPr>
                    <w:t>N</w:t>
                  </w:r>
                  <w:r>
                    <w:rPr>
                      <w:rFonts w:hint="eastAsia"/>
                      <w:color w:val="000000"/>
                      <w:sz w:val="18"/>
                      <w:szCs w:val="18"/>
                      <w:u w:val="none"/>
                      <w:lang w:val="en-US" w:eastAsia="zh-CN"/>
                    </w:rPr>
                    <w:t>38</w:t>
                  </w:r>
                </w:p>
              </w:tc>
              <w:tc>
                <w:tcPr>
                  <w:tcW w:w="218" w:type="pct"/>
                  <w:noWrap w:val="0"/>
                  <w:vAlign w:val="center"/>
                </w:tcPr>
                <w:p w14:paraId="62910609">
                  <w:pPr>
                    <w:pStyle w:val="48"/>
                    <w:jc w:val="center"/>
                    <w:rPr>
                      <w:rFonts w:hint="eastAsia"/>
                      <w:color w:val="000000"/>
                      <w:sz w:val="18"/>
                      <w:szCs w:val="18"/>
                      <w:u w:val="none"/>
                    </w:rPr>
                  </w:pPr>
                  <w:r>
                    <w:rPr>
                      <w:rFonts w:hint="eastAsia"/>
                      <w:color w:val="000000"/>
                      <w:sz w:val="18"/>
                      <w:szCs w:val="18"/>
                      <w:u w:val="none"/>
                    </w:rPr>
                    <w:t>昼间</w:t>
                  </w:r>
                </w:p>
              </w:tc>
              <w:tc>
                <w:tcPr>
                  <w:tcW w:w="441" w:type="pct"/>
                  <w:noWrap w:val="0"/>
                  <w:vAlign w:val="center"/>
                </w:tcPr>
                <w:p w14:paraId="3A395CCF">
                  <w:pPr>
                    <w:pStyle w:val="48"/>
                    <w:jc w:val="center"/>
                    <w:rPr>
                      <w:rFonts w:hint="eastAsia"/>
                      <w:color w:val="000000"/>
                      <w:sz w:val="18"/>
                      <w:szCs w:val="18"/>
                      <w:u w:val="none"/>
                    </w:rPr>
                  </w:pPr>
                  <w:r>
                    <w:rPr>
                      <w:rFonts w:hint="eastAsia"/>
                      <w:color w:val="000000"/>
                      <w:sz w:val="18"/>
                      <w:szCs w:val="18"/>
                      <w:u w:val="none"/>
                    </w:rPr>
                    <w:t>20</w:t>
                  </w:r>
                </w:p>
              </w:tc>
              <w:tc>
                <w:tcPr>
                  <w:tcW w:w="433" w:type="pct"/>
                  <w:noWrap w:val="0"/>
                  <w:vAlign w:val="center"/>
                </w:tcPr>
                <w:p w14:paraId="546FA1EC">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30</w:t>
                  </w:r>
                </w:p>
                <w:p w14:paraId="0A86BBAF">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48</w:t>
                  </w:r>
                </w:p>
                <w:p w14:paraId="3B60414F">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28</w:t>
                  </w:r>
                </w:p>
                <w:p w14:paraId="18B1D38F">
                  <w:pPr>
                    <w:jc w:val="center"/>
                    <w:rPr>
                      <w:rFonts w:hint="default" w:eastAsia="宋体"/>
                      <w:color w:val="000000"/>
                      <w:sz w:val="18"/>
                      <w:szCs w:val="18"/>
                      <w:u w:val="none"/>
                      <w:lang w:val="en-US" w:eastAsia="zh-CN"/>
                    </w:rPr>
                  </w:pPr>
                  <w:r>
                    <w:rPr>
                      <w:color w:val="000000"/>
                      <w:sz w:val="18"/>
                      <w:szCs w:val="18"/>
                      <w:u w:val="none"/>
                    </w:rPr>
                    <w:t>N</w:t>
                  </w:r>
                  <w:r>
                    <w:rPr>
                      <w:rFonts w:hint="eastAsia"/>
                      <w:color w:val="000000"/>
                      <w:sz w:val="18"/>
                      <w:szCs w:val="18"/>
                      <w:u w:val="none"/>
                      <w:lang w:val="en-US" w:eastAsia="zh-CN"/>
                    </w:rPr>
                    <w:t>18</w:t>
                  </w:r>
                </w:p>
              </w:tc>
              <w:tc>
                <w:tcPr>
                  <w:tcW w:w="431" w:type="pct"/>
                  <w:noWrap w:val="0"/>
                  <w:vAlign w:val="center"/>
                </w:tcPr>
                <w:p w14:paraId="7AA9D031">
                  <w:pPr>
                    <w:pStyle w:val="48"/>
                    <w:jc w:val="center"/>
                    <w:rPr>
                      <w:rFonts w:hint="eastAsia"/>
                      <w:color w:val="000000"/>
                      <w:sz w:val="18"/>
                      <w:szCs w:val="18"/>
                      <w:u w:val="none"/>
                    </w:rPr>
                  </w:pPr>
                  <w:r>
                    <w:rPr>
                      <w:rFonts w:hint="eastAsia"/>
                      <w:color w:val="000000"/>
                      <w:sz w:val="18"/>
                      <w:szCs w:val="18"/>
                      <w:u w:val="none"/>
                    </w:rPr>
                    <w:t>1</w:t>
                  </w:r>
                </w:p>
              </w:tc>
            </w:tr>
            <w:tr w14:paraId="09029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48" w:hRule="atLeast"/>
                <w:jc w:val="center"/>
              </w:trPr>
              <w:tc>
                <w:tcPr>
                  <w:tcW w:w="318" w:type="pct"/>
                  <w:vMerge w:val="continue"/>
                  <w:noWrap w:val="0"/>
                  <w:vAlign w:val="center"/>
                </w:tcPr>
                <w:p w14:paraId="17B87E45">
                  <w:pPr>
                    <w:pStyle w:val="48"/>
                    <w:jc w:val="center"/>
                    <w:rPr>
                      <w:rFonts w:hint="eastAsia"/>
                      <w:color w:val="000000"/>
                      <w:sz w:val="18"/>
                      <w:szCs w:val="18"/>
                      <w:u w:val="none"/>
                    </w:rPr>
                  </w:pPr>
                </w:p>
              </w:tc>
              <w:tc>
                <w:tcPr>
                  <w:tcW w:w="298" w:type="pct"/>
                  <w:noWrap w:val="0"/>
                  <w:vAlign w:val="center"/>
                </w:tcPr>
                <w:p w14:paraId="496745C3">
                  <w:pPr>
                    <w:spacing w:line="240" w:lineRule="auto"/>
                    <w:ind w:firstLine="0" w:firstLineChars="0"/>
                    <w:jc w:val="center"/>
                    <w:rPr>
                      <w:rFonts w:hint="default"/>
                      <w:color w:val="000000"/>
                      <w:sz w:val="18"/>
                      <w:szCs w:val="18"/>
                      <w:u w:val="none"/>
                      <w:lang w:val="en-US" w:eastAsia="zh-CN"/>
                    </w:rPr>
                  </w:pPr>
                  <w:r>
                    <w:rPr>
                      <w:rFonts w:hint="eastAsia" w:ascii="Times New Roman" w:hAnsi="Times New Roman"/>
                      <w:color w:val="000000"/>
                      <w:kern w:val="2"/>
                      <w:sz w:val="18"/>
                      <w:szCs w:val="18"/>
                      <w:u w:val="none"/>
                      <w:lang w:val="en-US" w:eastAsia="zh-CN" w:bidi="ar-SA"/>
                    </w:rPr>
                    <w:t>投料搅拌锅</w:t>
                  </w:r>
                </w:p>
              </w:tc>
              <w:tc>
                <w:tcPr>
                  <w:tcW w:w="409" w:type="pct"/>
                  <w:noWrap w:val="0"/>
                  <w:vAlign w:val="center"/>
                </w:tcPr>
                <w:p w14:paraId="0B70BDB7">
                  <w:pPr>
                    <w:pStyle w:val="48"/>
                    <w:jc w:val="center"/>
                    <w:rPr>
                      <w:rFonts w:hint="default" w:eastAsia="宋体"/>
                      <w:color w:val="000000"/>
                      <w:sz w:val="18"/>
                      <w:szCs w:val="18"/>
                      <w:u w:val="none"/>
                      <w:lang w:val="en-US" w:eastAsia="zh-CN"/>
                    </w:rPr>
                  </w:pPr>
                  <w:r>
                    <w:rPr>
                      <w:rFonts w:hint="eastAsia"/>
                      <w:color w:val="000000"/>
                      <w:sz w:val="18"/>
                      <w:szCs w:val="18"/>
                      <w:u w:val="none"/>
                      <w:lang w:val="en-US" w:eastAsia="zh-CN"/>
                    </w:rPr>
                    <w:t>80</w:t>
                  </w:r>
                </w:p>
              </w:tc>
              <w:tc>
                <w:tcPr>
                  <w:tcW w:w="486" w:type="pct"/>
                  <w:noWrap w:val="0"/>
                  <w:vAlign w:val="center"/>
                </w:tcPr>
                <w:p w14:paraId="0126D5CB">
                  <w:pPr>
                    <w:pStyle w:val="48"/>
                    <w:jc w:val="center"/>
                    <w:rPr>
                      <w:rFonts w:hint="eastAsia"/>
                      <w:color w:val="000000"/>
                      <w:sz w:val="18"/>
                      <w:szCs w:val="18"/>
                      <w:u w:val="none"/>
                    </w:rPr>
                  </w:pPr>
                  <w:r>
                    <w:rPr>
                      <w:rFonts w:hint="eastAsia"/>
                      <w:color w:val="000000"/>
                      <w:sz w:val="18"/>
                      <w:szCs w:val="18"/>
                      <w:u w:val="none"/>
                    </w:rPr>
                    <w:t>基础减振、厂房隔声</w:t>
                  </w:r>
                </w:p>
              </w:tc>
              <w:tc>
                <w:tcPr>
                  <w:tcW w:w="282" w:type="pct"/>
                  <w:noWrap w:val="0"/>
                  <w:vAlign w:val="center"/>
                </w:tcPr>
                <w:p w14:paraId="6ABA71FB">
                  <w:pPr>
                    <w:pStyle w:val="48"/>
                    <w:jc w:val="center"/>
                    <w:rPr>
                      <w:rFonts w:hint="default"/>
                      <w:color w:val="000000"/>
                      <w:sz w:val="18"/>
                      <w:szCs w:val="18"/>
                      <w:u w:val="none"/>
                      <w:lang w:val="en-US" w:eastAsia="zh-CN"/>
                    </w:rPr>
                  </w:pPr>
                  <w:r>
                    <w:rPr>
                      <w:rFonts w:hint="eastAsia"/>
                      <w:color w:val="000000"/>
                      <w:sz w:val="18"/>
                      <w:szCs w:val="18"/>
                      <w:u w:val="none"/>
                      <w:lang w:val="en-US" w:eastAsia="zh-CN"/>
                    </w:rPr>
                    <w:t>4</w:t>
                  </w:r>
                </w:p>
              </w:tc>
              <w:tc>
                <w:tcPr>
                  <w:tcW w:w="282" w:type="pct"/>
                  <w:noWrap w:val="0"/>
                  <w:vAlign w:val="center"/>
                </w:tcPr>
                <w:p w14:paraId="0FD3637D">
                  <w:pPr>
                    <w:pStyle w:val="48"/>
                    <w:jc w:val="center"/>
                    <w:rPr>
                      <w:rFonts w:hint="default"/>
                      <w:color w:val="000000"/>
                      <w:sz w:val="18"/>
                      <w:szCs w:val="18"/>
                      <w:u w:val="none"/>
                      <w:lang w:val="en-US" w:eastAsia="zh-CN"/>
                    </w:rPr>
                  </w:pPr>
                  <w:r>
                    <w:rPr>
                      <w:rFonts w:hint="eastAsia"/>
                      <w:color w:val="000000"/>
                      <w:sz w:val="18"/>
                      <w:szCs w:val="18"/>
                      <w:u w:val="none"/>
                      <w:lang w:val="en-US" w:eastAsia="zh-CN"/>
                    </w:rPr>
                    <w:t>70</w:t>
                  </w:r>
                </w:p>
              </w:tc>
              <w:tc>
                <w:tcPr>
                  <w:tcW w:w="287" w:type="pct"/>
                  <w:noWrap w:val="0"/>
                  <w:vAlign w:val="center"/>
                </w:tcPr>
                <w:p w14:paraId="53CA52B2">
                  <w:pPr>
                    <w:pStyle w:val="48"/>
                    <w:jc w:val="center"/>
                    <w:rPr>
                      <w:rFonts w:hint="eastAsia"/>
                      <w:color w:val="000000"/>
                      <w:sz w:val="18"/>
                      <w:szCs w:val="18"/>
                      <w:u w:val="none"/>
                    </w:rPr>
                  </w:pPr>
                  <w:r>
                    <w:rPr>
                      <w:rFonts w:hint="eastAsia"/>
                      <w:color w:val="000000"/>
                      <w:sz w:val="18"/>
                      <w:szCs w:val="18"/>
                      <w:u w:val="none"/>
                    </w:rPr>
                    <w:t>1</w:t>
                  </w:r>
                </w:p>
              </w:tc>
              <w:tc>
                <w:tcPr>
                  <w:tcW w:w="279" w:type="pct"/>
                  <w:noWrap w:val="0"/>
                  <w:vAlign w:val="center"/>
                </w:tcPr>
                <w:p w14:paraId="415E1FF0">
                  <w:pPr>
                    <w:pStyle w:val="49"/>
                    <w:snapToGrid/>
                    <w:spacing w:line="240" w:lineRule="auto"/>
                    <w:jc w:val="center"/>
                    <w:rPr>
                      <w:rFonts w:hint="default"/>
                      <w:color w:val="000000"/>
                      <w:sz w:val="18"/>
                      <w:szCs w:val="18"/>
                      <w:u w:val="none"/>
                      <w:lang w:val="en-US" w:eastAsia="zh-CN"/>
                    </w:rPr>
                  </w:pPr>
                  <w:r>
                    <w:rPr>
                      <w:rFonts w:hint="eastAsia"/>
                      <w:color w:val="000000"/>
                      <w:sz w:val="18"/>
                      <w:szCs w:val="18"/>
                      <w:u w:val="none"/>
                      <w:lang w:val="en-US" w:eastAsia="zh-CN"/>
                    </w:rPr>
                    <w:t>1</w:t>
                  </w:r>
                </w:p>
              </w:tc>
              <w:tc>
                <w:tcPr>
                  <w:tcW w:w="391" w:type="pct"/>
                  <w:noWrap w:val="0"/>
                  <w:vAlign w:val="center"/>
                </w:tcPr>
                <w:p w14:paraId="5A8B8276">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16</w:t>
                  </w:r>
                </w:p>
                <w:p w14:paraId="62F7E1AB">
                  <w:pPr>
                    <w:pStyle w:val="49"/>
                    <w:snapToGrid/>
                    <w:spacing w:line="240" w:lineRule="auto"/>
                    <w:jc w:val="center"/>
                    <w:rPr>
                      <w:rFonts w:hint="default"/>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67</w:t>
                  </w:r>
                </w:p>
                <w:p w14:paraId="30675E7E">
                  <w:pPr>
                    <w:pStyle w:val="49"/>
                    <w:snapToGrid/>
                    <w:spacing w:line="240" w:lineRule="auto"/>
                    <w:jc w:val="center"/>
                    <w:rPr>
                      <w:rFonts w:hint="eastAsia"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4</w:t>
                  </w:r>
                </w:p>
                <w:p w14:paraId="1CCCEE6A">
                  <w:pPr>
                    <w:pStyle w:val="49"/>
                    <w:snapToGrid/>
                    <w:spacing w:line="240" w:lineRule="auto"/>
                    <w:jc w:val="center"/>
                    <w:rPr>
                      <w:color w:val="000000"/>
                      <w:sz w:val="18"/>
                      <w:szCs w:val="18"/>
                      <w:u w:val="none"/>
                    </w:rPr>
                  </w:pPr>
                  <w:r>
                    <w:rPr>
                      <w:color w:val="000000"/>
                      <w:sz w:val="18"/>
                      <w:szCs w:val="18"/>
                      <w:u w:val="none"/>
                    </w:rPr>
                    <w:t>N</w:t>
                  </w:r>
                  <w:r>
                    <w:rPr>
                      <w:rFonts w:hint="eastAsia"/>
                      <w:color w:val="000000"/>
                      <w:sz w:val="18"/>
                      <w:szCs w:val="18"/>
                      <w:u w:val="none"/>
                      <w:lang w:val="en-US" w:eastAsia="zh-CN"/>
                    </w:rPr>
                    <w:t>5</w:t>
                  </w:r>
                </w:p>
              </w:tc>
              <w:tc>
                <w:tcPr>
                  <w:tcW w:w="441" w:type="pct"/>
                  <w:noWrap w:val="0"/>
                  <w:vAlign w:val="center"/>
                </w:tcPr>
                <w:p w14:paraId="426DBDAB">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50</w:t>
                  </w:r>
                </w:p>
                <w:p w14:paraId="7458FE20">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38</w:t>
                  </w:r>
                </w:p>
                <w:p w14:paraId="32240E3F">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62</w:t>
                  </w:r>
                </w:p>
                <w:p w14:paraId="42DA0BCC">
                  <w:pPr>
                    <w:jc w:val="center"/>
                    <w:rPr>
                      <w:rFonts w:hint="default"/>
                      <w:color w:val="000000"/>
                      <w:sz w:val="18"/>
                      <w:szCs w:val="18"/>
                      <w:u w:val="none"/>
                      <w:lang w:val="en-US"/>
                    </w:rPr>
                  </w:pPr>
                  <w:r>
                    <w:rPr>
                      <w:color w:val="000000"/>
                      <w:sz w:val="18"/>
                      <w:szCs w:val="18"/>
                      <w:u w:val="none"/>
                    </w:rPr>
                    <w:t>N</w:t>
                  </w:r>
                  <w:r>
                    <w:rPr>
                      <w:rFonts w:hint="eastAsia"/>
                      <w:color w:val="000000"/>
                      <w:sz w:val="18"/>
                      <w:szCs w:val="18"/>
                      <w:u w:val="none"/>
                      <w:lang w:val="en-US" w:eastAsia="zh-CN"/>
                    </w:rPr>
                    <w:t>62</w:t>
                  </w:r>
                </w:p>
              </w:tc>
              <w:tc>
                <w:tcPr>
                  <w:tcW w:w="218" w:type="pct"/>
                  <w:noWrap w:val="0"/>
                  <w:vAlign w:val="center"/>
                </w:tcPr>
                <w:p w14:paraId="763E3971">
                  <w:pPr>
                    <w:pStyle w:val="48"/>
                    <w:jc w:val="center"/>
                    <w:rPr>
                      <w:rFonts w:hint="eastAsia"/>
                      <w:color w:val="000000"/>
                      <w:sz w:val="18"/>
                      <w:szCs w:val="18"/>
                      <w:u w:val="none"/>
                    </w:rPr>
                  </w:pPr>
                  <w:r>
                    <w:rPr>
                      <w:rFonts w:hint="eastAsia"/>
                      <w:color w:val="000000"/>
                      <w:sz w:val="18"/>
                      <w:szCs w:val="18"/>
                      <w:u w:val="none"/>
                    </w:rPr>
                    <w:t>昼间</w:t>
                  </w:r>
                </w:p>
              </w:tc>
              <w:tc>
                <w:tcPr>
                  <w:tcW w:w="441" w:type="pct"/>
                  <w:noWrap w:val="0"/>
                  <w:vAlign w:val="center"/>
                </w:tcPr>
                <w:p w14:paraId="53FCEF38">
                  <w:pPr>
                    <w:pStyle w:val="48"/>
                    <w:jc w:val="center"/>
                    <w:rPr>
                      <w:rFonts w:hint="eastAsia"/>
                      <w:color w:val="000000"/>
                      <w:sz w:val="18"/>
                      <w:szCs w:val="18"/>
                      <w:u w:val="none"/>
                    </w:rPr>
                  </w:pPr>
                  <w:r>
                    <w:rPr>
                      <w:rFonts w:hint="eastAsia"/>
                      <w:color w:val="000000"/>
                      <w:sz w:val="18"/>
                      <w:szCs w:val="18"/>
                      <w:u w:val="none"/>
                    </w:rPr>
                    <w:t>20</w:t>
                  </w:r>
                </w:p>
              </w:tc>
              <w:tc>
                <w:tcPr>
                  <w:tcW w:w="433" w:type="pct"/>
                  <w:noWrap w:val="0"/>
                  <w:vAlign w:val="center"/>
                </w:tcPr>
                <w:p w14:paraId="7EE03FAD">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30</w:t>
                  </w:r>
                </w:p>
                <w:p w14:paraId="33E7EC8D">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18</w:t>
                  </w:r>
                </w:p>
                <w:p w14:paraId="15D93135">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42</w:t>
                  </w:r>
                </w:p>
                <w:p w14:paraId="09B1A13E">
                  <w:pPr>
                    <w:jc w:val="center"/>
                    <w:rPr>
                      <w:rFonts w:hint="default" w:eastAsia="宋体"/>
                      <w:color w:val="000000"/>
                      <w:sz w:val="18"/>
                      <w:szCs w:val="18"/>
                      <w:u w:val="none"/>
                      <w:lang w:val="en-US" w:eastAsia="zh-CN"/>
                    </w:rPr>
                  </w:pPr>
                  <w:r>
                    <w:rPr>
                      <w:color w:val="000000"/>
                      <w:sz w:val="18"/>
                      <w:szCs w:val="18"/>
                      <w:u w:val="none"/>
                    </w:rPr>
                    <w:t>N</w:t>
                  </w:r>
                  <w:r>
                    <w:rPr>
                      <w:rFonts w:hint="eastAsia"/>
                      <w:color w:val="000000"/>
                      <w:sz w:val="18"/>
                      <w:szCs w:val="18"/>
                      <w:u w:val="none"/>
                      <w:lang w:val="en-US" w:eastAsia="zh-CN"/>
                    </w:rPr>
                    <w:t>42</w:t>
                  </w:r>
                </w:p>
              </w:tc>
              <w:tc>
                <w:tcPr>
                  <w:tcW w:w="431" w:type="pct"/>
                  <w:noWrap w:val="0"/>
                  <w:vAlign w:val="center"/>
                </w:tcPr>
                <w:p w14:paraId="076FA20F">
                  <w:pPr>
                    <w:pStyle w:val="48"/>
                    <w:jc w:val="center"/>
                    <w:rPr>
                      <w:rFonts w:hint="eastAsia"/>
                      <w:color w:val="000000"/>
                      <w:sz w:val="18"/>
                      <w:szCs w:val="18"/>
                      <w:u w:val="none"/>
                    </w:rPr>
                  </w:pPr>
                  <w:r>
                    <w:rPr>
                      <w:rFonts w:hint="eastAsia"/>
                      <w:color w:val="000000"/>
                      <w:sz w:val="18"/>
                      <w:szCs w:val="18"/>
                      <w:u w:val="none"/>
                    </w:rPr>
                    <w:t>1</w:t>
                  </w:r>
                </w:p>
              </w:tc>
            </w:tr>
            <w:tr w14:paraId="08E96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48" w:hRule="atLeast"/>
                <w:jc w:val="center"/>
              </w:trPr>
              <w:tc>
                <w:tcPr>
                  <w:tcW w:w="318" w:type="pct"/>
                  <w:vMerge w:val="continue"/>
                  <w:noWrap w:val="0"/>
                  <w:vAlign w:val="center"/>
                </w:tcPr>
                <w:p w14:paraId="50590BAE">
                  <w:pPr>
                    <w:pStyle w:val="48"/>
                    <w:jc w:val="center"/>
                    <w:rPr>
                      <w:rFonts w:hint="eastAsia"/>
                      <w:color w:val="000000"/>
                      <w:sz w:val="18"/>
                      <w:szCs w:val="18"/>
                      <w:u w:val="none"/>
                    </w:rPr>
                  </w:pPr>
                </w:p>
              </w:tc>
              <w:tc>
                <w:tcPr>
                  <w:tcW w:w="298" w:type="pct"/>
                  <w:noWrap w:val="0"/>
                  <w:vAlign w:val="center"/>
                </w:tcPr>
                <w:p w14:paraId="40359640">
                  <w:pPr>
                    <w:spacing w:line="240" w:lineRule="auto"/>
                    <w:ind w:firstLine="0" w:firstLineChars="0"/>
                    <w:jc w:val="center"/>
                    <w:rPr>
                      <w:rFonts w:hint="eastAsia" w:ascii="Times New Roman" w:hAnsi="Times New Roman"/>
                      <w:color w:val="000000"/>
                      <w:kern w:val="2"/>
                      <w:sz w:val="18"/>
                      <w:szCs w:val="18"/>
                      <w:u w:val="none"/>
                      <w:lang w:val="en-US" w:eastAsia="zh-CN" w:bidi="ar-SA"/>
                    </w:rPr>
                  </w:pPr>
                  <w:r>
                    <w:rPr>
                      <w:rFonts w:hint="eastAsia" w:ascii="Times New Roman" w:hAnsi="Times New Roman"/>
                      <w:color w:val="000000"/>
                      <w:kern w:val="2"/>
                      <w:sz w:val="18"/>
                      <w:szCs w:val="18"/>
                      <w:u w:val="none"/>
                      <w:lang w:val="en-US" w:eastAsia="zh-CN" w:bidi="ar-SA"/>
                    </w:rPr>
                    <w:t>搅拌锅</w:t>
                  </w:r>
                </w:p>
              </w:tc>
              <w:tc>
                <w:tcPr>
                  <w:tcW w:w="409" w:type="pct"/>
                  <w:noWrap w:val="0"/>
                  <w:vAlign w:val="center"/>
                </w:tcPr>
                <w:p w14:paraId="56BAA2D1">
                  <w:pPr>
                    <w:pStyle w:val="48"/>
                    <w:jc w:val="center"/>
                    <w:rPr>
                      <w:rFonts w:hint="eastAsia" w:ascii="Times New Roman" w:hAnsi="Times New Roman" w:eastAsia="宋体"/>
                      <w:color w:val="000000"/>
                      <w:kern w:val="2"/>
                      <w:sz w:val="18"/>
                      <w:szCs w:val="18"/>
                      <w:u w:val="none"/>
                      <w:lang w:val="en-US" w:eastAsia="zh-CN" w:bidi="ar-SA"/>
                    </w:rPr>
                  </w:pPr>
                  <w:r>
                    <w:rPr>
                      <w:rFonts w:hint="eastAsia"/>
                      <w:color w:val="000000"/>
                      <w:sz w:val="18"/>
                      <w:szCs w:val="18"/>
                      <w:u w:val="none"/>
                      <w:lang w:val="en-US" w:eastAsia="zh-CN"/>
                    </w:rPr>
                    <w:t>80</w:t>
                  </w:r>
                </w:p>
              </w:tc>
              <w:tc>
                <w:tcPr>
                  <w:tcW w:w="486" w:type="pct"/>
                  <w:noWrap w:val="0"/>
                  <w:vAlign w:val="center"/>
                </w:tcPr>
                <w:p w14:paraId="41536857">
                  <w:pPr>
                    <w:pStyle w:val="48"/>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rPr>
                    <w:t>基础减振、厂房隔声</w:t>
                  </w:r>
                </w:p>
              </w:tc>
              <w:tc>
                <w:tcPr>
                  <w:tcW w:w="282" w:type="pct"/>
                  <w:noWrap w:val="0"/>
                  <w:vAlign w:val="center"/>
                </w:tcPr>
                <w:p w14:paraId="022E23B9">
                  <w:pPr>
                    <w:pStyle w:val="48"/>
                    <w:jc w:val="center"/>
                    <w:rPr>
                      <w:rFonts w:hint="default" w:ascii="Times New Roman" w:hAnsi="Times New Roman"/>
                      <w:color w:val="000000"/>
                      <w:kern w:val="2"/>
                      <w:sz w:val="18"/>
                      <w:szCs w:val="18"/>
                      <w:u w:val="none"/>
                      <w:lang w:val="en-US" w:eastAsia="zh-CN" w:bidi="ar-SA"/>
                    </w:rPr>
                  </w:pPr>
                  <w:r>
                    <w:rPr>
                      <w:rFonts w:hint="eastAsia"/>
                      <w:color w:val="000000"/>
                      <w:sz w:val="18"/>
                      <w:szCs w:val="18"/>
                      <w:u w:val="none"/>
                      <w:lang w:val="en-US" w:eastAsia="zh-CN"/>
                    </w:rPr>
                    <w:t>15</w:t>
                  </w:r>
                </w:p>
              </w:tc>
              <w:tc>
                <w:tcPr>
                  <w:tcW w:w="282" w:type="pct"/>
                  <w:noWrap w:val="0"/>
                  <w:vAlign w:val="center"/>
                </w:tcPr>
                <w:p w14:paraId="57858236">
                  <w:pPr>
                    <w:pStyle w:val="48"/>
                    <w:jc w:val="center"/>
                    <w:rPr>
                      <w:rFonts w:hint="default" w:ascii="Times New Roman" w:hAnsi="Times New Roman"/>
                      <w:color w:val="000000"/>
                      <w:kern w:val="2"/>
                      <w:sz w:val="18"/>
                      <w:szCs w:val="18"/>
                      <w:u w:val="none"/>
                      <w:lang w:val="en-US" w:eastAsia="zh-CN" w:bidi="ar-SA"/>
                    </w:rPr>
                  </w:pPr>
                  <w:r>
                    <w:rPr>
                      <w:rFonts w:hint="eastAsia"/>
                      <w:color w:val="000000"/>
                      <w:sz w:val="18"/>
                      <w:szCs w:val="18"/>
                      <w:u w:val="none"/>
                      <w:lang w:val="en-US" w:eastAsia="zh-CN"/>
                    </w:rPr>
                    <w:t>63</w:t>
                  </w:r>
                </w:p>
              </w:tc>
              <w:tc>
                <w:tcPr>
                  <w:tcW w:w="287" w:type="pct"/>
                  <w:noWrap w:val="0"/>
                  <w:vAlign w:val="center"/>
                </w:tcPr>
                <w:p w14:paraId="4FDBBB59">
                  <w:pPr>
                    <w:pStyle w:val="48"/>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rPr>
                    <w:t>1</w:t>
                  </w:r>
                </w:p>
              </w:tc>
              <w:tc>
                <w:tcPr>
                  <w:tcW w:w="279" w:type="pct"/>
                  <w:noWrap w:val="0"/>
                  <w:vAlign w:val="center"/>
                </w:tcPr>
                <w:p w14:paraId="0BB20BF9">
                  <w:pPr>
                    <w:pStyle w:val="49"/>
                    <w:snapToGrid/>
                    <w:spacing w:line="240" w:lineRule="auto"/>
                    <w:jc w:val="center"/>
                    <w:rPr>
                      <w:rFonts w:hint="default"/>
                      <w:color w:val="000000"/>
                      <w:kern w:val="2"/>
                      <w:sz w:val="18"/>
                      <w:szCs w:val="18"/>
                      <w:u w:val="none"/>
                      <w:lang w:val="en-US" w:eastAsia="zh-CN" w:bidi="ar-SA"/>
                    </w:rPr>
                  </w:pPr>
                  <w:r>
                    <w:rPr>
                      <w:rFonts w:hint="eastAsia"/>
                      <w:color w:val="000000"/>
                      <w:sz w:val="18"/>
                      <w:szCs w:val="18"/>
                      <w:u w:val="none"/>
                      <w:lang w:val="en-US" w:eastAsia="zh-CN"/>
                    </w:rPr>
                    <w:t>1</w:t>
                  </w:r>
                </w:p>
              </w:tc>
              <w:tc>
                <w:tcPr>
                  <w:tcW w:w="391" w:type="pct"/>
                  <w:noWrap w:val="0"/>
                  <w:vAlign w:val="center"/>
                </w:tcPr>
                <w:p w14:paraId="753E5115">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15</w:t>
                  </w:r>
                </w:p>
                <w:p w14:paraId="7F7A69E9">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8</w:t>
                  </w:r>
                </w:p>
                <w:p w14:paraId="24760F0D">
                  <w:pPr>
                    <w:pStyle w:val="49"/>
                    <w:snapToGrid/>
                    <w:spacing w:line="240" w:lineRule="auto"/>
                    <w:jc w:val="center"/>
                    <w:rPr>
                      <w:rFonts w:hint="eastAsia"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5</w:t>
                  </w:r>
                </w:p>
                <w:p w14:paraId="5EE77426">
                  <w:pPr>
                    <w:pStyle w:val="49"/>
                    <w:snapToGrid/>
                    <w:spacing w:line="240" w:lineRule="auto"/>
                    <w:jc w:val="center"/>
                    <w:rPr>
                      <w:color w:val="000000"/>
                      <w:kern w:val="2"/>
                      <w:sz w:val="18"/>
                      <w:szCs w:val="18"/>
                      <w:u w:val="none"/>
                      <w:lang w:val="en-US" w:eastAsia="zh-CN" w:bidi="ar-SA"/>
                    </w:rPr>
                  </w:pPr>
                  <w:r>
                    <w:rPr>
                      <w:color w:val="000000"/>
                      <w:sz w:val="18"/>
                      <w:szCs w:val="18"/>
                      <w:u w:val="none"/>
                    </w:rPr>
                    <w:t>N</w:t>
                  </w:r>
                  <w:r>
                    <w:rPr>
                      <w:rFonts w:hint="eastAsia"/>
                      <w:color w:val="000000"/>
                      <w:sz w:val="18"/>
                      <w:szCs w:val="18"/>
                      <w:u w:val="none"/>
                      <w:lang w:val="en-US" w:eastAsia="zh-CN"/>
                    </w:rPr>
                    <w:t>63</w:t>
                  </w:r>
                </w:p>
              </w:tc>
              <w:tc>
                <w:tcPr>
                  <w:tcW w:w="441" w:type="pct"/>
                  <w:noWrap w:val="0"/>
                  <w:vAlign w:val="center"/>
                </w:tcPr>
                <w:p w14:paraId="105AD6CC">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50</w:t>
                  </w:r>
                </w:p>
                <w:p w14:paraId="79396A83">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37</w:t>
                  </w:r>
                </w:p>
                <w:p w14:paraId="4EC3F9CD">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61</w:t>
                  </w:r>
                </w:p>
                <w:p w14:paraId="7792DA28">
                  <w:pPr>
                    <w:jc w:val="center"/>
                    <w:rPr>
                      <w:rFonts w:hint="default"/>
                      <w:color w:val="000000"/>
                      <w:kern w:val="2"/>
                      <w:sz w:val="18"/>
                      <w:szCs w:val="18"/>
                      <w:u w:val="none"/>
                      <w:lang w:val="en-US" w:eastAsia="zh-CN" w:bidi="ar-SA"/>
                    </w:rPr>
                  </w:pPr>
                  <w:r>
                    <w:rPr>
                      <w:color w:val="000000"/>
                      <w:sz w:val="18"/>
                      <w:szCs w:val="18"/>
                      <w:u w:val="none"/>
                    </w:rPr>
                    <w:t>N</w:t>
                  </w:r>
                  <w:r>
                    <w:rPr>
                      <w:rFonts w:hint="eastAsia"/>
                      <w:color w:val="000000"/>
                      <w:sz w:val="18"/>
                      <w:szCs w:val="18"/>
                      <w:u w:val="none"/>
                      <w:lang w:val="en-US" w:eastAsia="zh-CN"/>
                    </w:rPr>
                    <w:t>37</w:t>
                  </w:r>
                </w:p>
              </w:tc>
              <w:tc>
                <w:tcPr>
                  <w:tcW w:w="218" w:type="pct"/>
                  <w:noWrap w:val="0"/>
                  <w:vAlign w:val="center"/>
                </w:tcPr>
                <w:p w14:paraId="5B2EABAF">
                  <w:pPr>
                    <w:pStyle w:val="48"/>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rPr>
                    <w:t>昼间</w:t>
                  </w:r>
                </w:p>
              </w:tc>
              <w:tc>
                <w:tcPr>
                  <w:tcW w:w="441" w:type="pct"/>
                  <w:noWrap w:val="0"/>
                  <w:vAlign w:val="center"/>
                </w:tcPr>
                <w:p w14:paraId="4CBE5BD1">
                  <w:pPr>
                    <w:pStyle w:val="48"/>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rPr>
                    <w:t>20</w:t>
                  </w:r>
                </w:p>
              </w:tc>
              <w:tc>
                <w:tcPr>
                  <w:tcW w:w="433" w:type="pct"/>
                  <w:noWrap w:val="0"/>
                  <w:vAlign w:val="center"/>
                </w:tcPr>
                <w:p w14:paraId="2B154DDD">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30</w:t>
                  </w:r>
                </w:p>
                <w:p w14:paraId="31E145C8">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17</w:t>
                  </w:r>
                </w:p>
                <w:p w14:paraId="18FB9D6E">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41</w:t>
                  </w:r>
                </w:p>
                <w:p w14:paraId="420DE1AF">
                  <w:pPr>
                    <w:jc w:val="center"/>
                    <w:rPr>
                      <w:rFonts w:hint="default" w:eastAsia="宋体"/>
                      <w:color w:val="000000"/>
                      <w:kern w:val="2"/>
                      <w:sz w:val="18"/>
                      <w:szCs w:val="18"/>
                      <w:u w:val="none"/>
                      <w:lang w:val="en-US" w:eastAsia="zh-CN" w:bidi="ar-SA"/>
                    </w:rPr>
                  </w:pPr>
                  <w:r>
                    <w:rPr>
                      <w:color w:val="000000"/>
                      <w:sz w:val="18"/>
                      <w:szCs w:val="18"/>
                      <w:u w:val="none"/>
                    </w:rPr>
                    <w:t>N</w:t>
                  </w:r>
                  <w:r>
                    <w:rPr>
                      <w:rFonts w:hint="eastAsia"/>
                      <w:color w:val="000000"/>
                      <w:sz w:val="18"/>
                      <w:szCs w:val="18"/>
                      <w:u w:val="none"/>
                      <w:lang w:val="en-US" w:eastAsia="zh-CN"/>
                    </w:rPr>
                    <w:t>17</w:t>
                  </w:r>
                </w:p>
              </w:tc>
              <w:tc>
                <w:tcPr>
                  <w:tcW w:w="431" w:type="pct"/>
                  <w:noWrap w:val="0"/>
                  <w:vAlign w:val="center"/>
                </w:tcPr>
                <w:p w14:paraId="7EF78B0A">
                  <w:pPr>
                    <w:pStyle w:val="48"/>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rPr>
                    <w:t>1</w:t>
                  </w:r>
                </w:p>
              </w:tc>
            </w:tr>
            <w:tr w14:paraId="2E079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48" w:hRule="atLeast"/>
                <w:jc w:val="center"/>
              </w:trPr>
              <w:tc>
                <w:tcPr>
                  <w:tcW w:w="318" w:type="pct"/>
                  <w:vMerge w:val="continue"/>
                  <w:noWrap w:val="0"/>
                  <w:vAlign w:val="center"/>
                </w:tcPr>
                <w:p w14:paraId="69422B77">
                  <w:pPr>
                    <w:pStyle w:val="48"/>
                    <w:jc w:val="center"/>
                    <w:rPr>
                      <w:rFonts w:hint="eastAsia"/>
                      <w:color w:val="000000"/>
                      <w:sz w:val="18"/>
                      <w:szCs w:val="18"/>
                      <w:u w:val="none"/>
                    </w:rPr>
                  </w:pPr>
                </w:p>
              </w:tc>
              <w:tc>
                <w:tcPr>
                  <w:tcW w:w="298" w:type="pct"/>
                  <w:noWrap w:val="0"/>
                  <w:vAlign w:val="center"/>
                </w:tcPr>
                <w:p w14:paraId="6BE2F079">
                  <w:pPr>
                    <w:spacing w:line="240" w:lineRule="auto"/>
                    <w:ind w:firstLine="0" w:firstLineChars="0"/>
                    <w:jc w:val="center"/>
                    <w:rPr>
                      <w:rFonts w:hint="default" w:ascii="Times New Roman" w:hAnsi="Times New Roman"/>
                      <w:color w:val="000000"/>
                      <w:kern w:val="2"/>
                      <w:sz w:val="18"/>
                      <w:szCs w:val="18"/>
                      <w:u w:val="none"/>
                      <w:lang w:val="en-US" w:eastAsia="zh-CN" w:bidi="ar-SA"/>
                    </w:rPr>
                  </w:pPr>
                  <w:r>
                    <w:rPr>
                      <w:rFonts w:hint="eastAsia" w:ascii="Times New Roman" w:hAnsi="Times New Roman"/>
                      <w:color w:val="000000"/>
                      <w:kern w:val="2"/>
                      <w:sz w:val="18"/>
                      <w:szCs w:val="18"/>
                      <w:u w:val="none"/>
                      <w:lang w:val="en-US" w:eastAsia="zh-CN" w:bidi="ar-SA"/>
                    </w:rPr>
                    <w:t>搅拌锅</w:t>
                  </w:r>
                </w:p>
              </w:tc>
              <w:tc>
                <w:tcPr>
                  <w:tcW w:w="409" w:type="pct"/>
                  <w:noWrap w:val="0"/>
                  <w:vAlign w:val="center"/>
                </w:tcPr>
                <w:p w14:paraId="18B7A3B2">
                  <w:pPr>
                    <w:pStyle w:val="48"/>
                    <w:jc w:val="center"/>
                    <w:rPr>
                      <w:rFonts w:hint="default" w:ascii="Times New Roman" w:hAnsi="Times New Roman" w:eastAsia="宋体"/>
                      <w:color w:val="000000"/>
                      <w:kern w:val="2"/>
                      <w:sz w:val="18"/>
                      <w:szCs w:val="18"/>
                      <w:u w:val="none"/>
                      <w:lang w:val="en-US" w:eastAsia="zh-CN" w:bidi="ar-SA"/>
                    </w:rPr>
                  </w:pPr>
                  <w:r>
                    <w:rPr>
                      <w:rFonts w:hint="eastAsia"/>
                      <w:color w:val="000000"/>
                      <w:sz w:val="18"/>
                      <w:szCs w:val="18"/>
                      <w:u w:val="none"/>
                      <w:lang w:val="en-US" w:eastAsia="zh-CN"/>
                    </w:rPr>
                    <w:t>80</w:t>
                  </w:r>
                </w:p>
              </w:tc>
              <w:tc>
                <w:tcPr>
                  <w:tcW w:w="486" w:type="pct"/>
                  <w:noWrap w:val="0"/>
                  <w:vAlign w:val="center"/>
                </w:tcPr>
                <w:p w14:paraId="7BB6718B">
                  <w:pPr>
                    <w:pStyle w:val="48"/>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rPr>
                    <w:t>基础减振、厂房隔声</w:t>
                  </w:r>
                </w:p>
              </w:tc>
              <w:tc>
                <w:tcPr>
                  <w:tcW w:w="282" w:type="pct"/>
                  <w:noWrap w:val="0"/>
                  <w:vAlign w:val="center"/>
                </w:tcPr>
                <w:p w14:paraId="7B8CFAF6">
                  <w:pPr>
                    <w:jc w:val="center"/>
                    <w:rPr>
                      <w:rFonts w:hint="default" w:ascii="Times New Roman" w:hAnsi="Times New Roman"/>
                      <w:color w:val="000000"/>
                      <w:kern w:val="2"/>
                      <w:sz w:val="18"/>
                      <w:szCs w:val="18"/>
                      <w:u w:val="none"/>
                      <w:lang w:val="en-US" w:eastAsia="zh-CN" w:bidi="ar-SA"/>
                    </w:rPr>
                  </w:pPr>
                  <w:r>
                    <w:rPr>
                      <w:rFonts w:hint="eastAsia"/>
                      <w:color w:val="000000"/>
                      <w:sz w:val="18"/>
                      <w:szCs w:val="18"/>
                      <w:u w:val="none"/>
                      <w:lang w:val="en-US" w:eastAsia="zh-CN"/>
                    </w:rPr>
                    <w:t>15</w:t>
                  </w:r>
                </w:p>
              </w:tc>
              <w:tc>
                <w:tcPr>
                  <w:tcW w:w="282" w:type="pct"/>
                  <w:noWrap w:val="0"/>
                  <w:vAlign w:val="center"/>
                </w:tcPr>
                <w:p w14:paraId="11A19078">
                  <w:pPr>
                    <w:pStyle w:val="48"/>
                    <w:jc w:val="center"/>
                    <w:rPr>
                      <w:rFonts w:hint="default" w:ascii="Times New Roman" w:hAnsi="Times New Roman"/>
                      <w:color w:val="000000"/>
                      <w:kern w:val="2"/>
                      <w:sz w:val="18"/>
                      <w:szCs w:val="18"/>
                      <w:u w:val="none"/>
                      <w:lang w:val="en-US" w:eastAsia="zh-CN" w:bidi="ar-SA"/>
                    </w:rPr>
                  </w:pPr>
                  <w:r>
                    <w:rPr>
                      <w:rFonts w:hint="eastAsia"/>
                      <w:color w:val="000000"/>
                      <w:sz w:val="18"/>
                      <w:szCs w:val="18"/>
                      <w:u w:val="none"/>
                      <w:lang w:val="en-US" w:eastAsia="zh-CN"/>
                    </w:rPr>
                    <w:t>61</w:t>
                  </w:r>
                </w:p>
              </w:tc>
              <w:tc>
                <w:tcPr>
                  <w:tcW w:w="287" w:type="pct"/>
                  <w:noWrap w:val="0"/>
                  <w:vAlign w:val="center"/>
                </w:tcPr>
                <w:p w14:paraId="36F8B941">
                  <w:pPr>
                    <w:pStyle w:val="48"/>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rPr>
                    <w:t>1</w:t>
                  </w:r>
                </w:p>
              </w:tc>
              <w:tc>
                <w:tcPr>
                  <w:tcW w:w="279" w:type="pct"/>
                  <w:noWrap w:val="0"/>
                  <w:vAlign w:val="center"/>
                </w:tcPr>
                <w:p w14:paraId="6C454C7E">
                  <w:pPr>
                    <w:pStyle w:val="49"/>
                    <w:snapToGrid/>
                    <w:spacing w:line="240" w:lineRule="auto"/>
                    <w:jc w:val="center"/>
                    <w:rPr>
                      <w:rFonts w:hint="default"/>
                      <w:color w:val="000000"/>
                      <w:kern w:val="2"/>
                      <w:sz w:val="18"/>
                      <w:szCs w:val="18"/>
                      <w:u w:val="none"/>
                      <w:lang w:val="en-US" w:eastAsia="zh-CN" w:bidi="ar-SA"/>
                    </w:rPr>
                  </w:pPr>
                  <w:r>
                    <w:rPr>
                      <w:rFonts w:hint="eastAsia"/>
                      <w:color w:val="000000"/>
                      <w:sz w:val="18"/>
                      <w:szCs w:val="18"/>
                      <w:u w:val="none"/>
                      <w:lang w:val="en-US" w:eastAsia="zh-CN"/>
                    </w:rPr>
                    <w:t>1</w:t>
                  </w:r>
                </w:p>
              </w:tc>
              <w:tc>
                <w:tcPr>
                  <w:tcW w:w="391" w:type="pct"/>
                  <w:noWrap w:val="0"/>
                  <w:vAlign w:val="center"/>
                </w:tcPr>
                <w:p w14:paraId="598E6586">
                  <w:pPr>
                    <w:pStyle w:val="49"/>
                    <w:snapToGrid/>
                    <w:spacing w:line="240" w:lineRule="auto"/>
                    <w:jc w:val="center"/>
                    <w:rPr>
                      <w:rFonts w:hint="eastAsia"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5</w:t>
                  </w:r>
                </w:p>
                <w:p w14:paraId="036DE5A1">
                  <w:pPr>
                    <w:pStyle w:val="49"/>
                    <w:snapToGrid/>
                    <w:spacing w:line="240" w:lineRule="auto"/>
                    <w:jc w:val="center"/>
                    <w:rPr>
                      <w:rFonts w:hint="eastAsia"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9</w:t>
                  </w:r>
                </w:p>
                <w:p w14:paraId="65783DAE">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15</w:t>
                  </w:r>
                </w:p>
                <w:p w14:paraId="78426752">
                  <w:pPr>
                    <w:pStyle w:val="49"/>
                    <w:snapToGrid/>
                    <w:spacing w:line="240" w:lineRule="auto"/>
                    <w:jc w:val="center"/>
                    <w:rPr>
                      <w:rFonts w:hint="default"/>
                      <w:color w:val="000000"/>
                      <w:kern w:val="2"/>
                      <w:sz w:val="18"/>
                      <w:szCs w:val="18"/>
                      <w:u w:val="none"/>
                      <w:lang w:val="en-US" w:eastAsia="zh-CN" w:bidi="ar-SA"/>
                    </w:rPr>
                  </w:pPr>
                  <w:r>
                    <w:rPr>
                      <w:color w:val="000000"/>
                      <w:sz w:val="18"/>
                      <w:szCs w:val="18"/>
                      <w:u w:val="none"/>
                    </w:rPr>
                    <w:t>N</w:t>
                  </w:r>
                  <w:r>
                    <w:rPr>
                      <w:rFonts w:hint="eastAsia"/>
                      <w:color w:val="000000"/>
                      <w:sz w:val="18"/>
                      <w:szCs w:val="18"/>
                      <w:u w:val="none"/>
                      <w:lang w:val="en-US" w:eastAsia="zh-CN"/>
                    </w:rPr>
                    <w:t>61</w:t>
                  </w:r>
                </w:p>
              </w:tc>
              <w:tc>
                <w:tcPr>
                  <w:tcW w:w="441" w:type="pct"/>
                  <w:noWrap w:val="0"/>
                  <w:vAlign w:val="center"/>
                </w:tcPr>
                <w:p w14:paraId="69666BFC">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61</w:t>
                  </w:r>
                </w:p>
                <w:p w14:paraId="78A1F903">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43</w:t>
                  </w:r>
                </w:p>
                <w:p w14:paraId="6136B908">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49</w:t>
                  </w:r>
                </w:p>
                <w:p w14:paraId="673DFB75">
                  <w:pPr>
                    <w:jc w:val="center"/>
                    <w:rPr>
                      <w:rFonts w:hint="default"/>
                      <w:color w:val="000000"/>
                      <w:kern w:val="2"/>
                      <w:sz w:val="18"/>
                      <w:szCs w:val="18"/>
                      <w:u w:val="none"/>
                      <w:lang w:val="en-US" w:eastAsia="zh-CN" w:bidi="ar-SA"/>
                    </w:rPr>
                  </w:pPr>
                  <w:r>
                    <w:rPr>
                      <w:color w:val="000000"/>
                      <w:sz w:val="18"/>
                      <w:szCs w:val="18"/>
                      <w:u w:val="none"/>
                    </w:rPr>
                    <w:t>N</w:t>
                  </w:r>
                  <w:r>
                    <w:rPr>
                      <w:rFonts w:hint="eastAsia"/>
                      <w:color w:val="000000"/>
                      <w:sz w:val="18"/>
                      <w:szCs w:val="18"/>
                      <w:u w:val="none"/>
                      <w:lang w:val="en-US" w:eastAsia="zh-CN"/>
                    </w:rPr>
                    <w:t>39</w:t>
                  </w:r>
                </w:p>
              </w:tc>
              <w:tc>
                <w:tcPr>
                  <w:tcW w:w="218" w:type="pct"/>
                  <w:noWrap w:val="0"/>
                  <w:vAlign w:val="center"/>
                </w:tcPr>
                <w:p w14:paraId="3C3888DC">
                  <w:pPr>
                    <w:pStyle w:val="48"/>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rPr>
                    <w:t>昼间</w:t>
                  </w:r>
                </w:p>
              </w:tc>
              <w:tc>
                <w:tcPr>
                  <w:tcW w:w="441" w:type="pct"/>
                  <w:noWrap w:val="0"/>
                  <w:vAlign w:val="center"/>
                </w:tcPr>
                <w:p w14:paraId="56715FD0">
                  <w:pPr>
                    <w:pStyle w:val="48"/>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rPr>
                    <w:t>20</w:t>
                  </w:r>
                </w:p>
              </w:tc>
              <w:tc>
                <w:tcPr>
                  <w:tcW w:w="433" w:type="pct"/>
                  <w:noWrap w:val="0"/>
                  <w:vAlign w:val="center"/>
                </w:tcPr>
                <w:p w14:paraId="21ADC027">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41</w:t>
                  </w:r>
                </w:p>
                <w:p w14:paraId="1F8B0F52">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23</w:t>
                  </w:r>
                </w:p>
                <w:p w14:paraId="2569288A">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29</w:t>
                  </w:r>
                </w:p>
                <w:p w14:paraId="3AF2FD01">
                  <w:pPr>
                    <w:jc w:val="center"/>
                    <w:rPr>
                      <w:rFonts w:hint="default" w:eastAsia="宋体"/>
                      <w:color w:val="000000"/>
                      <w:kern w:val="2"/>
                      <w:sz w:val="18"/>
                      <w:szCs w:val="18"/>
                      <w:u w:val="none"/>
                      <w:lang w:val="en-US" w:eastAsia="zh-CN" w:bidi="ar-SA"/>
                    </w:rPr>
                  </w:pPr>
                  <w:r>
                    <w:rPr>
                      <w:color w:val="000000"/>
                      <w:sz w:val="18"/>
                      <w:szCs w:val="18"/>
                      <w:u w:val="none"/>
                    </w:rPr>
                    <w:t>N</w:t>
                  </w:r>
                  <w:r>
                    <w:rPr>
                      <w:rFonts w:hint="eastAsia"/>
                      <w:color w:val="000000"/>
                      <w:sz w:val="18"/>
                      <w:szCs w:val="18"/>
                      <w:u w:val="none"/>
                      <w:lang w:val="en-US" w:eastAsia="zh-CN"/>
                    </w:rPr>
                    <w:t>19</w:t>
                  </w:r>
                </w:p>
              </w:tc>
              <w:tc>
                <w:tcPr>
                  <w:tcW w:w="431" w:type="pct"/>
                  <w:noWrap w:val="0"/>
                  <w:vAlign w:val="center"/>
                </w:tcPr>
                <w:p w14:paraId="4621D974">
                  <w:pPr>
                    <w:pStyle w:val="48"/>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rPr>
                    <w:t>1</w:t>
                  </w:r>
                </w:p>
              </w:tc>
            </w:tr>
            <w:tr w14:paraId="35693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48" w:hRule="atLeast"/>
                <w:jc w:val="center"/>
              </w:trPr>
              <w:tc>
                <w:tcPr>
                  <w:tcW w:w="318" w:type="pct"/>
                  <w:vMerge w:val="continue"/>
                  <w:noWrap w:val="0"/>
                  <w:vAlign w:val="center"/>
                </w:tcPr>
                <w:p w14:paraId="21DD8021">
                  <w:pPr>
                    <w:pStyle w:val="48"/>
                    <w:jc w:val="center"/>
                    <w:rPr>
                      <w:rFonts w:hint="eastAsia"/>
                      <w:color w:val="000000"/>
                      <w:sz w:val="18"/>
                      <w:szCs w:val="18"/>
                      <w:u w:val="none"/>
                    </w:rPr>
                  </w:pPr>
                </w:p>
              </w:tc>
              <w:tc>
                <w:tcPr>
                  <w:tcW w:w="298" w:type="pct"/>
                  <w:noWrap w:val="0"/>
                  <w:vAlign w:val="center"/>
                </w:tcPr>
                <w:p w14:paraId="0EF24856">
                  <w:pPr>
                    <w:spacing w:line="240" w:lineRule="auto"/>
                    <w:ind w:firstLine="0" w:firstLineChars="0"/>
                    <w:jc w:val="center"/>
                    <w:rPr>
                      <w:rFonts w:hint="default" w:ascii="Times New Roman" w:hAnsi="Times New Roman"/>
                      <w:color w:val="000000"/>
                      <w:kern w:val="2"/>
                      <w:sz w:val="18"/>
                      <w:szCs w:val="18"/>
                      <w:u w:val="none"/>
                      <w:lang w:val="en-US" w:eastAsia="zh-CN" w:bidi="ar-SA"/>
                    </w:rPr>
                  </w:pPr>
                  <w:r>
                    <w:rPr>
                      <w:rFonts w:hint="eastAsia" w:ascii="Times New Roman" w:hAnsi="Times New Roman"/>
                      <w:color w:val="000000"/>
                      <w:kern w:val="2"/>
                      <w:sz w:val="18"/>
                      <w:szCs w:val="18"/>
                      <w:u w:val="none"/>
                      <w:lang w:val="en-US" w:eastAsia="zh-CN" w:bidi="ar-SA"/>
                    </w:rPr>
                    <w:t>搅拌锅</w:t>
                  </w:r>
                </w:p>
              </w:tc>
              <w:tc>
                <w:tcPr>
                  <w:tcW w:w="409" w:type="pct"/>
                  <w:noWrap w:val="0"/>
                  <w:vAlign w:val="center"/>
                </w:tcPr>
                <w:p w14:paraId="4E02BA0C">
                  <w:pPr>
                    <w:pStyle w:val="48"/>
                    <w:jc w:val="center"/>
                    <w:rPr>
                      <w:rFonts w:hint="default" w:ascii="Times New Roman" w:hAnsi="Times New Roman" w:eastAsia="宋体"/>
                      <w:color w:val="000000"/>
                      <w:kern w:val="2"/>
                      <w:sz w:val="18"/>
                      <w:szCs w:val="18"/>
                      <w:u w:val="none"/>
                      <w:lang w:val="en-US" w:eastAsia="zh-CN" w:bidi="ar-SA"/>
                    </w:rPr>
                  </w:pPr>
                  <w:r>
                    <w:rPr>
                      <w:rFonts w:hint="eastAsia"/>
                      <w:color w:val="000000"/>
                      <w:sz w:val="18"/>
                      <w:szCs w:val="18"/>
                      <w:u w:val="none"/>
                      <w:lang w:val="en-US" w:eastAsia="zh-CN"/>
                    </w:rPr>
                    <w:t>80</w:t>
                  </w:r>
                </w:p>
              </w:tc>
              <w:tc>
                <w:tcPr>
                  <w:tcW w:w="486" w:type="pct"/>
                  <w:noWrap w:val="0"/>
                  <w:vAlign w:val="center"/>
                </w:tcPr>
                <w:p w14:paraId="767EA75C">
                  <w:pPr>
                    <w:pStyle w:val="48"/>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rPr>
                    <w:t>基础减振、厂房隔声</w:t>
                  </w:r>
                </w:p>
              </w:tc>
              <w:tc>
                <w:tcPr>
                  <w:tcW w:w="282" w:type="pct"/>
                  <w:noWrap w:val="0"/>
                  <w:vAlign w:val="center"/>
                </w:tcPr>
                <w:p w14:paraId="1879A8D0">
                  <w:pPr>
                    <w:jc w:val="center"/>
                    <w:rPr>
                      <w:rFonts w:hint="default" w:ascii="Times New Roman" w:hAnsi="Times New Roman"/>
                      <w:color w:val="000000"/>
                      <w:kern w:val="2"/>
                      <w:sz w:val="18"/>
                      <w:szCs w:val="18"/>
                      <w:u w:val="none"/>
                      <w:lang w:val="en-US" w:eastAsia="zh-CN" w:bidi="ar-SA"/>
                    </w:rPr>
                  </w:pPr>
                  <w:r>
                    <w:rPr>
                      <w:rFonts w:hint="eastAsia"/>
                      <w:color w:val="000000"/>
                      <w:sz w:val="18"/>
                      <w:szCs w:val="18"/>
                      <w:u w:val="none"/>
                      <w:lang w:val="en-US" w:eastAsia="zh-CN"/>
                    </w:rPr>
                    <w:t>15</w:t>
                  </w:r>
                </w:p>
              </w:tc>
              <w:tc>
                <w:tcPr>
                  <w:tcW w:w="282" w:type="pct"/>
                  <w:noWrap w:val="0"/>
                  <w:vAlign w:val="center"/>
                </w:tcPr>
                <w:p w14:paraId="72F75E3E">
                  <w:pPr>
                    <w:pStyle w:val="48"/>
                    <w:jc w:val="center"/>
                    <w:rPr>
                      <w:rFonts w:hint="default" w:ascii="Times New Roman" w:hAnsi="Times New Roman"/>
                      <w:color w:val="000000"/>
                      <w:kern w:val="2"/>
                      <w:sz w:val="18"/>
                      <w:szCs w:val="18"/>
                      <w:u w:val="none"/>
                      <w:lang w:val="en-US" w:eastAsia="zh-CN" w:bidi="ar-SA"/>
                    </w:rPr>
                  </w:pPr>
                  <w:r>
                    <w:rPr>
                      <w:rFonts w:hint="eastAsia"/>
                      <w:color w:val="000000"/>
                      <w:sz w:val="18"/>
                      <w:szCs w:val="18"/>
                      <w:u w:val="none"/>
                      <w:lang w:val="en-US" w:eastAsia="zh-CN"/>
                    </w:rPr>
                    <w:t>59</w:t>
                  </w:r>
                </w:p>
              </w:tc>
              <w:tc>
                <w:tcPr>
                  <w:tcW w:w="287" w:type="pct"/>
                  <w:noWrap w:val="0"/>
                  <w:vAlign w:val="center"/>
                </w:tcPr>
                <w:p w14:paraId="78CBD07F">
                  <w:pPr>
                    <w:pStyle w:val="48"/>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rPr>
                    <w:t>1</w:t>
                  </w:r>
                </w:p>
              </w:tc>
              <w:tc>
                <w:tcPr>
                  <w:tcW w:w="279" w:type="pct"/>
                  <w:noWrap w:val="0"/>
                  <w:vAlign w:val="center"/>
                </w:tcPr>
                <w:p w14:paraId="187B8418">
                  <w:pPr>
                    <w:pStyle w:val="49"/>
                    <w:snapToGrid/>
                    <w:spacing w:line="240" w:lineRule="auto"/>
                    <w:jc w:val="center"/>
                    <w:rPr>
                      <w:rFonts w:hint="default"/>
                      <w:color w:val="000000"/>
                      <w:kern w:val="2"/>
                      <w:sz w:val="18"/>
                      <w:szCs w:val="18"/>
                      <w:u w:val="none"/>
                      <w:lang w:val="en-US" w:eastAsia="zh-CN" w:bidi="ar-SA"/>
                    </w:rPr>
                  </w:pPr>
                  <w:r>
                    <w:rPr>
                      <w:rFonts w:hint="eastAsia"/>
                      <w:color w:val="000000"/>
                      <w:sz w:val="18"/>
                      <w:szCs w:val="18"/>
                      <w:u w:val="none"/>
                      <w:lang w:val="en-US" w:eastAsia="zh-CN"/>
                    </w:rPr>
                    <w:t>1</w:t>
                  </w:r>
                </w:p>
              </w:tc>
              <w:tc>
                <w:tcPr>
                  <w:tcW w:w="391" w:type="pct"/>
                  <w:noWrap w:val="0"/>
                  <w:vAlign w:val="center"/>
                </w:tcPr>
                <w:p w14:paraId="1E1AD204">
                  <w:pPr>
                    <w:pStyle w:val="49"/>
                    <w:snapToGrid/>
                    <w:spacing w:line="240" w:lineRule="auto"/>
                    <w:jc w:val="center"/>
                    <w:rPr>
                      <w:rFonts w:hint="eastAsia"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5</w:t>
                  </w:r>
                </w:p>
                <w:p w14:paraId="4E3C2EC5">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11</w:t>
                  </w:r>
                </w:p>
                <w:p w14:paraId="32F26C73">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15</w:t>
                  </w:r>
                </w:p>
                <w:p w14:paraId="60768A67">
                  <w:pPr>
                    <w:pStyle w:val="49"/>
                    <w:snapToGrid/>
                    <w:spacing w:line="240" w:lineRule="auto"/>
                    <w:jc w:val="center"/>
                    <w:rPr>
                      <w:rFonts w:hint="default"/>
                      <w:color w:val="000000"/>
                      <w:kern w:val="2"/>
                      <w:sz w:val="18"/>
                      <w:szCs w:val="18"/>
                      <w:u w:val="none"/>
                      <w:lang w:val="en-US" w:eastAsia="zh-CN" w:bidi="ar-SA"/>
                    </w:rPr>
                  </w:pPr>
                  <w:r>
                    <w:rPr>
                      <w:color w:val="000000"/>
                      <w:sz w:val="18"/>
                      <w:szCs w:val="18"/>
                      <w:u w:val="none"/>
                    </w:rPr>
                    <w:t>N</w:t>
                  </w:r>
                  <w:r>
                    <w:rPr>
                      <w:rFonts w:hint="eastAsia"/>
                      <w:color w:val="000000"/>
                      <w:sz w:val="18"/>
                      <w:szCs w:val="18"/>
                      <w:u w:val="none"/>
                      <w:lang w:val="en-US" w:eastAsia="zh-CN"/>
                    </w:rPr>
                    <w:t>59</w:t>
                  </w:r>
                </w:p>
              </w:tc>
              <w:tc>
                <w:tcPr>
                  <w:tcW w:w="441" w:type="pct"/>
                  <w:noWrap w:val="0"/>
                  <w:vAlign w:val="center"/>
                </w:tcPr>
                <w:p w14:paraId="715D9F5F">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61</w:t>
                  </w:r>
                </w:p>
                <w:p w14:paraId="57938CB5">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54</w:t>
                  </w:r>
                </w:p>
                <w:p w14:paraId="0616051A">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51</w:t>
                  </w:r>
                </w:p>
                <w:p w14:paraId="63D2159C">
                  <w:pPr>
                    <w:jc w:val="center"/>
                    <w:rPr>
                      <w:rFonts w:hint="default"/>
                      <w:color w:val="000000"/>
                      <w:kern w:val="2"/>
                      <w:sz w:val="18"/>
                      <w:szCs w:val="18"/>
                      <w:u w:val="none"/>
                      <w:lang w:val="en-US" w:eastAsia="zh-CN" w:bidi="ar-SA"/>
                    </w:rPr>
                  </w:pPr>
                  <w:r>
                    <w:rPr>
                      <w:color w:val="000000"/>
                      <w:sz w:val="18"/>
                      <w:szCs w:val="18"/>
                      <w:u w:val="none"/>
                    </w:rPr>
                    <w:t>N</w:t>
                  </w:r>
                  <w:r>
                    <w:rPr>
                      <w:rFonts w:hint="eastAsia"/>
                      <w:color w:val="000000"/>
                      <w:sz w:val="18"/>
                      <w:szCs w:val="18"/>
                      <w:u w:val="none"/>
                      <w:lang w:val="en-US" w:eastAsia="zh-CN"/>
                    </w:rPr>
                    <w:t>40</w:t>
                  </w:r>
                </w:p>
              </w:tc>
              <w:tc>
                <w:tcPr>
                  <w:tcW w:w="218" w:type="pct"/>
                  <w:noWrap w:val="0"/>
                  <w:vAlign w:val="center"/>
                </w:tcPr>
                <w:p w14:paraId="38126753">
                  <w:pPr>
                    <w:pStyle w:val="48"/>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rPr>
                    <w:t>昼间</w:t>
                  </w:r>
                </w:p>
              </w:tc>
              <w:tc>
                <w:tcPr>
                  <w:tcW w:w="441" w:type="pct"/>
                  <w:noWrap w:val="0"/>
                  <w:vAlign w:val="center"/>
                </w:tcPr>
                <w:p w14:paraId="3EA32AFE">
                  <w:pPr>
                    <w:pStyle w:val="48"/>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rPr>
                    <w:t>20</w:t>
                  </w:r>
                </w:p>
              </w:tc>
              <w:tc>
                <w:tcPr>
                  <w:tcW w:w="433" w:type="pct"/>
                  <w:noWrap w:val="0"/>
                  <w:vAlign w:val="center"/>
                </w:tcPr>
                <w:p w14:paraId="343B4E89">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41</w:t>
                  </w:r>
                </w:p>
                <w:p w14:paraId="4801A20C">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34</w:t>
                  </w:r>
                </w:p>
                <w:p w14:paraId="0DB565B0">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31</w:t>
                  </w:r>
                </w:p>
                <w:p w14:paraId="14D20864">
                  <w:pPr>
                    <w:jc w:val="center"/>
                    <w:rPr>
                      <w:rFonts w:hint="default" w:eastAsia="宋体"/>
                      <w:color w:val="000000"/>
                      <w:kern w:val="2"/>
                      <w:sz w:val="18"/>
                      <w:szCs w:val="18"/>
                      <w:u w:val="none"/>
                      <w:lang w:val="en-US" w:eastAsia="zh-CN" w:bidi="ar-SA"/>
                    </w:rPr>
                  </w:pPr>
                  <w:r>
                    <w:rPr>
                      <w:color w:val="000000"/>
                      <w:sz w:val="18"/>
                      <w:szCs w:val="18"/>
                      <w:u w:val="none"/>
                    </w:rPr>
                    <w:t>N</w:t>
                  </w:r>
                  <w:r>
                    <w:rPr>
                      <w:rFonts w:hint="eastAsia"/>
                      <w:color w:val="000000"/>
                      <w:sz w:val="18"/>
                      <w:szCs w:val="18"/>
                      <w:u w:val="none"/>
                      <w:lang w:val="en-US" w:eastAsia="zh-CN"/>
                    </w:rPr>
                    <w:t>20</w:t>
                  </w:r>
                </w:p>
              </w:tc>
              <w:tc>
                <w:tcPr>
                  <w:tcW w:w="431" w:type="pct"/>
                  <w:noWrap w:val="0"/>
                  <w:vAlign w:val="center"/>
                </w:tcPr>
                <w:p w14:paraId="1B501097">
                  <w:pPr>
                    <w:pStyle w:val="48"/>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rPr>
                    <w:t>1</w:t>
                  </w:r>
                </w:p>
              </w:tc>
            </w:tr>
            <w:tr w14:paraId="4CCE9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48" w:hRule="atLeast"/>
                <w:jc w:val="center"/>
              </w:trPr>
              <w:tc>
                <w:tcPr>
                  <w:tcW w:w="318" w:type="pct"/>
                  <w:vMerge w:val="continue"/>
                  <w:noWrap w:val="0"/>
                  <w:vAlign w:val="center"/>
                </w:tcPr>
                <w:p w14:paraId="7A8F3F4C">
                  <w:pPr>
                    <w:pStyle w:val="48"/>
                    <w:jc w:val="center"/>
                    <w:rPr>
                      <w:rFonts w:hint="eastAsia"/>
                      <w:color w:val="000000"/>
                      <w:sz w:val="18"/>
                      <w:szCs w:val="18"/>
                      <w:u w:val="none"/>
                    </w:rPr>
                  </w:pPr>
                </w:p>
              </w:tc>
              <w:tc>
                <w:tcPr>
                  <w:tcW w:w="298" w:type="pct"/>
                  <w:noWrap w:val="0"/>
                  <w:vAlign w:val="center"/>
                </w:tcPr>
                <w:p w14:paraId="2CFEE5D1">
                  <w:pPr>
                    <w:spacing w:line="240" w:lineRule="auto"/>
                    <w:ind w:firstLine="0" w:firstLineChars="0"/>
                    <w:jc w:val="center"/>
                    <w:rPr>
                      <w:rFonts w:hint="default" w:ascii="Times New Roman" w:hAnsi="Times New Roman"/>
                      <w:color w:val="000000"/>
                      <w:kern w:val="2"/>
                      <w:sz w:val="18"/>
                      <w:szCs w:val="18"/>
                      <w:u w:val="none"/>
                      <w:lang w:val="en-US" w:eastAsia="zh-CN" w:bidi="ar-SA"/>
                    </w:rPr>
                  </w:pPr>
                  <w:r>
                    <w:rPr>
                      <w:rFonts w:hint="eastAsia" w:ascii="Times New Roman" w:hAnsi="Times New Roman"/>
                      <w:color w:val="000000"/>
                      <w:kern w:val="2"/>
                      <w:sz w:val="18"/>
                      <w:szCs w:val="18"/>
                      <w:u w:val="none"/>
                      <w:lang w:val="en-US" w:eastAsia="zh-CN" w:bidi="ar-SA"/>
                    </w:rPr>
                    <w:t>搅拌锅</w:t>
                  </w:r>
                </w:p>
              </w:tc>
              <w:tc>
                <w:tcPr>
                  <w:tcW w:w="409" w:type="pct"/>
                  <w:noWrap w:val="0"/>
                  <w:vAlign w:val="center"/>
                </w:tcPr>
                <w:p w14:paraId="26C98380">
                  <w:pPr>
                    <w:pStyle w:val="48"/>
                    <w:jc w:val="center"/>
                    <w:rPr>
                      <w:rFonts w:hint="default" w:ascii="Times New Roman" w:hAnsi="Times New Roman" w:eastAsia="宋体"/>
                      <w:color w:val="000000"/>
                      <w:kern w:val="2"/>
                      <w:sz w:val="18"/>
                      <w:szCs w:val="18"/>
                      <w:u w:val="none"/>
                      <w:lang w:val="en-US" w:eastAsia="zh-CN" w:bidi="ar-SA"/>
                    </w:rPr>
                  </w:pPr>
                  <w:r>
                    <w:rPr>
                      <w:rFonts w:hint="eastAsia"/>
                      <w:color w:val="000000"/>
                      <w:sz w:val="18"/>
                      <w:szCs w:val="18"/>
                      <w:u w:val="none"/>
                      <w:lang w:val="en-US" w:eastAsia="zh-CN"/>
                    </w:rPr>
                    <w:t>80</w:t>
                  </w:r>
                </w:p>
              </w:tc>
              <w:tc>
                <w:tcPr>
                  <w:tcW w:w="486" w:type="pct"/>
                  <w:noWrap w:val="0"/>
                  <w:vAlign w:val="center"/>
                </w:tcPr>
                <w:p w14:paraId="61444053">
                  <w:pPr>
                    <w:pStyle w:val="48"/>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rPr>
                    <w:t>基础减振、厂房隔声</w:t>
                  </w:r>
                </w:p>
              </w:tc>
              <w:tc>
                <w:tcPr>
                  <w:tcW w:w="282" w:type="pct"/>
                  <w:noWrap w:val="0"/>
                  <w:vAlign w:val="center"/>
                </w:tcPr>
                <w:p w14:paraId="0DE00F53">
                  <w:pPr>
                    <w:jc w:val="center"/>
                    <w:rPr>
                      <w:rFonts w:hint="default" w:ascii="Times New Roman" w:hAnsi="Times New Roman"/>
                      <w:color w:val="000000"/>
                      <w:kern w:val="2"/>
                      <w:sz w:val="18"/>
                      <w:szCs w:val="18"/>
                      <w:u w:val="none"/>
                      <w:lang w:val="en-US" w:eastAsia="zh-CN" w:bidi="ar-SA"/>
                    </w:rPr>
                  </w:pPr>
                  <w:r>
                    <w:rPr>
                      <w:rFonts w:hint="eastAsia"/>
                      <w:color w:val="000000"/>
                      <w:sz w:val="18"/>
                      <w:szCs w:val="18"/>
                      <w:u w:val="none"/>
                      <w:lang w:val="en-US" w:eastAsia="zh-CN"/>
                    </w:rPr>
                    <w:t>15</w:t>
                  </w:r>
                </w:p>
              </w:tc>
              <w:tc>
                <w:tcPr>
                  <w:tcW w:w="282" w:type="pct"/>
                  <w:noWrap w:val="0"/>
                  <w:vAlign w:val="center"/>
                </w:tcPr>
                <w:p w14:paraId="49EBE3C2">
                  <w:pPr>
                    <w:pStyle w:val="48"/>
                    <w:jc w:val="center"/>
                    <w:rPr>
                      <w:rFonts w:hint="default" w:ascii="Times New Roman" w:hAnsi="Times New Roman"/>
                      <w:color w:val="000000"/>
                      <w:kern w:val="2"/>
                      <w:sz w:val="18"/>
                      <w:szCs w:val="18"/>
                      <w:u w:val="none"/>
                      <w:lang w:val="en-US" w:eastAsia="zh-CN" w:bidi="ar-SA"/>
                    </w:rPr>
                  </w:pPr>
                  <w:r>
                    <w:rPr>
                      <w:rFonts w:hint="eastAsia"/>
                      <w:color w:val="000000"/>
                      <w:sz w:val="18"/>
                      <w:szCs w:val="18"/>
                      <w:u w:val="none"/>
                      <w:lang w:val="en-US" w:eastAsia="zh-CN"/>
                    </w:rPr>
                    <w:t>57</w:t>
                  </w:r>
                </w:p>
              </w:tc>
              <w:tc>
                <w:tcPr>
                  <w:tcW w:w="287" w:type="pct"/>
                  <w:noWrap w:val="0"/>
                  <w:vAlign w:val="center"/>
                </w:tcPr>
                <w:p w14:paraId="6110EE8A">
                  <w:pPr>
                    <w:pStyle w:val="48"/>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rPr>
                    <w:t>1</w:t>
                  </w:r>
                </w:p>
              </w:tc>
              <w:tc>
                <w:tcPr>
                  <w:tcW w:w="279" w:type="pct"/>
                  <w:noWrap w:val="0"/>
                  <w:vAlign w:val="center"/>
                </w:tcPr>
                <w:p w14:paraId="168A5E61">
                  <w:pPr>
                    <w:pStyle w:val="49"/>
                    <w:snapToGrid/>
                    <w:spacing w:line="240" w:lineRule="auto"/>
                    <w:jc w:val="center"/>
                    <w:rPr>
                      <w:rFonts w:hint="default"/>
                      <w:color w:val="000000"/>
                      <w:kern w:val="2"/>
                      <w:sz w:val="18"/>
                      <w:szCs w:val="18"/>
                      <w:u w:val="none"/>
                      <w:lang w:val="en-US" w:eastAsia="zh-CN" w:bidi="ar-SA"/>
                    </w:rPr>
                  </w:pPr>
                  <w:r>
                    <w:rPr>
                      <w:rFonts w:hint="eastAsia"/>
                      <w:color w:val="000000"/>
                      <w:sz w:val="18"/>
                      <w:szCs w:val="18"/>
                      <w:u w:val="none"/>
                      <w:lang w:val="en-US" w:eastAsia="zh-CN"/>
                    </w:rPr>
                    <w:t>1</w:t>
                  </w:r>
                </w:p>
              </w:tc>
              <w:tc>
                <w:tcPr>
                  <w:tcW w:w="391" w:type="pct"/>
                  <w:noWrap w:val="0"/>
                  <w:vAlign w:val="center"/>
                </w:tcPr>
                <w:p w14:paraId="2F3F9CB8">
                  <w:pPr>
                    <w:pStyle w:val="49"/>
                    <w:snapToGrid/>
                    <w:spacing w:line="240" w:lineRule="auto"/>
                    <w:jc w:val="center"/>
                    <w:rPr>
                      <w:rFonts w:hint="eastAsia"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5</w:t>
                  </w:r>
                </w:p>
                <w:p w14:paraId="5C1023AD">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13</w:t>
                  </w:r>
                </w:p>
                <w:p w14:paraId="23680FA3">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15</w:t>
                  </w:r>
                </w:p>
                <w:p w14:paraId="44C4A143">
                  <w:pPr>
                    <w:pStyle w:val="49"/>
                    <w:snapToGrid/>
                    <w:spacing w:line="240" w:lineRule="auto"/>
                    <w:jc w:val="center"/>
                    <w:rPr>
                      <w:rFonts w:hint="default"/>
                      <w:color w:val="000000"/>
                      <w:kern w:val="2"/>
                      <w:sz w:val="18"/>
                      <w:szCs w:val="18"/>
                      <w:u w:val="none"/>
                      <w:lang w:val="en-US" w:eastAsia="zh-CN" w:bidi="ar-SA"/>
                    </w:rPr>
                  </w:pPr>
                  <w:r>
                    <w:rPr>
                      <w:color w:val="000000"/>
                      <w:sz w:val="18"/>
                      <w:szCs w:val="18"/>
                      <w:u w:val="none"/>
                    </w:rPr>
                    <w:t>N</w:t>
                  </w:r>
                  <w:r>
                    <w:rPr>
                      <w:rFonts w:hint="eastAsia"/>
                      <w:color w:val="000000"/>
                      <w:sz w:val="18"/>
                      <w:szCs w:val="18"/>
                      <w:u w:val="none"/>
                      <w:lang w:val="en-US" w:eastAsia="zh-CN"/>
                    </w:rPr>
                    <w:t>57</w:t>
                  </w:r>
                </w:p>
              </w:tc>
              <w:tc>
                <w:tcPr>
                  <w:tcW w:w="441" w:type="pct"/>
                  <w:noWrap w:val="0"/>
                  <w:vAlign w:val="center"/>
                </w:tcPr>
                <w:p w14:paraId="499E774A">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61</w:t>
                  </w:r>
                </w:p>
                <w:p w14:paraId="37AA72C3">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52</w:t>
                  </w:r>
                </w:p>
                <w:p w14:paraId="2B2F1C94">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51</w:t>
                  </w:r>
                </w:p>
                <w:p w14:paraId="213A2310">
                  <w:pPr>
                    <w:jc w:val="center"/>
                    <w:rPr>
                      <w:rFonts w:hint="default"/>
                      <w:color w:val="000000"/>
                      <w:kern w:val="2"/>
                      <w:sz w:val="18"/>
                      <w:szCs w:val="18"/>
                      <w:u w:val="none"/>
                      <w:lang w:val="en-US" w:eastAsia="zh-CN" w:bidi="ar-SA"/>
                    </w:rPr>
                  </w:pPr>
                  <w:r>
                    <w:rPr>
                      <w:color w:val="000000"/>
                      <w:sz w:val="18"/>
                      <w:szCs w:val="18"/>
                      <w:u w:val="none"/>
                    </w:rPr>
                    <w:t>N</w:t>
                  </w:r>
                  <w:r>
                    <w:rPr>
                      <w:rFonts w:hint="eastAsia"/>
                      <w:color w:val="000000"/>
                      <w:sz w:val="18"/>
                      <w:szCs w:val="18"/>
                      <w:u w:val="none"/>
                      <w:lang w:val="en-US" w:eastAsia="zh-CN"/>
                    </w:rPr>
                    <w:t>40</w:t>
                  </w:r>
                </w:p>
              </w:tc>
              <w:tc>
                <w:tcPr>
                  <w:tcW w:w="218" w:type="pct"/>
                  <w:noWrap w:val="0"/>
                  <w:vAlign w:val="center"/>
                </w:tcPr>
                <w:p w14:paraId="5F1F6225">
                  <w:pPr>
                    <w:pStyle w:val="48"/>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rPr>
                    <w:t>昼间</w:t>
                  </w:r>
                </w:p>
              </w:tc>
              <w:tc>
                <w:tcPr>
                  <w:tcW w:w="441" w:type="pct"/>
                  <w:noWrap w:val="0"/>
                  <w:vAlign w:val="center"/>
                </w:tcPr>
                <w:p w14:paraId="7D8FDBA3">
                  <w:pPr>
                    <w:pStyle w:val="48"/>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rPr>
                    <w:t>20</w:t>
                  </w:r>
                </w:p>
              </w:tc>
              <w:tc>
                <w:tcPr>
                  <w:tcW w:w="433" w:type="pct"/>
                  <w:noWrap w:val="0"/>
                  <w:vAlign w:val="center"/>
                </w:tcPr>
                <w:p w14:paraId="43E02465">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41</w:t>
                  </w:r>
                </w:p>
                <w:p w14:paraId="0507E5C4">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32</w:t>
                  </w:r>
                </w:p>
                <w:p w14:paraId="5C37CE39">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31</w:t>
                  </w:r>
                </w:p>
                <w:p w14:paraId="3FA83CEC">
                  <w:pPr>
                    <w:jc w:val="center"/>
                    <w:rPr>
                      <w:rFonts w:hint="default" w:eastAsia="宋体"/>
                      <w:color w:val="000000"/>
                      <w:kern w:val="2"/>
                      <w:sz w:val="18"/>
                      <w:szCs w:val="18"/>
                      <w:u w:val="none"/>
                      <w:lang w:val="en-US" w:eastAsia="zh-CN" w:bidi="ar-SA"/>
                    </w:rPr>
                  </w:pPr>
                  <w:r>
                    <w:rPr>
                      <w:color w:val="000000"/>
                      <w:sz w:val="18"/>
                      <w:szCs w:val="18"/>
                      <w:u w:val="none"/>
                    </w:rPr>
                    <w:t>N</w:t>
                  </w:r>
                  <w:r>
                    <w:rPr>
                      <w:rFonts w:hint="eastAsia"/>
                      <w:color w:val="000000"/>
                      <w:sz w:val="18"/>
                      <w:szCs w:val="18"/>
                      <w:u w:val="none"/>
                      <w:lang w:val="en-US" w:eastAsia="zh-CN"/>
                    </w:rPr>
                    <w:t>20</w:t>
                  </w:r>
                </w:p>
              </w:tc>
              <w:tc>
                <w:tcPr>
                  <w:tcW w:w="431" w:type="pct"/>
                  <w:noWrap w:val="0"/>
                  <w:vAlign w:val="center"/>
                </w:tcPr>
                <w:p w14:paraId="49200383">
                  <w:pPr>
                    <w:pStyle w:val="48"/>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rPr>
                    <w:t>1</w:t>
                  </w:r>
                </w:p>
              </w:tc>
            </w:tr>
            <w:tr w14:paraId="64530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48" w:hRule="atLeast"/>
                <w:jc w:val="center"/>
              </w:trPr>
              <w:tc>
                <w:tcPr>
                  <w:tcW w:w="318" w:type="pct"/>
                  <w:vMerge w:val="continue"/>
                  <w:noWrap w:val="0"/>
                  <w:vAlign w:val="center"/>
                </w:tcPr>
                <w:p w14:paraId="497F708D">
                  <w:pPr>
                    <w:pStyle w:val="48"/>
                    <w:jc w:val="center"/>
                    <w:rPr>
                      <w:rFonts w:hint="eastAsia"/>
                      <w:color w:val="000000"/>
                      <w:sz w:val="18"/>
                      <w:szCs w:val="18"/>
                      <w:u w:val="none"/>
                    </w:rPr>
                  </w:pPr>
                </w:p>
              </w:tc>
              <w:tc>
                <w:tcPr>
                  <w:tcW w:w="298" w:type="pct"/>
                  <w:noWrap w:val="0"/>
                  <w:vAlign w:val="center"/>
                </w:tcPr>
                <w:p w14:paraId="4A4EFA0A">
                  <w:pPr>
                    <w:spacing w:line="240" w:lineRule="auto"/>
                    <w:ind w:firstLine="0" w:firstLineChars="0"/>
                    <w:jc w:val="center"/>
                    <w:rPr>
                      <w:rFonts w:hint="default" w:ascii="Times New Roman" w:hAnsi="Times New Roman"/>
                      <w:color w:val="000000"/>
                      <w:kern w:val="2"/>
                      <w:sz w:val="18"/>
                      <w:szCs w:val="18"/>
                      <w:u w:val="none"/>
                      <w:lang w:val="en-US" w:eastAsia="zh-CN" w:bidi="ar-SA"/>
                    </w:rPr>
                  </w:pPr>
                  <w:r>
                    <w:rPr>
                      <w:rFonts w:hint="eastAsia" w:ascii="Times New Roman" w:hAnsi="Times New Roman"/>
                      <w:color w:val="000000"/>
                      <w:kern w:val="2"/>
                      <w:sz w:val="18"/>
                      <w:szCs w:val="18"/>
                      <w:u w:val="none"/>
                      <w:lang w:val="en-US" w:eastAsia="zh-CN" w:bidi="ar-SA"/>
                    </w:rPr>
                    <w:t>破碎机</w:t>
                  </w:r>
                </w:p>
              </w:tc>
              <w:tc>
                <w:tcPr>
                  <w:tcW w:w="409" w:type="pct"/>
                  <w:noWrap w:val="0"/>
                  <w:vAlign w:val="center"/>
                </w:tcPr>
                <w:p w14:paraId="3A4C6A7C">
                  <w:pPr>
                    <w:pStyle w:val="48"/>
                    <w:jc w:val="center"/>
                    <w:rPr>
                      <w:rFonts w:hint="default" w:ascii="Times New Roman" w:hAnsi="Times New Roman" w:eastAsia="宋体"/>
                      <w:color w:val="000000"/>
                      <w:kern w:val="2"/>
                      <w:sz w:val="18"/>
                      <w:szCs w:val="18"/>
                      <w:u w:val="none"/>
                      <w:lang w:val="en-US" w:eastAsia="zh-CN" w:bidi="ar-SA"/>
                    </w:rPr>
                  </w:pPr>
                  <w:r>
                    <w:rPr>
                      <w:rFonts w:hint="eastAsia"/>
                      <w:color w:val="000000"/>
                      <w:sz w:val="18"/>
                      <w:szCs w:val="18"/>
                      <w:u w:val="none"/>
                      <w:lang w:val="en-US" w:eastAsia="zh-CN"/>
                    </w:rPr>
                    <w:t>85</w:t>
                  </w:r>
                </w:p>
              </w:tc>
              <w:tc>
                <w:tcPr>
                  <w:tcW w:w="486" w:type="pct"/>
                  <w:noWrap w:val="0"/>
                  <w:vAlign w:val="center"/>
                </w:tcPr>
                <w:p w14:paraId="08FDBDD1">
                  <w:pPr>
                    <w:pStyle w:val="48"/>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rPr>
                    <w:t>基础减振、厂房隔声</w:t>
                  </w:r>
                </w:p>
              </w:tc>
              <w:tc>
                <w:tcPr>
                  <w:tcW w:w="282" w:type="pct"/>
                  <w:noWrap w:val="0"/>
                  <w:vAlign w:val="center"/>
                </w:tcPr>
                <w:p w14:paraId="46ECEE3A">
                  <w:pPr>
                    <w:pStyle w:val="48"/>
                    <w:jc w:val="center"/>
                    <w:rPr>
                      <w:rFonts w:hint="default" w:ascii="Times New Roman" w:hAnsi="Times New Roman"/>
                      <w:color w:val="000000"/>
                      <w:kern w:val="2"/>
                      <w:sz w:val="18"/>
                      <w:szCs w:val="18"/>
                      <w:u w:val="none"/>
                      <w:lang w:val="en-US" w:eastAsia="zh-CN" w:bidi="ar-SA"/>
                    </w:rPr>
                  </w:pPr>
                  <w:r>
                    <w:rPr>
                      <w:rFonts w:hint="eastAsia"/>
                      <w:color w:val="000000"/>
                      <w:sz w:val="18"/>
                      <w:szCs w:val="18"/>
                      <w:u w:val="none"/>
                      <w:lang w:val="en-US" w:eastAsia="zh-CN"/>
                    </w:rPr>
                    <w:t>16</w:t>
                  </w:r>
                </w:p>
              </w:tc>
              <w:tc>
                <w:tcPr>
                  <w:tcW w:w="282" w:type="pct"/>
                  <w:noWrap w:val="0"/>
                  <w:vAlign w:val="center"/>
                </w:tcPr>
                <w:p w14:paraId="4E8499EF">
                  <w:pPr>
                    <w:pStyle w:val="48"/>
                    <w:jc w:val="center"/>
                    <w:rPr>
                      <w:rFonts w:hint="default" w:ascii="Times New Roman" w:hAnsi="Times New Roman"/>
                      <w:color w:val="000000"/>
                      <w:kern w:val="2"/>
                      <w:sz w:val="18"/>
                      <w:szCs w:val="18"/>
                      <w:u w:val="none"/>
                      <w:lang w:val="en-US" w:eastAsia="zh-CN" w:bidi="ar-SA"/>
                    </w:rPr>
                  </w:pPr>
                  <w:r>
                    <w:rPr>
                      <w:rFonts w:hint="eastAsia"/>
                      <w:color w:val="000000"/>
                      <w:sz w:val="18"/>
                      <w:szCs w:val="18"/>
                      <w:u w:val="none"/>
                      <w:lang w:val="en-US" w:eastAsia="zh-CN"/>
                    </w:rPr>
                    <w:t>63</w:t>
                  </w:r>
                </w:p>
              </w:tc>
              <w:tc>
                <w:tcPr>
                  <w:tcW w:w="287" w:type="pct"/>
                  <w:noWrap w:val="0"/>
                  <w:vAlign w:val="center"/>
                </w:tcPr>
                <w:p w14:paraId="7CA60E58">
                  <w:pPr>
                    <w:pStyle w:val="48"/>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rPr>
                    <w:t>1</w:t>
                  </w:r>
                </w:p>
              </w:tc>
              <w:tc>
                <w:tcPr>
                  <w:tcW w:w="279" w:type="pct"/>
                  <w:noWrap w:val="0"/>
                  <w:vAlign w:val="center"/>
                </w:tcPr>
                <w:p w14:paraId="68B74AAA">
                  <w:pPr>
                    <w:pStyle w:val="49"/>
                    <w:snapToGrid/>
                    <w:spacing w:line="240" w:lineRule="auto"/>
                    <w:jc w:val="center"/>
                    <w:rPr>
                      <w:rFonts w:hint="default"/>
                      <w:color w:val="000000"/>
                      <w:kern w:val="2"/>
                      <w:sz w:val="18"/>
                      <w:szCs w:val="18"/>
                      <w:u w:val="none"/>
                      <w:lang w:val="en-US" w:eastAsia="zh-CN" w:bidi="ar-SA"/>
                    </w:rPr>
                  </w:pPr>
                  <w:r>
                    <w:rPr>
                      <w:rFonts w:hint="eastAsia"/>
                      <w:color w:val="000000"/>
                      <w:sz w:val="18"/>
                      <w:szCs w:val="18"/>
                      <w:u w:val="none"/>
                      <w:lang w:val="en-US" w:eastAsia="zh-CN"/>
                    </w:rPr>
                    <w:t>1</w:t>
                  </w:r>
                </w:p>
              </w:tc>
              <w:tc>
                <w:tcPr>
                  <w:tcW w:w="391" w:type="pct"/>
                  <w:noWrap w:val="0"/>
                  <w:vAlign w:val="center"/>
                </w:tcPr>
                <w:p w14:paraId="28F30DD7">
                  <w:pPr>
                    <w:pStyle w:val="49"/>
                    <w:snapToGrid/>
                    <w:spacing w:line="240" w:lineRule="auto"/>
                    <w:jc w:val="center"/>
                    <w:rPr>
                      <w:rFonts w:hint="eastAsia"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4</w:t>
                  </w:r>
                </w:p>
                <w:p w14:paraId="0F358940">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5</w:t>
                  </w:r>
                </w:p>
                <w:p w14:paraId="35966038">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16</w:t>
                  </w:r>
                </w:p>
                <w:p w14:paraId="3587FACF">
                  <w:pPr>
                    <w:pStyle w:val="49"/>
                    <w:snapToGrid/>
                    <w:spacing w:line="240" w:lineRule="auto"/>
                    <w:jc w:val="center"/>
                    <w:rPr>
                      <w:rFonts w:hint="default" w:eastAsia="宋体"/>
                      <w:color w:val="000000"/>
                      <w:kern w:val="2"/>
                      <w:sz w:val="18"/>
                      <w:szCs w:val="18"/>
                      <w:u w:val="none"/>
                      <w:lang w:val="en-US" w:eastAsia="zh-CN" w:bidi="ar-SA"/>
                    </w:rPr>
                  </w:pPr>
                  <w:r>
                    <w:rPr>
                      <w:color w:val="000000"/>
                      <w:sz w:val="18"/>
                      <w:szCs w:val="18"/>
                      <w:u w:val="none"/>
                    </w:rPr>
                    <w:t>N</w:t>
                  </w:r>
                  <w:r>
                    <w:rPr>
                      <w:rFonts w:hint="eastAsia"/>
                      <w:color w:val="000000"/>
                      <w:sz w:val="18"/>
                      <w:szCs w:val="18"/>
                      <w:u w:val="none"/>
                      <w:lang w:val="en-US" w:eastAsia="zh-CN"/>
                    </w:rPr>
                    <w:t>67</w:t>
                  </w:r>
                </w:p>
              </w:tc>
              <w:tc>
                <w:tcPr>
                  <w:tcW w:w="441" w:type="pct"/>
                  <w:noWrap w:val="0"/>
                  <w:vAlign w:val="center"/>
                </w:tcPr>
                <w:p w14:paraId="3F859744">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63</w:t>
                  </w:r>
                </w:p>
                <w:p w14:paraId="723A64C3">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61</w:t>
                  </w:r>
                </w:p>
                <w:p w14:paraId="3A54976A">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51</w:t>
                  </w:r>
                </w:p>
                <w:p w14:paraId="20E66BAF">
                  <w:pPr>
                    <w:jc w:val="center"/>
                    <w:rPr>
                      <w:rFonts w:hint="default"/>
                      <w:color w:val="000000"/>
                      <w:kern w:val="2"/>
                      <w:sz w:val="18"/>
                      <w:szCs w:val="18"/>
                      <w:u w:val="none"/>
                      <w:lang w:val="en-US" w:eastAsia="zh-CN" w:bidi="ar-SA"/>
                    </w:rPr>
                  </w:pPr>
                  <w:r>
                    <w:rPr>
                      <w:color w:val="000000"/>
                      <w:sz w:val="18"/>
                      <w:szCs w:val="18"/>
                      <w:u w:val="none"/>
                    </w:rPr>
                    <w:t>N</w:t>
                  </w:r>
                  <w:r>
                    <w:rPr>
                      <w:rFonts w:hint="eastAsia"/>
                      <w:color w:val="000000"/>
                      <w:sz w:val="18"/>
                      <w:szCs w:val="18"/>
                      <w:u w:val="none"/>
                      <w:lang w:val="en-US" w:eastAsia="zh-CN"/>
                    </w:rPr>
                    <w:t>38</w:t>
                  </w:r>
                </w:p>
              </w:tc>
              <w:tc>
                <w:tcPr>
                  <w:tcW w:w="218" w:type="pct"/>
                  <w:noWrap w:val="0"/>
                  <w:vAlign w:val="center"/>
                </w:tcPr>
                <w:p w14:paraId="7DBA7680">
                  <w:pPr>
                    <w:pStyle w:val="48"/>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rPr>
                    <w:t>昼间</w:t>
                  </w:r>
                </w:p>
              </w:tc>
              <w:tc>
                <w:tcPr>
                  <w:tcW w:w="441" w:type="pct"/>
                  <w:noWrap w:val="0"/>
                  <w:vAlign w:val="center"/>
                </w:tcPr>
                <w:p w14:paraId="61BDD143">
                  <w:pPr>
                    <w:pStyle w:val="48"/>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rPr>
                    <w:t>20</w:t>
                  </w:r>
                </w:p>
              </w:tc>
              <w:tc>
                <w:tcPr>
                  <w:tcW w:w="433" w:type="pct"/>
                  <w:noWrap w:val="0"/>
                  <w:vAlign w:val="center"/>
                </w:tcPr>
                <w:p w14:paraId="255AF406">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43</w:t>
                  </w:r>
                </w:p>
                <w:p w14:paraId="0DCC4278">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41</w:t>
                  </w:r>
                </w:p>
                <w:p w14:paraId="4C7BEC2A">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31</w:t>
                  </w:r>
                </w:p>
                <w:p w14:paraId="0B9E0FEF">
                  <w:pPr>
                    <w:jc w:val="center"/>
                    <w:rPr>
                      <w:rFonts w:hint="default" w:eastAsia="宋体"/>
                      <w:color w:val="000000"/>
                      <w:kern w:val="2"/>
                      <w:sz w:val="18"/>
                      <w:szCs w:val="18"/>
                      <w:u w:val="none"/>
                      <w:lang w:val="en-US" w:eastAsia="zh-CN" w:bidi="ar-SA"/>
                    </w:rPr>
                  </w:pPr>
                  <w:r>
                    <w:rPr>
                      <w:color w:val="000000"/>
                      <w:sz w:val="18"/>
                      <w:szCs w:val="18"/>
                      <w:u w:val="none"/>
                    </w:rPr>
                    <w:t>N</w:t>
                  </w:r>
                  <w:r>
                    <w:rPr>
                      <w:rFonts w:hint="eastAsia"/>
                      <w:color w:val="000000"/>
                      <w:sz w:val="18"/>
                      <w:szCs w:val="18"/>
                      <w:u w:val="none"/>
                      <w:lang w:val="en-US" w:eastAsia="zh-CN"/>
                    </w:rPr>
                    <w:t>18</w:t>
                  </w:r>
                </w:p>
              </w:tc>
              <w:tc>
                <w:tcPr>
                  <w:tcW w:w="431" w:type="pct"/>
                  <w:noWrap w:val="0"/>
                  <w:vAlign w:val="center"/>
                </w:tcPr>
                <w:p w14:paraId="161C82DF">
                  <w:pPr>
                    <w:pStyle w:val="48"/>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rPr>
                    <w:t>1</w:t>
                  </w:r>
                </w:p>
              </w:tc>
            </w:tr>
            <w:tr w14:paraId="085D4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48" w:hRule="atLeast"/>
                <w:jc w:val="center"/>
              </w:trPr>
              <w:tc>
                <w:tcPr>
                  <w:tcW w:w="318" w:type="pct"/>
                  <w:vMerge w:val="continue"/>
                  <w:noWrap w:val="0"/>
                  <w:vAlign w:val="center"/>
                </w:tcPr>
                <w:p w14:paraId="740F813C">
                  <w:pPr>
                    <w:pStyle w:val="48"/>
                    <w:jc w:val="center"/>
                    <w:rPr>
                      <w:rFonts w:hint="eastAsia"/>
                      <w:color w:val="000000"/>
                      <w:sz w:val="18"/>
                      <w:szCs w:val="18"/>
                      <w:u w:val="none"/>
                    </w:rPr>
                  </w:pPr>
                </w:p>
              </w:tc>
              <w:tc>
                <w:tcPr>
                  <w:tcW w:w="298" w:type="pct"/>
                  <w:noWrap w:val="0"/>
                  <w:vAlign w:val="center"/>
                </w:tcPr>
                <w:p w14:paraId="3474D3BC">
                  <w:pPr>
                    <w:spacing w:line="240" w:lineRule="auto"/>
                    <w:ind w:firstLine="0" w:firstLineChars="0"/>
                    <w:jc w:val="center"/>
                    <w:rPr>
                      <w:rFonts w:hint="eastAsia"/>
                      <w:color w:val="000000"/>
                      <w:sz w:val="18"/>
                      <w:szCs w:val="18"/>
                      <w:u w:val="none"/>
                      <w:lang w:val="en-US" w:eastAsia="zh-CN"/>
                    </w:rPr>
                  </w:pPr>
                  <w:r>
                    <w:rPr>
                      <w:rFonts w:hint="eastAsia" w:ascii="Times New Roman" w:hAnsi="Times New Roman"/>
                      <w:color w:val="000000"/>
                      <w:kern w:val="2"/>
                      <w:sz w:val="18"/>
                      <w:szCs w:val="18"/>
                      <w:u w:val="none"/>
                      <w:lang w:val="en-US" w:eastAsia="zh-CN" w:bidi="ar-SA"/>
                    </w:rPr>
                    <w:t>破碎机</w:t>
                  </w:r>
                </w:p>
              </w:tc>
              <w:tc>
                <w:tcPr>
                  <w:tcW w:w="409" w:type="pct"/>
                  <w:noWrap w:val="0"/>
                  <w:vAlign w:val="center"/>
                </w:tcPr>
                <w:p w14:paraId="7EDA1805">
                  <w:pPr>
                    <w:jc w:val="center"/>
                    <w:rPr>
                      <w:rFonts w:hint="eastAsia"/>
                      <w:color w:val="000000"/>
                      <w:sz w:val="18"/>
                      <w:szCs w:val="18"/>
                      <w:u w:val="none"/>
                    </w:rPr>
                  </w:pPr>
                  <w:r>
                    <w:rPr>
                      <w:rFonts w:hint="eastAsia"/>
                      <w:color w:val="000000"/>
                      <w:sz w:val="18"/>
                      <w:szCs w:val="18"/>
                      <w:u w:val="none"/>
                      <w:lang w:val="en-US" w:eastAsia="zh-CN"/>
                    </w:rPr>
                    <w:t>85</w:t>
                  </w:r>
                </w:p>
              </w:tc>
              <w:tc>
                <w:tcPr>
                  <w:tcW w:w="486" w:type="pct"/>
                  <w:noWrap w:val="0"/>
                  <w:vAlign w:val="center"/>
                </w:tcPr>
                <w:p w14:paraId="12E4F437">
                  <w:pPr>
                    <w:jc w:val="center"/>
                    <w:rPr>
                      <w:rFonts w:hint="eastAsia"/>
                      <w:color w:val="000000"/>
                      <w:sz w:val="18"/>
                      <w:szCs w:val="18"/>
                      <w:u w:val="none"/>
                    </w:rPr>
                  </w:pPr>
                  <w:r>
                    <w:rPr>
                      <w:rFonts w:hint="eastAsia"/>
                      <w:color w:val="000000"/>
                      <w:sz w:val="18"/>
                      <w:szCs w:val="18"/>
                      <w:u w:val="none"/>
                    </w:rPr>
                    <w:t>基础减振、厂房隔声</w:t>
                  </w:r>
                </w:p>
              </w:tc>
              <w:tc>
                <w:tcPr>
                  <w:tcW w:w="282" w:type="pct"/>
                  <w:noWrap w:val="0"/>
                  <w:vAlign w:val="center"/>
                </w:tcPr>
                <w:p w14:paraId="0EB62BDE">
                  <w:pPr>
                    <w:pStyle w:val="48"/>
                    <w:jc w:val="center"/>
                    <w:rPr>
                      <w:rFonts w:hint="default"/>
                      <w:color w:val="000000"/>
                      <w:sz w:val="18"/>
                      <w:szCs w:val="18"/>
                      <w:u w:val="none"/>
                      <w:lang w:val="en-US" w:eastAsia="zh-CN"/>
                    </w:rPr>
                  </w:pPr>
                  <w:r>
                    <w:rPr>
                      <w:rFonts w:hint="eastAsia"/>
                      <w:color w:val="000000"/>
                      <w:sz w:val="18"/>
                      <w:szCs w:val="18"/>
                      <w:u w:val="none"/>
                      <w:lang w:val="en-US" w:eastAsia="zh-CN"/>
                    </w:rPr>
                    <w:t>16</w:t>
                  </w:r>
                </w:p>
              </w:tc>
              <w:tc>
                <w:tcPr>
                  <w:tcW w:w="282" w:type="pct"/>
                  <w:noWrap w:val="0"/>
                  <w:vAlign w:val="center"/>
                </w:tcPr>
                <w:p w14:paraId="144E57F0">
                  <w:pPr>
                    <w:pStyle w:val="48"/>
                    <w:jc w:val="center"/>
                    <w:rPr>
                      <w:rFonts w:hint="eastAsia"/>
                      <w:color w:val="000000"/>
                      <w:sz w:val="18"/>
                      <w:szCs w:val="18"/>
                      <w:u w:val="none"/>
                      <w:lang w:val="en-US" w:eastAsia="zh-CN"/>
                    </w:rPr>
                  </w:pPr>
                  <w:r>
                    <w:rPr>
                      <w:rFonts w:hint="eastAsia"/>
                      <w:color w:val="000000"/>
                      <w:sz w:val="18"/>
                      <w:szCs w:val="18"/>
                      <w:u w:val="none"/>
                      <w:lang w:val="en-US" w:eastAsia="zh-CN"/>
                    </w:rPr>
                    <w:t>61</w:t>
                  </w:r>
                </w:p>
              </w:tc>
              <w:tc>
                <w:tcPr>
                  <w:tcW w:w="287" w:type="pct"/>
                  <w:noWrap w:val="0"/>
                  <w:vAlign w:val="center"/>
                </w:tcPr>
                <w:p w14:paraId="14631427">
                  <w:pPr>
                    <w:pStyle w:val="48"/>
                    <w:jc w:val="center"/>
                    <w:rPr>
                      <w:rFonts w:hint="eastAsia"/>
                      <w:color w:val="000000"/>
                      <w:sz w:val="18"/>
                      <w:szCs w:val="18"/>
                      <w:u w:val="none"/>
                    </w:rPr>
                  </w:pPr>
                  <w:r>
                    <w:rPr>
                      <w:rFonts w:hint="eastAsia"/>
                      <w:color w:val="000000"/>
                      <w:sz w:val="18"/>
                      <w:szCs w:val="18"/>
                      <w:u w:val="none"/>
                    </w:rPr>
                    <w:t>1</w:t>
                  </w:r>
                </w:p>
              </w:tc>
              <w:tc>
                <w:tcPr>
                  <w:tcW w:w="279" w:type="pct"/>
                  <w:noWrap w:val="0"/>
                  <w:vAlign w:val="center"/>
                </w:tcPr>
                <w:p w14:paraId="0B38AF0F">
                  <w:pPr>
                    <w:pStyle w:val="49"/>
                    <w:snapToGrid/>
                    <w:spacing w:line="240" w:lineRule="auto"/>
                    <w:jc w:val="center"/>
                    <w:rPr>
                      <w:rFonts w:hint="eastAsia"/>
                      <w:color w:val="000000"/>
                      <w:sz w:val="18"/>
                      <w:szCs w:val="18"/>
                      <w:u w:val="none"/>
                      <w:lang w:val="en-US" w:eastAsia="zh-CN"/>
                    </w:rPr>
                  </w:pPr>
                  <w:r>
                    <w:rPr>
                      <w:rFonts w:hint="eastAsia"/>
                      <w:color w:val="000000"/>
                      <w:sz w:val="18"/>
                      <w:szCs w:val="18"/>
                      <w:u w:val="none"/>
                      <w:lang w:val="en-US" w:eastAsia="zh-CN"/>
                    </w:rPr>
                    <w:t>1</w:t>
                  </w:r>
                </w:p>
              </w:tc>
              <w:tc>
                <w:tcPr>
                  <w:tcW w:w="391" w:type="pct"/>
                  <w:noWrap w:val="0"/>
                  <w:vAlign w:val="center"/>
                </w:tcPr>
                <w:p w14:paraId="149DA69B">
                  <w:pPr>
                    <w:pStyle w:val="49"/>
                    <w:snapToGrid/>
                    <w:spacing w:line="240" w:lineRule="auto"/>
                    <w:jc w:val="center"/>
                    <w:rPr>
                      <w:rFonts w:hint="eastAsia"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4</w:t>
                  </w:r>
                </w:p>
                <w:p w14:paraId="277EB321">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11</w:t>
                  </w:r>
                </w:p>
                <w:p w14:paraId="390343F9">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16</w:t>
                  </w:r>
                </w:p>
                <w:p w14:paraId="41F2CE82">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N</w:t>
                  </w:r>
                  <w:r>
                    <w:rPr>
                      <w:rFonts w:hint="eastAsia"/>
                      <w:color w:val="000000"/>
                      <w:sz w:val="18"/>
                      <w:szCs w:val="18"/>
                      <w:u w:val="none"/>
                      <w:lang w:val="en-US" w:eastAsia="zh-CN"/>
                    </w:rPr>
                    <w:t>61</w:t>
                  </w:r>
                </w:p>
              </w:tc>
              <w:tc>
                <w:tcPr>
                  <w:tcW w:w="441" w:type="pct"/>
                  <w:noWrap w:val="0"/>
                  <w:vAlign w:val="center"/>
                </w:tcPr>
                <w:p w14:paraId="71E840B2">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63</w:t>
                  </w:r>
                </w:p>
                <w:p w14:paraId="165C9099">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54</w:t>
                  </w:r>
                </w:p>
                <w:p w14:paraId="61AC6928">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50</w:t>
                  </w:r>
                </w:p>
                <w:p w14:paraId="66A7F2B5">
                  <w:pPr>
                    <w:jc w:val="center"/>
                    <w:rPr>
                      <w:rFonts w:hint="default"/>
                      <w:color w:val="000000"/>
                      <w:sz w:val="18"/>
                      <w:szCs w:val="18"/>
                      <w:u w:val="none"/>
                      <w:lang w:val="en-US"/>
                    </w:rPr>
                  </w:pPr>
                  <w:r>
                    <w:rPr>
                      <w:color w:val="000000"/>
                      <w:sz w:val="18"/>
                      <w:szCs w:val="18"/>
                      <w:u w:val="none"/>
                    </w:rPr>
                    <w:t>N</w:t>
                  </w:r>
                  <w:r>
                    <w:rPr>
                      <w:rFonts w:hint="eastAsia"/>
                      <w:color w:val="000000"/>
                      <w:sz w:val="18"/>
                      <w:szCs w:val="18"/>
                      <w:u w:val="none"/>
                      <w:lang w:val="en-US" w:eastAsia="zh-CN"/>
                    </w:rPr>
                    <w:t>39</w:t>
                  </w:r>
                </w:p>
              </w:tc>
              <w:tc>
                <w:tcPr>
                  <w:tcW w:w="218" w:type="pct"/>
                  <w:noWrap w:val="0"/>
                  <w:vAlign w:val="center"/>
                </w:tcPr>
                <w:p w14:paraId="1E310B9A">
                  <w:pPr>
                    <w:jc w:val="center"/>
                    <w:rPr>
                      <w:rFonts w:hint="eastAsia"/>
                      <w:color w:val="000000"/>
                      <w:sz w:val="18"/>
                      <w:szCs w:val="18"/>
                      <w:u w:val="none"/>
                    </w:rPr>
                  </w:pPr>
                  <w:r>
                    <w:rPr>
                      <w:rFonts w:hint="eastAsia"/>
                      <w:color w:val="000000"/>
                      <w:sz w:val="18"/>
                      <w:szCs w:val="18"/>
                      <w:u w:val="none"/>
                    </w:rPr>
                    <w:t>昼间</w:t>
                  </w:r>
                </w:p>
              </w:tc>
              <w:tc>
                <w:tcPr>
                  <w:tcW w:w="441" w:type="pct"/>
                  <w:noWrap w:val="0"/>
                  <w:vAlign w:val="center"/>
                </w:tcPr>
                <w:p w14:paraId="27756AB7">
                  <w:pPr>
                    <w:jc w:val="center"/>
                    <w:rPr>
                      <w:rFonts w:hint="eastAsia"/>
                      <w:color w:val="000000"/>
                      <w:sz w:val="18"/>
                      <w:szCs w:val="18"/>
                      <w:u w:val="none"/>
                    </w:rPr>
                  </w:pPr>
                  <w:r>
                    <w:rPr>
                      <w:rFonts w:hint="eastAsia"/>
                      <w:color w:val="000000"/>
                      <w:sz w:val="18"/>
                      <w:szCs w:val="18"/>
                      <w:u w:val="none"/>
                    </w:rPr>
                    <w:t>20</w:t>
                  </w:r>
                </w:p>
              </w:tc>
              <w:tc>
                <w:tcPr>
                  <w:tcW w:w="433" w:type="pct"/>
                  <w:noWrap w:val="0"/>
                  <w:vAlign w:val="center"/>
                </w:tcPr>
                <w:p w14:paraId="2988F22C">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43</w:t>
                  </w:r>
                </w:p>
                <w:p w14:paraId="3216D3EB">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34</w:t>
                  </w:r>
                </w:p>
                <w:p w14:paraId="02AAE992">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30</w:t>
                  </w:r>
                </w:p>
                <w:p w14:paraId="6F748B95">
                  <w:pPr>
                    <w:jc w:val="center"/>
                    <w:rPr>
                      <w:rFonts w:hint="default" w:eastAsia="宋体"/>
                      <w:color w:val="000000"/>
                      <w:sz w:val="18"/>
                      <w:szCs w:val="18"/>
                      <w:u w:val="none"/>
                      <w:lang w:val="en-US" w:eastAsia="zh-CN"/>
                    </w:rPr>
                  </w:pPr>
                  <w:r>
                    <w:rPr>
                      <w:color w:val="000000"/>
                      <w:sz w:val="18"/>
                      <w:szCs w:val="18"/>
                      <w:u w:val="none"/>
                    </w:rPr>
                    <w:t>N</w:t>
                  </w:r>
                  <w:r>
                    <w:rPr>
                      <w:rFonts w:hint="eastAsia"/>
                      <w:color w:val="000000"/>
                      <w:sz w:val="18"/>
                      <w:szCs w:val="18"/>
                      <w:u w:val="none"/>
                      <w:lang w:val="en-US" w:eastAsia="zh-CN"/>
                    </w:rPr>
                    <w:t>19</w:t>
                  </w:r>
                </w:p>
              </w:tc>
              <w:tc>
                <w:tcPr>
                  <w:tcW w:w="431" w:type="pct"/>
                  <w:noWrap w:val="0"/>
                  <w:vAlign w:val="center"/>
                </w:tcPr>
                <w:p w14:paraId="4302146B">
                  <w:pPr>
                    <w:pStyle w:val="48"/>
                    <w:jc w:val="center"/>
                    <w:rPr>
                      <w:rFonts w:hint="eastAsia"/>
                      <w:color w:val="000000"/>
                      <w:sz w:val="18"/>
                      <w:szCs w:val="18"/>
                      <w:u w:val="none"/>
                    </w:rPr>
                  </w:pPr>
                  <w:r>
                    <w:rPr>
                      <w:rFonts w:hint="eastAsia"/>
                      <w:color w:val="000000"/>
                      <w:sz w:val="18"/>
                      <w:szCs w:val="18"/>
                      <w:u w:val="none"/>
                    </w:rPr>
                    <w:t>1</w:t>
                  </w:r>
                </w:p>
              </w:tc>
            </w:tr>
            <w:tr w14:paraId="641EA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48" w:hRule="atLeast"/>
                <w:jc w:val="center"/>
              </w:trPr>
              <w:tc>
                <w:tcPr>
                  <w:tcW w:w="318" w:type="pct"/>
                  <w:vMerge w:val="continue"/>
                  <w:noWrap w:val="0"/>
                  <w:vAlign w:val="center"/>
                </w:tcPr>
                <w:p w14:paraId="0C03EF1E">
                  <w:pPr>
                    <w:pStyle w:val="48"/>
                    <w:jc w:val="center"/>
                    <w:rPr>
                      <w:rFonts w:hint="eastAsia"/>
                      <w:color w:val="000000"/>
                      <w:sz w:val="18"/>
                      <w:szCs w:val="18"/>
                      <w:u w:val="none"/>
                    </w:rPr>
                  </w:pPr>
                </w:p>
              </w:tc>
              <w:tc>
                <w:tcPr>
                  <w:tcW w:w="298" w:type="pct"/>
                  <w:noWrap w:val="0"/>
                  <w:vAlign w:val="center"/>
                </w:tcPr>
                <w:p w14:paraId="5CABC249">
                  <w:pPr>
                    <w:spacing w:line="240" w:lineRule="auto"/>
                    <w:ind w:firstLine="0" w:firstLineChars="0"/>
                    <w:jc w:val="center"/>
                    <w:rPr>
                      <w:rFonts w:hint="eastAsia"/>
                      <w:color w:val="000000"/>
                      <w:sz w:val="18"/>
                      <w:szCs w:val="18"/>
                      <w:u w:val="none"/>
                      <w:lang w:val="en-US" w:eastAsia="zh-CN"/>
                    </w:rPr>
                  </w:pPr>
                  <w:r>
                    <w:rPr>
                      <w:rFonts w:hint="eastAsia" w:ascii="Times New Roman" w:hAnsi="Times New Roman"/>
                      <w:color w:val="000000"/>
                      <w:kern w:val="2"/>
                      <w:sz w:val="18"/>
                      <w:szCs w:val="18"/>
                      <w:u w:val="none"/>
                      <w:lang w:val="en-US" w:eastAsia="zh-CN" w:bidi="ar-SA"/>
                    </w:rPr>
                    <w:t>破碎机</w:t>
                  </w:r>
                </w:p>
              </w:tc>
              <w:tc>
                <w:tcPr>
                  <w:tcW w:w="409" w:type="pct"/>
                  <w:noWrap w:val="0"/>
                  <w:vAlign w:val="center"/>
                </w:tcPr>
                <w:p w14:paraId="505C1ECF">
                  <w:pPr>
                    <w:jc w:val="center"/>
                    <w:rPr>
                      <w:rFonts w:hint="eastAsia"/>
                      <w:color w:val="000000"/>
                      <w:sz w:val="18"/>
                      <w:szCs w:val="18"/>
                      <w:u w:val="none"/>
                    </w:rPr>
                  </w:pPr>
                  <w:r>
                    <w:rPr>
                      <w:rFonts w:hint="eastAsia"/>
                      <w:color w:val="000000"/>
                      <w:sz w:val="18"/>
                      <w:szCs w:val="18"/>
                      <w:u w:val="none"/>
                      <w:lang w:val="en-US" w:eastAsia="zh-CN"/>
                    </w:rPr>
                    <w:t>85</w:t>
                  </w:r>
                </w:p>
              </w:tc>
              <w:tc>
                <w:tcPr>
                  <w:tcW w:w="486" w:type="pct"/>
                  <w:noWrap w:val="0"/>
                  <w:vAlign w:val="center"/>
                </w:tcPr>
                <w:p w14:paraId="00473599">
                  <w:pPr>
                    <w:jc w:val="center"/>
                    <w:rPr>
                      <w:rFonts w:hint="eastAsia"/>
                      <w:color w:val="000000"/>
                      <w:sz w:val="18"/>
                      <w:szCs w:val="18"/>
                      <w:u w:val="none"/>
                    </w:rPr>
                  </w:pPr>
                  <w:r>
                    <w:rPr>
                      <w:rFonts w:hint="eastAsia"/>
                      <w:color w:val="000000"/>
                      <w:sz w:val="18"/>
                      <w:szCs w:val="18"/>
                      <w:u w:val="none"/>
                    </w:rPr>
                    <w:t>基础减振、厂房隔声</w:t>
                  </w:r>
                </w:p>
              </w:tc>
              <w:tc>
                <w:tcPr>
                  <w:tcW w:w="282" w:type="pct"/>
                  <w:noWrap w:val="0"/>
                  <w:vAlign w:val="center"/>
                </w:tcPr>
                <w:p w14:paraId="57724B75">
                  <w:pPr>
                    <w:pStyle w:val="48"/>
                    <w:jc w:val="center"/>
                    <w:rPr>
                      <w:rFonts w:hint="default"/>
                      <w:color w:val="000000"/>
                      <w:sz w:val="18"/>
                      <w:szCs w:val="18"/>
                      <w:u w:val="none"/>
                      <w:lang w:val="en-US" w:eastAsia="zh-CN"/>
                    </w:rPr>
                  </w:pPr>
                  <w:r>
                    <w:rPr>
                      <w:rFonts w:hint="eastAsia"/>
                      <w:color w:val="000000"/>
                      <w:sz w:val="18"/>
                      <w:szCs w:val="18"/>
                      <w:u w:val="none"/>
                      <w:lang w:val="en-US" w:eastAsia="zh-CN"/>
                    </w:rPr>
                    <w:t>16</w:t>
                  </w:r>
                </w:p>
              </w:tc>
              <w:tc>
                <w:tcPr>
                  <w:tcW w:w="282" w:type="pct"/>
                  <w:noWrap w:val="0"/>
                  <w:vAlign w:val="center"/>
                </w:tcPr>
                <w:p w14:paraId="5D275CCA">
                  <w:pPr>
                    <w:pStyle w:val="48"/>
                    <w:jc w:val="center"/>
                    <w:rPr>
                      <w:rFonts w:hint="eastAsia"/>
                      <w:color w:val="000000"/>
                      <w:sz w:val="18"/>
                      <w:szCs w:val="18"/>
                      <w:u w:val="none"/>
                      <w:lang w:val="en-US" w:eastAsia="zh-CN"/>
                    </w:rPr>
                  </w:pPr>
                  <w:r>
                    <w:rPr>
                      <w:rFonts w:hint="eastAsia"/>
                      <w:color w:val="000000"/>
                      <w:sz w:val="18"/>
                      <w:szCs w:val="18"/>
                      <w:u w:val="none"/>
                      <w:lang w:val="en-US" w:eastAsia="zh-CN"/>
                    </w:rPr>
                    <w:t>59</w:t>
                  </w:r>
                </w:p>
              </w:tc>
              <w:tc>
                <w:tcPr>
                  <w:tcW w:w="287" w:type="pct"/>
                  <w:noWrap w:val="0"/>
                  <w:vAlign w:val="center"/>
                </w:tcPr>
                <w:p w14:paraId="1DB8E7DB">
                  <w:pPr>
                    <w:pStyle w:val="48"/>
                    <w:jc w:val="center"/>
                    <w:rPr>
                      <w:rFonts w:hint="eastAsia"/>
                      <w:color w:val="000000"/>
                      <w:sz w:val="18"/>
                      <w:szCs w:val="18"/>
                      <w:u w:val="none"/>
                    </w:rPr>
                  </w:pPr>
                  <w:r>
                    <w:rPr>
                      <w:rFonts w:hint="eastAsia"/>
                      <w:color w:val="000000"/>
                      <w:sz w:val="18"/>
                      <w:szCs w:val="18"/>
                      <w:u w:val="none"/>
                    </w:rPr>
                    <w:t>1</w:t>
                  </w:r>
                </w:p>
              </w:tc>
              <w:tc>
                <w:tcPr>
                  <w:tcW w:w="279" w:type="pct"/>
                  <w:noWrap w:val="0"/>
                  <w:vAlign w:val="center"/>
                </w:tcPr>
                <w:p w14:paraId="52B3634F">
                  <w:pPr>
                    <w:pStyle w:val="49"/>
                    <w:snapToGrid/>
                    <w:spacing w:line="240" w:lineRule="auto"/>
                    <w:jc w:val="center"/>
                    <w:rPr>
                      <w:rFonts w:hint="eastAsia"/>
                      <w:color w:val="000000"/>
                      <w:sz w:val="18"/>
                      <w:szCs w:val="18"/>
                      <w:u w:val="none"/>
                      <w:lang w:val="en-US" w:eastAsia="zh-CN"/>
                    </w:rPr>
                  </w:pPr>
                  <w:r>
                    <w:rPr>
                      <w:rFonts w:hint="eastAsia"/>
                      <w:color w:val="000000"/>
                      <w:sz w:val="18"/>
                      <w:szCs w:val="18"/>
                      <w:u w:val="none"/>
                      <w:lang w:val="en-US" w:eastAsia="zh-CN"/>
                    </w:rPr>
                    <w:t>1</w:t>
                  </w:r>
                </w:p>
              </w:tc>
              <w:tc>
                <w:tcPr>
                  <w:tcW w:w="391" w:type="pct"/>
                  <w:noWrap w:val="0"/>
                  <w:vAlign w:val="center"/>
                </w:tcPr>
                <w:p w14:paraId="7FDA001B">
                  <w:pPr>
                    <w:pStyle w:val="49"/>
                    <w:snapToGrid/>
                    <w:spacing w:line="240" w:lineRule="auto"/>
                    <w:jc w:val="center"/>
                    <w:rPr>
                      <w:rFonts w:hint="eastAsia"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4</w:t>
                  </w:r>
                </w:p>
                <w:p w14:paraId="707C09FB">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13</w:t>
                  </w:r>
                </w:p>
                <w:p w14:paraId="07FFE226">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16</w:t>
                  </w:r>
                </w:p>
                <w:p w14:paraId="40EE525B">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N</w:t>
                  </w:r>
                  <w:r>
                    <w:rPr>
                      <w:rFonts w:hint="eastAsia"/>
                      <w:color w:val="000000"/>
                      <w:sz w:val="18"/>
                      <w:szCs w:val="18"/>
                      <w:u w:val="none"/>
                      <w:lang w:val="en-US" w:eastAsia="zh-CN"/>
                    </w:rPr>
                    <w:t>59</w:t>
                  </w:r>
                </w:p>
              </w:tc>
              <w:tc>
                <w:tcPr>
                  <w:tcW w:w="441" w:type="pct"/>
                  <w:noWrap w:val="0"/>
                  <w:vAlign w:val="center"/>
                </w:tcPr>
                <w:p w14:paraId="698B660B">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63</w:t>
                  </w:r>
                </w:p>
                <w:p w14:paraId="22EBABA5">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53</w:t>
                  </w:r>
                </w:p>
                <w:p w14:paraId="618AA2D1">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50</w:t>
                  </w:r>
                </w:p>
                <w:p w14:paraId="3D7EE7F6">
                  <w:pPr>
                    <w:jc w:val="center"/>
                    <w:rPr>
                      <w:color w:val="000000"/>
                      <w:sz w:val="18"/>
                      <w:szCs w:val="18"/>
                      <w:u w:val="none"/>
                    </w:rPr>
                  </w:pPr>
                  <w:r>
                    <w:rPr>
                      <w:color w:val="000000"/>
                      <w:sz w:val="18"/>
                      <w:szCs w:val="18"/>
                      <w:u w:val="none"/>
                    </w:rPr>
                    <w:t>N</w:t>
                  </w:r>
                  <w:r>
                    <w:rPr>
                      <w:rFonts w:hint="eastAsia"/>
                      <w:color w:val="000000"/>
                      <w:sz w:val="18"/>
                      <w:szCs w:val="18"/>
                      <w:u w:val="none"/>
                      <w:lang w:val="en-US" w:eastAsia="zh-CN"/>
                    </w:rPr>
                    <w:t>38</w:t>
                  </w:r>
                </w:p>
              </w:tc>
              <w:tc>
                <w:tcPr>
                  <w:tcW w:w="218" w:type="pct"/>
                  <w:noWrap w:val="0"/>
                  <w:vAlign w:val="center"/>
                </w:tcPr>
                <w:p w14:paraId="5704729F">
                  <w:pPr>
                    <w:jc w:val="center"/>
                    <w:rPr>
                      <w:rFonts w:hint="eastAsia"/>
                      <w:color w:val="000000"/>
                      <w:sz w:val="18"/>
                      <w:szCs w:val="18"/>
                      <w:u w:val="none"/>
                    </w:rPr>
                  </w:pPr>
                  <w:r>
                    <w:rPr>
                      <w:rFonts w:hint="eastAsia"/>
                      <w:color w:val="000000"/>
                      <w:sz w:val="18"/>
                      <w:szCs w:val="18"/>
                      <w:u w:val="none"/>
                    </w:rPr>
                    <w:t>昼间</w:t>
                  </w:r>
                </w:p>
              </w:tc>
              <w:tc>
                <w:tcPr>
                  <w:tcW w:w="441" w:type="pct"/>
                  <w:noWrap w:val="0"/>
                  <w:vAlign w:val="center"/>
                </w:tcPr>
                <w:p w14:paraId="1E34864B">
                  <w:pPr>
                    <w:jc w:val="center"/>
                    <w:rPr>
                      <w:rFonts w:hint="eastAsia"/>
                      <w:color w:val="000000"/>
                      <w:sz w:val="18"/>
                      <w:szCs w:val="18"/>
                      <w:u w:val="none"/>
                    </w:rPr>
                  </w:pPr>
                  <w:r>
                    <w:rPr>
                      <w:rFonts w:hint="eastAsia"/>
                      <w:color w:val="000000"/>
                      <w:sz w:val="18"/>
                      <w:szCs w:val="18"/>
                      <w:u w:val="none"/>
                    </w:rPr>
                    <w:t>20</w:t>
                  </w:r>
                </w:p>
              </w:tc>
              <w:tc>
                <w:tcPr>
                  <w:tcW w:w="433" w:type="pct"/>
                  <w:noWrap w:val="0"/>
                  <w:vAlign w:val="center"/>
                </w:tcPr>
                <w:p w14:paraId="04630C49">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43</w:t>
                  </w:r>
                </w:p>
                <w:p w14:paraId="182919A7">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33</w:t>
                  </w:r>
                </w:p>
                <w:p w14:paraId="4939437B">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30</w:t>
                  </w:r>
                </w:p>
                <w:p w14:paraId="6F90DD26">
                  <w:pPr>
                    <w:jc w:val="center"/>
                    <w:rPr>
                      <w:rFonts w:hint="default" w:eastAsia="宋体"/>
                      <w:color w:val="000000"/>
                      <w:sz w:val="18"/>
                      <w:szCs w:val="18"/>
                      <w:u w:val="none"/>
                      <w:lang w:val="en-US" w:eastAsia="zh-CN"/>
                    </w:rPr>
                  </w:pPr>
                  <w:r>
                    <w:rPr>
                      <w:color w:val="000000"/>
                      <w:sz w:val="18"/>
                      <w:szCs w:val="18"/>
                      <w:u w:val="none"/>
                    </w:rPr>
                    <w:t>N</w:t>
                  </w:r>
                  <w:r>
                    <w:rPr>
                      <w:rFonts w:hint="eastAsia"/>
                      <w:color w:val="000000"/>
                      <w:sz w:val="18"/>
                      <w:szCs w:val="18"/>
                      <w:u w:val="none"/>
                      <w:lang w:val="en-US" w:eastAsia="zh-CN"/>
                    </w:rPr>
                    <w:t>18</w:t>
                  </w:r>
                </w:p>
              </w:tc>
              <w:tc>
                <w:tcPr>
                  <w:tcW w:w="431" w:type="pct"/>
                  <w:noWrap w:val="0"/>
                  <w:vAlign w:val="center"/>
                </w:tcPr>
                <w:p w14:paraId="486500AB">
                  <w:pPr>
                    <w:pStyle w:val="48"/>
                    <w:jc w:val="center"/>
                    <w:rPr>
                      <w:rFonts w:hint="eastAsia"/>
                      <w:color w:val="000000"/>
                      <w:sz w:val="18"/>
                      <w:szCs w:val="18"/>
                      <w:u w:val="none"/>
                    </w:rPr>
                  </w:pPr>
                  <w:r>
                    <w:rPr>
                      <w:rFonts w:hint="eastAsia"/>
                      <w:color w:val="000000"/>
                      <w:sz w:val="18"/>
                      <w:szCs w:val="18"/>
                      <w:u w:val="none"/>
                    </w:rPr>
                    <w:t>1</w:t>
                  </w:r>
                </w:p>
              </w:tc>
            </w:tr>
            <w:tr w14:paraId="37E89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48" w:hRule="atLeast"/>
                <w:jc w:val="center"/>
              </w:trPr>
              <w:tc>
                <w:tcPr>
                  <w:tcW w:w="318" w:type="pct"/>
                  <w:vMerge w:val="continue"/>
                  <w:noWrap w:val="0"/>
                  <w:vAlign w:val="center"/>
                </w:tcPr>
                <w:p w14:paraId="55CC2531">
                  <w:pPr>
                    <w:pStyle w:val="48"/>
                    <w:jc w:val="center"/>
                    <w:rPr>
                      <w:rFonts w:hint="eastAsia"/>
                      <w:color w:val="000000"/>
                      <w:sz w:val="18"/>
                      <w:szCs w:val="18"/>
                      <w:u w:val="none"/>
                    </w:rPr>
                  </w:pPr>
                </w:p>
              </w:tc>
              <w:tc>
                <w:tcPr>
                  <w:tcW w:w="298" w:type="pct"/>
                  <w:noWrap w:val="0"/>
                  <w:vAlign w:val="center"/>
                </w:tcPr>
                <w:p w14:paraId="3764C4AA">
                  <w:pPr>
                    <w:spacing w:line="240" w:lineRule="auto"/>
                    <w:ind w:firstLine="0" w:firstLineChars="0"/>
                    <w:jc w:val="center"/>
                    <w:rPr>
                      <w:rFonts w:hint="eastAsia"/>
                      <w:color w:val="000000"/>
                      <w:sz w:val="18"/>
                      <w:szCs w:val="18"/>
                      <w:u w:val="none"/>
                      <w:lang w:val="en-US" w:eastAsia="zh-CN"/>
                    </w:rPr>
                  </w:pPr>
                  <w:r>
                    <w:rPr>
                      <w:rFonts w:hint="eastAsia" w:ascii="Times New Roman" w:hAnsi="Times New Roman"/>
                      <w:color w:val="000000"/>
                      <w:kern w:val="2"/>
                      <w:sz w:val="18"/>
                      <w:szCs w:val="18"/>
                      <w:u w:val="none"/>
                      <w:lang w:val="en-US" w:eastAsia="zh-CN" w:bidi="ar-SA"/>
                    </w:rPr>
                    <w:t>破碎机</w:t>
                  </w:r>
                </w:p>
              </w:tc>
              <w:tc>
                <w:tcPr>
                  <w:tcW w:w="409" w:type="pct"/>
                  <w:noWrap w:val="0"/>
                  <w:vAlign w:val="center"/>
                </w:tcPr>
                <w:p w14:paraId="19C29AC1">
                  <w:pPr>
                    <w:jc w:val="center"/>
                    <w:rPr>
                      <w:rFonts w:hint="eastAsia"/>
                      <w:color w:val="000000"/>
                      <w:sz w:val="18"/>
                      <w:szCs w:val="18"/>
                      <w:u w:val="none"/>
                    </w:rPr>
                  </w:pPr>
                  <w:r>
                    <w:rPr>
                      <w:rFonts w:hint="eastAsia"/>
                      <w:color w:val="000000"/>
                      <w:sz w:val="18"/>
                      <w:szCs w:val="18"/>
                      <w:u w:val="none"/>
                      <w:lang w:val="en-US" w:eastAsia="zh-CN"/>
                    </w:rPr>
                    <w:t>85</w:t>
                  </w:r>
                </w:p>
              </w:tc>
              <w:tc>
                <w:tcPr>
                  <w:tcW w:w="486" w:type="pct"/>
                  <w:noWrap w:val="0"/>
                  <w:vAlign w:val="center"/>
                </w:tcPr>
                <w:p w14:paraId="0DB140E9">
                  <w:pPr>
                    <w:jc w:val="center"/>
                    <w:rPr>
                      <w:rFonts w:hint="eastAsia"/>
                      <w:color w:val="000000"/>
                      <w:sz w:val="18"/>
                      <w:szCs w:val="18"/>
                      <w:u w:val="none"/>
                    </w:rPr>
                  </w:pPr>
                  <w:r>
                    <w:rPr>
                      <w:rFonts w:hint="eastAsia"/>
                      <w:color w:val="000000"/>
                      <w:sz w:val="18"/>
                      <w:szCs w:val="18"/>
                      <w:u w:val="none"/>
                    </w:rPr>
                    <w:t>基础减振、厂房隔声</w:t>
                  </w:r>
                </w:p>
              </w:tc>
              <w:tc>
                <w:tcPr>
                  <w:tcW w:w="282" w:type="pct"/>
                  <w:noWrap w:val="0"/>
                  <w:vAlign w:val="center"/>
                </w:tcPr>
                <w:p w14:paraId="6B6DC179">
                  <w:pPr>
                    <w:pStyle w:val="48"/>
                    <w:jc w:val="center"/>
                    <w:rPr>
                      <w:rFonts w:hint="default"/>
                      <w:color w:val="000000"/>
                      <w:sz w:val="18"/>
                      <w:szCs w:val="18"/>
                      <w:u w:val="none"/>
                      <w:lang w:val="en-US" w:eastAsia="zh-CN"/>
                    </w:rPr>
                  </w:pPr>
                  <w:r>
                    <w:rPr>
                      <w:rFonts w:hint="eastAsia"/>
                      <w:color w:val="000000"/>
                      <w:sz w:val="18"/>
                      <w:szCs w:val="18"/>
                      <w:u w:val="none"/>
                      <w:lang w:val="en-US" w:eastAsia="zh-CN"/>
                    </w:rPr>
                    <w:t>16</w:t>
                  </w:r>
                </w:p>
              </w:tc>
              <w:tc>
                <w:tcPr>
                  <w:tcW w:w="282" w:type="pct"/>
                  <w:noWrap w:val="0"/>
                  <w:vAlign w:val="center"/>
                </w:tcPr>
                <w:p w14:paraId="1820E0B4">
                  <w:pPr>
                    <w:pStyle w:val="48"/>
                    <w:jc w:val="center"/>
                    <w:rPr>
                      <w:rFonts w:hint="eastAsia"/>
                      <w:color w:val="000000"/>
                      <w:sz w:val="18"/>
                      <w:szCs w:val="18"/>
                      <w:u w:val="none"/>
                      <w:lang w:val="en-US" w:eastAsia="zh-CN"/>
                    </w:rPr>
                  </w:pPr>
                  <w:r>
                    <w:rPr>
                      <w:rFonts w:hint="eastAsia"/>
                      <w:color w:val="000000"/>
                      <w:sz w:val="18"/>
                      <w:szCs w:val="18"/>
                      <w:u w:val="none"/>
                      <w:lang w:val="en-US" w:eastAsia="zh-CN"/>
                    </w:rPr>
                    <w:t>57</w:t>
                  </w:r>
                </w:p>
              </w:tc>
              <w:tc>
                <w:tcPr>
                  <w:tcW w:w="287" w:type="pct"/>
                  <w:noWrap w:val="0"/>
                  <w:vAlign w:val="center"/>
                </w:tcPr>
                <w:p w14:paraId="2500DB20">
                  <w:pPr>
                    <w:pStyle w:val="48"/>
                    <w:jc w:val="center"/>
                    <w:rPr>
                      <w:rFonts w:hint="eastAsia"/>
                      <w:color w:val="000000"/>
                      <w:sz w:val="18"/>
                      <w:szCs w:val="18"/>
                      <w:u w:val="none"/>
                    </w:rPr>
                  </w:pPr>
                  <w:r>
                    <w:rPr>
                      <w:rFonts w:hint="eastAsia"/>
                      <w:color w:val="000000"/>
                      <w:sz w:val="18"/>
                      <w:szCs w:val="18"/>
                      <w:u w:val="none"/>
                    </w:rPr>
                    <w:t>1</w:t>
                  </w:r>
                </w:p>
              </w:tc>
              <w:tc>
                <w:tcPr>
                  <w:tcW w:w="279" w:type="pct"/>
                  <w:noWrap w:val="0"/>
                  <w:vAlign w:val="center"/>
                </w:tcPr>
                <w:p w14:paraId="4135FCC6">
                  <w:pPr>
                    <w:pStyle w:val="49"/>
                    <w:snapToGrid/>
                    <w:spacing w:line="240" w:lineRule="auto"/>
                    <w:jc w:val="center"/>
                    <w:rPr>
                      <w:rFonts w:hint="eastAsia"/>
                      <w:color w:val="000000"/>
                      <w:sz w:val="18"/>
                      <w:szCs w:val="18"/>
                      <w:u w:val="none"/>
                      <w:lang w:val="en-US" w:eastAsia="zh-CN"/>
                    </w:rPr>
                  </w:pPr>
                  <w:r>
                    <w:rPr>
                      <w:rFonts w:hint="eastAsia"/>
                      <w:color w:val="000000"/>
                      <w:sz w:val="18"/>
                      <w:szCs w:val="18"/>
                      <w:u w:val="none"/>
                      <w:lang w:val="en-US" w:eastAsia="zh-CN"/>
                    </w:rPr>
                    <w:t>1</w:t>
                  </w:r>
                </w:p>
              </w:tc>
              <w:tc>
                <w:tcPr>
                  <w:tcW w:w="391" w:type="pct"/>
                  <w:noWrap w:val="0"/>
                  <w:vAlign w:val="center"/>
                </w:tcPr>
                <w:p w14:paraId="2D6DBF27">
                  <w:pPr>
                    <w:pStyle w:val="49"/>
                    <w:snapToGrid/>
                    <w:spacing w:line="240" w:lineRule="auto"/>
                    <w:jc w:val="center"/>
                    <w:rPr>
                      <w:rFonts w:hint="eastAsia"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4</w:t>
                  </w:r>
                </w:p>
                <w:p w14:paraId="0F44D376">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15</w:t>
                  </w:r>
                </w:p>
                <w:p w14:paraId="77F0C1AA">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16</w:t>
                  </w:r>
                </w:p>
                <w:p w14:paraId="0A94E3B8">
                  <w:pPr>
                    <w:pStyle w:val="49"/>
                    <w:snapToGrid/>
                    <w:spacing w:line="240" w:lineRule="auto"/>
                    <w:jc w:val="center"/>
                    <w:rPr>
                      <w:color w:val="000000"/>
                      <w:sz w:val="18"/>
                      <w:szCs w:val="18"/>
                      <w:u w:val="none"/>
                    </w:rPr>
                  </w:pPr>
                  <w:r>
                    <w:rPr>
                      <w:color w:val="000000"/>
                      <w:sz w:val="18"/>
                      <w:szCs w:val="18"/>
                      <w:u w:val="none"/>
                    </w:rPr>
                    <w:t>N</w:t>
                  </w:r>
                  <w:r>
                    <w:rPr>
                      <w:rFonts w:hint="eastAsia"/>
                      <w:color w:val="000000"/>
                      <w:sz w:val="18"/>
                      <w:szCs w:val="18"/>
                      <w:u w:val="none"/>
                      <w:lang w:val="en-US" w:eastAsia="zh-CN"/>
                    </w:rPr>
                    <w:t>57</w:t>
                  </w:r>
                </w:p>
              </w:tc>
              <w:tc>
                <w:tcPr>
                  <w:tcW w:w="441" w:type="pct"/>
                  <w:noWrap w:val="0"/>
                  <w:vAlign w:val="center"/>
                </w:tcPr>
                <w:p w14:paraId="1C12B368">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63</w:t>
                  </w:r>
                </w:p>
                <w:p w14:paraId="19A655C6">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49</w:t>
                  </w:r>
                </w:p>
                <w:p w14:paraId="7224809F">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51</w:t>
                  </w:r>
                </w:p>
                <w:p w14:paraId="39A6DCCC">
                  <w:pPr>
                    <w:jc w:val="center"/>
                    <w:rPr>
                      <w:color w:val="000000"/>
                      <w:sz w:val="18"/>
                      <w:szCs w:val="18"/>
                      <w:u w:val="none"/>
                    </w:rPr>
                  </w:pPr>
                  <w:r>
                    <w:rPr>
                      <w:color w:val="000000"/>
                      <w:sz w:val="18"/>
                      <w:szCs w:val="18"/>
                      <w:u w:val="none"/>
                    </w:rPr>
                    <w:t>N</w:t>
                  </w:r>
                  <w:r>
                    <w:rPr>
                      <w:rFonts w:hint="eastAsia"/>
                      <w:color w:val="000000"/>
                      <w:sz w:val="18"/>
                      <w:szCs w:val="18"/>
                      <w:u w:val="none"/>
                      <w:lang w:val="en-US" w:eastAsia="zh-CN"/>
                    </w:rPr>
                    <w:t>38</w:t>
                  </w:r>
                </w:p>
              </w:tc>
              <w:tc>
                <w:tcPr>
                  <w:tcW w:w="218" w:type="pct"/>
                  <w:noWrap w:val="0"/>
                  <w:vAlign w:val="center"/>
                </w:tcPr>
                <w:p w14:paraId="2E5F6FEE">
                  <w:pPr>
                    <w:jc w:val="center"/>
                    <w:rPr>
                      <w:rFonts w:hint="eastAsia"/>
                      <w:color w:val="000000"/>
                      <w:sz w:val="18"/>
                      <w:szCs w:val="18"/>
                      <w:u w:val="none"/>
                    </w:rPr>
                  </w:pPr>
                  <w:r>
                    <w:rPr>
                      <w:rFonts w:hint="eastAsia"/>
                      <w:color w:val="000000"/>
                      <w:sz w:val="18"/>
                      <w:szCs w:val="18"/>
                      <w:u w:val="none"/>
                    </w:rPr>
                    <w:t>昼间</w:t>
                  </w:r>
                </w:p>
              </w:tc>
              <w:tc>
                <w:tcPr>
                  <w:tcW w:w="441" w:type="pct"/>
                  <w:noWrap w:val="0"/>
                  <w:vAlign w:val="center"/>
                </w:tcPr>
                <w:p w14:paraId="57081CCD">
                  <w:pPr>
                    <w:jc w:val="center"/>
                    <w:rPr>
                      <w:rFonts w:hint="eastAsia"/>
                      <w:color w:val="000000"/>
                      <w:sz w:val="18"/>
                      <w:szCs w:val="18"/>
                      <w:u w:val="none"/>
                    </w:rPr>
                  </w:pPr>
                  <w:r>
                    <w:rPr>
                      <w:rFonts w:hint="eastAsia"/>
                      <w:color w:val="000000"/>
                      <w:sz w:val="18"/>
                      <w:szCs w:val="18"/>
                      <w:u w:val="none"/>
                    </w:rPr>
                    <w:t>20</w:t>
                  </w:r>
                </w:p>
              </w:tc>
              <w:tc>
                <w:tcPr>
                  <w:tcW w:w="433" w:type="pct"/>
                  <w:noWrap w:val="0"/>
                  <w:vAlign w:val="center"/>
                </w:tcPr>
                <w:p w14:paraId="18194127">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43</w:t>
                  </w:r>
                </w:p>
                <w:p w14:paraId="0FB8C799">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29</w:t>
                  </w:r>
                </w:p>
                <w:p w14:paraId="58FAD53A">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31</w:t>
                  </w:r>
                </w:p>
                <w:p w14:paraId="5CDEE9BC">
                  <w:pPr>
                    <w:jc w:val="center"/>
                    <w:rPr>
                      <w:rFonts w:hint="default" w:eastAsia="宋体"/>
                      <w:color w:val="000000"/>
                      <w:sz w:val="18"/>
                      <w:szCs w:val="18"/>
                      <w:u w:val="none"/>
                      <w:lang w:val="en-US" w:eastAsia="zh-CN"/>
                    </w:rPr>
                  </w:pPr>
                  <w:r>
                    <w:rPr>
                      <w:color w:val="000000"/>
                      <w:sz w:val="18"/>
                      <w:szCs w:val="18"/>
                      <w:u w:val="none"/>
                    </w:rPr>
                    <w:t>N</w:t>
                  </w:r>
                  <w:r>
                    <w:rPr>
                      <w:rFonts w:hint="eastAsia"/>
                      <w:color w:val="000000"/>
                      <w:sz w:val="18"/>
                      <w:szCs w:val="18"/>
                      <w:u w:val="none"/>
                      <w:lang w:val="en-US" w:eastAsia="zh-CN"/>
                    </w:rPr>
                    <w:t>18</w:t>
                  </w:r>
                </w:p>
              </w:tc>
              <w:tc>
                <w:tcPr>
                  <w:tcW w:w="431" w:type="pct"/>
                  <w:noWrap w:val="0"/>
                  <w:vAlign w:val="center"/>
                </w:tcPr>
                <w:p w14:paraId="0910B0B8">
                  <w:pPr>
                    <w:pStyle w:val="48"/>
                    <w:jc w:val="center"/>
                    <w:rPr>
                      <w:rFonts w:hint="eastAsia"/>
                      <w:color w:val="000000"/>
                      <w:sz w:val="18"/>
                      <w:szCs w:val="18"/>
                      <w:u w:val="none"/>
                    </w:rPr>
                  </w:pPr>
                  <w:r>
                    <w:rPr>
                      <w:rFonts w:hint="eastAsia"/>
                      <w:color w:val="000000"/>
                      <w:sz w:val="18"/>
                      <w:szCs w:val="18"/>
                      <w:u w:val="none"/>
                    </w:rPr>
                    <w:t>1</w:t>
                  </w:r>
                </w:p>
              </w:tc>
            </w:tr>
            <w:tr w14:paraId="0EBDF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48" w:hRule="atLeast"/>
                <w:jc w:val="center"/>
              </w:trPr>
              <w:tc>
                <w:tcPr>
                  <w:tcW w:w="318" w:type="pct"/>
                  <w:vMerge w:val="continue"/>
                  <w:noWrap w:val="0"/>
                  <w:vAlign w:val="center"/>
                </w:tcPr>
                <w:p w14:paraId="60C458A2">
                  <w:pPr>
                    <w:pStyle w:val="48"/>
                    <w:jc w:val="center"/>
                    <w:rPr>
                      <w:rFonts w:hint="eastAsia"/>
                      <w:color w:val="000000"/>
                      <w:sz w:val="18"/>
                      <w:szCs w:val="18"/>
                      <w:u w:val="none"/>
                    </w:rPr>
                  </w:pPr>
                </w:p>
              </w:tc>
              <w:tc>
                <w:tcPr>
                  <w:tcW w:w="298" w:type="pct"/>
                  <w:noWrap w:val="0"/>
                  <w:vAlign w:val="center"/>
                </w:tcPr>
                <w:p w14:paraId="27E4C3B6">
                  <w:pPr>
                    <w:spacing w:line="240" w:lineRule="auto"/>
                    <w:ind w:firstLine="0" w:firstLineChars="0"/>
                    <w:jc w:val="center"/>
                    <w:rPr>
                      <w:rFonts w:hint="eastAsia" w:ascii="Times New Roman" w:hAnsi="Times New Roman"/>
                      <w:color w:val="000000"/>
                      <w:kern w:val="2"/>
                      <w:sz w:val="18"/>
                      <w:szCs w:val="18"/>
                      <w:u w:val="none"/>
                      <w:lang w:val="en-US" w:eastAsia="zh-CN" w:bidi="ar-SA"/>
                    </w:rPr>
                  </w:pPr>
                  <w:r>
                    <w:rPr>
                      <w:rFonts w:hint="eastAsia" w:ascii="Times New Roman" w:hAnsi="Times New Roman"/>
                      <w:color w:val="000000"/>
                      <w:kern w:val="2"/>
                      <w:sz w:val="18"/>
                      <w:szCs w:val="18"/>
                      <w:u w:val="none"/>
                      <w:lang w:val="en-US" w:eastAsia="zh-CN" w:bidi="ar-SA"/>
                    </w:rPr>
                    <w:t>凉水塔</w:t>
                  </w:r>
                </w:p>
              </w:tc>
              <w:tc>
                <w:tcPr>
                  <w:tcW w:w="409" w:type="pct"/>
                  <w:noWrap w:val="0"/>
                  <w:vAlign w:val="center"/>
                </w:tcPr>
                <w:p w14:paraId="5087DC50">
                  <w:pPr>
                    <w:jc w:val="center"/>
                    <w:rPr>
                      <w:rFonts w:hint="default"/>
                      <w:color w:val="000000"/>
                      <w:sz w:val="18"/>
                      <w:szCs w:val="18"/>
                      <w:u w:val="none"/>
                      <w:lang w:val="en-US"/>
                    </w:rPr>
                  </w:pPr>
                  <w:r>
                    <w:rPr>
                      <w:rFonts w:hint="eastAsia"/>
                      <w:color w:val="000000"/>
                      <w:sz w:val="18"/>
                      <w:szCs w:val="18"/>
                      <w:u w:val="none"/>
                      <w:lang w:val="en-US" w:eastAsia="zh-CN"/>
                    </w:rPr>
                    <w:t>80</w:t>
                  </w:r>
                </w:p>
              </w:tc>
              <w:tc>
                <w:tcPr>
                  <w:tcW w:w="486" w:type="pct"/>
                  <w:noWrap w:val="0"/>
                  <w:vAlign w:val="center"/>
                </w:tcPr>
                <w:p w14:paraId="2BAAE8B7">
                  <w:pPr>
                    <w:jc w:val="center"/>
                    <w:rPr>
                      <w:rFonts w:hint="eastAsia"/>
                      <w:color w:val="000000"/>
                      <w:sz w:val="18"/>
                      <w:szCs w:val="18"/>
                      <w:u w:val="none"/>
                    </w:rPr>
                  </w:pPr>
                  <w:r>
                    <w:rPr>
                      <w:rFonts w:hint="eastAsia"/>
                      <w:color w:val="000000"/>
                      <w:sz w:val="18"/>
                      <w:szCs w:val="18"/>
                      <w:u w:val="none"/>
                    </w:rPr>
                    <w:t>基础减振、厂房隔声</w:t>
                  </w:r>
                </w:p>
              </w:tc>
              <w:tc>
                <w:tcPr>
                  <w:tcW w:w="282" w:type="pct"/>
                  <w:noWrap w:val="0"/>
                  <w:vAlign w:val="center"/>
                </w:tcPr>
                <w:p w14:paraId="0100BBC5">
                  <w:pPr>
                    <w:pStyle w:val="48"/>
                    <w:jc w:val="center"/>
                    <w:rPr>
                      <w:rFonts w:hint="default"/>
                      <w:color w:val="000000"/>
                      <w:sz w:val="18"/>
                      <w:szCs w:val="18"/>
                      <w:u w:val="none"/>
                      <w:lang w:val="en-US" w:eastAsia="zh-CN"/>
                    </w:rPr>
                  </w:pPr>
                  <w:r>
                    <w:rPr>
                      <w:rFonts w:hint="eastAsia"/>
                      <w:color w:val="000000"/>
                      <w:sz w:val="18"/>
                      <w:szCs w:val="18"/>
                      <w:u w:val="none"/>
                      <w:lang w:val="en-US" w:eastAsia="zh-CN"/>
                    </w:rPr>
                    <w:t>15</w:t>
                  </w:r>
                </w:p>
              </w:tc>
              <w:tc>
                <w:tcPr>
                  <w:tcW w:w="282" w:type="pct"/>
                  <w:noWrap w:val="0"/>
                  <w:vAlign w:val="center"/>
                </w:tcPr>
                <w:p w14:paraId="643522ED">
                  <w:pPr>
                    <w:pStyle w:val="48"/>
                    <w:jc w:val="center"/>
                    <w:rPr>
                      <w:rFonts w:hint="default"/>
                      <w:color w:val="000000"/>
                      <w:sz w:val="18"/>
                      <w:szCs w:val="18"/>
                      <w:u w:val="none"/>
                      <w:lang w:val="en-US" w:eastAsia="zh-CN"/>
                    </w:rPr>
                  </w:pPr>
                  <w:r>
                    <w:rPr>
                      <w:rFonts w:hint="eastAsia"/>
                      <w:color w:val="000000"/>
                      <w:sz w:val="18"/>
                      <w:szCs w:val="18"/>
                      <w:u w:val="none"/>
                      <w:lang w:val="en-US" w:eastAsia="zh-CN"/>
                    </w:rPr>
                    <w:t>70</w:t>
                  </w:r>
                </w:p>
              </w:tc>
              <w:tc>
                <w:tcPr>
                  <w:tcW w:w="287" w:type="pct"/>
                  <w:noWrap w:val="0"/>
                  <w:vAlign w:val="center"/>
                </w:tcPr>
                <w:p w14:paraId="4361C2FA">
                  <w:pPr>
                    <w:pStyle w:val="48"/>
                    <w:jc w:val="center"/>
                    <w:rPr>
                      <w:rFonts w:hint="eastAsia"/>
                      <w:color w:val="000000"/>
                      <w:sz w:val="18"/>
                      <w:szCs w:val="18"/>
                      <w:u w:val="none"/>
                    </w:rPr>
                  </w:pPr>
                  <w:r>
                    <w:rPr>
                      <w:rFonts w:hint="eastAsia"/>
                      <w:color w:val="000000"/>
                      <w:sz w:val="18"/>
                      <w:szCs w:val="18"/>
                      <w:u w:val="none"/>
                    </w:rPr>
                    <w:t>1</w:t>
                  </w:r>
                </w:p>
              </w:tc>
              <w:tc>
                <w:tcPr>
                  <w:tcW w:w="279" w:type="pct"/>
                  <w:noWrap w:val="0"/>
                  <w:vAlign w:val="center"/>
                </w:tcPr>
                <w:p w14:paraId="4BEF7370">
                  <w:pPr>
                    <w:pStyle w:val="49"/>
                    <w:snapToGrid/>
                    <w:spacing w:line="240" w:lineRule="auto"/>
                    <w:jc w:val="center"/>
                    <w:rPr>
                      <w:rFonts w:hint="eastAsia"/>
                      <w:color w:val="000000"/>
                      <w:sz w:val="18"/>
                      <w:szCs w:val="18"/>
                      <w:u w:val="none"/>
                      <w:lang w:val="en-US" w:eastAsia="zh-CN"/>
                    </w:rPr>
                  </w:pPr>
                  <w:r>
                    <w:rPr>
                      <w:rFonts w:hint="eastAsia"/>
                      <w:color w:val="000000"/>
                      <w:sz w:val="18"/>
                      <w:szCs w:val="18"/>
                      <w:u w:val="none"/>
                      <w:lang w:val="en-US" w:eastAsia="zh-CN"/>
                    </w:rPr>
                    <w:t>1</w:t>
                  </w:r>
                </w:p>
              </w:tc>
              <w:tc>
                <w:tcPr>
                  <w:tcW w:w="391" w:type="pct"/>
                  <w:noWrap w:val="0"/>
                  <w:vAlign w:val="center"/>
                </w:tcPr>
                <w:p w14:paraId="3B28622D">
                  <w:pPr>
                    <w:pStyle w:val="49"/>
                    <w:snapToGrid/>
                    <w:spacing w:line="240" w:lineRule="auto"/>
                    <w:jc w:val="center"/>
                    <w:rPr>
                      <w:rFonts w:hint="eastAsia"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5</w:t>
                  </w:r>
                </w:p>
                <w:p w14:paraId="063D153A">
                  <w:pPr>
                    <w:pStyle w:val="49"/>
                    <w:snapToGrid/>
                    <w:spacing w:line="240" w:lineRule="auto"/>
                    <w:jc w:val="center"/>
                    <w:rPr>
                      <w:rFonts w:hint="eastAsia"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2</w:t>
                  </w:r>
                </w:p>
                <w:p w14:paraId="3D0F968F">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15</w:t>
                  </w:r>
                </w:p>
                <w:p w14:paraId="338CF3F1">
                  <w:pPr>
                    <w:pStyle w:val="49"/>
                    <w:snapToGrid/>
                    <w:spacing w:line="240" w:lineRule="auto"/>
                    <w:jc w:val="center"/>
                    <w:rPr>
                      <w:rFonts w:hint="default"/>
                      <w:color w:val="000000"/>
                      <w:sz w:val="18"/>
                      <w:szCs w:val="18"/>
                      <w:u w:val="none"/>
                      <w:lang w:val="en-US"/>
                    </w:rPr>
                  </w:pPr>
                  <w:r>
                    <w:rPr>
                      <w:color w:val="000000"/>
                      <w:sz w:val="18"/>
                      <w:szCs w:val="18"/>
                      <w:u w:val="none"/>
                    </w:rPr>
                    <w:t>N</w:t>
                  </w:r>
                  <w:r>
                    <w:rPr>
                      <w:rFonts w:hint="eastAsia"/>
                      <w:color w:val="000000"/>
                      <w:sz w:val="18"/>
                      <w:szCs w:val="18"/>
                      <w:u w:val="none"/>
                      <w:lang w:val="en-US" w:eastAsia="zh-CN"/>
                    </w:rPr>
                    <w:t>70</w:t>
                  </w:r>
                </w:p>
              </w:tc>
              <w:tc>
                <w:tcPr>
                  <w:tcW w:w="441" w:type="pct"/>
                  <w:noWrap w:val="0"/>
                  <w:vAlign w:val="center"/>
                </w:tcPr>
                <w:p w14:paraId="5FCA6102">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62</w:t>
                  </w:r>
                </w:p>
                <w:p w14:paraId="2F126D0B">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61</w:t>
                  </w:r>
                </w:p>
                <w:p w14:paraId="0A6D4A0F">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51</w:t>
                  </w:r>
                </w:p>
                <w:p w14:paraId="6F240117">
                  <w:pPr>
                    <w:jc w:val="center"/>
                    <w:rPr>
                      <w:color w:val="000000"/>
                      <w:sz w:val="18"/>
                      <w:szCs w:val="18"/>
                      <w:u w:val="none"/>
                    </w:rPr>
                  </w:pPr>
                  <w:r>
                    <w:rPr>
                      <w:color w:val="000000"/>
                      <w:sz w:val="18"/>
                      <w:szCs w:val="18"/>
                      <w:u w:val="none"/>
                    </w:rPr>
                    <w:t>N</w:t>
                  </w:r>
                  <w:r>
                    <w:rPr>
                      <w:rFonts w:hint="eastAsia"/>
                      <w:color w:val="000000"/>
                      <w:sz w:val="18"/>
                      <w:szCs w:val="18"/>
                      <w:u w:val="none"/>
                      <w:lang w:val="en-US" w:eastAsia="zh-CN"/>
                    </w:rPr>
                    <w:t>38</w:t>
                  </w:r>
                </w:p>
              </w:tc>
              <w:tc>
                <w:tcPr>
                  <w:tcW w:w="218" w:type="pct"/>
                  <w:noWrap w:val="0"/>
                  <w:vAlign w:val="center"/>
                </w:tcPr>
                <w:p w14:paraId="017BC946">
                  <w:pPr>
                    <w:jc w:val="center"/>
                    <w:rPr>
                      <w:rFonts w:hint="eastAsia"/>
                      <w:color w:val="000000"/>
                      <w:sz w:val="18"/>
                      <w:szCs w:val="18"/>
                      <w:u w:val="none"/>
                    </w:rPr>
                  </w:pPr>
                  <w:r>
                    <w:rPr>
                      <w:rFonts w:hint="eastAsia"/>
                      <w:color w:val="000000"/>
                      <w:sz w:val="18"/>
                      <w:szCs w:val="18"/>
                      <w:u w:val="none"/>
                    </w:rPr>
                    <w:t>昼间</w:t>
                  </w:r>
                </w:p>
              </w:tc>
              <w:tc>
                <w:tcPr>
                  <w:tcW w:w="441" w:type="pct"/>
                  <w:noWrap w:val="0"/>
                  <w:vAlign w:val="center"/>
                </w:tcPr>
                <w:p w14:paraId="4545D176">
                  <w:pPr>
                    <w:jc w:val="center"/>
                    <w:rPr>
                      <w:rFonts w:hint="eastAsia"/>
                      <w:color w:val="000000"/>
                      <w:sz w:val="18"/>
                      <w:szCs w:val="18"/>
                      <w:u w:val="none"/>
                    </w:rPr>
                  </w:pPr>
                  <w:r>
                    <w:rPr>
                      <w:rFonts w:hint="eastAsia"/>
                      <w:color w:val="000000"/>
                      <w:sz w:val="18"/>
                      <w:szCs w:val="18"/>
                      <w:u w:val="none"/>
                    </w:rPr>
                    <w:t>20</w:t>
                  </w:r>
                </w:p>
              </w:tc>
              <w:tc>
                <w:tcPr>
                  <w:tcW w:w="433" w:type="pct"/>
                  <w:noWrap w:val="0"/>
                  <w:vAlign w:val="center"/>
                </w:tcPr>
                <w:p w14:paraId="042FA518">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42</w:t>
                  </w:r>
                </w:p>
                <w:p w14:paraId="49A77B0D">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41</w:t>
                  </w:r>
                </w:p>
                <w:p w14:paraId="5C0E4763">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31</w:t>
                  </w:r>
                </w:p>
                <w:p w14:paraId="22DC6AE1">
                  <w:pPr>
                    <w:jc w:val="center"/>
                    <w:rPr>
                      <w:rFonts w:hint="default" w:eastAsia="宋体"/>
                      <w:color w:val="000000"/>
                      <w:sz w:val="18"/>
                      <w:szCs w:val="18"/>
                      <w:u w:val="none"/>
                      <w:lang w:val="en-US" w:eastAsia="zh-CN"/>
                    </w:rPr>
                  </w:pPr>
                  <w:r>
                    <w:rPr>
                      <w:color w:val="000000"/>
                      <w:sz w:val="18"/>
                      <w:szCs w:val="18"/>
                      <w:u w:val="none"/>
                    </w:rPr>
                    <w:t>N</w:t>
                  </w:r>
                  <w:r>
                    <w:rPr>
                      <w:rFonts w:hint="eastAsia"/>
                      <w:color w:val="000000"/>
                      <w:sz w:val="18"/>
                      <w:szCs w:val="18"/>
                      <w:u w:val="none"/>
                      <w:lang w:val="en-US" w:eastAsia="zh-CN"/>
                    </w:rPr>
                    <w:t>18</w:t>
                  </w:r>
                </w:p>
              </w:tc>
              <w:tc>
                <w:tcPr>
                  <w:tcW w:w="431" w:type="pct"/>
                  <w:noWrap w:val="0"/>
                  <w:vAlign w:val="center"/>
                </w:tcPr>
                <w:p w14:paraId="52032729">
                  <w:pPr>
                    <w:pStyle w:val="48"/>
                    <w:jc w:val="center"/>
                    <w:rPr>
                      <w:rFonts w:hint="eastAsia"/>
                      <w:color w:val="000000"/>
                      <w:sz w:val="18"/>
                      <w:szCs w:val="18"/>
                      <w:u w:val="none"/>
                    </w:rPr>
                  </w:pPr>
                  <w:r>
                    <w:rPr>
                      <w:rFonts w:hint="eastAsia"/>
                      <w:color w:val="000000"/>
                      <w:sz w:val="18"/>
                      <w:szCs w:val="18"/>
                      <w:u w:val="none"/>
                    </w:rPr>
                    <w:t>1</w:t>
                  </w:r>
                </w:p>
              </w:tc>
            </w:tr>
            <w:tr w14:paraId="4FA6E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48" w:hRule="atLeast"/>
                <w:jc w:val="center"/>
              </w:trPr>
              <w:tc>
                <w:tcPr>
                  <w:tcW w:w="318" w:type="pct"/>
                  <w:vMerge w:val="continue"/>
                  <w:noWrap w:val="0"/>
                  <w:vAlign w:val="center"/>
                </w:tcPr>
                <w:p w14:paraId="3AB89ABC">
                  <w:pPr>
                    <w:pStyle w:val="48"/>
                    <w:jc w:val="center"/>
                    <w:rPr>
                      <w:rFonts w:hint="eastAsia"/>
                      <w:color w:val="000000"/>
                      <w:sz w:val="18"/>
                      <w:szCs w:val="18"/>
                      <w:u w:val="none"/>
                    </w:rPr>
                  </w:pPr>
                </w:p>
              </w:tc>
              <w:tc>
                <w:tcPr>
                  <w:tcW w:w="298" w:type="pct"/>
                  <w:noWrap w:val="0"/>
                  <w:vAlign w:val="center"/>
                </w:tcPr>
                <w:p w14:paraId="7D0040B3">
                  <w:pPr>
                    <w:spacing w:line="240" w:lineRule="auto"/>
                    <w:ind w:firstLine="0" w:firstLineChars="0"/>
                    <w:jc w:val="center"/>
                    <w:rPr>
                      <w:rFonts w:hint="eastAsia" w:ascii="Times New Roman" w:hAnsi="Times New Roman"/>
                      <w:color w:val="000000"/>
                      <w:kern w:val="2"/>
                      <w:sz w:val="18"/>
                      <w:szCs w:val="18"/>
                      <w:u w:val="none"/>
                      <w:lang w:val="en-US" w:eastAsia="zh-CN" w:bidi="ar-SA"/>
                    </w:rPr>
                  </w:pPr>
                  <w:r>
                    <w:rPr>
                      <w:rFonts w:hint="eastAsia" w:ascii="Times New Roman" w:hAnsi="Times New Roman"/>
                      <w:color w:val="000000"/>
                      <w:kern w:val="2"/>
                      <w:sz w:val="18"/>
                      <w:szCs w:val="18"/>
                      <w:u w:val="none"/>
                      <w:lang w:val="en-US" w:eastAsia="zh-CN" w:bidi="ar-SA"/>
                    </w:rPr>
                    <w:t>凉水塔</w:t>
                  </w:r>
                </w:p>
              </w:tc>
              <w:tc>
                <w:tcPr>
                  <w:tcW w:w="409" w:type="pct"/>
                  <w:noWrap w:val="0"/>
                  <w:vAlign w:val="center"/>
                </w:tcPr>
                <w:p w14:paraId="7596C42C">
                  <w:pPr>
                    <w:jc w:val="center"/>
                    <w:rPr>
                      <w:rFonts w:hint="default"/>
                      <w:color w:val="000000"/>
                      <w:sz w:val="18"/>
                      <w:szCs w:val="18"/>
                      <w:u w:val="none"/>
                      <w:lang w:val="en-US"/>
                    </w:rPr>
                  </w:pPr>
                  <w:r>
                    <w:rPr>
                      <w:rFonts w:hint="eastAsia"/>
                      <w:color w:val="000000"/>
                      <w:sz w:val="18"/>
                      <w:szCs w:val="18"/>
                      <w:u w:val="none"/>
                      <w:lang w:val="en-US" w:eastAsia="zh-CN"/>
                    </w:rPr>
                    <w:t>80</w:t>
                  </w:r>
                </w:p>
              </w:tc>
              <w:tc>
                <w:tcPr>
                  <w:tcW w:w="486" w:type="pct"/>
                  <w:noWrap w:val="0"/>
                  <w:vAlign w:val="center"/>
                </w:tcPr>
                <w:p w14:paraId="170CDF2A">
                  <w:pPr>
                    <w:jc w:val="center"/>
                    <w:rPr>
                      <w:rFonts w:hint="eastAsia"/>
                      <w:color w:val="000000"/>
                      <w:sz w:val="18"/>
                      <w:szCs w:val="18"/>
                      <w:u w:val="none"/>
                    </w:rPr>
                  </w:pPr>
                  <w:r>
                    <w:rPr>
                      <w:rFonts w:hint="eastAsia"/>
                      <w:color w:val="000000"/>
                      <w:sz w:val="18"/>
                      <w:szCs w:val="18"/>
                      <w:u w:val="none"/>
                    </w:rPr>
                    <w:t>基础减振、厂房隔声</w:t>
                  </w:r>
                </w:p>
              </w:tc>
              <w:tc>
                <w:tcPr>
                  <w:tcW w:w="282" w:type="pct"/>
                  <w:noWrap w:val="0"/>
                  <w:vAlign w:val="center"/>
                </w:tcPr>
                <w:p w14:paraId="334E8DAD">
                  <w:pPr>
                    <w:pStyle w:val="48"/>
                    <w:jc w:val="center"/>
                    <w:rPr>
                      <w:rFonts w:hint="default"/>
                      <w:color w:val="000000"/>
                      <w:sz w:val="18"/>
                      <w:szCs w:val="18"/>
                      <w:u w:val="none"/>
                      <w:lang w:val="en-US" w:eastAsia="zh-CN"/>
                    </w:rPr>
                  </w:pPr>
                  <w:r>
                    <w:rPr>
                      <w:rFonts w:hint="eastAsia"/>
                      <w:color w:val="000000"/>
                      <w:sz w:val="18"/>
                      <w:szCs w:val="18"/>
                      <w:u w:val="none"/>
                      <w:lang w:val="en-US" w:eastAsia="zh-CN"/>
                    </w:rPr>
                    <w:t>15</w:t>
                  </w:r>
                </w:p>
              </w:tc>
              <w:tc>
                <w:tcPr>
                  <w:tcW w:w="282" w:type="pct"/>
                  <w:noWrap w:val="0"/>
                  <w:vAlign w:val="center"/>
                </w:tcPr>
                <w:p w14:paraId="0792C3F8">
                  <w:pPr>
                    <w:pStyle w:val="48"/>
                    <w:jc w:val="center"/>
                    <w:rPr>
                      <w:rFonts w:hint="default"/>
                      <w:color w:val="000000"/>
                      <w:sz w:val="18"/>
                      <w:szCs w:val="18"/>
                      <w:u w:val="none"/>
                      <w:lang w:val="en-US" w:eastAsia="zh-CN"/>
                    </w:rPr>
                  </w:pPr>
                  <w:r>
                    <w:rPr>
                      <w:rFonts w:hint="eastAsia"/>
                      <w:color w:val="000000"/>
                      <w:sz w:val="18"/>
                      <w:szCs w:val="18"/>
                      <w:u w:val="none"/>
                      <w:lang w:val="en-US" w:eastAsia="zh-CN"/>
                    </w:rPr>
                    <w:t>35</w:t>
                  </w:r>
                </w:p>
              </w:tc>
              <w:tc>
                <w:tcPr>
                  <w:tcW w:w="287" w:type="pct"/>
                  <w:noWrap w:val="0"/>
                  <w:vAlign w:val="center"/>
                </w:tcPr>
                <w:p w14:paraId="64689C51">
                  <w:pPr>
                    <w:pStyle w:val="48"/>
                    <w:jc w:val="center"/>
                    <w:rPr>
                      <w:rFonts w:hint="eastAsia"/>
                      <w:color w:val="000000"/>
                      <w:sz w:val="18"/>
                      <w:szCs w:val="18"/>
                      <w:u w:val="none"/>
                    </w:rPr>
                  </w:pPr>
                  <w:r>
                    <w:rPr>
                      <w:rFonts w:hint="eastAsia"/>
                      <w:color w:val="000000"/>
                      <w:sz w:val="18"/>
                      <w:szCs w:val="18"/>
                      <w:u w:val="none"/>
                    </w:rPr>
                    <w:t>1</w:t>
                  </w:r>
                </w:p>
              </w:tc>
              <w:tc>
                <w:tcPr>
                  <w:tcW w:w="279" w:type="pct"/>
                  <w:noWrap w:val="0"/>
                  <w:vAlign w:val="center"/>
                </w:tcPr>
                <w:p w14:paraId="793DB536">
                  <w:pPr>
                    <w:pStyle w:val="49"/>
                    <w:snapToGrid/>
                    <w:spacing w:line="240" w:lineRule="auto"/>
                    <w:jc w:val="center"/>
                    <w:rPr>
                      <w:rFonts w:hint="eastAsia"/>
                      <w:color w:val="000000"/>
                      <w:sz w:val="18"/>
                      <w:szCs w:val="18"/>
                      <w:u w:val="none"/>
                      <w:lang w:val="en-US" w:eastAsia="zh-CN"/>
                    </w:rPr>
                  </w:pPr>
                  <w:r>
                    <w:rPr>
                      <w:rFonts w:hint="eastAsia"/>
                      <w:color w:val="000000"/>
                      <w:sz w:val="18"/>
                      <w:szCs w:val="18"/>
                      <w:u w:val="none"/>
                      <w:lang w:val="en-US" w:eastAsia="zh-CN"/>
                    </w:rPr>
                    <w:t>1</w:t>
                  </w:r>
                </w:p>
              </w:tc>
              <w:tc>
                <w:tcPr>
                  <w:tcW w:w="391" w:type="pct"/>
                  <w:noWrap w:val="0"/>
                  <w:vAlign w:val="center"/>
                </w:tcPr>
                <w:p w14:paraId="671B25EB">
                  <w:pPr>
                    <w:pStyle w:val="49"/>
                    <w:snapToGrid/>
                    <w:spacing w:line="240" w:lineRule="auto"/>
                    <w:jc w:val="center"/>
                    <w:rPr>
                      <w:rFonts w:hint="eastAsia"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5</w:t>
                  </w:r>
                </w:p>
                <w:p w14:paraId="01153D2B">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37</w:t>
                  </w:r>
                </w:p>
                <w:p w14:paraId="52B1FB85">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15</w:t>
                  </w:r>
                </w:p>
                <w:p w14:paraId="3AA7CFDC">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N</w:t>
                  </w:r>
                  <w:r>
                    <w:rPr>
                      <w:rFonts w:hint="eastAsia"/>
                      <w:color w:val="000000"/>
                      <w:sz w:val="18"/>
                      <w:szCs w:val="18"/>
                      <w:u w:val="none"/>
                      <w:lang w:val="en-US" w:eastAsia="zh-CN"/>
                    </w:rPr>
                    <w:t>35</w:t>
                  </w:r>
                </w:p>
              </w:tc>
              <w:tc>
                <w:tcPr>
                  <w:tcW w:w="441" w:type="pct"/>
                  <w:noWrap w:val="0"/>
                  <w:vAlign w:val="center"/>
                </w:tcPr>
                <w:p w14:paraId="3380AA01">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62</w:t>
                  </w:r>
                </w:p>
                <w:p w14:paraId="20748F6B">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42</w:t>
                  </w:r>
                </w:p>
                <w:p w14:paraId="05A00CA0">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51</w:t>
                  </w:r>
                </w:p>
                <w:p w14:paraId="4878CA09">
                  <w:pPr>
                    <w:jc w:val="center"/>
                    <w:rPr>
                      <w:rFonts w:hint="default"/>
                      <w:color w:val="000000"/>
                      <w:sz w:val="18"/>
                      <w:szCs w:val="18"/>
                      <w:u w:val="none"/>
                      <w:lang w:val="en-US"/>
                    </w:rPr>
                  </w:pPr>
                  <w:r>
                    <w:rPr>
                      <w:color w:val="000000"/>
                      <w:sz w:val="18"/>
                      <w:szCs w:val="18"/>
                      <w:u w:val="none"/>
                    </w:rPr>
                    <w:t>N</w:t>
                  </w:r>
                  <w:r>
                    <w:rPr>
                      <w:rFonts w:hint="eastAsia"/>
                      <w:color w:val="000000"/>
                      <w:sz w:val="18"/>
                      <w:szCs w:val="18"/>
                      <w:u w:val="none"/>
                      <w:lang w:val="en-US" w:eastAsia="zh-CN"/>
                    </w:rPr>
                    <w:t>44</w:t>
                  </w:r>
                </w:p>
              </w:tc>
              <w:tc>
                <w:tcPr>
                  <w:tcW w:w="218" w:type="pct"/>
                  <w:noWrap w:val="0"/>
                  <w:vAlign w:val="center"/>
                </w:tcPr>
                <w:p w14:paraId="52AF3532">
                  <w:pPr>
                    <w:jc w:val="center"/>
                    <w:rPr>
                      <w:rFonts w:hint="eastAsia"/>
                      <w:color w:val="000000"/>
                      <w:sz w:val="18"/>
                      <w:szCs w:val="18"/>
                      <w:u w:val="none"/>
                    </w:rPr>
                  </w:pPr>
                  <w:r>
                    <w:rPr>
                      <w:rFonts w:hint="eastAsia"/>
                      <w:color w:val="000000"/>
                      <w:sz w:val="18"/>
                      <w:szCs w:val="18"/>
                      <w:u w:val="none"/>
                    </w:rPr>
                    <w:t>昼间</w:t>
                  </w:r>
                </w:p>
              </w:tc>
              <w:tc>
                <w:tcPr>
                  <w:tcW w:w="441" w:type="pct"/>
                  <w:noWrap w:val="0"/>
                  <w:vAlign w:val="center"/>
                </w:tcPr>
                <w:p w14:paraId="04637A0B">
                  <w:pPr>
                    <w:jc w:val="center"/>
                    <w:rPr>
                      <w:rFonts w:hint="eastAsia"/>
                      <w:color w:val="000000"/>
                      <w:sz w:val="18"/>
                      <w:szCs w:val="18"/>
                      <w:u w:val="none"/>
                    </w:rPr>
                  </w:pPr>
                  <w:r>
                    <w:rPr>
                      <w:rFonts w:hint="eastAsia"/>
                      <w:color w:val="000000"/>
                      <w:sz w:val="18"/>
                      <w:szCs w:val="18"/>
                      <w:u w:val="none"/>
                    </w:rPr>
                    <w:t>20</w:t>
                  </w:r>
                </w:p>
              </w:tc>
              <w:tc>
                <w:tcPr>
                  <w:tcW w:w="433" w:type="pct"/>
                  <w:noWrap w:val="0"/>
                  <w:vAlign w:val="center"/>
                </w:tcPr>
                <w:p w14:paraId="344F4C35">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42</w:t>
                  </w:r>
                </w:p>
                <w:p w14:paraId="0884EE85">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22</w:t>
                  </w:r>
                </w:p>
                <w:p w14:paraId="2E1B1FCA">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31</w:t>
                  </w:r>
                </w:p>
                <w:p w14:paraId="3C1025C1">
                  <w:pPr>
                    <w:jc w:val="center"/>
                    <w:rPr>
                      <w:rFonts w:hint="default" w:eastAsia="宋体"/>
                      <w:color w:val="000000"/>
                      <w:sz w:val="18"/>
                      <w:szCs w:val="18"/>
                      <w:u w:val="none"/>
                      <w:lang w:val="en-US" w:eastAsia="zh-CN"/>
                    </w:rPr>
                  </w:pPr>
                  <w:r>
                    <w:rPr>
                      <w:color w:val="000000"/>
                      <w:sz w:val="18"/>
                      <w:szCs w:val="18"/>
                      <w:u w:val="none"/>
                    </w:rPr>
                    <w:t>N</w:t>
                  </w:r>
                  <w:r>
                    <w:rPr>
                      <w:rFonts w:hint="eastAsia"/>
                      <w:color w:val="000000"/>
                      <w:sz w:val="18"/>
                      <w:szCs w:val="18"/>
                      <w:u w:val="none"/>
                      <w:lang w:val="en-US" w:eastAsia="zh-CN"/>
                    </w:rPr>
                    <w:t>24</w:t>
                  </w:r>
                </w:p>
              </w:tc>
              <w:tc>
                <w:tcPr>
                  <w:tcW w:w="431" w:type="pct"/>
                  <w:noWrap w:val="0"/>
                  <w:vAlign w:val="center"/>
                </w:tcPr>
                <w:p w14:paraId="5CAED8A1">
                  <w:pPr>
                    <w:pStyle w:val="48"/>
                    <w:jc w:val="center"/>
                    <w:rPr>
                      <w:rFonts w:hint="eastAsia"/>
                      <w:color w:val="000000"/>
                      <w:sz w:val="18"/>
                      <w:szCs w:val="18"/>
                      <w:u w:val="none"/>
                    </w:rPr>
                  </w:pPr>
                  <w:r>
                    <w:rPr>
                      <w:rFonts w:hint="eastAsia"/>
                      <w:color w:val="000000"/>
                      <w:sz w:val="18"/>
                      <w:szCs w:val="18"/>
                      <w:u w:val="none"/>
                    </w:rPr>
                    <w:t>1</w:t>
                  </w:r>
                </w:p>
              </w:tc>
            </w:tr>
            <w:tr w14:paraId="49E33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48" w:hRule="atLeast"/>
                <w:jc w:val="center"/>
              </w:trPr>
              <w:tc>
                <w:tcPr>
                  <w:tcW w:w="318" w:type="pct"/>
                  <w:vMerge w:val="continue"/>
                  <w:noWrap w:val="0"/>
                  <w:vAlign w:val="center"/>
                </w:tcPr>
                <w:p w14:paraId="77342F6D">
                  <w:pPr>
                    <w:pStyle w:val="48"/>
                    <w:jc w:val="center"/>
                    <w:rPr>
                      <w:rFonts w:hint="eastAsia"/>
                      <w:color w:val="000000"/>
                      <w:sz w:val="18"/>
                      <w:szCs w:val="18"/>
                      <w:u w:val="none"/>
                    </w:rPr>
                  </w:pPr>
                </w:p>
              </w:tc>
              <w:tc>
                <w:tcPr>
                  <w:tcW w:w="298" w:type="pct"/>
                  <w:noWrap w:val="0"/>
                  <w:vAlign w:val="center"/>
                </w:tcPr>
                <w:p w14:paraId="2E34BE29">
                  <w:pPr>
                    <w:pStyle w:val="5"/>
                    <w:spacing w:line="240" w:lineRule="auto"/>
                    <w:ind w:firstLine="0" w:firstLineChars="0"/>
                    <w:jc w:val="center"/>
                    <w:rPr>
                      <w:rFonts w:hint="default" w:ascii="Times New Roman" w:hAnsi="Times New Roman"/>
                      <w:color w:val="000000"/>
                      <w:kern w:val="2"/>
                      <w:sz w:val="18"/>
                      <w:szCs w:val="18"/>
                      <w:u w:val="none"/>
                      <w:lang w:val="en-US" w:eastAsia="zh-CN" w:bidi="ar-SA"/>
                    </w:rPr>
                  </w:pPr>
                  <w:r>
                    <w:rPr>
                      <w:rFonts w:hint="eastAsia"/>
                      <w:color w:val="000000"/>
                      <w:sz w:val="18"/>
                      <w:szCs w:val="18"/>
                      <w:u w:val="none"/>
                    </w:rPr>
                    <w:t>风机</w:t>
                  </w:r>
                </w:p>
              </w:tc>
              <w:tc>
                <w:tcPr>
                  <w:tcW w:w="409" w:type="pct"/>
                  <w:noWrap w:val="0"/>
                  <w:vAlign w:val="center"/>
                </w:tcPr>
                <w:p w14:paraId="72B5B33C">
                  <w:pPr>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lang w:val="en-US" w:eastAsia="zh-CN"/>
                    </w:rPr>
                    <w:t>85</w:t>
                  </w:r>
                </w:p>
              </w:tc>
              <w:tc>
                <w:tcPr>
                  <w:tcW w:w="486" w:type="pct"/>
                  <w:noWrap w:val="0"/>
                  <w:vAlign w:val="center"/>
                </w:tcPr>
                <w:p w14:paraId="1C71916B">
                  <w:pPr>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rPr>
                    <w:t>基础减振、厂房隔声</w:t>
                  </w:r>
                </w:p>
              </w:tc>
              <w:tc>
                <w:tcPr>
                  <w:tcW w:w="282" w:type="pct"/>
                  <w:noWrap w:val="0"/>
                  <w:vAlign w:val="center"/>
                </w:tcPr>
                <w:p w14:paraId="23ABCFD3">
                  <w:pPr>
                    <w:pStyle w:val="48"/>
                    <w:jc w:val="center"/>
                    <w:rPr>
                      <w:rFonts w:hint="default" w:ascii="Times New Roman" w:hAnsi="Times New Roman" w:eastAsia="宋体"/>
                      <w:color w:val="000000"/>
                      <w:kern w:val="2"/>
                      <w:sz w:val="18"/>
                      <w:szCs w:val="18"/>
                      <w:u w:val="none"/>
                      <w:lang w:val="en-US" w:eastAsia="zh-CN" w:bidi="ar-SA"/>
                    </w:rPr>
                  </w:pPr>
                  <w:r>
                    <w:rPr>
                      <w:rFonts w:hint="eastAsia"/>
                      <w:color w:val="000000"/>
                      <w:sz w:val="18"/>
                      <w:szCs w:val="18"/>
                      <w:u w:val="none"/>
                      <w:lang w:val="en-US" w:eastAsia="zh-CN"/>
                    </w:rPr>
                    <w:t>8</w:t>
                  </w:r>
                </w:p>
              </w:tc>
              <w:tc>
                <w:tcPr>
                  <w:tcW w:w="282" w:type="pct"/>
                  <w:noWrap w:val="0"/>
                  <w:vAlign w:val="center"/>
                </w:tcPr>
                <w:p w14:paraId="66401552">
                  <w:pPr>
                    <w:pStyle w:val="48"/>
                    <w:jc w:val="center"/>
                    <w:rPr>
                      <w:rFonts w:hint="default" w:ascii="Times New Roman" w:hAnsi="Times New Roman" w:eastAsia="宋体"/>
                      <w:color w:val="000000"/>
                      <w:kern w:val="2"/>
                      <w:sz w:val="18"/>
                      <w:szCs w:val="18"/>
                      <w:u w:val="none"/>
                      <w:lang w:val="en-US" w:eastAsia="zh-CN" w:bidi="ar-SA"/>
                    </w:rPr>
                  </w:pPr>
                  <w:r>
                    <w:rPr>
                      <w:rFonts w:hint="eastAsia"/>
                      <w:color w:val="000000"/>
                      <w:sz w:val="18"/>
                      <w:szCs w:val="18"/>
                      <w:u w:val="none"/>
                      <w:lang w:val="en-US" w:eastAsia="zh-CN"/>
                    </w:rPr>
                    <w:t>70</w:t>
                  </w:r>
                </w:p>
              </w:tc>
              <w:tc>
                <w:tcPr>
                  <w:tcW w:w="287" w:type="pct"/>
                  <w:noWrap w:val="0"/>
                  <w:vAlign w:val="center"/>
                </w:tcPr>
                <w:p w14:paraId="138D7056">
                  <w:pPr>
                    <w:pStyle w:val="48"/>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rPr>
                    <w:t>1</w:t>
                  </w:r>
                </w:p>
              </w:tc>
              <w:tc>
                <w:tcPr>
                  <w:tcW w:w="279" w:type="pct"/>
                  <w:noWrap w:val="0"/>
                  <w:vAlign w:val="center"/>
                </w:tcPr>
                <w:p w14:paraId="75236B36">
                  <w:pPr>
                    <w:pStyle w:val="49"/>
                    <w:snapToGrid/>
                    <w:spacing w:line="240" w:lineRule="auto"/>
                    <w:jc w:val="center"/>
                    <w:rPr>
                      <w:rFonts w:hint="default" w:eastAsia="宋体"/>
                      <w:color w:val="000000"/>
                      <w:kern w:val="2"/>
                      <w:sz w:val="18"/>
                      <w:szCs w:val="18"/>
                      <w:u w:val="none"/>
                      <w:lang w:val="en-US" w:eastAsia="zh-CN" w:bidi="ar-SA"/>
                    </w:rPr>
                  </w:pPr>
                  <w:r>
                    <w:rPr>
                      <w:rFonts w:hint="eastAsia"/>
                      <w:color w:val="000000"/>
                      <w:sz w:val="18"/>
                      <w:szCs w:val="18"/>
                      <w:u w:val="none"/>
                      <w:lang w:val="en-US" w:eastAsia="zh-CN"/>
                    </w:rPr>
                    <w:t>1</w:t>
                  </w:r>
                </w:p>
              </w:tc>
              <w:tc>
                <w:tcPr>
                  <w:tcW w:w="391" w:type="pct"/>
                  <w:noWrap w:val="0"/>
                  <w:vAlign w:val="center"/>
                </w:tcPr>
                <w:p w14:paraId="5C200656">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12</w:t>
                  </w:r>
                </w:p>
                <w:p w14:paraId="5870950C">
                  <w:pPr>
                    <w:pStyle w:val="49"/>
                    <w:snapToGrid/>
                    <w:spacing w:line="240" w:lineRule="auto"/>
                    <w:jc w:val="center"/>
                    <w:rPr>
                      <w:rFonts w:hint="eastAsia"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5</w:t>
                  </w:r>
                </w:p>
                <w:p w14:paraId="5B8D238E">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8</w:t>
                  </w:r>
                </w:p>
                <w:p w14:paraId="77E92A2F">
                  <w:pPr>
                    <w:jc w:val="center"/>
                    <w:rPr>
                      <w:rFonts w:hint="default" w:eastAsia="宋体"/>
                      <w:color w:val="000000"/>
                      <w:kern w:val="2"/>
                      <w:sz w:val="18"/>
                      <w:szCs w:val="18"/>
                      <w:u w:val="none"/>
                      <w:lang w:val="en-US" w:eastAsia="zh-CN" w:bidi="ar-SA"/>
                    </w:rPr>
                  </w:pPr>
                  <w:r>
                    <w:rPr>
                      <w:color w:val="000000"/>
                      <w:sz w:val="18"/>
                      <w:szCs w:val="18"/>
                      <w:u w:val="none"/>
                    </w:rPr>
                    <w:t>N</w:t>
                  </w:r>
                  <w:r>
                    <w:rPr>
                      <w:rFonts w:hint="eastAsia"/>
                      <w:color w:val="000000"/>
                      <w:sz w:val="18"/>
                      <w:szCs w:val="18"/>
                      <w:u w:val="none"/>
                      <w:lang w:val="en-US" w:eastAsia="zh-CN"/>
                    </w:rPr>
                    <w:t>67</w:t>
                  </w:r>
                </w:p>
              </w:tc>
              <w:tc>
                <w:tcPr>
                  <w:tcW w:w="441" w:type="pct"/>
                  <w:noWrap w:val="0"/>
                  <w:vAlign w:val="center"/>
                </w:tcPr>
                <w:p w14:paraId="13524309">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63</w:t>
                  </w:r>
                </w:p>
                <w:p w14:paraId="78FE3A14">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71</w:t>
                  </w:r>
                </w:p>
                <w:p w14:paraId="0644858B">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67</w:t>
                  </w:r>
                </w:p>
                <w:p w14:paraId="64205ECF">
                  <w:pPr>
                    <w:jc w:val="center"/>
                    <w:rPr>
                      <w:rFonts w:hint="default" w:eastAsia="宋体"/>
                      <w:color w:val="000000"/>
                      <w:kern w:val="2"/>
                      <w:sz w:val="18"/>
                      <w:szCs w:val="18"/>
                      <w:u w:val="none"/>
                      <w:lang w:val="en-US" w:eastAsia="zh-CN" w:bidi="ar-SA"/>
                    </w:rPr>
                  </w:pPr>
                  <w:r>
                    <w:rPr>
                      <w:color w:val="000000"/>
                      <w:sz w:val="18"/>
                      <w:szCs w:val="18"/>
                      <w:u w:val="none"/>
                    </w:rPr>
                    <w:t>N</w:t>
                  </w:r>
                  <w:r>
                    <w:rPr>
                      <w:rFonts w:hint="eastAsia"/>
                      <w:color w:val="000000"/>
                      <w:sz w:val="18"/>
                      <w:szCs w:val="18"/>
                      <w:u w:val="none"/>
                      <w:lang w:val="en-US" w:eastAsia="zh-CN"/>
                    </w:rPr>
                    <w:t>48</w:t>
                  </w:r>
                </w:p>
              </w:tc>
              <w:tc>
                <w:tcPr>
                  <w:tcW w:w="218" w:type="pct"/>
                  <w:noWrap w:val="0"/>
                  <w:vAlign w:val="center"/>
                </w:tcPr>
                <w:p w14:paraId="51E3009E">
                  <w:pPr>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rPr>
                    <w:t>昼间</w:t>
                  </w:r>
                </w:p>
              </w:tc>
              <w:tc>
                <w:tcPr>
                  <w:tcW w:w="441" w:type="pct"/>
                  <w:noWrap w:val="0"/>
                  <w:vAlign w:val="center"/>
                </w:tcPr>
                <w:p w14:paraId="1C9BAA58">
                  <w:pPr>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rPr>
                    <w:t>20</w:t>
                  </w:r>
                </w:p>
              </w:tc>
              <w:tc>
                <w:tcPr>
                  <w:tcW w:w="433" w:type="pct"/>
                  <w:noWrap w:val="0"/>
                  <w:vAlign w:val="center"/>
                </w:tcPr>
                <w:p w14:paraId="5BDED6FB">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43</w:t>
                  </w:r>
                </w:p>
                <w:p w14:paraId="0D66C723">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51</w:t>
                  </w:r>
                </w:p>
                <w:p w14:paraId="00F960AA">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47</w:t>
                  </w:r>
                </w:p>
                <w:p w14:paraId="39580492">
                  <w:pPr>
                    <w:jc w:val="center"/>
                    <w:rPr>
                      <w:rFonts w:hint="default" w:eastAsia="宋体"/>
                      <w:color w:val="000000"/>
                      <w:kern w:val="2"/>
                      <w:sz w:val="18"/>
                      <w:szCs w:val="18"/>
                      <w:u w:val="none"/>
                      <w:lang w:val="en-US" w:eastAsia="zh-CN" w:bidi="ar-SA"/>
                    </w:rPr>
                  </w:pPr>
                  <w:r>
                    <w:rPr>
                      <w:color w:val="000000"/>
                      <w:sz w:val="18"/>
                      <w:szCs w:val="18"/>
                      <w:u w:val="none"/>
                    </w:rPr>
                    <w:t>N</w:t>
                  </w:r>
                  <w:r>
                    <w:rPr>
                      <w:rFonts w:hint="eastAsia"/>
                      <w:color w:val="000000"/>
                      <w:sz w:val="18"/>
                      <w:szCs w:val="18"/>
                      <w:u w:val="none"/>
                      <w:lang w:val="en-US" w:eastAsia="zh-CN"/>
                    </w:rPr>
                    <w:t>28</w:t>
                  </w:r>
                </w:p>
              </w:tc>
              <w:tc>
                <w:tcPr>
                  <w:tcW w:w="431" w:type="pct"/>
                  <w:noWrap w:val="0"/>
                  <w:vAlign w:val="center"/>
                </w:tcPr>
                <w:p w14:paraId="31D9582A">
                  <w:pPr>
                    <w:pStyle w:val="48"/>
                    <w:jc w:val="center"/>
                    <w:rPr>
                      <w:rFonts w:hint="eastAsia" w:ascii="Times New Roman" w:hAnsi="Times New Roman"/>
                      <w:color w:val="000000"/>
                      <w:kern w:val="2"/>
                      <w:sz w:val="18"/>
                      <w:szCs w:val="18"/>
                      <w:u w:val="none"/>
                      <w:lang w:val="en-US" w:eastAsia="zh-CN" w:bidi="ar-SA"/>
                    </w:rPr>
                  </w:pPr>
                  <w:r>
                    <w:rPr>
                      <w:rFonts w:hint="eastAsia"/>
                      <w:color w:val="000000"/>
                      <w:sz w:val="18"/>
                      <w:szCs w:val="18"/>
                      <w:u w:val="none"/>
                    </w:rPr>
                    <w:t>1</w:t>
                  </w:r>
                </w:p>
              </w:tc>
            </w:tr>
            <w:tr w14:paraId="048DE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48" w:hRule="atLeast"/>
                <w:jc w:val="center"/>
              </w:trPr>
              <w:tc>
                <w:tcPr>
                  <w:tcW w:w="318" w:type="pct"/>
                  <w:vMerge w:val="continue"/>
                  <w:noWrap w:val="0"/>
                  <w:vAlign w:val="center"/>
                </w:tcPr>
                <w:p w14:paraId="7370E20F">
                  <w:pPr>
                    <w:pStyle w:val="48"/>
                    <w:jc w:val="center"/>
                    <w:rPr>
                      <w:rFonts w:hint="eastAsia"/>
                      <w:color w:val="000000"/>
                      <w:sz w:val="18"/>
                      <w:szCs w:val="18"/>
                      <w:u w:val="none"/>
                    </w:rPr>
                  </w:pPr>
                </w:p>
              </w:tc>
              <w:tc>
                <w:tcPr>
                  <w:tcW w:w="298" w:type="pct"/>
                  <w:noWrap w:val="0"/>
                  <w:vAlign w:val="center"/>
                </w:tcPr>
                <w:p w14:paraId="543F5A78">
                  <w:pPr>
                    <w:pStyle w:val="5"/>
                    <w:spacing w:line="240" w:lineRule="auto"/>
                    <w:ind w:firstLine="0" w:firstLineChars="0"/>
                    <w:jc w:val="center"/>
                    <w:rPr>
                      <w:rFonts w:hint="eastAsia"/>
                      <w:color w:val="000000"/>
                      <w:sz w:val="18"/>
                      <w:szCs w:val="18"/>
                      <w:u w:val="none"/>
                    </w:rPr>
                  </w:pPr>
                  <w:r>
                    <w:rPr>
                      <w:rFonts w:hint="eastAsia"/>
                      <w:color w:val="000000"/>
                      <w:sz w:val="18"/>
                      <w:szCs w:val="18"/>
                      <w:u w:val="none"/>
                    </w:rPr>
                    <w:t>风机</w:t>
                  </w:r>
                </w:p>
              </w:tc>
              <w:tc>
                <w:tcPr>
                  <w:tcW w:w="409" w:type="pct"/>
                  <w:noWrap w:val="0"/>
                  <w:vAlign w:val="center"/>
                </w:tcPr>
                <w:p w14:paraId="648951A6">
                  <w:pPr>
                    <w:jc w:val="center"/>
                    <w:rPr>
                      <w:rFonts w:hint="eastAsia"/>
                      <w:color w:val="000000"/>
                      <w:sz w:val="18"/>
                      <w:szCs w:val="18"/>
                      <w:u w:val="none"/>
                    </w:rPr>
                  </w:pPr>
                  <w:r>
                    <w:rPr>
                      <w:rFonts w:hint="eastAsia"/>
                      <w:color w:val="000000"/>
                      <w:sz w:val="18"/>
                      <w:szCs w:val="18"/>
                      <w:u w:val="none"/>
                      <w:lang w:val="en-US" w:eastAsia="zh-CN"/>
                    </w:rPr>
                    <w:t>85</w:t>
                  </w:r>
                </w:p>
              </w:tc>
              <w:tc>
                <w:tcPr>
                  <w:tcW w:w="486" w:type="pct"/>
                  <w:noWrap w:val="0"/>
                  <w:vAlign w:val="center"/>
                </w:tcPr>
                <w:p w14:paraId="141EA952">
                  <w:pPr>
                    <w:jc w:val="center"/>
                    <w:rPr>
                      <w:color w:val="000000"/>
                      <w:sz w:val="18"/>
                      <w:szCs w:val="18"/>
                      <w:u w:val="none"/>
                    </w:rPr>
                  </w:pPr>
                  <w:r>
                    <w:rPr>
                      <w:rFonts w:hint="eastAsia"/>
                      <w:color w:val="000000"/>
                      <w:sz w:val="18"/>
                      <w:szCs w:val="18"/>
                      <w:u w:val="none"/>
                    </w:rPr>
                    <w:t>基础减振、厂房隔声</w:t>
                  </w:r>
                </w:p>
              </w:tc>
              <w:tc>
                <w:tcPr>
                  <w:tcW w:w="282" w:type="pct"/>
                  <w:noWrap w:val="0"/>
                  <w:vAlign w:val="center"/>
                </w:tcPr>
                <w:p w14:paraId="5B0D8864">
                  <w:pPr>
                    <w:pStyle w:val="48"/>
                    <w:jc w:val="center"/>
                    <w:rPr>
                      <w:rFonts w:hint="default" w:eastAsia="宋体"/>
                      <w:color w:val="000000"/>
                      <w:sz w:val="18"/>
                      <w:szCs w:val="18"/>
                      <w:u w:val="none"/>
                      <w:lang w:val="en-US" w:eastAsia="zh-CN"/>
                    </w:rPr>
                  </w:pPr>
                  <w:r>
                    <w:rPr>
                      <w:rFonts w:hint="eastAsia"/>
                      <w:color w:val="000000"/>
                      <w:sz w:val="18"/>
                      <w:szCs w:val="18"/>
                      <w:u w:val="none"/>
                      <w:lang w:val="en-US" w:eastAsia="zh-CN"/>
                    </w:rPr>
                    <w:t>10</w:t>
                  </w:r>
                </w:p>
              </w:tc>
              <w:tc>
                <w:tcPr>
                  <w:tcW w:w="282" w:type="pct"/>
                  <w:noWrap w:val="0"/>
                  <w:vAlign w:val="center"/>
                </w:tcPr>
                <w:p w14:paraId="7F9BE915">
                  <w:pPr>
                    <w:pStyle w:val="48"/>
                    <w:jc w:val="center"/>
                    <w:rPr>
                      <w:rFonts w:hint="default" w:eastAsia="宋体"/>
                      <w:color w:val="000000"/>
                      <w:sz w:val="18"/>
                      <w:szCs w:val="18"/>
                      <w:u w:val="none"/>
                      <w:lang w:val="en-US" w:eastAsia="zh-CN"/>
                    </w:rPr>
                  </w:pPr>
                  <w:r>
                    <w:rPr>
                      <w:rFonts w:hint="eastAsia"/>
                      <w:color w:val="000000"/>
                      <w:sz w:val="18"/>
                      <w:szCs w:val="18"/>
                      <w:u w:val="none"/>
                      <w:lang w:val="en-US" w:eastAsia="zh-CN"/>
                    </w:rPr>
                    <w:t>70</w:t>
                  </w:r>
                </w:p>
              </w:tc>
              <w:tc>
                <w:tcPr>
                  <w:tcW w:w="287" w:type="pct"/>
                  <w:noWrap w:val="0"/>
                  <w:vAlign w:val="center"/>
                </w:tcPr>
                <w:p w14:paraId="3FEDDF64">
                  <w:pPr>
                    <w:pStyle w:val="48"/>
                    <w:jc w:val="center"/>
                    <w:rPr>
                      <w:rFonts w:hint="eastAsia"/>
                      <w:color w:val="000000"/>
                      <w:sz w:val="18"/>
                      <w:szCs w:val="18"/>
                      <w:u w:val="none"/>
                    </w:rPr>
                  </w:pPr>
                  <w:r>
                    <w:rPr>
                      <w:rFonts w:hint="eastAsia"/>
                      <w:color w:val="000000"/>
                      <w:sz w:val="18"/>
                      <w:szCs w:val="18"/>
                      <w:u w:val="none"/>
                    </w:rPr>
                    <w:t>1</w:t>
                  </w:r>
                </w:p>
              </w:tc>
              <w:tc>
                <w:tcPr>
                  <w:tcW w:w="279" w:type="pct"/>
                  <w:noWrap w:val="0"/>
                  <w:vAlign w:val="center"/>
                </w:tcPr>
                <w:p w14:paraId="544A7983">
                  <w:pPr>
                    <w:pStyle w:val="49"/>
                    <w:snapToGrid/>
                    <w:spacing w:line="240" w:lineRule="auto"/>
                    <w:jc w:val="center"/>
                    <w:rPr>
                      <w:rFonts w:hint="eastAsia"/>
                      <w:color w:val="000000"/>
                      <w:sz w:val="18"/>
                      <w:szCs w:val="18"/>
                      <w:u w:val="none"/>
                      <w:lang w:val="en-US" w:eastAsia="zh-CN"/>
                    </w:rPr>
                  </w:pPr>
                  <w:r>
                    <w:rPr>
                      <w:rFonts w:hint="eastAsia"/>
                      <w:color w:val="000000"/>
                      <w:sz w:val="18"/>
                      <w:szCs w:val="18"/>
                      <w:u w:val="none"/>
                      <w:lang w:val="en-US" w:eastAsia="zh-CN"/>
                    </w:rPr>
                    <w:t>1</w:t>
                  </w:r>
                </w:p>
              </w:tc>
              <w:tc>
                <w:tcPr>
                  <w:tcW w:w="391" w:type="pct"/>
                  <w:noWrap w:val="0"/>
                  <w:vAlign w:val="center"/>
                </w:tcPr>
                <w:p w14:paraId="251FED86">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10</w:t>
                  </w:r>
                </w:p>
                <w:p w14:paraId="045C8A73">
                  <w:pPr>
                    <w:pStyle w:val="49"/>
                    <w:snapToGrid/>
                    <w:spacing w:line="240" w:lineRule="auto"/>
                    <w:jc w:val="center"/>
                    <w:rPr>
                      <w:rFonts w:hint="eastAsia"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5</w:t>
                  </w:r>
                </w:p>
                <w:p w14:paraId="653B336C">
                  <w:pPr>
                    <w:pStyle w:val="49"/>
                    <w:snapToGrid/>
                    <w:spacing w:line="240" w:lineRule="auto"/>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10</w:t>
                  </w:r>
                </w:p>
                <w:p w14:paraId="22E06C6C">
                  <w:pPr>
                    <w:jc w:val="center"/>
                    <w:rPr>
                      <w:rFonts w:hint="default" w:eastAsia="宋体"/>
                      <w:color w:val="000000"/>
                      <w:sz w:val="18"/>
                      <w:szCs w:val="18"/>
                      <w:u w:val="none"/>
                      <w:lang w:val="en-US" w:eastAsia="zh-CN"/>
                    </w:rPr>
                  </w:pPr>
                  <w:r>
                    <w:rPr>
                      <w:color w:val="000000"/>
                      <w:sz w:val="18"/>
                      <w:szCs w:val="18"/>
                      <w:u w:val="none"/>
                    </w:rPr>
                    <w:t>N</w:t>
                  </w:r>
                  <w:r>
                    <w:rPr>
                      <w:rFonts w:hint="eastAsia"/>
                      <w:color w:val="000000"/>
                      <w:sz w:val="18"/>
                      <w:szCs w:val="18"/>
                      <w:u w:val="none"/>
                      <w:lang w:val="en-US" w:eastAsia="zh-CN"/>
                    </w:rPr>
                    <w:t>67</w:t>
                  </w:r>
                </w:p>
              </w:tc>
              <w:tc>
                <w:tcPr>
                  <w:tcW w:w="441" w:type="pct"/>
                  <w:noWrap w:val="0"/>
                  <w:vAlign w:val="center"/>
                </w:tcPr>
                <w:p w14:paraId="3D3887EF">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65</w:t>
                  </w:r>
                </w:p>
                <w:p w14:paraId="241BAFE6">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71</w:t>
                  </w:r>
                </w:p>
                <w:p w14:paraId="09794FF4">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65</w:t>
                  </w:r>
                </w:p>
                <w:p w14:paraId="3B183CFE">
                  <w:pPr>
                    <w:jc w:val="center"/>
                    <w:rPr>
                      <w:rFonts w:hint="default"/>
                      <w:color w:val="000000"/>
                      <w:sz w:val="18"/>
                      <w:szCs w:val="18"/>
                      <w:u w:val="none"/>
                      <w:lang w:val="en-US"/>
                    </w:rPr>
                  </w:pPr>
                  <w:r>
                    <w:rPr>
                      <w:color w:val="000000"/>
                      <w:sz w:val="18"/>
                      <w:szCs w:val="18"/>
                      <w:u w:val="none"/>
                    </w:rPr>
                    <w:t>N</w:t>
                  </w:r>
                  <w:r>
                    <w:rPr>
                      <w:rFonts w:hint="eastAsia"/>
                      <w:color w:val="000000"/>
                      <w:sz w:val="18"/>
                      <w:szCs w:val="18"/>
                      <w:u w:val="none"/>
                      <w:lang w:val="en-US" w:eastAsia="zh-CN"/>
                    </w:rPr>
                    <w:t>48</w:t>
                  </w:r>
                </w:p>
              </w:tc>
              <w:tc>
                <w:tcPr>
                  <w:tcW w:w="218" w:type="pct"/>
                  <w:noWrap w:val="0"/>
                  <w:vAlign w:val="center"/>
                </w:tcPr>
                <w:p w14:paraId="06E17697">
                  <w:pPr>
                    <w:jc w:val="center"/>
                    <w:rPr>
                      <w:rFonts w:hint="eastAsia"/>
                      <w:color w:val="000000"/>
                      <w:sz w:val="18"/>
                      <w:szCs w:val="18"/>
                      <w:u w:val="none"/>
                    </w:rPr>
                  </w:pPr>
                  <w:r>
                    <w:rPr>
                      <w:rFonts w:hint="eastAsia"/>
                      <w:color w:val="000000"/>
                      <w:sz w:val="18"/>
                      <w:szCs w:val="18"/>
                      <w:u w:val="none"/>
                    </w:rPr>
                    <w:t>昼间</w:t>
                  </w:r>
                </w:p>
              </w:tc>
              <w:tc>
                <w:tcPr>
                  <w:tcW w:w="441" w:type="pct"/>
                  <w:noWrap w:val="0"/>
                  <w:vAlign w:val="center"/>
                </w:tcPr>
                <w:p w14:paraId="7581EDE5">
                  <w:pPr>
                    <w:jc w:val="center"/>
                    <w:rPr>
                      <w:rFonts w:hint="eastAsia"/>
                      <w:color w:val="000000"/>
                      <w:sz w:val="18"/>
                      <w:szCs w:val="18"/>
                      <w:u w:val="none"/>
                    </w:rPr>
                  </w:pPr>
                  <w:r>
                    <w:rPr>
                      <w:rFonts w:hint="eastAsia"/>
                      <w:color w:val="000000"/>
                      <w:sz w:val="18"/>
                      <w:szCs w:val="18"/>
                      <w:u w:val="none"/>
                    </w:rPr>
                    <w:t>20</w:t>
                  </w:r>
                </w:p>
              </w:tc>
              <w:tc>
                <w:tcPr>
                  <w:tcW w:w="433" w:type="pct"/>
                  <w:noWrap w:val="0"/>
                  <w:vAlign w:val="center"/>
                </w:tcPr>
                <w:p w14:paraId="0BC1BF4E">
                  <w:pPr>
                    <w:jc w:val="center"/>
                    <w:rPr>
                      <w:rFonts w:hint="default" w:eastAsia="宋体"/>
                      <w:color w:val="000000"/>
                      <w:sz w:val="18"/>
                      <w:szCs w:val="18"/>
                      <w:u w:val="none"/>
                      <w:lang w:val="en-US" w:eastAsia="zh-CN"/>
                    </w:rPr>
                  </w:pPr>
                  <w:r>
                    <w:rPr>
                      <w:color w:val="000000"/>
                      <w:sz w:val="18"/>
                      <w:szCs w:val="18"/>
                      <w:u w:val="none"/>
                    </w:rPr>
                    <w:t>E</w:t>
                  </w:r>
                  <w:r>
                    <w:rPr>
                      <w:rFonts w:hint="eastAsia"/>
                      <w:color w:val="000000"/>
                      <w:sz w:val="18"/>
                      <w:szCs w:val="18"/>
                      <w:u w:val="none"/>
                      <w:lang w:val="en-US" w:eastAsia="zh-CN"/>
                    </w:rPr>
                    <w:t>45</w:t>
                  </w:r>
                </w:p>
                <w:p w14:paraId="6EA62622">
                  <w:pPr>
                    <w:jc w:val="center"/>
                    <w:rPr>
                      <w:rFonts w:hint="default" w:eastAsia="宋体"/>
                      <w:color w:val="000000"/>
                      <w:sz w:val="18"/>
                      <w:szCs w:val="18"/>
                      <w:u w:val="none"/>
                      <w:lang w:val="en-US" w:eastAsia="zh-CN"/>
                    </w:rPr>
                  </w:pPr>
                  <w:r>
                    <w:rPr>
                      <w:color w:val="000000"/>
                      <w:sz w:val="18"/>
                      <w:szCs w:val="18"/>
                      <w:u w:val="none"/>
                    </w:rPr>
                    <w:t>S</w:t>
                  </w:r>
                  <w:r>
                    <w:rPr>
                      <w:rFonts w:hint="eastAsia"/>
                      <w:color w:val="000000"/>
                      <w:sz w:val="18"/>
                      <w:szCs w:val="18"/>
                      <w:u w:val="none"/>
                      <w:lang w:val="en-US" w:eastAsia="zh-CN"/>
                    </w:rPr>
                    <w:t>51</w:t>
                  </w:r>
                </w:p>
                <w:p w14:paraId="4F60AFC5">
                  <w:pPr>
                    <w:jc w:val="center"/>
                    <w:rPr>
                      <w:rFonts w:hint="default" w:eastAsia="宋体"/>
                      <w:color w:val="000000"/>
                      <w:sz w:val="18"/>
                      <w:szCs w:val="18"/>
                      <w:u w:val="none"/>
                      <w:lang w:val="en-US" w:eastAsia="zh-CN"/>
                    </w:rPr>
                  </w:pPr>
                  <w:r>
                    <w:rPr>
                      <w:color w:val="000000"/>
                      <w:sz w:val="18"/>
                      <w:szCs w:val="18"/>
                      <w:u w:val="none"/>
                    </w:rPr>
                    <w:t>W</w:t>
                  </w:r>
                  <w:r>
                    <w:rPr>
                      <w:rFonts w:hint="eastAsia"/>
                      <w:color w:val="000000"/>
                      <w:sz w:val="18"/>
                      <w:szCs w:val="18"/>
                      <w:u w:val="none"/>
                      <w:lang w:val="en-US" w:eastAsia="zh-CN"/>
                    </w:rPr>
                    <w:t>45</w:t>
                  </w:r>
                </w:p>
                <w:p w14:paraId="21018B96">
                  <w:pPr>
                    <w:jc w:val="center"/>
                    <w:rPr>
                      <w:rFonts w:hint="default" w:eastAsia="宋体"/>
                      <w:color w:val="000000"/>
                      <w:sz w:val="18"/>
                      <w:szCs w:val="18"/>
                      <w:u w:val="none"/>
                      <w:lang w:val="en-US" w:eastAsia="zh-CN"/>
                    </w:rPr>
                  </w:pPr>
                  <w:r>
                    <w:rPr>
                      <w:color w:val="000000"/>
                      <w:sz w:val="18"/>
                      <w:szCs w:val="18"/>
                      <w:u w:val="none"/>
                    </w:rPr>
                    <w:t>N</w:t>
                  </w:r>
                  <w:r>
                    <w:rPr>
                      <w:rFonts w:hint="eastAsia"/>
                      <w:color w:val="000000"/>
                      <w:sz w:val="18"/>
                      <w:szCs w:val="18"/>
                      <w:u w:val="none"/>
                      <w:lang w:val="en-US" w:eastAsia="zh-CN"/>
                    </w:rPr>
                    <w:t>48</w:t>
                  </w:r>
                </w:p>
              </w:tc>
              <w:tc>
                <w:tcPr>
                  <w:tcW w:w="431" w:type="pct"/>
                  <w:noWrap w:val="0"/>
                  <w:vAlign w:val="center"/>
                </w:tcPr>
                <w:p w14:paraId="2DBF248F">
                  <w:pPr>
                    <w:pStyle w:val="48"/>
                    <w:jc w:val="center"/>
                    <w:rPr>
                      <w:rFonts w:hint="eastAsia"/>
                      <w:color w:val="000000"/>
                      <w:sz w:val="18"/>
                      <w:szCs w:val="18"/>
                      <w:u w:val="none"/>
                    </w:rPr>
                  </w:pPr>
                  <w:r>
                    <w:rPr>
                      <w:rFonts w:hint="eastAsia"/>
                      <w:color w:val="000000"/>
                      <w:sz w:val="18"/>
                      <w:szCs w:val="18"/>
                      <w:u w:val="none"/>
                    </w:rPr>
                    <w:t>1</w:t>
                  </w:r>
                </w:p>
              </w:tc>
            </w:tr>
            <w:tr w14:paraId="7CB63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jc w:val="center"/>
              </w:trPr>
              <w:tc>
                <w:tcPr>
                  <w:tcW w:w="5000" w:type="pct"/>
                  <w:gridSpan w:val="14"/>
                  <w:noWrap w:val="0"/>
                  <w:vAlign w:val="center"/>
                </w:tcPr>
                <w:p w14:paraId="6479A163">
                  <w:pPr>
                    <w:pStyle w:val="48"/>
                    <w:jc w:val="both"/>
                    <w:rPr>
                      <w:rFonts w:hint="eastAsia"/>
                      <w:color w:val="000000"/>
                      <w:sz w:val="18"/>
                      <w:szCs w:val="18"/>
                      <w:u w:val="none"/>
                    </w:rPr>
                  </w:pPr>
                  <w:r>
                    <w:rPr>
                      <w:rFonts w:hint="eastAsia"/>
                      <w:color w:val="000000"/>
                      <w:sz w:val="18"/>
                      <w:szCs w:val="18"/>
                      <w:u w:val="none"/>
                      <w:lang w:val="en-US" w:eastAsia="zh-CN"/>
                    </w:rPr>
                    <w:t>注：以厂区西南角为坐标原点。</w:t>
                  </w:r>
                </w:p>
              </w:tc>
            </w:tr>
          </w:tbl>
          <w:p w14:paraId="2B1D2213">
            <w:pPr>
              <w:adjustRightInd w:val="0"/>
              <w:spacing w:line="360" w:lineRule="auto"/>
              <w:rPr>
                <w:bCs/>
                <w:color w:val="000000"/>
                <w:sz w:val="24"/>
              </w:rPr>
            </w:pPr>
            <w:r>
              <w:rPr>
                <w:bCs/>
                <w:color w:val="000000"/>
                <w:sz w:val="24"/>
              </w:rPr>
              <w:t>3.2声环境影响预测</w:t>
            </w:r>
          </w:p>
          <w:p w14:paraId="5F1E9D33">
            <w:pPr>
              <w:adjustRightInd w:val="0"/>
              <w:spacing w:line="360" w:lineRule="auto"/>
              <w:ind w:firstLine="480" w:firstLineChars="200"/>
              <w:rPr>
                <w:rFonts w:hint="eastAsia"/>
                <w:bCs/>
                <w:color w:val="000000"/>
                <w:sz w:val="24"/>
              </w:rPr>
            </w:pPr>
            <w:r>
              <w:rPr>
                <w:rFonts w:hint="eastAsia"/>
                <w:bCs/>
                <w:color w:val="000000"/>
                <w:sz w:val="24"/>
              </w:rPr>
              <w:t>根据《环境影响评价技术导则</w:t>
            </w:r>
            <w:r>
              <w:rPr>
                <w:rFonts w:hint="eastAsia"/>
                <w:bCs/>
                <w:color w:val="000000"/>
                <w:sz w:val="24"/>
                <w:lang w:val="en-US" w:eastAsia="zh-CN"/>
              </w:rPr>
              <w:t xml:space="preserve"> </w:t>
            </w:r>
            <w:r>
              <w:rPr>
                <w:rFonts w:hint="eastAsia"/>
                <w:bCs/>
                <w:color w:val="000000"/>
                <w:sz w:val="24"/>
              </w:rPr>
              <w:t>声环境》（HJ 2.4-2021），选用预测模式，应用过程中将根据具体情况作必要简化。</w:t>
            </w:r>
          </w:p>
          <w:p w14:paraId="446A3E36">
            <w:pPr>
              <w:adjustRightInd w:val="0"/>
              <w:spacing w:line="360" w:lineRule="auto"/>
              <w:ind w:firstLine="480" w:firstLineChars="200"/>
              <w:rPr>
                <w:rFonts w:hint="eastAsia"/>
                <w:bCs/>
                <w:color w:val="000000"/>
                <w:sz w:val="24"/>
              </w:rPr>
            </w:pPr>
            <w:r>
              <w:rPr>
                <w:rFonts w:hint="eastAsia"/>
                <w:bCs/>
                <w:color w:val="000000"/>
                <w:sz w:val="24"/>
              </w:rPr>
              <w:t>①室内点声源的预测</w:t>
            </w:r>
          </w:p>
          <w:p w14:paraId="30DCE747">
            <w:pPr>
              <w:spacing w:line="360" w:lineRule="auto"/>
              <w:rPr>
                <w:rFonts w:hint="eastAsia"/>
                <w:color w:val="000000"/>
                <w:sz w:val="24"/>
                <w:szCs w:val="24"/>
              </w:rPr>
            </w:pPr>
            <w:r>
              <w:rPr>
                <w:rFonts w:hint="eastAsia"/>
                <w:bCs/>
                <w:color w:val="000000"/>
                <w:sz w:val="24"/>
              </w:rPr>
              <w:t>声源位于室内，室内声源可采用等效室外声源声功率级法进行计算。设靠近开口处（或窗户）室内、室外某倍频带的声压级或A声级分别为L</w:t>
            </w:r>
            <w:r>
              <w:rPr>
                <w:rFonts w:hint="eastAsia"/>
                <w:bCs/>
                <w:color w:val="000000"/>
                <w:sz w:val="24"/>
                <w:vertAlign w:val="subscript"/>
              </w:rPr>
              <w:t>p1</w:t>
            </w:r>
            <w:r>
              <w:rPr>
                <w:rFonts w:hint="eastAsia"/>
                <w:bCs/>
                <w:color w:val="000000"/>
                <w:sz w:val="24"/>
              </w:rPr>
              <w:t>和L</w:t>
            </w:r>
            <w:r>
              <w:rPr>
                <w:rFonts w:hint="eastAsia"/>
                <w:bCs/>
                <w:color w:val="000000"/>
                <w:sz w:val="24"/>
                <w:vertAlign w:val="subscript"/>
              </w:rPr>
              <w:t>p2</w:t>
            </w:r>
            <w:r>
              <w:rPr>
                <w:rFonts w:hint="eastAsia"/>
                <w:bCs/>
                <w:color w:val="000000"/>
                <w:sz w:val="24"/>
              </w:rPr>
              <w:t>。若声源所在室内声场为近似扩散声场，则室外的倍频带声压级为：</w:t>
            </w:r>
          </w:p>
          <w:p w14:paraId="0E85F556">
            <w:pPr>
              <w:adjustRightInd w:val="0"/>
              <w:spacing w:line="360" w:lineRule="auto"/>
              <w:jc w:val="center"/>
              <w:rPr>
                <w:rFonts w:hint="eastAsia"/>
                <w:bCs/>
                <w:color w:val="000000"/>
                <w:sz w:val="24"/>
              </w:rPr>
            </w:pPr>
            <w:r>
              <w:rPr>
                <w:rFonts w:hint="eastAsia"/>
                <w:bCs/>
                <w:color w:val="000000"/>
                <w:sz w:val="24"/>
              </w:rPr>
              <w:t>L</w:t>
            </w:r>
            <w:r>
              <w:rPr>
                <w:rFonts w:hint="eastAsia"/>
                <w:bCs/>
                <w:color w:val="000000"/>
                <w:sz w:val="24"/>
                <w:vertAlign w:val="subscript"/>
              </w:rPr>
              <w:t>P2</w:t>
            </w:r>
            <w:r>
              <w:rPr>
                <w:rFonts w:hint="eastAsia"/>
                <w:bCs/>
                <w:color w:val="000000"/>
                <w:sz w:val="24"/>
              </w:rPr>
              <w:t>=L</w:t>
            </w:r>
            <w:r>
              <w:rPr>
                <w:rFonts w:hint="eastAsia"/>
                <w:bCs/>
                <w:color w:val="000000"/>
                <w:sz w:val="24"/>
                <w:vertAlign w:val="subscript"/>
              </w:rPr>
              <w:t>P1</w:t>
            </w:r>
            <w:r>
              <w:rPr>
                <w:rFonts w:hint="eastAsia"/>
                <w:bCs/>
                <w:color w:val="000000"/>
                <w:sz w:val="24"/>
              </w:rPr>
              <w:t>-（TL+6）</w:t>
            </w:r>
          </w:p>
          <w:p w14:paraId="044E6123">
            <w:pPr>
              <w:adjustRightInd w:val="0"/>
              <w:spacing w:line="360" w:lineRule="auto"/>
              <w:ind w:firstLine="480" w:firstLineChars="200"/>
              <w:rPr>
                <w:rFonts w:hint="eastAsia"/>
                <w:bCs/>
                <w:color w:val="000000"/>
                <w:sz w:val="24"/>
              </w:rPr>
            </w:pPr>
            <w:r>
              <w:rPr>
                <w:rFonts w:hint="eastAsia"/>
                <w:bCs/>
                <w:color w:val="000000"/>
                <w:sz w:val="24"/>
              </w:rPr>
              <w:t>式中：L</w:t>
            </w:r>
            <w:r>
              <w:rPr>
                <w:rFonts w:hint="eastAsia"/>
                <w:bCs/>
                <w:color w:val="000000"/>
                <w:sz w:val="24"/>
                <w:vertAlign w:val="subscript"/>
              </w:rPr>
              <w:t>p1</w:t>
            </w:r>
            <w:r>
              <w:rPr>
                <w:rFonts w:hint="eastAsia"/>
                <w:bCs/>
                <w:color w:val="000000"/>
                <w:sz w:val="24"/>
              </w:rPr>
              <w:t>—靠近开口处（或窗户）室内某倍频带的声压级或A声级，dB；</w:t>
            </w:r>
          </w:p>
          <w:p w14:paraId="79776EF2">
            <w:pPr>
              <w:adjustRightInd w:val="0"/>
              <w:spacing w:line="360" w:lineRule="auto"/>
              <w:ind w:firstLine="1200" w:firstLineChars="500"/>
              <w:rPr>
                <w:rFonts w:hint="eastAsia"/>
                <w:bCs/>
                <w:color w:val="000000"/>
                <w:sz w:val="24"/>
              </w:rPr>
            </w:pPr>
            <w:r>
              <w:rPr>
                <w:rFonts w:hint="eastAsia"/>
                <w:bCs/>
                <w:color w:val="000000"/>
                <w:sz w:val="24"/>
              </w:rPr>
              <w:t>L</w:t>
            </w:r>
            <w:r>
              <w:rPr>
                <w:rFonts w:hint="eastAsia"/>
                <w:bCs/>
                <w:color w:val="000000"/>
                <w:sz w:val="24"/>
                <w:vertAlign w:val="subscript"/>
              </w:rPr>
              <w:t>p2</w:t>
            </w:r>
            <w:r>
              <w:rPr>
                <w:rFonts w:hint="eastAsia"/>
                <w:bCs/>
                <w:color w:val="000000"/>
                <w:sz w:val="24"/>
              </w:rPr>
              <w:t>—靠近开口处（或窗户）室外某倍频带的声压级或A声级，dB；</w:t>
            </w:r>
          </w:p>
          <w:p w14:paraId="0903E5E0">
            <w:pPr>
              <w:adjustRightInd w:val="0"/>
              <w:spacing w:line="360" w:lineRule="auto"/>
              <w:ind w:firstLine="1200" w:firstLineChars="500"/>
              <w:rPr>
                <w:rFonts w:hint="eastAsia"/>
                <w:color w:val="000000"/>
                <w:sz w:val="24"/>
              </w:rPr>
            </w:pPr>
            <w:r>
              <w:rPr>
                <w:rFonts w:hint="eastAsia"/>
                <w:bCs/>
                <w:color w:val="000000"/>
                <w:sz w:val="24"/>
              </w:rPr>
              <w:t>TL—隔墙（或窗户）倍频带或A声级的隔声量，dB。</w:t>
            </w:r>
          </w:p>
          <w:p w14:paraId="3642F393">
            <w:pPr>
              <w:adjustRightInd w:val="0"/>
              <w:spacing w:line="360" w:lineRule="auto"/>
              <w:ind w:firstLine="480" w:firstLineChars="200"/>
              <w:rPr>
                <w:rFonts w:hint="eastAsia"/>
                <w:bCs/>
                <w:color w:val="000000"/>
                <w:sz w:val="24"/>
              </w:rPr>
            </w:pPr>
            <w:r>
              <w:rPr>
                <w:rFonts w:hint="eastAsia"/>
                <w:bCs/>
                <w:color w:val="000000"/>
                <w:sz w:val="24"/>
              </w:rPr>
              <w:t>②无指向性点声源的几何发散衰减公式：</w:t>
            </w:r>
          </w:p>
          <w:p w14:paraId="6A086B73">
            <w:pPr>
              <w:adjustRightInd w:val="0"/>
              <w:spacing w:line="360" w:lineRule="auto"/>
              <w:jc w:val="center"/>
              <w:rPr>
                <w:rFonts w:hint="eastAsia"/>
                <w:bCs/>
                <w:color w:val="000000"/>
                <w:sz w:val="24"/>
              </w:rPr>
            </w:pPr>
            <w:r>
              <w:rPr>
                <w:rFonts w:hint="eastAsia"/>
                <w:bCs/>
                <w:color w:val="000000"/>
                <w:sz w:val="24"/>
              </w:rPr>
              <w:t>L</w:t>
            </w:r>
            <w:r>
              <w:rPr>
                <w:rFonts w:hint="eastAsia"/>
                <w:bCs/>
                <w:color w:val="000000"/>
                <w:sz w:val="24"/>
                <w:vertAlign w:val="subscript"/>
              </w:rPr>
              <w:t>P（r）</w:t>
            </w:r>
            <w:r>
              <w:rPr>
                <w:rFonts w:hint="eastAsia"/>
                <w:bCs/>
                <w:color w:val="000000"/>
                <w:sz w:val="24"/>
              </w:rPr>
              <w:t>=L</w:t>
            </w:r>
            <w:r>
              <w:rPr>
                <w:rFonts w:hint="eastAsia"/>
                <w:bCs/>
                <w:color w:val="000000"/>
                <w:sz w:val="24"/>
                <w:vertAlign w:val="subscript"/>
              </w:rPr>
              <w:t>P（r0）</w:t>
            </w:r>
            <w:r>
              <w:rPr>
                <w:rFonts w:hint="eastAsia"/>
                <w:bCs/>
                <w:color w:val="000000"/>
                <w:sz w:val="24"/>
              </w:rPr>
              <w:t>-20lg（r/r</w:t>
            </w:r>
            <w:r>
              <w:rPr>
                <w:rFonts w:hint="eastAsia"/>
                <w:bCs/>
                <w:color w:val="000000"/>
                <w:sz w:val="24"/>
                <w:vertAlign w:val="subscript"/>
              </w:rPr>
              <w:t>0</w:t>
            </w:r>
            <w:r>
              <w:rPr>
                <w:rFonts w:hint="eastAsia"/>
                <w:bCs/>
                <w:color w:val="000000"/>
                <w:sz w:val="24"/>
              </w:rPr>
              <w:t>）</w:t>
            </w:r>
          </w:p>
          <w:p w14:paraId="30690BA8">
            <w:pPr>
              <w:adjustRightInd w:val="0"/>
              <w:spacing w:line="360" w:lineRule="auto"/>
              <w:ind w:firstLine="480" w:firstLineChars="200"/>
              <w:rPr>
                <w:rFonts w:hint="eastAsia"/>
                <w:bCs/>
                <w:color w:val="000000"/>
                <w:sz w:val="24"/>
              </w:rPr>
            </w:pPr>
            <w:r>
              <w:rPr>
                <w:rFonts w:hint="eastAsia"/>
                <w:bCs/>
                <w:color w:val="000000"/>
                <w:sz w:val="24"/>
              </w:rPr>
              <w:t>式中：r</w:t>
            </w:r>
            <w:r>
              <w:rPr>
                <w:rFonts w:hint="eastAsia"/>
                <w:bCs/>
                <w:color w:val="000000"/>
                <w:sz w:val="24"/>
                <w:vertAlign w:val="subscript"/>
              </w:rPr>
              <w:t>0</w:t>
            </w:r>
            <w:r>
              <w:rPr>
                <w:rFonts w:hint="eastAsia"/>
                <w:bCs/>
                <w:color w:val="000000"/>
                <w:sz w:val="24"/>
              </w:rPr>
              <w:t>—参考位置距离声源的距离（m）；</w:t>
            </w:r>
          </w:p>
          <w:p w14:paraId="74976D7A">
            <w:pPr>
              <w:adjustRightInd w:val="0"/>
              <w:spacing w:line="360" w:lineRule="auto"/>
              <w:ind w:firstLine="1200" w:firstLineChars="500"/>
              <w:rPr>
                <w:rFonts w:hint="eastAsia"/>
                <w:bCs/>
                <w:color w:val="000000"/>
                <w:sz w:val="24"/>
              </w:rPr>
            </w:pPr>
            <w:r>
              <w:rPr>
                <w:rFonts w:hint="eastAsia"/>
                <w:bCs/>
                <w:color w:val="000000"/>
                <w:sz w:val="24"/>
              </w:rPr>
              <w:t>r—预测点距离声源的距离（m）；</w:t>
            </w:r>
          </w:p>
          <w:p w14:paraId="0E22E443">
            <w:pPr>
              <w:adjustRightInd w:val="0"/>
              <w:spacing w:line="360" w:lineRule="auto"/>
              <w:ind w:firstLine="1200" w:firstLineChars="500"/>
              <w:rPr>
                <w:rFonts w:hint="eastAsia"/>
                <w:bCs/>
                <w:color w:val="000000"/>
                <w:sz w:val="24"/>
              </w:rPr>
            </w:pPr>
            <w:r>
              <w:rPr>
                <w:rFonts w:hint="eastAsia"/>
                <w:bCs/>
                <w:color w:val="000000"/>
                <w:sz w:val="24"/>
              </w:rPr>
              <w:t>L</w:t>
            </w:r>
            <w:r>
              <w:rPr>
                <w:rFonts w:hint="eastAsia"/>
                <w:bCs/>
                <w:color w:val="000000"/>
                <w:sz w:val="24"/>
                <w:vertAlign w:val="subscript"/>
              </w:rPr>
              <w:t>P（r）</w:t>
            </w:r>
            <w:r>
              <w:rPr>
                <w:rFonts w:hint="eastAsia"/>
                <w:bCs/>
                <w:color w:val="000000"/>
                <w:sz w:val="24"/>
              </w:rPr>
              <w:t>—预测点处声压级，dB；</w:t>
            </w:r>
          </w:p>
          <w:p w14:paraId="7DD76E82">
            <w:pPr>
              <w:adjustRightInd w:val="0"/>
              <w:spacing w:line="360" w:lineRule="auto"/>
              <w:ind w:firstLine="1200" w:firstLineChars="500"/>
              <w:rPr>
                <w:rFonts w:hint="eastAsia"/>
                <w:bCs/>
                <w:color w:val="000000"/>
                <w:sz w:val="24"/>
              </w:rPr>
            </w:pPr>
            <w:r>
              <w:rPr>
                <w:rFonts w:hint="eastAsia"/>
                <w:bCs/>
                <w:color w:val="000000"/>
                <w:sz w:val="24"/>
              </w:rPr>
              <w:t>L</w:t>
            </w:r>
            <w:r>
              <w:rPr>
                <w:rFonts w:hint="eastAsia"/>
                <w:bCs/>
                <w:color w:val="000000"/>
                <w:sz w:val="24"/>
                <w:vertAlign w:val="subscript"/>
              </w:rPr>
              <w:t>P（r0）</w:t>
            </w:r>
            <w:r>
              <w:rPr>
                <w:rFonts w:hint="eastAsia"/>
                <w:bCs/>
                <w:color w:val="000000"/>
                <w:sz w:val="24"/>
              </w:rPr>
              <w:t>—参考位置r</w:t>
            </w:r>
            <w:r>
              <w:rPr>
                <w:rFonts w:hint="eastAsia"/>
                <w:bCs/>
                <w:color w:val="000000"/>
                <w:sz w:val="24"/>
                <w:vertAlign w:val="subscript"/>
              </w:rPr>
              <w:t>0</w:t>
            </w:r>
            <w:r>
              <w:rPr>
                <w:rFonts w:hint="eastAsia"/>
                <w:bCs/>
                <w:color w:val="000000"/>
                <w:sz w:val="24"/>
              </w:rPr>
              <w:t>的声压级，dB。</w:t>
            </w:r>
          </w:p>
          <w:p w14:paraId="6EB9DD24">
            <w:pPr>
              <w:adjustRightInd w:val="0"/>
              <w:spacing w:line="360" w:lineRule="auto"/>
              <w:ind w:firstLine="480" w:firstLineChars="200"/>
              <w:rPr>
                <w:rFonts w:hint="eastAsia"/>
                <w:bCs/>
                <w:color w:val="000000"/>
                <w:sz w:val="24"/>
              </w:rPr>
            </w:pPr>
            <w:r>
              <w:rPr>
                <w:rFonts w:hint="eastAsia"/>
                <w:bCs/>
                <w:color w:val="000000"/>
                <w:sz w:val="24"/>
              </w:rPr>
              <w:t>③声级叠加</w:t>
            </w:r>
          </w:p>
          <w:p w14:paraId="7273327D">
            <w:pPr>
              <w:adjustRightInd w:val="0"/>
              <w:spacing w:line="360" w:lineRule="auto"/>
              <w:ind w:firstLine="480" w:firstLineChars="200"/>
              <w:rPr>
                <w:rFonts w:hint="eastAsia"/>
                <w:bCs/>
                <w:color w:val="000000"/>
                <w:sz w:val="24"/>
              </w:rPr>
            </w:pPr>
            <w:r>
              <w:rPr>
                <w:rFonts w:hint="eastAsia"/>
                <w:bCs/>
                <w:color w:val="000000"/>
                <w:sz w:val="24"/>
              </w:rPr>
              <w:t>当预测点受多声源叠加影响时，噪声源叠加公式：</w:t>
            </w:r>
          </w:p>
          <w:p w14:paraId="299BB9E5">
            <w:pPr>
              <w:adjustRightInd w:val="0"/>
              <w:spacing w:line="360" w:lineRule="auto"/>
              <w:jc w:val="center"/>
              <w:rPr>
                <w:rFonts w:hint="eastAsia"/>
                <w:bCs/>
                <w:color w:val="000000"/>
                <w:sz w:val="24"/>
              </w:rPr>
            </w:pPr>
            <w:r>
              <w:rPr>
                <w:color w:val="000000"/>
                <w:position w:val="-28"/>
              </w:rPr>
              <w:object>
                <v:shape id="_x0000_i1025" o:spt="75" type="#_x0000_t75" style="height:37.45pt;width:112.25pt;" o:ole="t" filled="f" o:preferrelative="t" stroked="f" coordsize="21600,21600">
                  <v:path/>
                  <v:fill on="f" focussize="0,0"/>
                  <v:stroke on="f"/>
                  <v:imagedata r:id="rId11" o:title=""/>
                  <o:lock v:ext="edit" aspectratio="t"/>
                  <w10:wrap type="none"/>
                  <w10:anchorlock/>
                </v:shape>
                <o:OLEObject Type="Embed" ProgID="Equation.3" ShapeID="_x0000_i1025" DrawAspect="Content" ObjectID="_1468075725" r:id="rId10">
                  <o:LockedField>false</o:LockedField>
                </o:OLEObject>
              </w:object>
            </w:r>
          </w:p>
          <w:p w14:paraId="04E945CD">
            <w:pPr>
              <w:adjustRightInd w:val="0"/>
              <w:spacing w:line="360" w:lineRule="auto"/>
              <w:ind w:firstLine="480" w:firstLineChars="200"/>
              <w:rPr>
                <w:rFonts w:hint="eastAsia"/>
                <w:bCs/>
                <w:color w:val="000000"/>
                <w:sz w:val="24"/>
              </w:rPr>
            </w:pPr>
            <w:r>
              <w:rPr>
                <w:rFonts w:hint="eastAsia"/>
                <w:bCs/>
                <w:color w:val="000000"/>
                <w:sz w:val="24"/>
              </w:rPr>
              <w:t>式中：L—总声压级，dB(A)；</w:t>
            </w:r>
          </w:p>
          <w:p w14:paraId="53755102">
            <w:pPr>
              <w:adjustRightInd w:val="0"/>
              <w:spacing w:line="360" w:lineRule="auto"/>
              <w:ind w:firstLine="1200" w:firstLineChars="500"/>
              <w:rPr>
                <w:rFonts w:hint="eastAsia"/>
                <w:bCs/>
                <w:color w:val="000000"/>
                <w:sz w:val="24"/>
              </w:rPr>
            </w:pPr>
            <w:r>
              <w:rPr>
                <w:rFonts w:hint="eastAsia"/>
                <w:bCs/>
                <w:color w:val="000000"/>
                <w:sz w:val="24"/>
              </w:rPr>
              <w:t>Li—第i个声源的声压级，dB(A)；</w:t>
            </w:r>
          </w:p>
          <w:p w14:paraId="228BAFB8">
            <w:pPr>
              <w:adjustRightInd w:val="0"/>
              <w:spacing w:line="360" w:lineRule="auto"/>
              <w:ind w:firstLine="1200" w:firstLineChars="500"/>
              <w:rPr>
                <w:rFonts w:hint="eastAsia"/>
                <w:bCs/>
                <w:color w:val="000000"/>
                <w:sz w:val="24"/>
              </w:rPr>
            </w:pPr>
            <w:r>
              <w:rPr>
                <w:rFonts w:hint="eastAsia"/>
                <w:bCs/>
                <w:color w:val="000000"/>
                <w:sz w:val="24"/>
              </w:rPr>
              <w:t>n—声源数量。</w:t>
            </w:r>
          </w:p>
          <w:p w14:paraId="11EDD7C8">
            <w:pPr>
              <w:adjustRightInd w:val="0"/>
              <w:spacing w:line="360" w:lineRule="auto"/>
              <w:rPr>
                <w:bCs/>
                <w:color w:val="000000"/>
                <w:sz w:val="24"/>
              </w:rPr>
            </w:pPr>
            <w:r>
              <w:rPr>
                <w:bCs/>
                <w:color w:val="000000"/>
                <w:sz w:val="24"/>
              </w:rPr>
              <w:t>3.3噪声影响分析</w:t>
            </w:r>
          </w:p>
          <w:p w14:paraId="49143EC3">
            <w:pPr>
              <w:adjustRightInd w:val="0"/>
              <w:spacing w:line="360" w:lineRule="auto"/>
              <w:ind w:firstLine="480" w:firstLineChars="200"/>
              <w:rPr>
                <w:rFonts w:hint="eastAsia"/>
                <w:color w:val="000000"/>
                <w:sz w:val="24"/>
              </w:rPr>
            </w:pPr>
            <w:r>
              <w:rPr>
                <w:bCs/>
                <w:color w:val="000000"/>
                <w:sz w:val="24"/>
              </w:rPr>
              <w:t>本项目生产设备均安置于封闭厂房内，</w:t>
            </w:r>
            <w:r>
              <w:rPr>
                <w:rFonts w:hint="eastAsia"/>
                <w:bCs/>
                <w:color w:val="000000"/>
                <w:sz w:val="24"/>
              </w:rPr>
              <w:t>建筑物插入</w:t>
            </w:r>
            <w:r>
              <w:rPr>
                <w:bCs/>
                <w:color w:val="000000"/>
                <w:sz w:val="24"/>
              </w:rPr>
              <w:t>损失20dB（A），经距离衰减和厂房隔声后，高噪设备噪声值大大降低。</w:t>
            </w:r>
            <w:r>
              <w:rPr>
                <w:color w:val="000000"/>
                <w:sz w:val="24"/>
              </w:rPr>
              <w:t>本项目厂界噪声预测结果见下表。</w:t>
            </w:r>
          </w:p>
          <w:p w14:paraId="1B21957C">
            <w:pPr>
              <w:adjustRightInd w:val="0"/>
              <w:spacing w:before="93" w:beforeLines="30"/>
              <w:jc w:val="center"/>
              <w:rPr>
                <w:rFonts w:hint="eastAsia" w:ascii="黑体" w:hAnsi="黑体" w:eastAsia="黑体" w:cs="宋体"/>
                <w:bCs/>
                <w:color w:val="000000"/>
                <w:sz w:val="24"/>
                <w:szCs w:val="24"/>
                <w:u w:val="none"/>
              </w:rPr>
            </w:pPr>
            <w:r>
              <w:rPr>
                <w:rFonts w:hint="eastAsia" w:ascii="黑体" w:hAnsi="黑体" w:eastAsia="黑体" w:cs="宋体"/>
                <w:bCs/>
                <w:color w:val="000000"/>
                <w:sz w:val="24"/>
                <w:szCs w:val="24"/>
                <w:u w:val="none"/>
              </w:rPr>
              <w:t>表3</w:t>
            </w:r>
            <w:r>
              <w:rPr>
                <w:rFonts w:hint="eastAsia" w:ascii="黑体" w:hAnsi="黑体" w:eastAsia="黑体" w:cs="宋体"/>
                <w:bCs/>
                <w:color w:val="000000"/>
                <w:sz w:val="24"/>
                <w:szCs w:val="24"/>
                <w:u w:val="none"/>
                <w:lang w:val="en-US" w:eastAsia="zh-CN"/>
              </w:rPr>
              <w:t>4</w:t>
            </w:r>
            <w:r>
              <w:rPr>
                <w:rFonts w:hint="eastAsia" w:ascii="黑体" w:hAnsi="黑体" w:eastAsia="黑体" w:cs="宋体"/>
                <w:bCs/>
                <w:color w:val="000000"/>
                <w:sz w:val="24"/>
                <w:szCs w:val="24"/>
                <w:u w:val="none"/>
              </w:rPr>
              <w:t xml:space="preserve">    噪声预测结果（单位：dB（A））</w:t>
            </w:r>
          </w:p>
          <w:tbl>
            <w:tblPr>
              <w:tblStyle w:val="18"/>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2142"/>
              <w:gridCol w:w="2010"/>
              <w:gridCol w:w="2010"/>
              <w:gridCol w:w="2015"/>
            </w:tblGrid>
            <w:tr w14:paraId="580D6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jc w:val="center"/>
              </w:trPr>
              <w:tc>
                <w:tcPr>
                  <w:tcW w:w="1310" w:type="pct"/>
                  <w:tcBorders>
                    <w:top w:val="single" w:color="auto" w:sz="6" w:space="0"/>
                    <w:left w:val="single" w:color="auto" w:sz="6" w:space="0"/>
                    <w:bottom w:val="single" w:color="auto" w:sz="6" w:space="0"/>
                    <w:right w:val="single" w:color="auto" w:sz="6" w:space="0"/>
                  </w:tcBorders>
                  <w:noWrap w:val="0"/>
                  <w:vAlign w:val="center"/>
                </w:tcPr>
                <w:p w14:paraId="726336D2">
                  <w:pPr>
                    <w:snapToGrid w:val="0"/>
                    <w:jc w:val="center"/>
                    <w:rPr>
                      <w:color w:val="000000"/>
                      <w:szCs w:val="21"/>
                      <w:u w:val="none"/>
                    </w:rPr>
                  </w:pPr>
                  <w:r>
                    <w:rPr>
                      <w:color w:val="000000"/>
                      <w:szCs w:val="21"/>
                      <w:u w:val="none"/>
                    </w:rPr>
                    <w:t>预测点</w:t>
                  </w:r>
                </w:p>
              </w:tc>
              <w:tc>
                <w:tcPr>
                  <w:tcW w:w="1229" w:type="pct"/>
                  <w:tcBorders>
                    <w:top w:val="single" w:color="auto" w:sz="6" w:space="0"/>
                    <w:left w:val="single" w:color="auto" w:sz="6" w:space="0"/>
                    <w:bottom w:val="single" w:color="auto" w:sz="6" w:space="0"/>
                    <w:right w:val="single" w:color="auto" w:sz="6" w:space="0"/>
                  </w:tcBorders>
                  <w:noWrap w:val="0"/>
                  <w:vAlign w:val="center"/>
                </w:tcPr>
                <w:p w14:paraId="0569E8EA">
                  <w:pPr>
                    <w:snapToGrid w:val="0"/>
                    <w:jc w:val="center"/>
                    <w:rPr>
                      <w:color w:val="000000"/>
                      <w:szCs w:val="21"/>
                      <w:u w:val="none"/>
                    </w:rPr>
                  </w:pPr>
                  <w:r>
                    <w:rPr>
                      <w:color w:val="000000"/>
                      <w:szCs w:val="21"/>
                      <w:u w:val="none"/>
                    </w:rPr>
                    <w:t>贡献值</w:t>
                  </w:r>
                </w:p>
              </w:tc>
              <w:tc>
                <w:tcPr>
                  <w:tcW w:w="1229" w:type="pct"/>
                  <w:tcBorders>
                    <w:top w:val="single" w:color="auto" w:sz="6" w:space="0"/>
                    <w:left w:val="single" w:color="auto" w:sz="6" w:space="0"/>
                    <w:bottom w:val="single" w:color="auto" w:sz="6" w:space="0"/>
                    <w:right w:val="single" w:color="auto" w:sz="6" w:space="0"/>
                  </w:tcBorders>
                  <w:noWrap w:val="0"/>
                  <w:vAlign w:val="center"/>
                </w:tcPr>
                <w:p w14:paraId="434FE10A">
                  <w:pPr>
                    <w:snapToGrid w:val="0"/>
                    <w:jc w:val="center"/>
                    <w:rPr>
                      <w:color w:val="000000"/>
                      <w:szCs w:val="21"/>
                      <w:u w:val="none"/>
                    </w:rPr>
                  </w:pPr>
                  <w:r>
                    <w:rPr>
                      <w:rFonts w:hint="eastAsia"/>
                      <w:color w:val="000000"/>
                      <w:szCs w:val="21"/>
                      <w:u w:val="none"/>
                    </w:rPr>
                    <w:t>标准值</w:t>
                  </w:r>
                </w:p>
              </w:tc>
              <w:tc>
                <w:tcPr>
                  <w:tcW w:w="1231" w:type="pct"/>
                  <w:tcBorders>
                    <w:top w:val="single" w:color="auto" w:sz="6" w:space="0"/>
                    <w:left w:val="single" w:color="auto" w:sz="6" w:space="0"/>
                    <w:bottom w:val="single" w:color="auto" w:sz="6" w:space="0"/>
                    <w:right w:val="single" w:color="auto" w:sz="6" w:space="0"/>
                  </w:tcBorders>
                  <w:noWrap w:val="0"/>
                  <w:vAlign w:val="center"/>
                </w:tcPr>
                <w:p w14:paraId="4A48B4E5">
                  <w:pPr>
                    <w:snapToGrid w:val="0"/>
                    <w:jc w:val="center"/>
                    <w:rPr>
                      <w:color w:val="000000"/>
                      <w:szCs w:val="21"/>
                      <w:u w:val="none"/>
                    </w:rPr>
                  </w:pPr>
                  <w:r>
                    <w:rPr>
                      <w:color w:val="000000"/>
                      <w:szCs w:val="21"/>
                      <w:u w:val="none"/>
                    </w:rPr>
                    <w:t>达标</w:t>
                  </w:r>
                  <w:r>
                    <w:rPr>
                      <w:rFonts w:hint="eastAsia"/>
                      <w:color w:val="000000"/>
                      <w:szCs w:val="21"/>
                      <w:u w:val="none"/>
                    </w:rPr>
                    <w:t>情况</w:t>
                  </w:r>
                </w:p>
              </w:tc>
            </w:tr>
            <w:tr w14:paraId="35FBB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jc w:val="center"/>
              </w:trPr>
              <w:tc>
                <w:tcPr>
                  <w:tcW w:w="1310" w:type="pct"/>
                  <w:tcBorders>
                    <w:top w:val="single" w:color="auto" w:sz="6" w:space="0"/>
                    <w:left w:val="single" w:color="auto" w:sz="6" w:space="0"/>
                    <w:bottom w:val="single" w:color="auto" w:sz="6" w:space="0"/>
                    <w:right w:val="single" w:color="auto" w:sz="6" w:space="0"/>
                  </w:tcBorders>
                  <w:noWrap w:val="0"/>
                  <w:vAlign w:val="center"/>
                </w:tcPr>
                <w:p w14:paraId="60DE2BFF">
                  <w:pPr>
                    <w:snapToGrid w:val="0"/>
                    <w:jc w:val="center"/>
                    <w:rPr>
                      <w:color w:val="000000"/>
                      <w:szCs w:val="21"/>
                      <w:u w:val="none"/>
                    </w:rPr>
                  </w:pPr>
                  <w:r>
                    <w:rPr>
                      <w:rFonts w:hint="eastAsia"/>
                      <w:color w:val="000000"/>
                      <w:szCs w:val="21"/>
                      <w:u w:val="none"/>
                    </w:rPr>
                    <w:t>南</w:t>
                  </w:r>
                  <w:r>
                    <w:rPr>
                      <w:color w:val="000000"/>
                      <w:szCs w:val="21"/>
                      <w:u w:val="none"/>
                    </w:rPr>
                    <w:t>厂界</w:t>
                  </w:r>
                </w:p>
              </w:tc>
              <w:tc>
                <w:tcPr>
                  <w:tcW w:w="1229" w:type="pct"/>
                  <w:tcBorders>
                    <w:top w:val="single" w:color="auto" w:sz="6" w:space="0"/>
                    <w:left w:val="single" w:color="auto" w:sz="6" w:space="0"/>
                    <w:bottom w:val="single" w:color="auto" w:sz="6" w:space="0"/>
                    <w:right w:val="single" w:color="auto" w:sz="6" w:space="0"/>
                  </w:tcBorders>
                  <w:noWrap w:val="0"/>
                  <w:vAlign w:val="center"/>
                </w:tcPr>
                <w:p w14:paraId="1F8057F1">
                  <w:pPr>
                    <w:snapToGrid w:val="0"/>
                    <w:jc w:val="center"/>
                    <w:rPr>
                      <w:rFonts w:hint="default" w:eastAsia="宋体"/>
                      <w:color w:val="000000"/>
                      <w:szCs w:val="21"/>
                      <w:u w:val="none"/>
                      <w:lang w:val="en-US" w:eastAsia="zh-CN"/>
                    </w:rPr>
                  </w:pPr>
                  <w:r>
                    <w:rPr>
                      <w:rFonts w:hint="eastAsia"/>
                      <w:color w:val="000000"/>
                      <w:szCs w:val="21"/>
                      <w:u w:val="none"/>
                      <w:lang w:val="en-US" w:eastAsia="zh-CN"/>
                    </w:rPr>
                    <w:t>34.8</w:t>
                  </w:r>
                </w:p>
              </w:tc>
              <w:tc>
                <w:tcPr>
                  <w:tcW w:w="1229" w:type="pct"/>
                  <w:tcBorders>
                    <w:top w:val="single" w:color="auto" w:sz="6" w:space="0"/>
                    <w:left w:val="single" w:color="auto" w:sz="6" w:space="0"/>
                    <w:bottom w:val="single" w:color="auto" w:sz="6" w:space="0"/>
                    <w:right w:val="single" w:color="auto" w:sz="6" w:space="0"/>
                  </w:tcBorders>
                  <w:noWrap w:val="0"/>
                  <w:vAlign w:val="center"/>
                </w:tcPr>
                <w:p w14:paraId="10FC5B28">
                  <w:pPr>
                    <w:snapToGrid w:val="0"/>
                    <w:jc w:val="center"/>
                    <w:rPr>
                      <w:rFonts w:hint="default" w:eastAsia="宋体"/>
                      <w:color w:val="000000"/>
                      <w:szCs w:val="21"/>
                      <w:u w:val="none"/>
                      <w:lang w:val="en-US" w:eastAsia="zh-CN"/>
                    </w:rPr>
                  </w:pPr>
                  <w:r>
                    <w:rPr>
                      <w:rFonts w:hint="eastAsia"/>
                      <w:color w:val="000000"/>
                      <w:szCs w:val="21"/>
                      <w:u w:val="none"/>
                      <w:lang w:val="en-US" w:eastAsia="zh-CN"/>
                    </w:rPr>
                    <w:t>65</w:t>
                  </w:r>
                </w:p>
              </w:tc>
              <w:tc>
                <w:tcPr>
                  <w:tcW w:w="1231" w:type="pct"/>
                  <w:tcBorders>
                    <w:top w:val="single" w:color="auto" w:sz="6" w:space="0"/>
                    <w:left w:val="single" w:color="auto" w:sz="6" w:space="0"/>
                    <w:bottom w:val="single" w:color="auto" w:sz="6" w:space="0"/>
                    <w:right w:val="single" w:color="auto" w:sz="6" w:space="0"/>
                  </w:tcBorders>
                  <w:noWrap w:val="0"/>
                  <w:vAlign w:val="center"/>
                </w:tcPr>
                <w:p w14:paraId="5867658D">
                  <w:pPr>
                    <w:snapToGrid w:val="0"/>
                    <w:jc w:val="center"/>
                    <w:rPr>
                      <w:color w:val="000000"/>
                      <w:szCs w:val="21"/>
                      <w:u w:val="none"/>
                    </w:rPr>
                  </w:pPr>
                  <w:r>
                    <w:rPr>
                      <w:color w:val="000000"/>
                      <w:szCs w:val="21"/>
                      <w:u w:val="none"/>
                    </w:rPr>
                    <w:t>达标</w:t>
                  </w:r>
                </w:p>
              </w:tc>
            </w:tr>
            <w:tr w14:paraId="445ED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jc w:val="center"/>
              </w:trPr>
              <w:tc>
                <w:tcPr>
                  <w:tcW w:w="1310" w:type="pct"/>
                  <w:tcBorders>
                    <w:top w:val="single" w:color="auto" w:sz="6" w:space="0"/>
                    <w:left w:val="single" w:color="auto" w:sz="6" w:space="0"/>
                    <w:bottom w:val="single" w:color="auto" w:sz="6" w:space="0"/>
                    <w:right w:val="single" w:color="auto" w:sz="6" w:space="0"/>
                  </w:tcBorders>
                  <w:noWrap w:val="0"/>
                  <w:vAlign w:val="center"/>
                </w:tcPr>
                <w:p w14:paraId="310F4638">
                  <w:pPr>
                    <w:snapToGrid w:val="0"/>
                    <w:jc w:val="center"/>
                    <w:rPr>
                      <w:color w:val="000000"/>
                      <w:szCs w:val="21"/>
                      <w:u w:val="none"/>
                    </w:rPr>
                  </w:pPr>
                  <w:r>
                    <w:rPr>
                      <w:color w:val="000000"/>
                      <w:szCs w:val="21"/>
                      <w:u w:val="none"/>
                    </w:rPr>
                    <w:t>北厂界</w:t>
                  </w:r>
                </w:p>
              </w:tc>
              <w:tc>
                <w:tcPr>
                  <w:tcW w:w="1229" w:type="pct"/>
                  <w:tcBorders>
                    <w:top w:val="single" w:color="auto" w:sz="6" w:space="0"/>
                    <w:left w:val="single" w:color="auto" w:sz="6" w:space="0"/>
                    <w:bottom w:val="single" w:color="auto" w:sz="6" w:space="0"/>
                    <w:right w:val="single" w:color="auto" w:sz="6" w:space="0"/>
                  </w:tcBorders>
                  <w:noWrap w:val="0"/>
                  <w:vAlign w:val="center"/>
                </w:tcPr>
                <w:p w14:paraId="7A4AAD71">
                  <w:pPr>
                    <w:snapToGrid w:val="0"/>
                    <w:jc w:val="center"/>
                    <w:rPr>
                      <w:rFonts w:hint="default" w:eastAsia="宋体"/>
                      <w:color w:val="000000"/>
                      <w:szCs w:val="21"/>
                      <w:u w:val="none"/>
                      <w:lang w:val="en-US" w:eastAsia="zh-CN"/>
                    </w:rPr>
                  </w:pPr>
                  <w:r>
                    <w:rPr>
                      <w:rFonts w:hint="eastAsia"/>
                      <w:color w:val="000000"/>
                      <w:szCs w:val="21"/>
                      <w:u w:val="none"/>
                      <w:lang w:val="en-US" w:eastAsia="zh-CN"/>
                    </w:rPr>
                    <w:t>48.2</w:t>
                  </w:r>
                </w:p>
              </w:tc>
              <w:tc>
                <w:tcPr>
                  <w:tcW w:w="1229" w:type="pct"/>
                  <w:tcBorders>
                    <w:top w:val="single" w:color="auto" w:sz="6" w:space="0"/>
                    <w:left w:val="single" w:color="auto" w:sz="6" w:space="0"/>
                    <w:bottom w:val="single" w:color="auto" w:sz="6" w:space="0"/>
                    <w:right w:val="single" w:color="auto" w:sz="6" w:space="0"/>
                  </w:tcBorders>
                  <w:noWrap w:val="0"/>
                  <w:vAlign w:val="center"/>
                </w:tcPr>
                <w:p w14:paraId="6BA9C8A4">
                  <w:pPr>
                    <w:snapToGrid w:val="0"/>
                    <w:jc w:val="center"/>
                    <w:rPr>
                      <w:rFonts w:hint="default" w:eastAsia="宋体"/>
                      <w:color w:val="000000"/>
                      <w:szCs w:val="21"/>
                      <w:u w:val="none"/>
                      <w:lang w:val="en-US" w:eastAsia="zh-CN"/>
                    </w:rPr>
                  </w:pPr>
                  <w:r>
                    <w:rPr>
                      <w:rFonts w:hint="eastAsia"/>
                      <w:color w:val="000000"/>
                      <w:szCs w:val="21"/>
                      <w:u w:val="none"/>
                      <w:lang w:val="en-US" w:eastAsia="zh-CN"/>
                    </w:rPr>
                    <w:t>65</w:t>
                  </w:r>
                </w:p>
              </w:tc>
              <w:tc>
                <w:tcPr>
                  <w:tcW w:w="1231" w:type="pct"/>
                  <w:tcBorders>
                    <w:top w:val="single" w:color="auto" w:sz="6" w:space="0"/>
                    <w:left w:val="single" w:color="auto" w:sz="6" w:space="0"/>
                    <w:bottom w:val="single" w:color="auto" w:sz="6" w:space="0"/>
                    <w:right w:val="single" w:color="auto" w:sz="6" w:space="0"/>
                  </w:tcBorders>
                  <w:noWrap w:val="0"/>
                  <w:vAlign w:val="center"/>
                </w:tcPr>
                <w:p w14:paraId="4AF93368">
                  <w:pPr>
                    <w:snapToGrid w:val="0"/>
                    <w:jc w:val="center"/>
                    <w:rPr>
                      <w:color w:val="000000"/>
                      <w:szCs w:val="21"/>
                      <w:u w:val="none"/>
                    </w:rPr>
                  </w:pPr>
                  <w:r>
                    <w:rPr>
                      <w:color w:val="000000"/>
                      <w:szCs w:val="21"/>
                      <w:u w:val="none"/>
                    </w:rPr>
                    <w:t>达标</w:t>
                  </w:r>
                </w:p>
              </w:tc>
            </w:tr>
            <w:tr w14:paraId="6D053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jc w:val="center"/>
              </w:trPr>
              <w:tc>
                <w:tcPr>
                  <w:tcW w:w="5000" w:type="pct"/>
                  <w:gridSpan w:val="4"/>
                  <w:tcBorders>
                    <w:top w:val="single" w:color="auto" w:sz="6" w:space="0"/>
                    <w:left w:val="single" w:color="auto" w:sz="6" w:space="0"/>
                    <w:bottom w:val="single" w:color="auto" w:sz="6" w:space="0"/>
                    <w:right w:val="single" w:color="auto" w:sz="6" w:space="0"/>
                  </w:tcBorders>
                  <w:noWrap w:val="0"/>
                  <w:vAlign w:val="center"/>
                </w:tcPr>
                <w:p w14:paraId="7E3EB0A0">
                  <w:pPr>
                    <w:snapToGrid w:val="0"/>
                    <w:rPr>
                      <w:rFonts w:hint="eastAsia"/>
                      <w:color w:val="000000"/>
                      <w:szCs w:val="21"/>
                      <w:u w:val="none"/>
                    </w:rPr>
                  </w:pPr>
                  <w:r>
                    <w:rPr>
                      <w:rFonts w:hint="eastAsia"/>
                      <w:color w:val="000000"/>
                      <w:szCs w:val="21"/>
                      <w:u w:val="none"/>
                    </w:rPr>
                    <w:t>注：</w:t>
                  </w:r>
                  <w:r>
                    <w:rPr>
                      <w:rFonts w:hint="eastAsia"/>
                      <w:color w:val="000000"/>
                      <w:szCs w:val="21"/>
                      <w:u w:val="none"/>
                      <w:lang w:val="en-US" w:eastAsia="zh-CN"/>
                    </w:rPr>
                    <w:t>西、东</w:t>
                  </w:r>
                  <w:r>
                    <w:rPr>
                      <w:rFonts w:hint="eastAsia"/>
                      <w:color w:val="000000"/>
                      <w:szCs w:val="21"/>
                      <w:u w:val="none"/>
                    </w:rPr>
                    <w:t>厂界为共用厂界。</w:t>
                  </w:r>
                </w:p>
              </w:tc>
            </w:tr>
          </w:tbl>
          <w:p w14:paraId="209E5861">
            <w:pPr>
              <w:adjustRightInd w:val="0"/>
              <w:spacing w:line="360" w:lineRule="auto"/>
              <w:ind w:firstLine="480" w:firstLineChars="200"/>
              <w:rPr>
                <w:rFonts w:hint="default" w:eastAsia="宋体"/>
                <w:bCs/>
                <w:color w:val="000000"/>
                <w:sz w:val="24"/>
                <w:u w:val="none"/>
                <w:lang w:val="en-US" w:eastAsia="zh-CN"/>
              </w:rPr>
            </w:pPr>
            <w:r>
              <w:rPr>
                <w:bCs/>
                <w:color w:val="000000"/>
                <w:sz w:val="24"/>
                <w:u w:val="none"/>
              </w:rPr>
              <w:t>从</w:t>
            </w:r>
            <w:r>
              <w:rPr>
                <w:rFonts w:hint="eastAsia"/>
                <w:bCs/>
                <w:color w:val="000000"/>
                <w:sz w:val="24"/>
                <w:u w:val="none"/>
                <w:lang w:val="en-US" w:eastAsia="zh-CN"/>
              </w:rPr>
              <w:t>上表</w:t>
            </w:r>
            <w:r>
              <w:rPr>
                <w:bCs/>
                <w:color w:val="000000"/>
                <w:sz w:val="24"/>
                <w:u w:val="none"/>
              </w:rPr>
              <w:t>可知，设备噪声经厂房隔声及距离衰减后，本项目运行期间厂界昼间噪声</w:t>
            </w:r>
            <w:r>
              <w:rPr>
                <w:rFonts w:hint="eastAsia"/>
                <w:bCs/>
                <w:color w:val="000000"/>
                <w:sz w:val="24"/>
                <w:u w:val="none"/>
              </w:rPr>
              <w:t>贡献</w:t>
            </w:r>
            <w:r>
              <w:rPr>
                <w:bCs/>
                <w:color w:val="000000"/>
                <w:sz w:val="24"/>
                <w:u w:val="none"/>
              </w:rPr>
              <w:t>值</w:t>
            </w:r>
            <w:r>
              <w:rPr>
                <w:rFonts w:hint="eastAsia"/>
                <w:bCs/>
                <w:color w:val="000000"/>
                <w:sz w:val="24"/>
                <w:u w:val="none"/>
              </w:rPr>
              <w:t>满足</w:t>
            </w:r>
            <w:r>
              <w:rPr>
                <w:bCs/>
                <w:color w:val="000000"/>
                <w:sz w:val="24"/>
                <w:u w:val="none"/>
              </w:rPr>
              <w:t>《工业企业厂界环境噪声排放标准》（GB12348-2008）</w:t>
            </w:r>
            <w:r>
              <w:rPr>
                <w:rFonts w:hint="eastAsia"/>
                <w:bCs/>
                <w:color w:val="000000"/>
                <w:sz w:val="24"/>
                <w:u w:val="none"/>
                <w:lang w:val="en-US" w:eastAsia="zh-CN"/>
              </w:rPr>
              <w:t>3</w:t>
            </w:r>
            <w:r>
              <w:rPr>
                <w:bCs/>
                <w:color w:val="000000"/>
                <w:sz w:val="24"/>
                <w:u w:val="none"/>
              </w:rPr>
              <w:t>类标准要求</w:t>
            </w:r>
            <w:r>
              <w:rPr>
                <w:rFonts w:hint="eastAsia"/>
                <w:b w:val="0"/>
                <w:bCs/>
                <w:color w:val="000000"/>
                <w:kern w:val="0"/>
                <w:sz w:val="24"/>
                <w:szCs w:val="24"/>
                <w:u w:val="none"/>
                <w:lang w:eastAsia="zh-CN"/>
              </w:rPr>
              <w:t>。</w:t>
            </w:r>
          </w:p>
          <w:p w14:paraId="40DD037E">
            <w:pPr>
              <w:adjustRightInd w:val="0"/>
              <w:spacing w:line="360" w:lineRule="auto"/>
              <w:rPr>
                <w:b/>
                <w:bCs/>
                <w:color w:val="000000"/>
                <w:sz w:val="24"/>
              </w:rPr>
            </w:pPr>
            <w:r>
              <w:rPr>
                <w:b/>
                <w:bCs/>
                <w:color w:val="000000"/>
                <w:sz w:val="24"/>
              </w:rPr>
              <w:t>4. 固体废物影响分析</w:t>
            </w:r>
          </w:p>
          <w:p w14:paraId="12F5DDA8">
            <w:pPr>
              <w:adjustRightInd w:val="0"/>
              <w:spacing w:line="360" w:lineRule="auto"/>
              <w:rPr>
                <w:rFonts w:hint="eastAsia"/>
                <w:bCs/>
                <w:color w:val="000000"/>
                <w:sz w:val="24"/>
              </w:rPr>
            </w:pPr>
            <w:r>
              <w:rPr>
                <w:bCs/>
                <w:color w:val="000000"/>
                <w:sz w:val="24"/>
              </w:rPr>
              <w:t>4.1固体废物产生情况</w:t>
            </w:r>
          </w:p>
          <w:p w14:paraId="19D2BEE7">
            <w:pPr>
              <w:adjustRightInd w:val="0"/>
              <w:spacing w:line="360" w:lineRule="auto"/>
              <w:ind w:firstLine="480" w:firstLineChars="200"/>
              <w:rPr>
                <w:rFonts w:hint="eastAsia"/>
                <w:bCs/>
                <w:color w:val="000000"/>
                <w:sz w:val="24"/>
              </w:rPr>
            </w:pPr>
            <w:r>
              <w:rPr>
                <w:rFonts w:hint="eastAsia"/>
                <w:bCs/>
                <w:color w:val="000000"/>
                <w:sz w:val="24"/>
              </w:rPr>
              <w:t>本项目运营期固废主要有</w:t>
            </w:r>
            <w:r>
              <w:rPr>
                <w:rFonts w:hint="eastAsia"/>
                <w:bCs/>
                <w:color w:val="000000"/>
                <w:sz w:val="24"/>
                <w:lang w:val="en-US" w:eastAsia="zh-CN"/>
              </w:rPr>
              <w:t>边角料、不合格品、除尘器收集的粉尘、废包装袋、废包装桶、废活性炭、废机油、</w:t>
            </w:r>
            <w:r>
              <w:rPr>
                <w:rFonts w:hint="eastAsia"/>
                <w:bCs/>
                <w:color w:val="000000"/>
                <w:sz w:val="24"/>
              </w:rPr>
              <w:t>生活垃圾。</w:t>
            </w:r>
          </w:p>
          <w:p w14:paraId="3BE9E293">
            <w:pPr>
              <w:adjustRightInd w:val="0"/>
              <w:spacing w:line="360" w:lineRule="auto"/>
              <w:ind w:firstLine="480" w:firstLineChars="200"/>
              <w:rPr>
                <w:rFonts w:hint="default" w:eastAsia="宋体"/>
                <w:bCs/>
                <w:color w:val="000000"/>
                <w:sz w:val="24"/>
                <w:u w:val="single"/>
                <w:lang w:val="en-US" w:eastAsia="zh-CN"/>
              </w:rPr>
            </w:pPr>
            <w:r>
              <w:rPr>
                <w:rFonts w:hint="eastAsia"/>
                <w:bCs/>
                <w:color w:val="000000"/>
                <w:sz w:val="24"/>
                <w:u w:val="single"/>
              </w:rPr>
              <w:t>（1）</w:t>
            </w:r>
            <w:r>
              <w:rPr>
                <w:rFonts w:hint="eastAsia"/>
                <w:bCs/>
                <w:color w:val="000000"/>
                <w:sz w:val="24"/>
                <w:u w:val="single"/>
                <w:lang w:val="en-US" w:eastAsia="zh-CN"/>
              </w:rPr>
              <w:t>边角料、不合格品</w:t>
            </w:r>
          </w:p>
          <w:p w14:paraId="07442020">
            <w:pPr>
              <w:adjustRightInd w:val="0"/>
              <w:spacing w:line="360" w:lineRule="auto"/>
              <w:ind w:firstLine="480" w:firstLineChars="200"/>
              <w:rPr>
                <w:bCs/>
                <w:color w:val="000000"/>
                <w:sz w:val="24"/>
                <w:u w:val="single"/>
              </w:rPr>
            </w:pPr>
            <w:r>
              <w:rPr>
                <w:rFonts w:hint="eastAsia"/>
                <w:color w:val="000000"/>
                <w:sz w:val="24"/>
                <w:u w:val="single"/>
                <w:lang w:val="en-US" w:eastAsia="zh-CN"/>
              </w:rPr>
              <w:t>本项目注塑件修整过程会产生边角料，检验过程会产生不合格品，</w:t>
            </w:r>
            <w:r>
              <w:rPr>
                <w:rFonts w:hint="eastAsia"/>
                <w:bCs/>
                <w:color w:val="000000"/>
                <w:sz w:val="24"/>
                <w:u w:val="single"/>
              </w:rPr>
              <w:t>属于一般工业固体废物，根据建设单位生产经验，</w:t>
            </w:r>
            <w:r>
              <w:rPr>
                <w:rFonts w:hint="eastAsia"/>
                <w:bCs/>
                <w:color w:val="000000"/>
                <w:sz w:val="24"/>
                <w:u w:val="single"/>
                <w:lang w:val="en-US" w:eastAsia="zh-CN"/>
              </w:rPr>
              <w:t>边角料、不合格品产生量约为原料用量的4%，边角料、</w:t>
            </w:r>
            <w:r>
              <w:rPr>
                <w:rFonts w:hint="eastAsia"/>
                <w:bCs/>
                <w:color w:val="000000"/>
                <w:sz w:val="24"/>
                <w:u w:val="single"/>
              </w:rPr>
              <w:t>不合格</w:t>
            </w:r>
            <w:r>
              <w:rPr>
                <w:rFonts w:hint="eastAsia"/>
                <w:bCs/>
                <w:color w:val="000000"/>
                <w:sz w:val="24"/>
                <w:u w:val="single"/>
                <w:lang w:val="en-US" w:eastAsia="zh-CN"/>
              </w:rPr>
              <w:t>品共计3.3t，集中收集后投入粉碎机，经过粉碎后与新料按一定比例混合后可全部回用于生产。</w:t>
            </w:r>
          </w:p>
          <w:p w14:paraId="7CAA8239">
            <w:pPr>
              <w:adjustRightInd w:val="0"/>
              <w:spacing w:line="360" w:lineRule="auto"/>
              <w:ind w:firstLine="480" w:firstLineChars="200"/>
              <w:rPr>
                <w:rFonts w:hint="default" w:eastAsia="宋体"/>
                <w:bCs/>
                <w:color w:val="000000"/>
                <w:sz w:val="24"/>
                <w:u w:val="single"/>
                <w:lang w:val="en-US" w:eastAsia="zh-CN"/>
              </w:rPr>
            </w:pPr>
            <w:r>
              <w:rPr>
                <w:rFonts w:hint="eastAsia"/>
                <w:bCs/>
                <w:color w:val="000000"/>
                <w:sz w:val="24"/>
                <w:u w:val="single"/>
              </w:rPr>
              <w:t>（2）</w:t>
            </w:r>
            <w:r>
              <w:rPr>
                <w:rFonts w:hint="eastAsia"/>
                <w:bCs/>
                <w:color w:val="000000"/>
                <w:sz w:val="24"/>
                <w:u w:val="single"/>
                <w:lang w:val="en-US" w:eastAsia="zh-CN"/>
              </w:rPr>
              <w:t>除尘器收集的粉尘</w:t>
            </w:r>
          </w:p>
          <w:p w14:paraId="10390B49">
            <w:pPr>
              <w:adjustRightInd w:val="0"/>
              <w:spacing w:line="360" w:lineRule="auto"/>
              <w:ind w:firstLine="480" w:firstLineChars="200"/>
              <w:rPr>
                <w:bCs/>
                <w:color w:val="000000"/>
                <w:sz w:val="24"/>
                <w:u w:val="single"/>
              </w:rPr>
            </w:pPr>
            <w:r>
              <w:rPr>
                <w:rFonts w:hint="eastAsia"/>
                <w:bCs/>
                <w:color w:val="000000"/>
                <w:sz w:val="24"/>
                <w:u w:val="single"/>
                <w:lang w:val="en-US" w:eastAsia="zh-CN"/>
              </w:rPr>
              <w:t>边角料、不合格品粉碎过程中会产生粉尘，根据废气产排放情况分析，除尘器收集的粉尘量为0.4312t/a，属于</w:t>
            </w:r>
            <w:r>
              <w:rPr>
                <w:rFonts w:hint="eastAsia"/>
                <w:bCs/>
                <w:color w:val="000000"/>
                <w:sz w:val="24"/>
                <w:u w:val="single"/>
              </w:rPr>
              <w:t>一般工业固体废物，</w:t>
            </w:r>
            <w:r>
              <w:rPr>
                <w:rFonts w:hint="eastAsia"/>
                <w:bCs/>
                <w:color w:val="000000"/>
                <w:sz w:val="24"/>
                <w:u w:val="single"/>
                <w:lang w:val="en-US" w:eastAsia="zh-CN"/>
              </w:rPr>
              <w:t>与新料按一定比例混合后可全部回用于生产。</w:t>
            </w:r>
          </w:p>
          <w:p w14:paraId="06974EA8">
            <w:pPr>
              <w:adjustRightInd w:val="0"/>
              <w:spacing w:line="360" w:lineRule="auto"/>
              <w:ind w:firstLine="480" w:firstLineChars="200"/>
              <w:rPr>
                <w:rFonts w:hint="default" w:eastAsia="宋体"/>
                <w:bCs/>
                <w:color w:val="000000"/>
                <w:sz w:val="24"/>
                <w:u w:val="single"/>
                <w:lang w:val="en-US" w:eastAsia="zh-CN"/>
              </w:rPr>
            </w:pPr>
            <w:r>
              <w:rPr>
                <w:rFonts w:hint="eastAsia"/>
                <w:bCs/>
                <w:color w:val="000000"/>
                <w:sz w:val="24"/>
                <w:u w:val="single"/>
              </w:rPr>
              <w:t>（3）</w:t>
            </w:r>
            <w:r>
              <w:rPr>
                <w:rFonts w:hint="eastAsia"/>
                <w:bCs/>
                <w:color w:val="000000"/>
                <w:sz w:val="24"/>
                <w:u w:val="single"/>
                <w:lang w:val="en-US" w:eastAsia="zh-CN"/>
              </w:rPr>
              <w:t>废包装袋、废包装桶</w:t>
            </w:r>
          </w:p>
          <w:p w14:paraId="5F94B389">
            <w:pPr>
              <w:adjustRightInd w:val="0"/>
              <w:spacing w:line="360" w:lineRule="auto"/>
              <w:ind w:firstLine="480" w:firstLineChars="200"/>
              <w:rPr>
                <w:rFonts w:hint="eastAsia"/>
                <w:bCs/>
                <w:color w:val="000000"/>
                <w:sz w:val="24"/>
                <w:u w:val="single"/>
                <w:lang w:val="en-US" w:eastAsia="zh-CN"/>
              </w:rPr>
            </w:pPr>
            <w:r>
              <w:rPr>
                <w:rFonts w:hint="eastAsia"/>
                <w:bCs/>
                <w:color w:val="000000"/>
                <w:sz w:val="24"/>
                <w:u w:val="single"/>
                <w:lang w:val="en-US" w:eastAsia="zh-CN"/>
              </w:rPr>
              <w:t>项目所用固体原料为25kg袋装，每个包装袋重量约70g，项目年用固体原料共计225t，则产生废包装袋重量为0.63t/a；液态原料为25L桶装（单桶丁酯重量约22kg），每个包装桶重量约1.3kg，项目年用液体原料77t，则产生废包装桶重量为4.55t/a。废包装袋、废包装桶</w:t>
            </w:r>
            <w:r>
              <w:rPr>
                <w:rFonts w:hint="eastAsia"/>
                <w:bCs/>
                <w:color w:val="000000"/>
                <w:sz w:val="24"/>
                <w:u w:val="single"/>
              </w:rPr>
              <w:t>属于一般工业固体废物，</w:t>
            </w:r>
            <w:r>
              <w:rPr>
                <w:rFonts w:hint="eastAsia"/>
                <w:bCs/>
                <w:color w:val="000000"/>
                <w:sz w:val="24"/>
                <w:u w:val="single"/>
                <w:lang w:val="en-US" w:eastAsia="zh-CN"/>
              </w:rPr>
              <w:t>集中收集后定期外售。</w:t>
            </w:r>
          </w:p>
          <w:p w14:paraId="358DA20A">
            <w:pPr>
              <w:adjustRightInd w:val="0"/>
              <w:spacing w:line="360" w:lineRule="auto"/>
              <w:ind w:firstLine="480" w:firstLineChars="200"/>
              <w:rPr>
                <w:rFonts w:hint="eastAsia"/>
                <w:bCs/>
                <w:color w:val="000000"/>
                <w:sz w:val="24"/>
                <w:u w:val="single"/>
              </w:rPr>
            </w:pPr>
            <w:r>
              <w:rPr>
                <w:rFonts w:hint="eastAsia"/>
                <w:bCs/>
                <w:color w:val="000000"/>
                <w:sz w:val="24"/>
                <w:u w:val="single"/>
              </w:rPr>
              <w:t>（</w:t>
            </w:r>
            <w:r>
              <w:rPr>
                <w:rFonts w:hint="eastAsia"/>
                <w:bCs/>
                <w:color w:val="000000"/>
                <w:sz w:val="24"/>
                <w:u w:val="single"/>
                <w:lang w:val="en-US" w:eastAsia="zh-CN"/>
              </w:rPr>
              <w:t>4</w:t>
            </w:r>
            <w:r>
              <w:rPr>
                <w:rFonts w:hint="eastAsia"/>
                <w:bCs/>
                <w:color w:val="000000"/>
                <w:sz w:val="24"/>
                <w:u w:val="single"/>
              </w:rPr>
              <w:t>）废活性炭</w:t>
            </w:r>
          </w:p>
          <w:p w14:paraId="3993B267">
            <w:pPr>
              <w:adjustRightInd w:val="0"/>
              <w:spacing w:line="360" w:lineRule="auto"/>
              <w:ind w:firstLine="480" w:firstLineChars="200"/>
              <w:rPr>
                <w:rFonts w:hint="eastAsia" w:ascii="Times New Roman" w:hAnsi="Times New Roman" w:eastAsia="宋体" w:cs="Times New Roman"/>
                <w:bCs/>
                <w:color w:val="000000"/>
                <w:sz w:val="24"/>
                <w:u w:val="single"/>
                <w:lang w:val="en-US" w:eastAsia="zh-CN"/>
              </w:rPr>
            </w:pPr>
            <w:r>
              <w:rPr>
                <w:rFonts w:hint="eastAsia"/>
                <w:bCs/>
                <w:color w:val="000000"/>
                <w:sz w:val="24"/>
                <w:u w:val="single"/>
                <w:lang w:val="en-US" w:eastAsia="zh-CN"/>
              </w:rPr>
              <w:t>本项目活性炭吸附装置采用蜂窝状活性炭，根据</w:t>
            </w:r>
            <w:r>
              <w:rPr>
                <w:rFonts w:hint="eastAsia"/>
                <w:color w:val="000000"/>
                <w:sz w:val="24"/>
                <w:szCs w:val="24"/>
                <w:u w:val="single"/>
              </w:rPr>
              <w:t>《河南省重污染天气重点行业应急减排措施制定技术指南》（2024年修订版）</w:t>
            </w:r>
            <w:r>
              <w:rPr>
                <w:rFonts w:hint="eastAsia"/>
                <w:color w:val="000000"/>
                <w:sz w:val="24"/>
                <w:szCs w:val="24"/>
                <w:u w:val="single"/>
                <w:lang w:val="en-US" w:eastAsia="zh-CN"/>
              </w:rPr>
              <w:t>中</w:t>
            </w:r>
            <w:r>
              <w:rPr>
                <w:rFonts w:hint="eastAsia"/>
                <w:color w:val="000000"/>
                <w:sz w:val="24"/>
                <w:szCs w:val="24"/>
                <w:u w:val="single"/>
                <w:lang w:eastAsia="zh-CN"/>
              </w:rPr>
              <w:t>“塑料制品”A级企业差异化指标</w:t>
            </w:r>
            <w:r>
              <w:rPr>
                <w:rFonts w:hint="eastAsia"/>
                <w:color w:val="000000"/>
                <w:sz w:val="24"/>
                <w:szCs w:val="24"/>
                <w:u w:val="single"/>
                <w:lang w:val="en-US" w:eastAsia="zh-CN"/>
              </w:rPr>
              <w:t>相关要求，</w:t>
            </w:r>
            <w:r>
              <w:rPr>
                <w:rFonts w:hint="eastAsia"/>
                <w:bCs/>
                <w:color w:val="000000"/>
                <w:sz w:val="24"/>
                <w:u w:val="single"/>
                <w:lang w:val="en-US" w:eastAsia="zh-CN"/>
              </w:rPr>
              <w:t>蜂窝状活性炭</w:t>
            </w:r>
            <w:r>
              <w:rPr>
                <w:rFonts w:hint="eastAsia"/>
                <w:color w:val="000000"/>
                <w:sz w:val="24"/>
                <w:szCs w:val="24"/>
                <w:u w:val="single"/>
                <w:lang w:val="en-US" w:eastAsia="zh-CN"/>
              </w:rPr>
              <w:t>填充量与每小时处理废气量体积之比需满足1:5000。本项目</w:t>
            </w:r>
            <w:r>
              <w:rPr>
                <w:rFonts w:hint="eastAsia"/>
                <w:bCs/>
                <w:color w:val="000000"/>
                <w:sz w:val="24"/>
                <w:u w:val="single"/>
                <w:lang w:val="en-US" w:eastAsia="zh-CN"/>
              </w:rPr>
              <w:t>二级活性炭吸附装置</w:t>
            </w:r>
            <w:r>
              <w:rPr>
                <w:rFonts w:hint="eastAsia"/>
                <w:color w:val="000000"/>
                <w:sz w:val="24"/>
                <w:szCs w:val="24"/>
                <w:u w:val="single"/>
                <w:lang w:val="en-US" w:eastAsia="zh-CN"/>
              </w:rPr>
              <w:t>每小时处理废气量体积为5000m</w:t>
            </w:r>
            <w:r>
              <w:rPr>
                <w:rFonts w:hint="eastAsia"/>
                <w:color w:val="000000"/>
                <w:sz w:val="24"/>
                <w:szCs w:val="24"/>
                <w:u w:val="single"/>
                <w:vertAlign w:val="superscript"/>
                <w:lang w:val="en-US" w:eastAsia="zh-CN"/>
              </w:rPr>
              <w:t>3</w:t>
            </w:r>
            <w:r>
              <w:rPr>
                <w:rFonts w:hint="eastAsia"/>
                <w:color w:val="000000"/>
                <w:sz w:val="24"/>
                <w:szCs w:val="24"/>
                <w:u w:val="single"/>
                <w:vertAlign w:val="baseline"/>
                <w:lang w:val="en-US" w:eastAsia="zh-CN"/>
              </w:rPr>
              <w:t>，则活性炭填充量填充体积共计1m</w:t>
            </w:r>
            <w:r>
              <w:rPr>
                <w:rFonts w:hint="eastAsia"/>
                <w:color w:val="000000"/>
                <w:sz w:val="24"/>
                <w:szCs w:val="24"/>
                <w:u w:val="single"/>
                <w:vertAlign w:val="superscript"/>
                <w:lang w:val="en-US" w:eastAsia="zh-CN"/>
              </w:rPr>
              <w:t>3</w:t>
            </w:r>
            <w:r>
              <w:rPr>
                <w:rFonts w:hint="eastAsia"/>
                <w:color w:val="000000"/>
                <w:sz w:val="24"/>
                <w:szCs w:val="24"/>
                <w:u w:val="single"/>
                <w:vertAlign w:val="baseline"/>
                <w:lang w:val="en-US" w:eastAsia="zh-CN"/>
              </w:rPr>
              <w:t>，按照活性炭密度为500kg/m</w:t>
            </w:r>
            <w:r>
              <w:rPr>
                <w:rFonts w:hint="eastAsia"/>
                <w:color w:val="000000"/>
                <w:sz w:val="24"/>
                <w:szCs w:val="24"/>
                <w:u w:val="single"/>
                <w:vertAlign w:val="superscript"/>
                <w:lang w:val="en-US" w:eastAsia="zh-CN"/>
              </w:rPr>
              <w:t>3</w:t>
            </w:r>
            <w:r>
              <w:rPr>
                <w:rFonts w:hint="eastAsia"/>
                <w:color w:val="000000"/>
                <w:sz w:val="24"/>
                <w:szCs w:val="24"/>
                <w:u w:val="single"/>
                <w:vertAlign w:val="baseline"/>
                <w:lang w:val="en-US" w:eastAsia="zh-CN"/>
              </w:rPr>
              <w:t>核算，重量为0.5t。活性炭更换周期不应超过500小时，对于低浓度或单一污染物的处理，更换周期可延长至6个月。本项目有机废气吸附量共计0.17t/a，按照每年更换三次活性炭计算，则废活性炭产生量共计1.67t/a。</w:t>
            </w:r>
            <w:r>
              <w:rPr>
                <w:rFonts w:hint="eastAsia" w:ascii="Times New Roman" w:hAnsi="Times New Roman" w:eastAsia="宋体" w:cs="Times New Roman"/>
                <w:bCs/>
                <w:color w:val="000000"/>
                <w:sz w:val="24"/>
                <w:u w:val="single"/>
                <w:lang w:val="en-US" w:eastAsia="zh-CN"/>
              </w:rPr>
              <w:t>根据《国家危险废物名录》（2025年版），废活性炭属于危险废物（HW49其他废物，危废代码为900-039-49），密封包装后，暂存至危废暂存间，定期交由有资质单位处理。</w:t>
            </w:r>
          </w:p>
          <w:p w14:paraId="17D721AD">
            <w:pPr>
              <w:adjustRightInd w:val="0"/>
              <w:spacing w:line="360" w:lineRule="auto"/>
              <w:ind w:firstLine="480" w:firstLineChars="200"/>
              <w:rPr>
                <w:rFonts w:hint="eastAsia" w:eastAsia="宋体"/>
                <w:bCs/>
                <w:color w:val="000000"/>
                <w:sz w:val="24"/>
                <w:u w:val="single"/>
                <w:lang w:eastAsia="zh-CN"/>
              </w:rPr>
            </w:pPr>
            <w:r>
              <w:rPr>
                <w:rFonts w:hint="eastAsia"/>
                <w:bCs/>
                <w:color w:val="000000"/>
                <w:sz w:val="24"/>
                <w:u w:val="single"/>
              </w:rPr>
              <w:t>（</w:t>
            </w:r>
            <w:r>
              <w:rPr>
                <w:rFonts w:hint="eastAsia"/>
                <w:bCs/>
                <w:color w:val="000000"/>
                <w:sz w:val="24"/>
                <w:u w:val="single"/>
                <w:lang w:val="en-US" w:eastAsia="zh-CN"/>
              </w:rPr>
              <w:t>5</w:t>
            </w:r>
            <w:r>
              <w:rPr>
                <w:rFonts w:hint="eastAsia"/>
                <w:bCs/>
                <w:color w:val="000000"/>
                <w:sz w:val="24"/>
                <w:u w:val="single"/>
              </w:rPr>
              <w:t>）废</w:t>
            </w:r>
            <w:r>
              <w:rPr>
                <w:rFonts w:hint="eastAsia"/>
                <w:bCs/>
                <w:color w:val="000000"/>
                <w:sz w:val="24"/>
                <w:u w:val="single"/>
                <w:lang w:val="en-US" w:eastAsia="zh-CN"/>
              </w:rPr>
              <w:t>机油</w:t>
            </w:r>
          </w:p>
          <w:p w14:paraId="272F130D">
            <w:pPr>
              <w:adjustRightInd w:val="0"/>
              <w:spacing w:line="360" w:lineRule="auto"/>
              <w:ind w:firstLine="480" w:firstLineChars="200"/>
              <w:rPr>
                <w:rFonts w:hint="eastAsia"/>
                <w:bCs/>
                <w:color w:val="000000"/>
                <w:sz w:val="24"/>
                <w:u w:val="single"/>
              </w:rPr>
            </w:pPr>
            <w:r>
              <w:rPr>
                <w:rFonts w:hint="eastAsia"/>
                <w:bCs/>
                <w:color w:val="000000"/>
                <w:sz w:val="24"/>
                <w:u w:val="single"/>
              </w:rPr>
              <w:t>设备检修维护过程中会产生</w:t>
            </w:r>
            <w:r>
              <w:rPr>
                <w:rFonts w:hint="eastAsia"/>
                <w:bCs/>
                <w:color w:val="000000"/>
                <w:sz w:val="24"/>
                <w:u w:val="single"/>
                <w:lang w:val="en-US" w:eastAsia="zh-CN"/>
              </w:rPr>
              <w:t>废机油</w:t>
            </w:r>
            <w:r>
              <w:rPr>
                <w:rFonts w:hint="eastAsia"/>
                <w:bCs/>
                <w:color w:val="000000"/>
                <w:sz w:val="24"/>
                <w:u w:val="single"/>
              </w:rPr>
              <w:t>，产生量约为0.0</w:t>
            </w:r>
            <w:r>
              <w:rPr>
                <w:rFonts w:hint="eastAsia"/>
                <w:bCs/>
                <w:color w:val="000000"/>
                <w:sz w:val="24"/>
                <w:u w:val="single"/>
                <w:lang w:val="en-US" w:eastAsia="zh-CN"/>
              </w:rPr>
              <w:t>1</w:t>
            </w:r>
            <w:r>
              <w:rPr>
                <w:rFonts w:hint="eastAsia"/>
                <w:bCs/>
                <w:color w:val="000000"/>
                <w:sz w:val="24"/>
                <w:u w:val="single"/>
              </w:rPr>
              <w:t>t/a。根据《国家危险废物名录》（2025年版），</w:t>
            </w:r>
            <w:r>
              <w:rPr>
                <w:rFonts w:hint="eastAsia"/>
                <w:bCs/>
                <w:color w:val="000000"/>
                <w:sz w:val="24"/>
                <w:u w:val="single"/>
                <w:lang w:val="en-US" w:eastAsia="zh-CN"/>
              </w:rPr>
              <w:t>废机油</w:t>
            </w:r>
            <w:r>
              <w:rPr>
                <w:rFonts w:hint="eastAsia"/>
                <w:bCs/>
                <w:color w:val="000000"/>
                <w:sz w:val="24"/>
                <w:u w:val="single"/>
              </w:rPr>
              <w:t>属于危险废物（HW08废矿物油与含矿物油废物，危废代码为900-217-08），收集后暂存至危废暂存间，定期交由有资质单位处理。</w:t>
            </w:r>
          </w:p>
          <w:p w14:paraId="7263A581">
            <w:pPr>
              <w:adjustRightInd w:val="0"/>
              <w:spacing w:line="360" w:lineRule="auto"/>
              <w:ind w:firstLine="480" w:firstLineChars="200"/>
              <w:rPr>
                <w:rFonts w:hint="eastAsia"/>
                <w:bCs/>
                <w:color w:val="000000"/>
                <w:sz w:val="24"/>
                <w:u w:val="single"/>
              </w:rPr>
            </w:pPr>
            <w:r>
              <w:rPr>
                <w:rFonts w:hint="eastAsia"/>
                <w:bCs/>
                <w:color w:val="000000"/>
                <w:sz w:val="24"/>
                <w:u w:val="single"/>
              </w:rPr>
              <w:t>（</w:t>
            </w:r>
            <w:r>
              <w:rPr>
                <w:rFonts w:hint="eastAsia"/>
                <w:bCs/>
                <w:color w:val="000000"/>
                <w:sz w:val="24"/>
                <w:u w:val="single"/>
                <w:lang w:val="en-US" w:eastAsia="zh-CN"/>
              </w:rPr>
              <w:t>6</w:t>
            </w:r>
            <w:r>
              <w:rPr>
                <w:rFonts w:hint="eastAsia"/>
                <w:bCs/>
                <w:color w:val="000000"/>
                <w:sz w:val="24"/>
                <w:u w:val="single"/>
              </w:rPr>
              <w:t>）生活垃圾</w:t>
            </w:r>
          </w:p>
          <w:p w14:paraId="0BBBCFF9">
            <w:pPr>
              <w:adjustRightInd w:val="0"/>
              <w:spacing w:line="360" w:lineRule="auto"/>
              <w:ind w:firstLine="480" w:firstLineChars="200"/>
              <w:rPr>
                <w:rFonts w:hint="eastAsia"/>
                <w:bCs/>
                <w:color w:val="000000"/>
                <w:sz w:val="24"/>
                <w:u w:val="single"/>
              </w:rPr>
            </w:pPr>
            <w:r>
              <w:rPr>
                <w:rFonts w:hint="eastAsia"/>
                <w:bCs/>
                <w:color w:val="000000"/>
                <w:sz w:val="24"/>
                <w:u w:val="single"/>
              </w:rPr>
              <w:t>本项目劳动定员</w:t>
            </w:r>
            <w:r>
              <w:rPr>
                <w:rFonts w:hint="eastAsia"/>
                <w:bCs/>
                <w:color w:val="000000"/>
                <w:sz w:val="24"/>
                <w:u w:val="single"/>
                <w:lang w:val="en-US" w:eastAsia="zh-CN"/>
              </w:rPr>
              <w:t>10</w:t>
            </w:r>
            <w:r>
              <w:rPr>
                <w:rFonts w:hint="eastAsia"/>
                <w:bCs/>
                <w:color w:val="000000"/>
                <w:sz w:val="24"/>
                <w:u w:val="single"/>
              </w:rPr>
              <w:t>人，生活垃圾产生量按每人0.5kg/d计算，年工作300d，则生活垃圾产生量为</w:t>
            </w:r>
            <w:r>
              <w:rPr>
                <w:rFonts w:hint="eastAsia"/>
                <w:bCs/>
                <w:color w:val="000000"/>
                <w:sz w:val="24"/>
                <w:u w:val="single"/>
                <w:lang w:val="en-US" w:eastAsia="zh-CN"/>
              </w:rPr>
              <w:t>1.5</w:t>
            </w:r>
            <w:r>
              <w:rPr>
                <w:rFonts w:hint="eastAsia"/>
                <w:bCs/>
                <w:color w:val="000000"/>
                <w:sz w:val="24"/>
                <w:u w:val="single"/>
              </w:rPr>
              <w:t>t/a。生活垃圾集中收集后定期交由当地环卫部门统一处理。</w:t>
            </w:r>
          </w:p>
          <w:p w14:paraId="35609017">
            <w:pPr>
              <w:adjustRightInd w:val="0"/>
              <w:spacing w:line="360" w:lineRule="auto"/>
              <w:ind w:firstLine="480" w:firstLineChars="200"/>
              <w:rPr>
                <w:rFonts w:hint="eastAsia"/>
                <w:bCs/>
                <w:color w:val="000000"/>
                <w:sz w:val="24"/>
                <w:u w:val="single"/>
              </w:rPr>
            </w:pPr>
            <w:r>
              <w:rPr>
                <w:rFonts w:hint="eastAsia"/>
                <w:bCs/>
                <w:color w:val="000000"/>
                <w:sz w:val="24"/>
                <w:u w:val="single"/>
              </w:rPr>
              <w:t>本项目固体废物产生情况汇总见下表。</w:t>
            </w:r>
          </w:p>
          <w:p w14:paraId="5C14CB32">
            <w:pPr>
              <w:adjustRightInd w:val="0"/>
              <w:snapToGrid w:val="0"/>
              <w:spacing w:before="93" w:beforeLines="30"/>
              <w:jc w:val="center"/>
              <w:rPr>
                <w:rFonts w:hint="eastAsia"/>
                <w:bCs/>
                <w:color w:val="000000"/>
                <w:sz w:val="24"/>
                <w:u w:val="single"/>
              </w:rPr>
            </w:pPr>
            <w:r>
              <w:rPr>
                <w:rFonts w:ascii="黑体" w:hAnsi="黑体" w:eastAsia="黑体" w:cs="宋体"/>
                <w:bCs/>
                <w:color w:val="000000"/>
                <w:sz w:val="24"/>
                <w:szCs w:val="24"/>
                <w:u w:val="single"/>
              </w:rPr>
              <w:t>表</w:t>
            </w:r>
            <w:r>
              <w:rPr>
                <w:rFonts w:hint="eastAsia" w:ascii="黑体" w:hAnsi="黑体" w:eastAsia="黑体" w:cs="宋体"/>
                <w:bCs/>
                <w:color w:val="000000"/>
                <w:sz w:val="24"/>
                <w:szCs w:val="24"/>
                <w:u w:val="single"/>
              </w:rPr>
              <w:t>3</w:t>
            </w:r>
            <w:r>
              <w:rPr>
                <w:rFonts w:hint="eastAsia" w:ascii="黑体" w:hAnsi="黑体" w:eastAsia="黑体" w:cs="宋体"/>
                <w:bCs/>
                <w:color w:val="000000"/>
                <w:sz w:val="24"/>
                <w:szCs w:val="24"/>
                <w:u w:val="single"/>
                <w:lang w:val="en-US" w:eastAsia="zh-CN"/>
              </w:rPr>
              <w:t>1</w:t>
            </w:r>
            <w:r>
              <w:rPr>
                <w:rFonts w:ascii="黑体" w:hAnsi="黑体" w:eastAsia="黑体" w:cs="宋体"/>
                <w:bCs/>
                <w:color w:val="000000"/>
                <w:sz w:val="24"/>
                <w:szCs w:val="24"/>
                <w:u w:val="single"/>
              </w:rPr>
              <w:t xml:space="preserve">    </w:t>
            </w:r>
            <w:r>
              <w:rPr>
                <w:rFonts w:hint="eastAsia" w:ascii="黑体" w:hAnsi="黑体" w:eastAsia="黑体" w:cs="宋体"/>
                <w:bCs/>
                <w:color w:val="000000"/>
                <w:sz w:val="24"/>
                <w:szCs w:val="24"/>
                <w:u w:val="single"/>
              </w:rPr>
              <w:t>固体废物</w:t>
            </w:r>
            <w:r>
              <w:rPr>
                <w:rFonts w:ascii="黑体" w:hAnsi="黑体" w:eastAsia="黑体" w:cs="宋体"/>
                <w:bCs/>
                <w:color w:val="000000"/>
                <w:sz w:val="24"/>
                <w:szCs w:val="24"/>
                <w:u w:val="single"/>
              </w:rPr>
              <w:t>产生情况一览表</w:t>
            </w:r>
          </w:p>
          <w:tbl>
            <w:tblPr>
              <w:tblStyle w:val="18"/>
              <w:tblW w:w="4995"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7" w:type="dxa"/>
                <w:bottom w:w="0" w:type="dxa"/>
                <w:right w:w="57" w:type="dxa"/>
              </w:tblCellMar>
            </w:tblPr>
            <w:tblGrid>
              <w:gridCol w:w="585"/>
              <w:gridCol w:w="1189"/>
              <w:gridCol w:w="1270"/>
              <w:gridCol w:w="1419"/>
              <w:gridCol w:w="663"/>
              <w:gridCol w:w="664"/>
              <w:gridCol w:w="992"/>
              <w:gridCol w:w="1392"/>
            </w:tblGrid>
            <w:tr w14:paraId="7BDA4E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jc w:val="center"/>
              </w:trPr>
              <w:tc>
                <w:tcPr>
                  <w:tcW w:w="357" w:type="pct"/>
                  <w:tcBorders>
                    <w:top w:val="single" w:color="auto" w:sz="4" w:space="0"/>
                    <w:left w:val="single" w:color="auto" w:sz="4" w:space="0"/>
                    <w:bottom w:val="single" w:color="auto" w:sz="6" w:space="0"/>
                    <w:right w:val="single" w:color="auto" w:sz="6" w:space="0"/>
                  </w:tcBorders>
                  <w:noWrap w:val="0"/>
                  <w:vAlign w:val="center"/>
                </w:tcPr>
                <w:p w14:paraId="2806C74A">
                  <w:pPr>
                    <w:widowControl/>
                    <w:jc w:val="center"/>
                    <w:rPr>
                      <w:color w:val="000000"/>
                      <w:szCs w:val="21"/>
                      <w:u w:val="single"/>
                    </w:rPr>
                  </w:pPr>
                  <w:r>
                    <w:rPr>
                      <w:rFonts w:hint="eastAsia"/>
                      <w:color w:val="000000"/>
                      <w:szCs w:val="21"/>
                      <w:u w:val="single"/>
                    </w:rPr>
                    <w:t>固废</w:t>
                  </w:r>
                  <w:r>
                    <w:rPr>
                      <w:color w:val="000000"/>
                      <w:szCs w:val="21"/>
                      <w:u w:val="single"/>
                    </w:rPr>
                    <w:t>类型</w:t>
                  </w:r>
                </w:p>
              </w:tc>
              <w:tc>
                <w:tcPr>
                  <w:tcW w:w="727" w:type="pct"/>
                  <w:tcBorders>
                    <w:top w:val="single" w:color="auto" w:sz="4" w:space="0"/>
                    <w:left w:val="single" w:color="auto" w:sz="6" w:space="0"/>
                    <w:bottom w:val="single" w:color="auto" w:sz="6" w:space="0"/>
                    <w:right w:val="single" w:color="auto" w:sz="6" w:space="0"/>
                  </w:tcBorders>
                  <w:noWrap w:val="0"/>
                  <w:vAlign w:val="center"/>
                </w:tcPr>
                <w:p w14:paraId="72D70626">
                  <w:pPr>
                    <w:widowControl/>
                    <w:jc w:val="center"/>
                    <w:rPr>
                      <w:color w:val="000000"/>
                      <w:szCs w:val="21"/>
                      <w:u w:val="single"/>
                    </w:rPr>
                  </w:pPr>
                  <w:r>
                    <w:rPr>
                      <w:color w:val="000000"/>
                      <w:szCs w:val="21"/>
                      <w:u w:val="single"/>
                    </w:rPr>
                    <w:t>名称</w:t>
                  </w:r>
                </w:p>
              </w:tc>
              <w:tc>
                <w:tcPr>
                  <w:tcW w:w="776" w:type="pct"/>
                  <w:tcBorders>
                    <w:top w:val="single" w:color="auto" w:sz="4" w:space="0"/>
                    <w:left w:val="single" w:color="auto" w:sz="6" w:space="0"/>
                    <w:bottom w:val="single" w:color="auto" w:sz="6" w:space="0"/>
                    <w:right w:val="single" w:color="auto" w:sz="4" w:space="0"/>
                  </w:tcBorders>
                  <w:noWrap w:val="0"/>
                  <w:vAlign w:val="center"/>
                </w:tcPr>
                <w:p w14:paraId="10DA6F74">
                  <w:pPr>
                    <w:widowControl/>
                    <w:jc w:val="center"/>
                    <w:rPr>
                      <w:color w:val="000000"/>
                      <w:szCs w:val="21"/>
                      <w:u w:val="single"/>
                    </w:rPr>
                  </w:pPr>
                  <w:r>
                    <w:rPr>
                      <w:color w:val="000000"/>
                      <w:szCs w:val="21"/>
                      <w:u w:val="single"/>
                    </w:rPr>
                    <w:t>编码</w:t>
                  </w:r>
                </w:p>
              </w:tc>
              <w:tc>
                <w:tcPr>
                  <w:tcW w:w="867" w:type="pct"/>
                  <w:tcBorders>
                    <w:top w:val="single" w:color="auto" w:sz="4" w:space="0"/>
                    <w:left w:val="single" w:color="auto" w:sz="6" w:space="0"/>
                    <w:bottom w:val="single" w:color="auto" w:sz="6" w:space="0"/>
                    <w:right w:val="single" w:color="auto" w:sz="4" w:space="0"/>
                  </w:tcBorders>
                  <w:noWrap w:val="0"/>
                  <w:vAlign w:val="center"/>
                </w:tcPr>
                <w:p w14:paraId="64E2A5D7">
                  <w:pPr>
                    <w:topLinePunct/>
                    <w:adjustRightInd w:val="0"/>
                    <w:jc w:val="center"/>
                    <w:rPr>
                      <w:color w:val="000000"/>
                      <w:szCs w:val="21"/>
                      <w:u w:val="single"/>
                    </w:rPr>
                  </w:pPr>
                  <w:r>
                    <w:rPr>
                      <w:color w:val="000000"/>
                      <w:szCs w:val="21"/>
                      <w:u w:val="single"/>
                    </w:rPr>
                    <w:t>有害成分</w:t>
                  </w:r>
                </w:p>
              </w:tc>
              <w:tc>
                <w:tcPr>
                  <w:tcW w:w="405" w:type="pct"/>
                  <w:tcBorders>
                    <w:top w:val="single" w:color="auto" w:sz="4" w:space="0"/>
                    <w:left w:val="single" w:color="auto" w:sz="6" w:space="0"/>
                    <w:bottom w:val="single" w:color="auto" w:sz="6" w:space="0"/>
                    <w:right w:val="single" w:color="auto" w:sz="4" w:space="0"/>
                  </w:tcBorders>
                  <w:noWrap w:val="0"/>
                  <w:vAlign w:val="center"/>
                </w:tcPr>
                <w:p w14:paraId="18B96B46">
                  <w:pPr>
                    <w:widowControl/>
                    <w:jc w:val="center"/>
                    <w:rPr>
                      <w:color w:val="000000"/>
                      <w:szCs w:val="21"/>
                      <w:u w:val="single"/>
                    </w:rPr>
                  </w:pPr>
                  <w:r>
                    <w:rPr>
                      <w:color w:val="000000"/>
                      <w:szCs w:val="21"/>
                      <w:u w:val="single"/>
                    </w:rPr>
                    <w:t>物理性状</w:t>
                  </w:r>
                </w:p>
              </w:tc>
              <w:tc>
                <w:tcPr>
                  <w:tcW w:w="406" w:type="pct"/>
                  <w:tcBorders>
                    <w:top w:val="single" w:color="auto" w:sz="4" w:space="0"/>
                    <w:left w:val="single" w:color="auto" w:sz="6" w:space="0"/>
                    <w:bottom w:val="single" w:color="auto" w:sz="6" w:space="0"/>
                    <w:right w:val="single" w:color="auto" w:sz="4" w:space="0"/>
                  </w:tcBorders>
                  <w:noWrap w:val="0"/>
                  <w:vAlign w:val="center"/>
                </w:tcPr>
                <w:p w14:paraId="5B8B3434">
                  <w:pPr>
                    <w:widowControl/>
                    <w:jc w:val="center"/>
                    <w:rPr>
                      <w:color w:val="000000"/>
                      <w:szCs w:val="21"/>
                      <w:u w:val="single"/>
                    </w:rPr>
                  </w:pPr>
                  <w:r>
                    <w:rPr>
                      <w:color w:val="000000"/>
                      <w:szCs w:val="21"/>
                      <w:u w:val="single"/>
                    </w:rPr>
                    <w:t>危险特性</w:t>
                  </w:r>
                </w:p>
              </w:tc>
              <w:tc>
                <w:tcPr>
                  <w:tcW w:w="606" w:type="pct"/>
                  <w:tcBorders>
                    <w:top w:val="single" w:color="auto" w:sz="4" w:space="0"/>
                    <w:left w:val="single" w:color="auto" w:sz="6" w:space="0"/>
                    <w:bottom w:val="single" w:color="auto" w:sz="6" w:space="0"/>
                    <w:right w:val="single" w:color="auto" w:sz="4" w:space="0"/>
                  </w:tcBorders>
                  <w:noWrap w:val="0"/>
                  <w:vAlign w:val="center"/>
                </w:tcPr>
                <w:p w14:paraId="11CBC5BB">
                  <w:pPr>
                    <w:widowControl/>
                    <w:jc w:val="center"/>
                    <w:rPr>
                      <w:color w:val="000000"/>
                      <w:szCs w:val="21"/>
                      <w:u w:val="single"/>
                    </w:rPr>
                  </w:pPr>
                  <w:r>
                    <w:rPr>
                      <w:color w:val="000000"/>
                      <w:szCs w:val="21"/>
                      <w:u w:val="single"/>
                    </w:rPr>
                    <w:t>产生量</w:t>
                  </w:r>
                </w:p>
              </w:tc>
              <w:tc>
                <w:tcPr>
                  <w:tcW w:w="851" w:type="pct"/>
                  <w:tcBorders>
                    <w:top w:val="single" w:color="auto" w:sz="4" w:space="0"/>
                    <w:left w:val="single" w:color="auto" w:sz="6" w:space="0"/>
                    <w:bottom w:val="single" w:color="auto" w:sz="6" w:space="0"/>
                    <w:right w:val="single" w:color="auto" w:sz="4" w:space="0"/>
                  </w:tcBorders>
                  <w:noWrap w:val="0"/>
                  <w:vAlign w:val="center"/>
                </w:tcPr>
                <w:p w14:paraId="5A58B761">
                  <w:pPr>
                    <w:widowControl/>
                    <w:jc w:val="center"/>
                    <w:rPr>
                      <w:rFonts w:hint="eastAsia"/>
                      <w:color w:val="000000"/>
                      <w:szCs w:val="21"/>
                      <w:u w:val="single"/>
                    </w:rPr>
                  </w:pPr>
                  <w:r>
                    <w:rPr>
                      <w:rFonts w:hint="eastAsia"/>
                      <w:color w:val="000000"/>
                      <w:szCs w:val="21"/>
                      <w:u w:val="single"/>
                    </w:rPr>
                    <w:t>处置方式</w:t>
                  </w:r>
                </w:p>
              </w:tc>
            </w:tr>
            <w:tr w14:paraId="453D2B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jc w:val="center"/>
              </w:trPr>
              <w:tc>
                <w:tcPr>
                  <w:tcW w:w="357" w:type="pct"/>
                  <w:vMerge w:val="restart"/>
                  <w:tcBorders>
                    <w:top w:val="single" w:color="auto" w:sz="6" w:space="0"/>
                    <w:left w:val="single" w:color="auto" w:sz="4" w:space="0"/>
                    <w:right w:val="single" w:color="auto" w:sz="6" w:space="0"/>
                  </w:tcBorders>
                  <w:noWrap w:val="0"/>
                  <w:vAlign w:val="center"/>
                </w:tcPr>
                <w:p w14:paraId="279348D4">
                  <w:pPr>
                    <w:widowControl/>
                    <w:autoSpaceDE w:val="0"/>
                    <w:autoSpaceDN w:val="0"/>
                    <w:adjustRightInd w:val="0"/>
                    <w:jc w:val="center"/>
                    <w:rPr>
                      <w:color w:val="000000"/>
                      <w:kern w:val="0"/>
                      <w:szCs w:val="21"/>
                      <w:u w:val="single"/>
                    </w:rPr>
                  </w:pPr>
                  <w:r>
                    <w:rPr>
                      <w:bCs/>
                      <w:color w:val="000000"/>
                      <w:szCs w:val="21"/>
                      <w:u w:val="single"/>
                    </w:rPr>
                    <w:t>一般工业固体废物</w:t>
                  </w:r>
                </w:p>
              </w:tc>
              <w:tc>
                <w:tcPr>
                  <w:tcW w:w="727" w:type="pct"/>
                  <w:tcBorders>
                    <w:top w:val="single" w:color="auto" w:sz="6" w:space="0"/>
                    <w:left w:val="single" w:color="auto" w:sz="6" w:space="0"/>
                    <w:bottom w:val="single" w:color="auto" w:sz="6" w:space="0"/>
                    <w:right w:val="single" w:color="auto" w:sz="6" w:space="0"/>
                  </w:tcBorders>
                  <w:noWrap w:val="0"/>
                  <w:vAlign w:val="center"/>
                </w:tcPr>
                <w:p w14:paraId="1C419917">
                  <w:pPr>
                    <w:snapToGrid w:val="0"/>
                    <w:spacing w:before="31" w:beforeLines="10" w:after="31" w:afterLines="10"/>
                    <w:jc w:val="center"/>
                    <w:rPr>
                      <w:rFonts w:hint="default" w:eastAsia="宋体"/>
                      <w:color w:val="000000"/>
                      <w:szCs w:val="21"/>
                      <w:u w:val="single"/>
                      <w:lang w:val="en-US" w:eastAsia="zh-CN"/>
                    </w:rPr>
                  </w:pPr>
                  <w:r>
                    <w:rPr>
                      <w:rFonts w:hint="eastAsia"/>
                      <w:color w:val="000000"/>
                      <w:szCs w:val="21"/>
                      <w:u w:val="single"/>
                      <w:lang w:val="en-US" w:eastAsia="zh-CN"/>
                    </w:rPr>
                    <w:t>边角料、不合格品</w:t>
                  </w:r>
                </w:p>
              </w:tc>
              <w:tc>
                <w:tcPr>
                  <w:tcW w:w="776" w:type="pct"/>
                  <w:tcBorders>
                    <w:top w:val="single" w:color="auto" w:sz="6" w:space="0"/>
                    <w:left w:val="single" w:color="auto" w:sz="6" w:space="0"/>
                    <w:bottom w:val="single" w:color="auto" w:sz="6" w:space="0"/>
                    <w:right w:val="single" w:color="auto" w:sz="4" w:space="0"/>
                  </w:tcBorders>
                  <w:noWrap w:val="0"/>
                  <w:vAlign w:val="center"/>
                </w:tcPr>
                <w:p w14:paraId="5A654DAF">
                  <w:pPr>
                    <w:jc w:val="center"/>
                    <w:rPr>
                      <w:rFonts w:hint="eastAsia"/>
                      <w:color w:val="000000"/>
                      <w:szCs w:val="21"/>
                      <w:u w:val="single"/>
                    </w:rPr>
                  </w:pPr>
                  <w:r>
                    <w:rPr>
                      <w:rFonts w:hint="eastAsia"/>
                      <w:color w:val="000000"/>
                      <w:szCs w:val="21"/>
                      <w:u w:val="single"/>
                    </w:rPr>
                    <w:t>SW17</w:t>
                  </w:r>
                </w:p>
                <w:p w14:paraId="6CD17606">
                  <w:pPr>
                    <w:jc w:val="center"/>
                    <w:rPr>
                      <w:color w:val="000000"/>
                      <w:szCs w:val="21"/>
                      <w:u w:val="single"/>
                    </w:rPr>
                  </w:pPr>
                  <w:r>
                    <w:rPr>
                      <w:rFonts w:hint="eastAsia"/>
                      <w:color w:val="000000"/>
                      <w:szCs w:val="21"/>
                      <w:u w:val="single"/>
                    </w:rPr>
                    <w:t>900-007-S17</w:t>
                  </w:r>
                </w:p>
              </w:tc>
              <w:tc>
                <w:tcPr>
                  <w:tcW w:w="867" w:type="pct"/>
                  <w:tcBorders>
                    <w:top w:val="single" w:color="auto" w:sz="6" w:space="0"/>
                    <w:left w:val="single" w:color="auto" w:sz="6" w:space="0"/>
                    <w:bottom w:val="single" w:color="auto" w:sz="6" w:space="0"/>
                    <w:right w:val="single" w:color="auto" w:sz="4" w:space="0"/>
                  </w:tcBorders>
                  <w:noWrap w:val="0"/>
                  <w:vAlign w:val="center"/>
                </w:tcPr>
                <w:p w14:paraId="251CB23B">
                  <w:pPr>
                    <w:jc w:val="center"/>
                    <w:rPr>
                      <w:color w:val="000000"/>
                      <w:szCs w:val="21"/>
                      <w:u w:val="single"/>
                    </w:rPr>
                  </w:pPr>
                  <w:r>
                    <w:rPr>
                      <w:color w:val="000000"/>
                      <w:szCs w:val="21"/>
                      <w:u w:val="single"/>
                    </w:rPr>
                    <w:t>/</w:t>
                  </w:r>
                </w:p>
              </w:tc>
              <w:tc>
                <w:tcPr>
                  <w:tcW w:w="405" w:type="pct"/>
                  <w:tcBorders>
                    <w:top w:val="single" w:color="auto" w:sz="6" w:space="0"/>
                    <w:left w:val="single" w:color="auto" w:sz="6" w:space="0"/>
                    <w:bottom w:val="single" w:color="auto" w:sz="6" w:space="0"/>
                    <w:right w:val="single" w:color="auto" w:sz="4" w:space="0"/>
                  </w:tcBorders>
                  <w:noWrap w:val="0"/>
                  <w:vAlign w:val="center"/>
                </w:tcPr>
                <w:p w14:paraId="085807D6">
                  <w:pPr>
                    <w:jc w:val="center"/>
                    <w:rPr>
                      <w:color w:val="000000"/>
                      <w:szCs w:val="21"/>
                      <w:u w:val="single"/>
                    </w:rPr>
                  </w:pPr>
                  <w:r>
                    <w:rPr>
                      <w:color w:val="000000"/>
                      <w:szCs w:val="21"/>
                      <w:u w:val="single"/>
                    </w:rPr>
                    <w:t>固态</w:t>
                  </w:r>
                </w:p>
              </w:tc>
              <w:tc>
                <w:tcPr>
                  <w:tcW w:w="406" w:type="pct"/>
                  <w:tcBorders>
                    <w:top w:val="single" w:color="auto" w:sz="6" w:space="0"/>
                    <w:left w:val="single" w:color="auto" w:sz="6" w:space="0"/>
                    <w:bottom w:val="single" w:color="auto" w:sz="6" w:space="0"/>
                    <w:right w:val="single" w:color="auto" w:sz="4" w:space="0"/>
                  </w:tcBorders>
                  <w:noWrap w:val="0"/>
                  <w:vAlign w:val="center"/>
                </w:tcPr>
                <w:p w14:paraId="6D76929A">
                  <w:pPr>
                    <w:jc w:val="center"/>
                    <w:rPr>
                      <w:color w:val="000000"/>
                      <w:szCs w:val="21"/>
                      <w:u w:val="single"/>
                    </w:rPr>
                  </w:pPr>
                  <w:r>
                    <w:rPr>
                      <w:color w:val="000000"/>
                      <w:szCs w:val="21"/>
                      <w:u w:val="single"/>
                    </w:rPr>
                    <w:t>/</w:t>
                  </w:r>
                </w:p>
              </w:tc>
              <w:tc>
                <w:tcPr>
                  <w:tcW w:w="606" w:type="pct"/>
                  <w:tcBorders>
                    <w:top w:val="single" w:color="auto" w:sz="6" w:space="0"/>
                    <w:left w:val="single" w:color="auto" w:sz="6" w:space="0"/>
                    <w:bottom w:val="single" w:color="auto" w:sz="6" w:space="0"/>
                    <w:right w:val="single" w:color="auto" w:sz="4" w:space="0"/>
                  </w:tcBorders>
                  <w:noWrap w:val="0"/>
                  <w:vAlign w:val="center"/>
                </w:tcPr>
                <w:p w14:paraId="20BB976C">
                  <w:pPr>
                    <w:jc w:val="center"/>
                    <w:rPr>
                      <w:color w:val="000000"/>
                      <w:szCs w:val="21"/>
                      <w:u w:val="single"/>
                    </w:rPr>
                  </w:pPr>
                  <w:r>
                    <w:rPr>
                      <w:rFonts w:hint="eastAsia"/>
                      <w:color w:val="000000"/>
                      <w:szCs w:val="21"/>
                      <w:u w:val="single"/>
                      <w:lang w:val="en-US" w:eastAsia="zh-CN"/>
                    </w:rPr>
                    <w:t>3.3</w:t>
                  </w:r>
                  <w:r>
                    <w:rPr>
                      <w:color w:val="000000"/>
                      <w:szCs w:val="21"/>
                      <w:u w:val="single"/>
                    </w:rPr>
                    <w:t>t</w:t>
                  </w:r>
                  <w:r>
                    <w:rPr>
                      <w:rFonts w:hint="eastAsia"/>
                      <w:color w:val="000000"/>
                      <w:szCs w:val="21"/>
                      <w:u w:val="single"/>
                    </w:rPr>
                    <w:t>/a</w:t>
                  </w:r>
                </w:p>
              </w:tc>
              <w:tc>
                <w:tcPr>
                  <w:tcW w:w="851" w:type="pct"/>
                  <w:tcBorders>
                    <w:top w:val="single" w:color="auto" w:sz="6" w:space="0"/>
                    <w:left w:val="single" w:color="auto" w:sz="6" w:space="0"/>
                    <w:bottom w:val="single" w:color="auto" w:sz="6" w:space="0"/>
                    <w:right w:val="single" w:color="auto" w:sz="4" w:space="0"/>
                  </w:tcBorders>
                  <w:noWrap w:val="0"/>
                  <w:vAlign w:val="center"/>
                </w:tcPr>
                <w:p w14:paraId="42953F75">
                  <w:pPr>
                    <w:jc w:val="center"/>
                    <w:rPr>
                      <w:rFonts w:hint="eastAsia" w:eastAsia="宋体"/>
                      <w:color w:val="000000"/>
                      <w:szCs w:val="21"/>
                      <w:u w:val="single"/>
                      <w:lang w:eastAsia="zh-CN"/>
                    </w:rPr>
                  </w:pPr>
                  <w:r>
                    <w:rPr>
                      <w:rFonts w:hint="eastAsia"/>
                      <w:color w:val="000000"/>
                      <w:szCs w:val="21"/>
                      <w:u w:val="single"/>
                      <w:lang w:val="en-US" w:eastAsia="zh-CN"/>
                    </w:rPr>
                    <w:t>回用</w:t>
                  </w:r>
                </w:p>
              </w:tc>
            </w:tr>
            <w:tr w14:paraId="700D8A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jc w:val="center"/>
              </w:trPr>
              <w:tc>
                <w:tcPr>
                  <w:tcW w:w="357" w:type="pct"/>
                  <w:vMerge w:val="continue"/>
                  <w:tcBorders>
                    <w:left w:val="single" w:color="auto" w:sz="4" w:space="0"/>
                    <w:right w:val="single" w:color="auto" w:sz="6" w:space="0"/>
                  </w:tcBorders>
                  <w:noWrap w:val="0"/>
                  <w:vAlign w:val="center"/>
                </w:tcPr>
                <w:p w14:paraId="59A46203">
                  <w:pPr>
                    <w:jc w:val="center"/>
                    <w:rPr>
                      <w:color w:val="000000"/>
                      <w:szCs w:val="21"/>
                      <w:u w:val="single"/>
                    </w:rPr>
                  </w:pPr>
                </w:p>
              </w:tc>
              <w:tc>
                <w:tcPr>
                  <w:tcW w:w="727" w:type="pct"/>
                  <w:tcBorders>
                    <w:top w:val="single" w:color="auto" w:sz="6" w:space="0"/>
                    <w:left w:val="single" w:color="auto" w:sz="6" w:space="0"/>
                    <w:bottom w:val="single" w:color="auto" w:sz="6" w:space="0"/>
                    <w:right w:val="single" w:color="auto" w:sz="6" w:space="0"/>
                  </w:tcBorders>
                  <w:noWrap w:val="0"/>
                  <w:vAlign w:val="center"/>
                </w:tcPr>
                <w:p w14:paraId="7140F63D">
                  <w:pPr>
                    <w:snapToGrid w:val="0"/>
                    <w:spacing w:before="31" w:beforeLines="10" w:after="31" w:afterLines="10"/>
                    <w:jc w:val="center"/>
                    <w:rPr>
                      <w:color w:val="000000"/>
                      <w:szCs w:val="21"/>
                      <w:u w:val="single"/>
                    </w:rPr>
                  </w:pPr>
                  <w:r>
                    <w:rPr>
                      <w:rFonts w:hint="eastAsia"/>
                      <w:color w:val="000000"/>
                      <w:szCs w:val="21"/>
                      <w:u w:val="single"/>
                    </w:rPr>
                    <w:t>除尘器收集的粉尘</w:t>
                  </w:r>
                </w:p>
              </w:tc>
              <w:tc>
                <w:tcPr>
                  <w:tcW w:w="776" w:type="pct"/>
                  <w:tcBorders>
                    <w:top w:val="single" w:color="auto" w:sz="6" w:space="0"/>
                    <w:left w:val="single" w:color="auto" w:sz="6" w:space="0"/>
                    <w:bottom w:val="single" w:color="auto" w:sz="6" w:space="0"/>
                    <w:right w:val="single" w:color="auto" w:sz="4" w:space="0"/>
                  </w:tcBorders>
                  <w:noWrap w:val="0"/>
                  <w:vAlign w:val="center"/>
                </w:tcPr>
                <w:p w14:paraId="4FF0D210">
                  <w:pPr>
                    <w:jc w:val="center"/>
                    <w:rPr>
                      <w:rFonts w:hint="eastAsia"/>
                      <w:color w:val="000000"/>
                      <w:szCs w:val="21"/>
                      <w:u w:val="single"/>
                    </w:rPr>
                  </w:pPr>
                  <w:r>
                    <w:rPr>
                      <w:rFonts w:hint="eastAsia"/>
                      <w:color w:val="000000"/>
                      <w:szCs w:val="21"/>
                      <w:u w:val="single"/>
                    </w:rPr>
                    <w:t>SW17</w:t>
                  </w:r>
                </w:p>
                <w:p w14:paraId="5672A8B7">
                  <w:pPr>
                    <w:jc w:val="center"/>
                    <w:rPr>
                      <w:color w:val="000000"/>
                      <w:szCs w:val="21"/>
                      <w:u w:val="single"/>
                    </w:rPr>
                  </w:pPr>
                  <w:r>
                    <w:rPr>
                      <w:rFonts w:hint="eastAsia"/>
                      <w:color w:val="000000"/>
                      <w:szCs w:val="21"/>
                      <w:u w:val="single"/>
                    </w:rPr>
                    <w:t>900-007-S17</w:t>
                  </w:r>
                </w:p>
              </w:tc>
              <w:tc>
                <w:tcPr>
                  <w:tcW w:w="867" w:type="pct"/>
                  <w:tcBorders>
                    <w:top w:val="single" w:color="auto" w:sz="6" w:space="0"/>
                    <w:left w:val="single" w:color="auto" w:sz="6" w:space="0"/>
                    <w:bottom w:val="single" w:color="auto" w:sz="6" w:space="0"/>
                    <w:right w:val="single" w:color="auto" w:sz="4" w:space="0"/>
                  </w:tcBorders>
                  <w:noWrap w:val="0"/>
                  <w:vAlign w:val="center"/>
                </w:tcPr>
                <w:p w14:paraId="22B1BBDD">
                  <w:pPr>
                    <w:jc w:val="center"/>
                    <w:rPr>
                      <w:color w:val="000000"/>
                      <w:szCs w:val="21"/>
                      <w:u w:val="single"/>
                    </w:rPr>
                  </w:pPr>
                  <w:r>
                    <w:rPr>
                      <w:rFonts w:hint="eastAsia"/>
                      <w:color w:val="000000"/>
                      <w:szCs w:val="21"/>
                      <w:u w:val="single"/>
                    </w:rPr>
                    <w:t>/</w:t>
                  </w:r>
                </w:p>
              </w:tc>
              <w:tc>
                <w:tcPr>
                  <w:tcW w:w="405" w:type="pct"/>
                  <w:tcBorders>
                    <w:top w:val="single" w:color="auto" w:sz="6" w:space="0"/>
                    <w:left w:val="single" w:color="auto" w:sz="6" w:space="0"/>
                    <w:bottom w:val="single" w:color="auto" w:sz="6" w:space="0"/>
                    <w:right w:val="single" w:color="auto" w:sz="4" w:space="0"/>
                  </w:tcBorders>
                  <w:noWrap w:val="0"/>
                  <w:vAlign w:val="center"/>
                </w:tcPr>
                <w:p w14:paraId="15CE1261">
                  <w:pPr>
                    <w:jc w:val="center"/>
                    <w:rPr>
                      <w:color w:val="000000"/>
                      <w:szCs w:val="21"/>
                      <w:u w:val="single"/>
                    </w:rPr>
                  </w:pPr>
                  <w:r>
                    <w:rPr>
                      <w:color w:val="000000"/>
                      <w:szCs w:val="21"/>
                      <w:u w:val="single"/>
                    </w:rPr>
                    <w:t>固态</w:t>
                  </w:r>
                </w:p>
              </w:tc>
              <w:tc>
                <w:tcPr>
                  <w:tcW w:w="406" w:type="pct"/>
                  <w:tcBorders>
                    <w:top w:val="single" w:color="auto" w:sz="6" w:space="0"/>
                    <w:left w:val="single" w:color="auto" w:sz="6" w:space="0"/>
                    <w:bottom w:val="single" w:color="auto" w:sz="6" w:space="0"/>
                    <w:right w:val="single" w:color="auto" w:sz="4" w:space="0"/>
                  </w:tcBorders>
                  <w:noWrap w:val="0"/>
                  <w:vAlign w:val="center"/>
                </w:tcPr>
                <w:p w14:paraId="04C85266">
                  <w:pPr>
                    <w:jc w:val="center"/>
                    <w:rPr>
                      <w:color w:val="000000"/>
                      <w:szCs w:val="21"/>
                      <w:u w:val="single"/>
                    </w:rPr>
                  </w:pPr>
                  <w:r>
                    <w:rPr>
                      <w:color w:val="000000"/>
                      <w:szCs w:val="21"/>
                      <w:u w:val="single"/>
                    </w:rPr>
                    <w:t>/</w:t>
                  </w:r>
                </w:p>
              </w:tc>
              <w:tc>
                <w:tcPr>
                  <w:tcW w:w="606" w:type="pct"/>
                  <w:tcBorders>
                    <w:top w:val="single" w:color="auto" w:sz="6" w:space="0"/>
                    <w:left w:val="single" w:color="auto" w:sz="6" w:space="0"/>
                    <w:bottom w:val="single" w:color="auto" w:sz="6" w:space="0"/>
                    <w:right w:val="single" w:color="auto" w:sz="4" w:space="0"/>
                  </w:tcBorders>
                  <w:noWrap w:val="0"/>
                  <w:vAlign w:val="center"/>
                </w:tcPr>
                <w:p w14:paraId="462F6908">
                  <w:pPr>
                    <w:jc w:val="center"/>
                    <w:rPr>
                      <w:color w:val="000000"/>
                      <w:szCs w:val="21"/>
                      <w:u w:val="single"/>
                    </w:rPr>
                  </w:pPr>
                  <w:r>
                    <w:rPr>
                      <w:rFonts w:hint="eastAsia"/>
                      <w:color w:val="000000"/>
                      <w:szCs w:val="21"/>
                      <w:u w:val="single"/>
                      <w:lang w:val="en-US" w:eastAsia="zh-CN"/>
                    </w:rPr>
                    <w:t>0.4312</w:t>
                  </w:r>
                  <w:r>
                    <w:rPr>
                      <w:color w:val="000000"/>
                      <w:szCs w:val="21"/>
                      <w:u w:val="single"/>
                    </w:rPr>
                    <w:t>t</w:t>
                  </w:r>
                  <w:r>
                    <w:rPr>
                      <w:rFonts w:hint="eastAsia"/>
                      <w:color w:val="000000"/>
                      <w:szCs w:val="21"/>
                      <w:u w:val="single"/>
                    </w:rPr>
                    <w:t>/a</w:t>
                  </w:r>
                </w:p>
              </w:tc>
              <w:tc>
                <w:tcPr>
                  <w:tcW w:w="851" w:type="pct"/>
                  <w:tcBorders>
                    <w:top w:val="single" w:color="auto" w:sz="6" w:space="0"/>
                    <w:left w:val="single" w:color="auto" w:sz="6" w:space="0"/>
                    <w:bottom w:val="single" w:color="auto" w:sz="6" w:space="0"/>
                    <w:right w:val="single" w:color="auto" w:sz="4" w:space="0"/>
                  </w:tcBorders>
                  <w:noWrap w:val="0"/>
                  <w:vAlign w:val="center"/>
                </w:tcPr>
                <w:p w14:paraId="0BF139B1">
                  <w:pPr>
                    <w:jc w:val="center"/>
                    <w:rPr>
                      <w:rFonts w:hint="eastAsia"/>
                      <w:color w:val="000000"/>
                      <w:szCs w:val="21"/>
                      <w:u w:val="single"/>
                    </w:rPr>
                  </w:pPr>
                  <w:r>
                    <w:rPr>
                      <w:rFonts w:hint="eastAsia"/>
                      <w:color w:val="000000"/>
                      <w:szCs w:val="21"/>
                      <w:u w:val="single"/>
                      <w:lang w:val="en-US" w:eastAsia="zh-CN"/>
                    </w:rPr>
                    <w:t>回用</w:t>
                  </w:r>
                </w:p>
              </w:tc>
            </w:tr>
            <w:tr w14:paraId="64E44A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jc w:val="center"/>
              </w:trPr>
              <w:tc>
                <w:tcPr>
                  <w:tcW w:w="357" w:type="pct"/>
                  <w:vMerge w:val="continue"/>
                  <w:tcBorders>
                    <w:left w:val="single" w:color="auto" w:sz="4" w:space="0"/>
                    <w:right w:val="single" w:color="auto" w:sz="6" w:space="0"/>
                  </w:tcBorders>
                  <w:noWrap w:val="0"/>
                  <w:vAlign w:val="center"/>
                </w:tcPr>
                <w:p w14:paraId="4416A657">
                  <w:pPr>
                    <w:jc w:val="center"/>
                    <w:rPr>
                      <w:color w:val="000000"/>
                      <w:szCs w:val="21"/>
                      <w:u w:val="single"/>
                    </w:rPr>
                  </w:pPr>
                </w:p>
              </w:tc>
              <w:tc>
                <w:tcPr>
                  <w:tcW w:w="727" w:type="pct"/>
                  <w:tcBorders>
                    <w:top w:val="single" w:color="auto" w:sz="6" w:space="0"/>
                    <w:left w:val="single" w:color="auto" w:sz="6" w:space="0"/>
                    <w:bottom w:val="single" w:color="auto" w:sz="6" w:space="0"/>
                    <w:right w:val="single" w:color="auto" w:sz="6" w:space="0"/>
                  </w:tcBorders>
                  <w:noWrap w:val="0"/>
                  <w:vAlign w:val="center"/>
                </w:tcPr>
                <w:p w14:paraId="0C670732">
                  <w:pPr>
                    <w:snapToGrid w:val="0"/>
                    <w:spacing w:before="31" w:beforeLines="10" w:after="31" w:afterLines="10"/>
                    <w:jc w:val="center"/>
                    <w:rPr>
                      <w:rFonts w:hint="default" w:eastAsia="宋体"/>
                      <w:color w:val="000000"/>
                      <w:szCs w:val="21"/>
                      <w:u w:val="single"/>
                      <w:lang w:val="en-US" w:eastAsia="zh-CN"/>
                    </w:rPr>
                  </w:pPr>
                  <w:r>
                    <w:rPr>
                      <w:rFonts w:hint="eastAsia"/>
                      <w:color w:val="000000"/>
                      <w:szCs w:val="21"/>
                      <w:u w:val="single"/>
                    </w:rPr>
                    <w:t>废包装袋</w:t>
                  </w:r>
                  <w:r>
                    <w:rPr>
                      <w:rFonts w:hint="eastAsia"/>
                      <w:color w:val="000000"/>
                      <w:szCs w:val="21"/>
                      <w:u w:val="single"/>
                      <w:lang w:eastAsia="zh-CN"/>
                    </w:rPr>
                    <w:t>、</w:t>
                  </w:r>
                  <w:r>
                    <w:rPr>
                      <w:rFonts w:hint="eastAsia"/>
                      <w:color w:val="000000"/>
                      <w:szCs w:val="21"/>
                      <w:u w:val="single"/>
                      <w:lang w:val="en-US" w:eastAsia="zh-CN"/>
                    </w:rPr>
                    <w:t>废包装桶</w:t>
                  </w:r>
                </w:p>
              </w:tc>
              <w:tc>
                <w:tcPr>
                  <w:tcW w:w="776" w:type="pct"/>
                  <w:tcBorders>
                    <w:top w:val="single" w:color="auto" w:sz="6" w:space="0"/>
                    <w:left w:val="single" w:color="auto" w:sz="6" w:space="0"/>
                    <w:bottom w:val="single" w:color="auto" w:sz="6" w:space="0"/>
                    <w:right w:val="single" w:color="auto" w:sz="4" w:space="0"/>
                  </w:tcBorders>
                  <w:noWrap w:val="0"/>
                  <w:vAlign w:val="center"/>
                </w:tcPr>
                <w:p w14:paraId="53EAAAE1">
                  <w:pPr>
                    <w:jc w:val="center"/>
                    <w:rPr>
                      <w:rFonts w:hint="eastAsia"/>
                      <w:color w:val="000000"/>
                      <w:szCs w:val="21"/>
                      <w:u w:val="single"/>
                    </w:rPr>
                  </w:pPr>
                  <w:r>
                    <w:rPr>
                      <w:rFonts w:hint="eastAsia"/>
                      <w:color w:val="000000"/>
                      <w:szCs w:val="21"/>
                      <w:u w:val="single"/>
                    </w:rPr>
                    <w:t>SW17</w:t>
                  </w:r>
                </w:p>
                <w:p w14:paraId="0BCF66E2">
                  <w:pPr>
                    <w:jc w:val="center"/>
                    <w:rPr>
                      <w:rFonts w:hint="eastAsia"/>
                      <w:color w:val="000000"/>
                      <w:szCs w:val="21"/>
                      <w:u w:val="single"/>
                    </w:rPr>
                  </w:pPr>
                  <w:r>
                    <w:rPr>
                      <w:rFonts w:hint="eastAsia"/>
                      <w:color w:val="000000"/>
                      <w:szCs w:val="21"/>
                      <w:u w:val="single"/>
                    </w:rPr>
                    <w:t>900-007-S17</w:t>
                  </w:r>
                </w:p>
              </w:tc>
              <w:tc>
                <w:tcPr>
                  <w:tcW w:w="867" w:type="pct"/>
                  <w:tcBorders>
                    <w:top w:val="single" w:color="auto" w:sz="6" w:space="0"/>
                    <w:left w:val="single" w:color="auto" w:sz="6" w:space="0"/>
                    <w:bottom w:val="single" w:color="auto" w:sz="6" w:space="0"/>
                    <w:right w:val="single" w:color="auto" w:sz="4" w:space="0"/>
                  </w:tcBorders>
                  <w:noWrap w:val="0"/>
                  <w:vAlign w:val="center"/>
                </w:tcPr>
                <w:p w14:paraId="34D6F50D">
                  <w:pPr>
                    <w:jc w:val="center"/>
                    <w:rPr>
                      <w:color w:val="000000"/>
                      <w:szCs w:val="21"/>
                      <w:u w:val="single"/>
                    </w:rPr>
                  </w:pPr>
                  <w:r>
                    <w:rPr>
                      <w:color w:val="000000"/>
                      <w:szCs w:val="21"/>
                      <w:u w:val="single"/>
                    </w:rPr>
                    <w:t>/</w:t>
                  </w:r>
                </w:p>
              </w:tc>
              <w:tc>
                <w:tcPr>
                  <w:tcW w:w="405" w:type="pct"/>
                  <w:tcBorders>
                    <w:top w:val="single" w:color="auto" w:sz="6" w:space="0"/>
                    <w:left w:val="single" w:color="auto" w:sz="6" w:space="0"/>
                    <w:bottom w:val="single" w:color="auto" w:sz="6" w:space="0"/>
                    <w:right w:val="single" w:color="auto" w:sz="4" w:space="0"/>
                  </w:tcBorders>
                  <w:noWrap w:val="0"/>
                  <w:vAlign w:val="center"/>
                </w:tcPr>
                <w:p w14:paraId="74BC3930">
                  <w:pPr>
                    <w:jc w:val="center"/>
                    <w:rPr>
                      <w:color w:val="000000"/>
                      <w:szCs w:val="21"/>
                      <w:u w:val="single"/>
                    </w:rPr>
                  </w:pPr>
                  <w:r>
                    <w:rPr>
                      <w:color w:val="000000"/>
                      <w:szCs w:val="21"/>
                      <w:u w:val="single"/>
                    </w:rPr>
                    <w:t>固态</w:t>
                  </w:r>
                </w:p>
              </w:tc>
              <w:tc>
                <w:tcPr>
                  <w:tcW w:w="406" w:type="pct"/>
                  <w:tcBorders>
                    <w:top w:val="single" w:color="auto" w:sz="6" w:space="0"/>
                    <w:left w:val="single" w:color="auto" w:sz="6" w:space="0"/>
                    <w:bottom w:val="single" w:color="auto" w:sz="6" w:space="0"/>
                    <w:right w:val="single" w:color="auto" w:sz="4" w:space="0"/>
                  </w:tcBorders>
                  <w:noWrap w:val="0"/>
                  <w:vAlign w:val="center"/>
                </w:tcPr>
                <w:p w14:paraId="153B6405">
                  <w:pPr>
                    <w:jc w:val="center"/>
                    <w:rPr>
                      <w:color w:val="000000"/>
                      <w:szCs w:val="21"/>
                      <w:u w:val="single"/>
                    </w:rPr>
                  </w:pPr>
                  <w:r>
                    <w:rPr>
                      <w:color w:val="000000"/>
                      <w:szCs w:val="21"/>
                      <w:u w:val="single"/>
                    </w:rPr>
                    <w:t>/</w:t>
                  </w:r>
                </w:p>
              </w:tc>
              <w:tc>
                <w:tcPr>
                  <w:tcW w:w="606" w:type="pct"/>
                  <w:tcBorders>
                    <w:top w:val="single" w:color="auto" w:sz="6" w:space="0"/>
                    <w:left w:val="single" w:color="auto" w:sz="6" w:space="0"/>
                    <w:bottom w:val="single" w:color="auto" w:sz="6" w:space="0"/>
                    <w:right w:val="single" w:color="auto" w:sz="4" w:space="0"/>
                  </w:tcBorders>
                  <w:noWrap w:val="0"/>
                  <w:vAlign w:val="center"/>
                </w:tcPr>
                <w:p w14:paraId="4BF29AB0">
                  <w:pPr>
                    <w:jc w:val="center"/>
                    <w:rPr>
                      <w:color w:val="000000"/>
                      <w:szCs w:val="21"/>
                      <w:u w:val="single"/>
                    </w:rPr>
                  </w:pPr>
                  <w:r>
                    <w:rPr>
                      <w:rFonts w:hint="eastAsia"/>
                      <w:color w:val="000000"/>
                      <w:szCs w:val="21"/>
                      <w:u w:val="single"/>
                      <w:lang w:val="en-US" w:eastAsia="zh-CN"/>
                    </w:rPr>
                    <w:t>5.18</w:t>
                  </w:r>
                  <w:r>
                    <w:rPr>
                      <w:color w:val="000000"/>
                      <w:szCs w:val="21"/>
                      <w:u w:val="single"/>
                    </w:rPr>
                    <w:t>t</w:t>
                  </w:r>
                  <w:r>
                    <w:rPr>
                      <w:rFonts w:hint="eastAsia"/>
                      <w:color w:val="000000"/>
                      <w:szCs w:val="21"/>
                      <w:u w:val="single"/>
                    </w:rPr>
                    <w:t>/a</w:t>
                  </w:r>
                </w:p>
              </w:tc>
              <w:tc>
                <w:tcPr>
                  <w:tcW w:w="851" w:type="pct"/>
                  <w:tcBorders>
                    <w:top w:val="single" w:color="auto" w:sz="6" w:space="0"/>
                    <w:left w:val="single" w:color="auto" w:sz="6" w:space="0"/>
                    <w:bottom w:val="single" w:color="auto" w:sz="6" w:space="0"/>
                    <w:right w:val="single" w:color="auto" w:sz="4" w:space="0"/>
                  </w:tcBorders>
                  <w:noWrap w:val="0"/>
                  <w:vAlign w:val="center"/>
                </w:tcPr>
                <w:p w14:paraId="277A22FB">
                  <w:pPr>
                    <w:jc w:val="center"/>
                    <w:rPr>
                      <w:rFonts w:hint="eastAsia"/>
                      <w:color w:val="000000"/>
                      <w:szCs w:val="21"/>
                      <w:u w:val="single"/>
                    </w:rPr>
                  </w:pPr>
                  <w:r>
                    <w:rPr>
                      <w:rFonts w:hint="eastAsia"/>
                      <w:color w:val="000000"/>
                      <w:szCs w:val="21"/>
                      <w:u w:val="single"/>
                    </w:rPr>
                    <w:t>外售</w:t>
                  </w:r>
                </w:p>
              </w:tc>
            </w:tr>
            <w:tr w14:paraId="490E30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20" w:hRule="atLeast"/>
                <w:jc w:val="center"/>
              </w:trPr>
              <w:tc>
                <w:tcPr>
                  <w:tcW w:w="357" w:type="pct"/>
                  <w:vMerge w:val="restart"/>
                  <w:tcBorders>
                    <w:top w:val="single" w:color="auto" w:sz="6" w:space="0"/>
                    <w:left w:val="single" w:color="auto" w:sz="4" w:space="0"/>
                    <w:right w:val="single" w:color="auto" w:sz="6" w:space="0"/>
                  </w:tcBorders>
                  <w:noWrap w:val="0"/>
                  <w:vAlign w:val="center"/>
                </w:tcPr>
                <w:p w14:paraId="59EA74C2">
                  <w:pPr>
                    <w:jc w:val="center"/>
                    <w:rPr>
                      <w:color w:val="000000"/>
                      <w:szCs w:val="21"/>
                      <w:u w:val="single"/>
                    </w:rPr>
                  </w:pPr>
                  <w:r>
                    <w:rPr>
                      <w:rFonts w:hint="eastAsia"/>
                      <w:color w:val="000000"/>
                      <w:szCs w:val="21"/>
                      <w:u w:val="single"/>
                    </w:rPr>
                    <w:t>危险废物</w:t>
                  </w:r>
                </w:p>
              </w:tc>
              <w:tc>
                <w:tcPr>
                  <w:tcW w:w="727" w:type="pct"/>
                  <w:tcBorders>
                    <w:top w:val="single" w:color="auto" w:sz="6" w:space="0"/>
                    <w:left w:val="single" w:color="auto" w:sz="6" w:space="0"/>
                    <w:bottom w:val="single" w:color="auto" w:sz="6" w:space="0"/>
                    <w:right w:val="single" w:color="auto" w:sz="6" w:space="0"/>
                  </w:tcBorders>
                  <w:noWrap w:val="0"/>
                  <w:vAlign w:val="center"/>
                </w:tcPr>
                <w:p w14:paraId="14B07B04">
                  <w:pPr>
                    <w:snapToGrid w:val="0"/>
                    <w:spacing w:before="31" w:beforeLines="10" w:after="31" w:afterLines="10"/>
                    <w:jc w:val="center"/>
                    <w:rPr>
                      <w:color w:val="000000"/>
                      <w:kern w:val="0"/>
                      <w:szCs w:val="21"/>
                      <w:u w:val="single"/>
                    </w:rPr>
                  </w:pPr>
                  <w:r>
                    <w:rPr>
                      <w:color w:val="000000"/>
                      <w:szCs w:val="21"/>
                      <w:u w:val="single"/>
                    </w:rPr>
                    <w:t>废活性炭</w:t>
                  </w:r>
                </w:p>
              </w:tc>
              <w:tc>
                <w:tcPr>
                  <w:tcW w:w="776" w:type="pct"/>
                  <w:tcBorders>
                    <w:top w:val="single" w:color="auto" w:sz="6" w:space="0"/>
                    <w:left w:val="single" w:color="auto" w:sz="6" w:space="0"/>
                    <w:bottom w:val="single" w:color="auto" w:sz="6" w:space="0"/>
                    <w:right w:val="single" w:color="auto" w:sz="4" w:space="0"/>
                  </w:tcBorders>
                  <w:noWrap w:val="0"/>
                  <w:vAlign w:val="center"/>
                </w:tcPr>
                <w:p w14:paraId="40047802">
                  <w:pPr>
                    <w:jc w:val="center"/>
                    <w:rPr>
                      <w:color w:val="000000"/>
                      <w:szCs w:val="21"/>
                      <w:u w:val="single"/>
                    </w:rPr>
                  </w:pPr>
                  <w:r>
                    <w:rPr>
                      <w:color w:val="000000"/>
                      <w:szCs w:val="21"/>
                      <w:u w:val="single"/>
                    </w:rPr>
                    <w:t>HW49</w:t>
                  </w:r>
                </w:p>
                <w:p w14:paraId="3F5D0224">
                  <w:pPr>
                    <w:jc w:val="center"/>
                    <w:rPr>
                      <w:color w:val="000000"/>
                      <w:szCs w:val="21"/>
                      <w:u w:val="single"/>
                    </w:rPr>
                  </w:pPr>
                  <w:r>
                    <w:rPr>
                      <w:color w:val="000000"/>
                      <w:szCs w:val="21"/>
                      <w:u w:val="single"/>
                    </w:rPr>
                    <w:t>900-039-49</w:t>
                  </w:r>
                </w:p>
              </w:tc>
              <w:tc>
                <w:tcPr>
                  <w:tcW w:w="867" w:type="pct"/>
                  <w:tcBorders>
                    <w:top w:val="single" w:color="auto" w:sz="6" w:space="0"/>
                    <w:left w:val="single" w:color="auto" w:sz="6" w:space="0"/>
                    <w:bottom w:val="single" w:color="auto" w:sz="6" w:space="0"/>
                    <w:right w:val="single" w:color="auto" w:sz="4" w:space="0"/>
                  </w:tcBorders>
                  <w:noWrap w:val="0"/>
                  <w:vAlign w:val="center"/>
                </w:tcPr>
                <w:p w14:paraId="65C9DBD2">
                  <w:pPr>
                    <w:jc w:val="center"/>
                    <w:rPr>
                      <w:color w:val="000000"/>
                      <w:szCs w:val="21"/>
                      <w:u w:val="single"/>
                    </w:rPr>
                  </w:pPr>
                  <w:r>
                    <w:rPr>
                      <w:color w:val="000000"/>
                      <w:szCs w:val="21"/>
                      <w:u w:val="single"/>
                    </w:rPr>
                    <w:t>挥发性有机物</w:t>
                  </w:r>
                </w:p>
              </w:tc>
              <w:tc>
                <w:tcPr>
                  <w:tcW w:w="405" w:type="pct"/>
                  <w:tcBorders>
                    <w:top w:val="single" w:color="auto" w:sz="6" w:space="0"/>
                    <w:left w:val="single" w:color="auto" w:sz="6" w:space="0"/>
                    <w:bottom w:val="single" w:color="auto" w:sz="6" w:space="0"/>
                    <w:right w:val="single" w:color="auto" w:sz="4" w:space="0"/>
                  </w:tcBorders>
                  <w:noWrap w:val="0"/>
                  <w:vAlign w:val="center"/>
                </w:tcPr>
                <w:p w14:paraId="720CA28C">
                  <w:pPr>
                    <w:jc w:val="center"/>
                    <w:rPr>
                      <w:color w:val="000000"/>
                      <w:szCs w:val="21"/>
                      <w:u w:val="single"/>
                    </w:rPr>
                  </w:pPr>
                  <w:r>
                    <w:rPr>
                      <w:color w:val="000000"/>
                      <w:szCs w:val="21"/>
                      <w:u w:val="single"/>
                    </w:rPr>
                    <w:t>固态</w:t>
                  </w:r>
                </w:p>
              </w:tc>
              <w:tc>
                <w:tcPr>
                  <w:tcW w:w="406" w:type="pct"/>
                  <w:tcBorders>
                    <w:top w:val="single" w:color="auto" w:sz="6" w:space="0"/>
                    <w:left w:val="single" w:color="auto" w:sz="6" w:space="0"/>
                    <w:bottom w:val="single" w:color="auto" w:sz="6" w:space="0"/>
                    <w:right w:val="single" w:color="auto" w:sz="4" w:space="0"/>
                  </w:tcBorders>
                  <w:noWrap w:val="0"/>
                  <w:vAlign w:val="center"/>
                </w:tcPr>
                <w:p w14:paraId="44507102">
                  <w:pPr>
                    <w:jc w:val="center"/>
                    <w:rPr>
                      <w:color w:val="000000"/>
                      <w:szCs w:val="21"/>
                      <w:u w:val="single"/>
                    </w:rPr>
                  </w:pPr>
                  <w:r>
                    <w:rPr>
                      <w:rFonts w:hint="eastAsia"/>
                      <w:color w:val="000000"/>
                      <w:szCs w:val="21"/>
                      <w:u w:val="single"/>
                    </w:rPr>
                    <w:t>T</w:t>
                  </w:r>
                </w:p>
              </w:tc>
              <w:tc>
                <w:tcPr>
                  <w:tcW w:w="606" w:type="pct"/>
                  <w:tcBorders>
                    <w:top w:val="single" w:color="auto" w:sz="6" w:space="0"/>
                    <w:left w:val="single" w:color="auto" w:sz="6" w:space="0"/>
                    <w:bottom w:val="single" w:color="auto" w:sz="6" w:space="0"/>
                    <w:right w:val="single" w:color="auto" w:sz="4" w:space="0"/>
                  </w:tcBorders>
                  <w:noWrap w:val="0"/>
                  <w:vAlign w:val="center"/>
                </w:tcPr>
                <w:p w14:paraId="3282BD66">
                  <w:pPr>
                    <w:jc w:val="center"/>
                    <w:rPr>
                      <w:rFonts w:hint="eastAsia"/>
                      <w:color w:val="000000"/>
                      <w:szCs w:val="21"/>
                      <w:u w:val="single"/>
                    </w:rPr>
                  </w:pPr>
                  <w:r>
                    <w:rPr>
                      <w:rFonts w:hint="eastAsia"/>
                      <w:color w:val="000000"/>
                      <w:szCs w:val="21"/>
                      <w:u w:val="single"/>
                      <w:lang w:val="en-US" w:eastAsia="zh-CN"/>
                    </w:rPr>
                    <w:t>1.67</w:t>
                  </w:r>
                  <w:r>
                    <w:rPr>
                      <w:rFonts w:hint="eastAsia"/>
                      <w:color w:val="000000"/>
                      <w:szCs w:val="21"/>
                      <w:u w:val="single"/>
                    </w:rPr>
                    <w:t>t/a</w:t>
                  </w:r>
                </w:p>
              </w:tc>
              <w:tc>
                <w:tcPr>
                  <w:tcW w:w="851" w:type="pct"/>
                  <w:vMerge w:val="restart"/>
                  <w:tcBorders>
                    <w:top w:val="single" w:color="auto" w:sz="6" w:space="0"/>
                    <w:left w:val="single" w:color="auto" w:sz="6" w:space="0"/>
                    <w:right w:val="single" w:color="auto" w:sz="4" w:space="0"/>
                  </w:tcBorders>
                  <w:noWrap w:val="0"/>
                  <w:vAlign w:val="center"/>
                </w:tcPr>
                <w:p w14:paraId="7B321319">
                  <w:pPr>
                    <w:jc w:val="center"/>
                    <w:rPr>
                      <w:color w:val="000000"/>
                      <w:szCs w:val="21"/>
                      <w:u w:val="single"/>
                    </w:rPr>
                  </w:pPr>
                  <w:r>
                    <w:rPr>
                      <w:rFonts w:hint="eastAsia"/>
                      <w:color w:val="000000"/>
                      <w:szCs w:val="21"/>
                      <w:u w:val="single"/>
                    </w:rPr>
                    <w:t>危废暂存间分类暂存，委托有资质单位进行处置</w:t>
                  </w:r>
                </w:p>
              </w:tc>
            </w:tr>
            <w:tr w14:paraId="0D8E64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357" w:type="pct"/>
                  <w:vMerge w:val="continue"/>
                  <w:tcBorders>
                    <w:left w:val="single" w:color="auto" w:sz="4" w:space="0"/>
                    <w:right w:val="single" w:color="auto" w:sz="6" w:space="0"/>
                  </w:tcBorders>
                  <w:noWrap w:val="0"/>
                  <w:vAlign w:val="center"/>
                </w:tcPr>
                <w:p w14:paraId="51621C58">
                  <w:pPr>
                    <w:jc w:val="center"/>
                    <w:rPr>
                      <w:rFonts w:hint="eastAsia"/>
                      <w:color w:val="000000"/>
                      <w:szCs w:val="21"/>
                      <w:u w:val="single"/>
                    </w:rPr>
                  </w:pPr>
                </w:p>
              </w:tc>
              <w:tc>
                <w:tcPr>
                  <w:tcW w:w="727" w:type="pct"/>
                  <w:tcBorders>
                    <w:top w:val="single" w:color="auto" w:sz="6" w:space="0"/>
                    <w:left w:val="single" w:color="auto" w:sz="6" w:space="0"/>
                    <w:bottom w:val="single" w:color="auto" w:sz="6" w:space="0"/>
                    <w:right w:val="single" w:color="auto" w:sz="6" w:space="0"/>
                  </w:tcBorders>
                  <w:noWrap w:val="0"/>
                  <w:vAlign w:val="center"/>
                </w:tcPr>
                <w:p w14:paraId="771D361D">
                  <w:pPr>
                    <w:snapToGrid w:val="0"/>
                    <w:spacing w:before="31" w:beforeLines="10" w:after="31" w:afterLines="10"/>
                    <w:jc w:val="center"/>
                    <w:rPr>
                      <w:rFonts w:hint="eastAsia"/>
                      <w:color w:val="000000"/>
                      <w:kern w:val="0"/>
                      <w:szCs w:val="21"/>
                      <w:u w:val="single"/>
                    </w:rPr>
                  </w:pPr>
                  <w:r>
                    <w:rPr>
                      <w:rFonts w:hint="eastAsia"/>
                      <w:color w:val="000000"/>
                      <w:szCs w:val="21"/>
                      <w:u w:val="single"/>
                      <w:lang w:val="en-US" w:eastAsia="zh-CN"/>
                    </w:rPr>
                    <w:t>废机油</w:t>
                  </w:r>
                </w:p>
              </w:tc>
              <w:tc>
                <w:tcPr>
                  <w:tcW w:w="776" w:type="pct"/>
                  <w:tcBorders>
                    <w:top w:val="single" w:color="auto" w:sz="6" w:space="0"/>
                    <w:left w:val="single" w:color="auto" w:sz="6" w:space="0"/>
                    <w:bottom w:val="single" w:color="auto" w:sz="6" w:space="0"/>
                    <w:right w:val="single" w:color="auto" w:sz="4" w:space="0"/>
                  </w:tcBorders>
                  <w:noWrap w:val="0"/>
                  <w:vAlign w:val="center"/>
                </w:tcPr>
                <w:p w14:paraId="3B3620C1">
                  <w:pPr>
                    <w:topLinePunct/>
                    <w:adjustRightInd w:val="0"/>
                    <w:spacing w:before="31" w:beforeLines="10" w:after="31" w:afterLines="10"/>
                    <w:jc w:val="center"/>
                    <w:rPr>
                      <w:color w:val="000000"/>
                      <w:szCs w:val="21"/>
                      <w:u w:val="single"/>
                    </w:rPr>
                  </w:pPr>
                  <w:r>
                    <w:rPr>
                      <w:rFonts w:hint="eastAsia"/>
                      <w:color w:val="000000"/>
                      <w:szCs w:val="21"/>
                      <w:u w:val="single"/>
                    </w:rPr>
                    <w:t>H</w:t>
                  </w:r>
                  <w:r>
                    <w:rPr>
                      <w:color w:val="000000"/>
                      <w:szCs w:val="21"/>
                      <w:u w:val="single"/>
                    </w:rPr>
                    <w:t>W</w:t>
                  </w:r>
                  <w:r>
                    <w:rPr>
                      <w:rFonts w:hint="eastAsia"/>
                      <w:color w:val="000000"/>
                      <w:szCs w:val="21"/>
                      <w:u w:val="single"/>
                    </w:rPr>
                    <w:t>08</w:t>
                  </w:r>
                </w:p>
                <w:p w14:paraId="73FA1C90">
                  <w:pPr>
                    <w:jc w:val="center"/>
                    <w:rPr>
                      <w:color w:val="000000"/>
                      <w:szCs w:val="21"/>
                      <w:u w:val="single"/>
                    </w:rPr>
                  </w:pPr>
                  <w:r>
                    <w:rPr>
                      <w:color w:val="000000"/>
                      <w:szCs w:val="21"/>
                      <w:u w:val="single"/>
                    </w:rPr>
                    <w:t>900-2</w:t>
                  </w:r>
                  <w:r>
                    <w:rPr>
                      <w:rFonts w:hint="eastAsia"/>
                      <w:color w:val="000000"/>
                      <w:szCs w:val="21"/>
                      <w:u w:val="single"/>
                    </w:rPr>
                    <w:t>17</w:t>
                  </w:r>
                  <w:r>
                    <w:rPr>
                      <w:color w:val="000000"/>
                      <w:szCs w:val="21"/>
                      <w:u w:val="single"/>
                    </w:rPr>
                    <w:t>-08</w:t>
                  </w:r>
                </w:p>
              </w:tc>
              <w:tc>
                <w:tcPr>
                  <w:tcW w:w="867" w:type="pct"/>
                  <w:tcBorders>
                    <w:top w:val="single" w:color="auto" w:sz="6" w:space="0"/>
                    <w:left w:val="single" w:color="auto" w:sz="6" w:space="0"/>
                    <w:bottom w:val="single" w:color="auto" w:sz="6" w:space="0"/>
                    <w:right w:val="single" w:color="auto" w:sz="4" w:space="0"/>
                  </w:tcBorders>
                  <w:noWrap w:val="0"/>
                  <w:vAlign w:val="center"/>
                </w:tcPr>
                <w:p w14:paraId="69401D91">
                  <w:pPr>
                    <w:jc w:val="center"/>
                    <w:rPr>
                      <w:rFonts w:hint="eastAsia"/>
                      <w:color w:val="000000"/>
                      <w:szCs w:val="21"/>
                      <w:u w:val="single"/>
                    </w:rPr>
                  </w:pPr>
                  <w:r>
                    <w:rPr>
                      <w:color w:val="000000"/>
                      <w:kern w:val="0"/>
                      <w:szCs w:val="21"/>
                      <w:u w:val="single"/>
                    </w:rPr>
                    <w:t>高分子烃类化合物及添加剂</w:t>
                  </w:r>
                </w:p>
              </w:tc>
              <w:tc>
                <w:tcPr>
                  <w:tcW w:w="405" w:type="pct"/>
                  <w:tcBorders>
                    <w:top w:val="single" w:color="auto" w:sz="6" w:space="0"/>
                    <w:left w:val="single" w:color="auto" w:sz="6" w:space="0"/>
                    <w:bottom w:val="single" w:color="auto" w:sz="6" w:space="0"/>
                    <w:right w:val="single" w:color="auto" w:sz="4" w:space="0"/>
                  </w:tcBorders>
                  <w:noWrap w:val="0"/>
                  <w:vAlign w:val="center"/>
                </w:tcPr>
                <w:p w14:paraId="34D0C00A">
                  <w:pPr>
                    <w:jc w:val="center"/>
                    <w:rPr>
                      <w:color w:val="000000"/>
                      <w:szCs w:val="21"/>
                      <w:u w:val="single"/>
                    </w:rPr>
                  </w:pPr>
                  <w:r>
                    <w:rPr>
                      <w:rFonts w:hint="eastAsia"/>
                      <w:color w:val="000000"/>
                      <w:szCs w:val="21"/>
                      <w:u w:val="single"/>
                    </w:rPr>
                    <w:t>液</w:t>
                  </w:r>
                  <w:r>
                    <w:rPr>
                      <w:color w:val="000000"/>
                      <w:szCs w:val="21"/>
                      <w:u w:val="single"/>
                    </w:rPr>
                    <w:t>态</w:t>
                  </w:r>
                </w:p>
              </w:tc>
              <w:tc>
                <w:tcPr>
                  <w:tcW w:w="406" w:type="pct"/>
                  <w:tcBorders>
                    <w:top w:val="single" w:color="auto" w:sz="6" w:space="0"/>
                    <w:left w:val="single" w:color="auto" w:sz="6" w:space="0"/>
                    <w:bottom w:val="single" w:color="auto" w:sz="6" w:space="0"/>
                    <w:right w:val="single" w:color="auto" w:sz="4" w:space="0"/>
                  </w:tcBorders>
                  <w:noWrap w:val="0"/>
                  <w:vAlign w:val="center"/>
                </w:tcPr>
                <w:p w14:paraId="65C31F21">
                  <w:pPr>
                    <w:jc w:val="center"/>
                    <w:rPr>
                      <w:rFonts w:hint="eastAsia"/>
                      <w:color w:val="000000"/>
                      <w:szCs w:val="21"/>
                      <w:u w:val="single"/>
                    </w:rPr>
                  </w:pPr>
                  <w:r>
                    <w:rPr>
                      <w:rFonts w:hint="eastAsia"/>
                      <w:color w:val="000000"/>
                      <w:szCs w:val="21"/>
                      <w:u w:val="single"/>
                    </w:rPr>
                    <w:t>T</w:t>
                  </w:r>
                  <w:r>
                    <w:rPr>
                      <w:rFonts w:hint="eastAsia"/>
                      <w:color w:val="000000"/>
                      <w:szCs w:val="21"/>
                      <w:u w:val="single"/>
                      <w:lang w:eastAsia="zh-CN"/>
                    </w:rPr>
                    <w:t xml:space="preserve">, </w:t>
                  </w:r>
                  <w:r>
                    <w:rPr>
                      <w:rFonts w:hint="eastAsia"/>
                      <w:color w:val="000000"/>
                      <w:szCs w:val="21"/>
                      <w:u w:val="single"/>
                    </w:rPr>
                    <w:t>I</w:t>
                  </w:r>
                </w:p>
              </w:tc>
              <w:tc>
                <w:tcPr>
                  <w:tcW w:w="606" w:type="pct"/>
                  <w:tcBorders>
                    <w:top w:val="single" w:color="auto" w:sz="6" w:space="0"/>
                    <w:left w:val="single" w:color="auto" w:sz="6" w:space="0"/>
                    <w:bottom w:val="single" w:color="auto" w:sz="6" w:space="0"/>
                    <w:right w:val="single" w:color="auto" w:sz="4" w:space="0"/>
                  </w:tcBorders>
                  <w:noWrap w:val="0"/>
                  <w:vAlign w:val="center"/>
                </w:tcPr>
                <w:p w14:paraId="522A29E2">
                  <w:pPr>
                    <w:jc w:val="center"/>
                    <w:rPr>
                      <w:rFonts w:hint="eastAsia"/>
                      <w:color w:val="000000"/>
                      <w:szCs w:val="21"/>
                      <w:u w:val="single"/>
                    </w:rPr>
                  </w:pPr>
                  <w:r>
                    <w:rPr>
                      <w:rFonts w:hint="eastAsia"/>
                      <w:color w:val="000000"/>
                      <w:szCs w:val="21"/>
                      <w:u w:val="single"/>
                    </w:rPr>
                    <w:t>0.0</w:t>
                  </w:r>
                  <w:r>
                    <w:rPr>
                      <w:rFonts w:hint="eastAsia"/>
                      <w:color w:val="000000"/>
                      <w:szCs w:val="21"/>
                      <w:u w:val="single"/>
                      <w:lang w:val="en-US" w:eastAsia="zh-CN"/>
                    </w:rPr>
                    <w:t>1</w:t>
                  </w:r>
                  <w:r>
                    <w:rPr>
                      <w:rFonts w:hint="eastAsia"/>
                      <w:color w:val="000000"/>
                      <w:szCs w:val="21"/>
                      <w:u w:val="single"/>
                    </w:rPr>
                    <w:t>t/a</w:t>
                  </w:r>
                </w:p>
              </w:tc>
              <w:tc>
                <w:tcPr>
                  <w:tcW w:w="851" w:type="pct"/>
                  <w:vMerge w:val="continue"/>
                  <w:tcBorders>
                    <w:left w:val="single" w:color="auto" w:sz="6" w:space="0"/>
                    <w:right w:val="single" w:color="auto" w:sz="4" w:space="0"/>
                  </w:tcBorders>
                  <w:noWrap w:val="0"/>
                  <w:vAlign w:val="center"/>
                </w:tcPr>
                <w:p w14:paraId="3428C744">
                  <w:pPr>
                    <w:jc w:val="center"/>
                    <w:rPr>
                      <w:rFonts w:hint="eastAsia"/>
                      <w:color w:val="000000"/>
                      <w:szCs w:val="21"/>
                      <w:u w:val="single"/>
                    </w:rPr>
                  </w:pPr>
                </w:p>
              </w:tc>
            </w:tr>
          </w:tbl>
          <w:p w14:paraId="2F866872">
            <w:pPr>
              <w:adjustRightInd w:val="0"/>
              <w:spacing w:line="360" w:lineRule="auto"/>
              <w:rPr>
                <w:rFonts w:hint="eastAsia"/>
                <w:bCs/>
                <w:color w:val="000000"/>
                <w:sz w:val="24"/>
                <w:u w:val="single"/>
              </w:rPr>
            </w:pPr>
            <w:r>
              <w:rPr>
                <w:rFonts w:hint="eastAsia"/>
                <w:bCs/>
                <w:color w:val="000000"/>
                <w:sz w:val="24"/>
                <w:u w:val="single"/>
              </w:rPr>
              <w:t>4.2固废储存场所情况</w:t>
            </w:r>
          </w:p>
          <w:p w14:paraId="71E184BD">
            <w:pPr>
              <w:adjustRightInd w:val="0"/>
              <w:spacing w:line="360" w:lineRule="auto"/>
              <w:ind w:firstLine="480" w:firstLineChars="200"/>
              <w:rPr>
                <w:rFonts w:hint="eastAsia"/>
                <w:color w:val="000000"/>
                <w:sz w:val="24"/>
                <w:szCs w:val="24"/>
                <w:u w:val="single"/>
              </w:rPr>
            </w:pPr>
            <w:r>
              <w:rPr>
                <w:rFonts w:hint="eastAsia"/>
                <w:color w:val="000000"/>
                <w:sz w:val="24"/>
                <w:szCs w:val="24"/>
                <w:u w:val="single"/>
              </w:rPr>
              <w:t>（1）一般固废暂存区</w:t>
            </w:r>
          </w:p>
          <w:p w14:paraId="04ADC57C">
            <w:pPr>
              <w:adjustRightInd w:val="0"/>
              <w:spacing w:line="360" w:lineRule="auto"/>
              <w:ind w:firstLine="480" w:firstLineChars="200"/>
              <w:rPr>
                <w:rFonts w:hint="eastAsia"/>
                <w:bCs/>
                <w:color w:val="000000"/>
                <w:sz w:val="24"/>
                <w:szCs w:val="24"/>
                <w:u w:val="single"/>
              </w:rPr>
            </w:pPr>
            <w:r>
              <w:rPr>
                <w:rFonts w:hint="eastAsia"/>
                <w:color w:val="000000"/>
                <w:sz w:val="24"/>
                <w:szCs w:val="24"/>
                <w:u w:val="single"/>
              </w:rPr>
              <w:t>本</w:t>
            </w:r>
            <w:r>
              <w:rPr>
                <w:rFonts w:hint="eastAsia"/>
                <w:color w:val="000000"/>
                <w:sz w:val="24"/>
                <w:szCs w:val="24"/>
                <w:u w:val="single"/>
                <w:lang w:val="en-US" w:eastAsia="zh-CN"/>
              </w:rPr>
              <w:t>项目设置一处</w:t>
            </w:r>
            <w:r>
              <w:rPr>
                <w:rFonts w:hint="eastAsia"/>
                <w:color w:val="000000"/>
                <w:sz w:val="24"/>
                <w:szCs w:val="24"/>
                <w:u w:val="single"/>
              </w:rPr>
              <w:t>一般固废暂存区</w:t>
            </w:r>
            <w:r>
              <w:rPr>
                <w:rFonts w:hint="eastAsia"/>
                <w:color w:val="000000"/>
                <w:sz w:val="24"/>
                <w:szCs w:val="24"/>
                <w:u w:val="single"/>
                <w:lang w:eastAsia="zh-CN"/>
              </w:rPr>
              <w:t>，</w:t>
            </w:r>
            <w:r>
              <w:rPr>
                <w:rFonts w:hint="eastAsia"/>
                <w:color w:val="000000"/>
                <w:sz w:val="24"/>
                <w:szCs w:val="24"/>
                <w:u w:val="single"/>
                <w:lang w:val="en-US" w:eastAsia="zh-CN"/>
              </w:rPr>
              <w:t>面积</w:t>
            </w:r>
            <w:r>
              <w:rPr>
                <w:rFonts w:hint="eastAsia"/>
                <w:color w:val="000000"/>
                <w:sz w:val="24"/>
                <w:szCs w:val="24"/>
                <w:u w:val="single"/>
              </w:rPr>
              <w:t>10m</w:t>
            </w:r>
            <w:r>
              <w:rPr>
                <w:rFonts w:hint="eastAsia"/>
                <w:color w:val="000000"/>
                <w:sz w:val="24"/>
                <w:szCs w:val="24"/>
                <w:u w:val="single"/>
                <w:vertAlign w:val="superscript"/>
              </w:rPr>
              <w:t>2</w:t>
            </w:r>
            <w:r>
              <w:rPr>
                <w:rFonts w:hint="eastAsia"/>
                <w:color w:val="000000"/>
                <w:sz w:val="24"/>
                <w:szCs w:val="24"/>
                <w:u w:val="single"/>
              </w:rPr>
              <w:t>，暂存区</w:t>
            </w:r>
            <w:r>
              <w:rPr>
                <w:rFonts w:hint="eastAsia"/>
                <w:bCs/>
                <w:color w:val="000000"/>
                <w:sz w:val="24"/>
                <w:szCs w:val="24"/>
                <w:u w:val="single"/>
              </w:rPr>
              <w:t>地面采取硬化处理并设置标识标牌。</w:t>
            </w:r>
          </w:p>
          <w:p w14:paraId="5A1D74DC">
            <w:pPr>
              <w:adjustRightInd w:val="0"/>
              <w:spacing w:line="360" w:lineRule="auto"/>
              <w:ind w:firstLine="480" w:firstLineChars="200"/>
              <w:rPr>
                <w:rFonts w:hint="eastAsia"/>
                <w:color w:val="000000"/>
                <w:sz w:val="24"/>
                <w:szCs w:val="24"/>
                <w:u w:val="single"/>
              </w:rPr>
            </w:pPr>
            <w:r>
              <w:rPr>
                <w:rFonts w:hint="eastAsia"/>
                <w:bCs/>
                <w:color w:val="000000"/>
                <w:sz w:val="24"/>
                <w:szCs w:val="24"/>
                <w:u w:val="single"/>
              </w:rPr>
              <w:t>（2）危废暂存间</w:t>
            </w:r>
          </w:p>
          <w:p w14:paraId="045ACE49">
            <w:pPr>
              <w:adjustRightInd w:val="0"/>
              <w:spacing w:line="360" w:lineRule="auto"/>
              <w:ind w:firstLine="480" w:firstLineChars="200"/>
              <w:rPr>
                <w:rFonts w:hint="eastAsia"/>
                <w:bCs/>
                <w:color w:val="000000"/>
                <w:sz w:val="24"/>
                <w:u w:val="single"/>
              </w:rPr>
            </w:pPr>
            <w:r>
              <w:rPr>
                <w:rFonts w:hint="eastAsia"/>
                <w:color w:val="000000"/>
                <w:sz w:val="24"/>
                <w:szCs w:val="24"/>
                <w:u w:val="single"/>
              </w:rPr>
              <w:t>本</w:t>
            </w:r>
            <w:r>
              <w:rPr>
                <w:rFonts w:hint="eastAsia"/>
                <w:color w:val="000000"/>
                <w:sz w:val="24"/>
                <w:szCs w:val="24"/>
                <w:u w:val="single"/>
                <w:lang w:val="en-US" w:eastAsia="zh-CN"/>
              </w:rPr>
              <w:t>项目在车间东北角设置一个</w:t>
            </w:r>
            <w:r>
              <w:rPr>
                <w:rFonts w:hint="eastAsia"/>
                <w:color w:val="000000"/>
                <w:sz w:val="24"/>
                <w:szCs w:val="24"/>
                <w:u w:val="single"/>
              </w:rPr>
              <w:t>危废暂存间，</w:t>
            </w:r>
            <w:r>
              <w:rPr>
                <w:rFonts w:hint="eastAsia"/>
                <w:color w:val="000000"/>
                <w:sz w:val="24"/>
                <w:szCs w:val="24"/>
                <w:u w:val="single"/>
                <w:lang w:val="en-US" w:eastAsia="zh-CN"/>
              </w:rPr>
              <w:t>面积10</w:t>
            </w:r>
            <w:r>
              <w:rPr>
                <w:rFonts w:hint="eastAsia" w:cs="宋体"/>
                <w:bCs/>
                <w:color w:val="000000"/>
                <w:sz w:val="24"/>
                <w:szCs w:val="24"/>
                <w:u w:val="single"/>
                <w:lang w:bidi="ar"/>
              </w:rPr>
              <w:t>m</w:t>
            </w:r>
            <w:r>
              <w:rPr>
                <w:rFonts w:hint="eastAsia" w:cs="宋体"/>
                <w:bCs/>
                <w:color w:val="000000"/>
                <w:sz w:val="24"/>
                <w:szCs w:val="24"/>
                <w:u w:val="single"/>
                <w:vertAlign w:val="superscript"/>
                <w:lang w:bidi="ar"/>
              </w:rPr>
              <w:t>2</w:t>
            </w:r>
            <w:r>
              <w:rPr>
                <w:rFonts w:hint="eastAsia" w:cs="宋体"/>
                <w:bCs/>
                <w:color w:val="000000"/>
                <w:sz w:val="24"/>
                <w:szCs w:val="24"/>
                <w:u w:val="single"/>
                <w:lang w:bidi="ar"/>
              </w:rPr>
              <w:t>，</w:t>
            </w:r>
            <w:r>
              <w:rPr>
                <w:rFonts w:hint="eastAsia"/>
                <w:color w:val="000000"/>
                <w:sz w:val="24"/>
                <w:szCs w:val="24"/>
                <w:u w:val="single"/>
              </w:rPr>
              <w:t>各种危险废物在危废暂存间内分类储存。危废暂存间地面采取防渗、防溢流措施，危险废物的储存由专人管理，做好登记。</w:t>
            </w:r>
          </w:p>
          <w:p w14:paraId="787D7A5A">
            <w:pPr>
              <w:adjustRightInd w:val="0"/>
              <w:spacing w:line="360" w:lineRule="auto"/>
              <w:ind w:firstLine="480" w:firstLineChars="200"/>
              <w:rPr>
                <w:rFonts w:hint="eastAsia"/>
                <w:color w:val="000000"/>
                <w:sz w:val="24"/>
                <w:szCs w:val="24"/>
                <w:u w:val="single"/>
              </w:rPr>
            </w:pPr>
            <w:r>
              <w:rPr>
                <w:rFonts w:hint="eastAsia"/>
                <w:bCs/>
                <w:color w:val="000000"/>
                <w:sz w:val="24"/>
                <w:u w:val="single"/>
              </w:rPr>
              <w:t>本项目危险废物贮存场所情况见下表。</w:t>
            </w:r>
          </w:p>
          <w:p w14:paraId="67F177B6">
            <w:pPr>
              <w:adjustRightInd w:val="0"/>
              <w:snapToGrid w:val="0"/>
              <w:spacing w:before="93" w:beforeLines="30"/>
              <w:jc w:val="center"/>
              <w:rPr>
                <w:rFonts w:hint="eastAsia" w:ascii="黑体" w:hAnsi="黑体" w:eastAsia="黑体" w:cs="宋体"/>
                <w:bCs/>
                <w:color w:val="000000"/>
                <w:sz w:val="24"/>
                <w:szCs w:val="24"/>
                <w:u w:val="single"/>
              </w:rPr>
            </w:pPr>
            <w:r>
              <w:rPr>
                <w:rFonts w:hint="eastAsia" w:ascii="黑体" w:hAnsi="黑体" w:eastAsia="黑体" w:cs="宋体"/>
                <w:bCs/>
                <w:color w:val="000000"/>
                <w:sz w:val="24"/>
                <w:szCs w:val="24"/>
                <w:u w:val="single"/>
              </w:rPr>
              <w:t>表</w:t>
            </w:r>
            <w:r>
              <w:rPr>
                <w:rFonts w:hint="eastAsia" w:ascii="黑体" w:hAnsi="黑体" w:eastAsia="黑体" w:cs="宋体"/>
                <w:bCs/>
                <w:color w:val="000000"/>
                <w:sz w:val="24"/>
                <w:szCs w:val="24"/>
                <w:u w:val="single"/>
                <w:lang w:val="en-US" w:eastAsia="zh-CN"/>
              </w:rPr>
              <w:t>32</w:t>
            </w:r>
            <w:r>
              <w:rPr>
                <w:rFonts w:hint="eastAsia" w:ascii="黑体" w:hAnsi="黑体" w:eastAsia="黑体" w:cs="宋体"/>
                <w:bCs/>
                <w:color w:val="000000"/>
                <w:sz w:val="24"/>
                <w:szCs w:val="24"/>
                <w:u w:val="single"/>
              </w:rPr>
              <w:t xml:space="preserve">    危险废物贮存场所基本情况一览表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68"/>
              <w:gridCol w:w="1212"/>
              <w:gridCol w:w="874"/>
              <w:gridCol w:w="1316"/>
              <w:gridCol w:w="976"/>
              <w:gridCol w:w="588"/>
              <w:gridCol w:w="868"/>
              <w:gridCol w:w="758"/>
              <w:gridCol w:w="822"/>
            </w:tblGrid>
            <w:tr w14:paraId="54F9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6" w:hRule="atLeast"/>
                <w:jc w:val="center"/>
              </w:trPr>
              <w:tc>
                <w:tcPr>
                  <w:tcW w:w="469" w:type="pct"/>
                  <w:noWrap w:val="0"/>
                  <w:vAlign w:val="center"/>
                </w:tcPr>
                <w:p w14:paraId="78DBD61C">
                  <w:pPr>
                    <w:pStyle w:val="48"/>
                    <w:rPr>
                      <w:rFonts w:hint="eastAsia"/>
                      <w:color w:val="000000"/>
                      <w:szCs w:val="21"/>
                      <w:u w:val="single"/>
                    </w:rPr>
                  </w:pPr>
                  <w:r>
                    <w:rPr>
                      <w:rFonts w:hint="eastAsia"/>
                      <w:color w:val="000000"/>
                      <w:szCs w:val="21"/>
                      <w:u w:val="single"/>
                    </w:rPr>
                    <w:t>贮存场所名称</w:t>
                  </w:r>
                </w:p>
              </w:tc>
              <w:tc>
                <w:tcPr>
                  <w:tcW w:w="740" w:type="pct"/>
                  <w:noWrap w:val="0"/>
                  <w:vAlign w:val="center"/>
                </w:tcPr>
                <w:p w14:paraId="0F0679B5">
                  <w:pPr>
                    <w:pStyle w:val="48"/>
                    <w:rPr>
                      <w:rFonts w:hint="eastAsia"/>
                      <w:color w:val="000000"/>
                      <w:szCs w:val="21"/>
                      <w:u w:val="single"/>
                    </w:rPr>
                  </w:pPr>
                  <w:r>
                    <w:rPr>
                      <w:rFonts w:hint="eastAsia"/>
                      <w:color w:val="000000"/>
                      <w:szCs w:val="21"/>
                      <w:u w:val="single"/>
                    </w:rPr>
                    <w:t>危险废物名称</w:t>
                  </w:r>
                </w:p>
              </w:tc>
              <w:tc>
                <w:tcPr>
                  <w:tcW w:w="534" w:type="pct"/>
                  <w:noWrap w:val="0"/>
                  <w:vAlign w:val="center"/>
                </w:tcPr>
                <w:p w14:paraId="71A8DBC9">
                  <w:pPr>
                    <w:pStyle w:val="48"/>
                    <w:rPr>
                      <w:rFonts w:hint="eastAsia"/>
                      <w:color w:val="000000"/>
                      <w:szCs w:val="21"/>
                      <w:u w:val="single"/>
                    </w:rPr>
                  </w:pPr>
                  <w:r>
                    <w:rPr>
                      <w:rFonts w:hint="eastAsia"/>
                      <w:color w:val="000000"/>
                      <w:szCs w:val="21"/>
                      <w:u w:val="single"/>
                    </w:rPr>
                    <w:t>危险废物类别</w:t>
                  </w:r>
                </w:p>
              </w:tc>
              <w:tc>
                <w:tcPr>
                  <w:tcW w:w="804" w:type="pct"/>
                  <w:noWrap w:val="0"/>
                  <w:vAlign w:val="center"/>
                </w:tcPr>
                <w:p w14:paraId="6C7FAADF">
                  <w:pPr>
                    <w:pStyle w:val="48"/>
                    <w:rPr>
                      <w:rFonts w:hint="eastAsia"/>
                      <w:color w:val="000000"/>
                      <w:szCs w:val="21"/>
                      <w:u w:val="single"/>
                    </w:rPr>
                  </w:pPr>
                  <w:r>
                    <w:rPr>
                      <w:rFonts w:hint="eastAsia"/>
                      <w:color w:val="000000"/>
                      <w:szCs w:val="21"/>
                      <w:u w:val="single"/>
                    </w:rPr>
                    <w:t>危险废物代码</w:t>
                  </w:r>
                </w:p>
              </w:tc>
              <w:tc>
                <w:tcPr>
                  <w:tcW w:w="596" w:type="pct"/>
                  <w:noWrap w:val="0"/>
                  <w:vAlign w:val="center"/>
                </w:tcPr>
                <w:p w14:paraId="51489C59">
                  <w:pPr>
                    <w:pStyle w:val="48"/>
                    <w:rPr>
                      <w:rFonts w:hint="eastAsia"/>
                      <w:color w:val="000000"/>
                      <w:szCs w:val="21"/>
                      <w:u w:val="single"/>
                    </w:rPr>
                  </w:pPr>
                  <w:r>
                    <w:rPr>
                      <w:rFonts w:hint="eastAsia"/>
                      <w:color w:val="000000"/>
                      <w:szCs w:val="21"/>
                      <w:u w:val="single"/>
                    </w:rPr>
                    <w:t>位置</w:t>
                  </w:r>
                </w:p>
              </w:tc>
              <w:tc>
                <w:tcPr>
                  <w:tcW w:w="359" w:type="pct"/>
                  <w:noWrap w:val="0"/>
                  <w:vAlign w:val="center"/>
                </w:tcPr>
                <w:p w14:paraId="59865BF5">
                  <w:pPr>
                    <w:pStyle w:val="48"/>
                    <w:rPr>
                      <w:rFonts w:hint="eastAsia"/>
                      <w:color w:val="000000"/>
                      <w:szCs w:val="21"/>
                      <w:u w:val="single"/>
                    </w:rPr>
                  </w:pPr>
                  <w:r>
                    <w:rPr>
                      <w:rFonts w:hint="eastAsia"/>
                      <w:color w:val="000000"/>
                      <w:szCs w:val="21"/>
                      <w:u w:val="single"/>
                    </w:rPr>
                    <w:t>占地</w:t>
                  </w:r>
                </w:p>
                <w:p w14:paraId="7DD46C21">
                  <w:pPr>
                    <w:pStyle w:val="48"/>
                    <w:rPr>
                      <w:rFonts w:hint="eastAsia"/>
                      <w:color w:val="000000"/>
                      <w:szCs w:val="21"/>
                      <w:u w:val="single"/>
                    </w:rPr>
                  </w:pPr>
                  <w:r>
                    <w:rPr>
                      <w:rFonts w:hint="eastAsia"/>
                      <w:color w:val="000000"/>
                      <w:szCs w:val="21"/>
                      <w:u w:val="single"/>
                    </w:rPr>
                    <w:t>面积</w:t>
                  </w:r>
                </w:p>
              </w:tc>
              <w:tc>
                <w:tcPr>
                  <w:tcW w:w="530" w:type="pct"/>
                  <w:noWrap w:val="0"/>
                  <w:vAlign w:val="center"/>
                </w:tcPr>
                <w:p w14:paraId="3A7126E9">
                  <w:pPr>
                    <w:pStyle w:val="48"/>
                    <w:rPr>
                      <w:rFonts w:hint="eastAsia"/>
                      <w:color w:val="000000"/>
                      <w:szCs w:val="21"/>
                      <w:u w:val="single"/>
                    </w:rPr>
                  </w:pPr>
                  <w:r>
                    <w:rPr>
                      <w:rFonts w:hint="eastAsia"/>
                      <w:color w:val="000000"/>
                      <w:szCs w:val="21"/>
                      <w:u w:val="single"/>
                    </w:rPr>
                    <w:t>贮存</w:t>
                  </w:r>
                </w:p>
                <w:p w14:paraId="20501BE4">
                  <w:pPr>
                    <w:pStyle w:val="48"/>
                    <w:rPr>
                      <w:rFonts w:hint="eastAsia"/>
                      <w:color w:val="000000"/>
                      <w:szCs w:val="21"/>
                      <w:u w:val="single"/>
                    </w:rPr>
                  </w:pPr>
                  <w:r>
                    <w:rPr>
                      <w:rFonts w:hint="eastAsia"/>
                      <w:color w:val="000000"/>
                      <w:szCs w:val="21"/>
                      <w:u w:val="single"/>
                    </w:rPr>
                    <w:t>方式</w:t>
                  </w:r>
                </w:p>
              </w:tc>
              <w:tc>
                <w:tcPr>
                  <w:tcW w:w="463" w:type="pct"/>
                  <w:noWrap w:val="0"/>
                  <w:vAlign w:val="center"/>
                </w:tcPr>
                <w:p w14:paraId="169CA89C">
                  <w:pPr>
                    <w:pStyle w:val="48"/>
                    <w:rPr>
                      <w:rFonts w:hint="eastAsia"/>
                      <w:color w:val="000000"/>
                      <w:szCs w:val="21"/>
                      <w:u w:val="single"/>
                    </w:rPr>
                  </w:pPr>
                  <w:r>
                    <w:rPr>
                      <w:rFonts w:hint="eastAsia"/>
                      <w:color w:val="000000"/>
                      <w:szCs w:val="21"/>
                      <w:u w:val="single"/>
                    </w:rPr>
                    <w:t>贮存</w:t>
                  </w:r>
                </w:p>
                <w:p w14:paraId="41CEF4D3">
                  <w:pPr>
                    <w:pStyle w:val="48"/>
                    <w:rPr>
                      <w:rFonts w:hint="eastAsia"/>
                      <w:color w:val="000000"/>
                      <w:szCs w:val="21"/>
                      <w:u w:val="single"/>
                    </w:rPr>
                  </w:pPr>
                  <w:r>
                    <w:rPr>
                      <w:rFonts w:hint="eastAsia"/>
                      <w:color w:val="000000"/>
                      <w:szCs w:val="21"/>
                      <w:u w:val="single"/>
                    </w:rPr>
                    <w:t>能力</w:t>
                  </w:r>
                </w:p>
              </w:tc>
              <w:tc>
                <w:tcPr>
                  <w:tcW w:w="502" w:type="pct"/>
                  <w:noWrap w:val="0"/>
                  <w:vAlign w:val="center"/>
                </w:tcPr>
                <w:p w14:paraId="64E23FB2">
                  <w:pPr>
                    <w:pStyle w:val="48"/>
                    <w:topLinePunct/>
                    <w:snapToGrid w:val="0"/>
                    <w:rPr>
                      <w:rFonts w:hint="eastAsia"/>
                      <w:color w:val="000000"/>
                      <w:szCs w:val="21"/>
                      <w:u w:val="single"/>
                    </w:rPr>
                  </w:pPr>
                  <w:r>
                    <w:rPr>
                      <w:rFonts w:hint="eastAsia"/>
                      <w:color w:val="000000"/>
                      <w:szCs w:val="21"/>
                      <w:u w:val="single"/>
                    </w:rPr>
                    <w:t>贮存</w:t>
                  </w:r>
                </w:p>
                <w:p w14:paraId="379F1D02">
                  <w:pPr>
                    <w:pStyle w:val="48"/>
                    <w:rPr>
                      <w:rFonts w:hint="eastAsia"/>
                      <w:color w:val="000000"/>
                      <w:szCs w:val="21"/>
                      <w:u w:val="single"/>
                    </w:rPr>
                  </w:pPr>
                  <w:r>
                    <w:rPr>
                      <w:rFonts w:hint="eastAsia"/>
                      <w:color w:val="000000"/>
                      <w:szCs w:val="21"/>
                      <w:u w:val="single"/>
                    </w:rPr>
                    <w:t>周期</w:t>
                  </w:r>
                </w:p>
              </w:tc>
            </w:tr>
            <w:tr w14:paraId="0C66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469" w:type="pct"/>
                  <w:vMerge w:val="restart"/>
                  <w:noWrap w:val="0"/>
                  <w:vAlign w:val="center"/>
                </w:tcPr>
                <w:p w14:paraId="6B001D31">
                  <w:pPr>
                    <w:pStyle w:val="48"/>
                    <w:rPr>
                      <w:rFonts w:hint="eastAsia"/>
                      <w:color w:val="000000"/>
                      <w:szCs w:val="21"/>
                      <w:u w:val="single"/>
                    </w:rPr>
                  </w:pPr>
                  <w:r>
                    <w:rPr>
                      <w:rFonts w:hint="eastAsia"/>
                      <w:color w:val="000000"/>
                      <w:szCs w:val="21"/>
                      <w:u w:val="single"/>
                    </w:rPr>
                    <w:t>危废暂存间</w:t>
                  </w:r>
                </w:p>
              </w:tc>
              <w:tc>
                <w:tcPr>
                  <w:tcW w:w="740" w:type="pct"/>
                  <w:noWrap w:val="0"/>
                  <w:vAlign w:val="center"/>
                </w:tcPr>
                <w:p w14:paraId="6FC50F1F">
                  <w:pPr>
                    <w:snapToGrid w:val="0"/>
                    <w:spacing w:before="31" w:beforeLines="10" w:after="31" w:afterLines="10"/>
                    <w:jc w:val="center"/>
                    <w:rPr>
                      <w:rFonts w:hint="eastAsia"/>
                      <w:color w:val="000000"/>
                      <w:szCs w:val="21"/>
                      <w:u w:val="single"/>
                    </w:rPr>
                  </w:pPr>
                  <w:r>
                    <w:rPr>
                      <w:color w:val="000000"/>
                      <w:szCs w:val="21"/>
                      <w:u w:val="single"/>
                    </w:rPr>
                    <w:t>废活性炭</w:t>
                  </w:r>
                </w:p>
              </w:tc>
              <w:tc>
                <w:tcPr>
                  <w:tcW w:w="534" w:type="pct"/>
                  <w:noWrap w:val="0"/>
                  <w:vAlign w:val="center"/>
                </w:tcPr>
                <w:p w14:paraId="62B86952">
                  <w:pPr>
                    <w:jc w:val="center"/>
                    <w:rPr>
                      <w:rFonts w:hint="eastAsia"/>
                      <w:color w:val="000000"/>
                      <w:szCs w:val="21"/>
                      <w:u w:val="single"/>
                    </w:rPr>
                  </w:pPr>
                  <w:r>
                    <w:rPr>
                      <w:color w:val="000000"/>
                      <w:szCs w:val="21"/>
                      <w:u w:val="single"/>
                    </w:rPr>
                    <w:t>HW49</w:t>
                  </w:r>
                </w:p>
              </w:tc>
              <w:tc>
                <w:tcPr>
                  <w:tcW w:w="804" w:type="pct"/>
                  <w:noWrap w:val="0"/>
                  <w:vAlign w:val="center"/>
                </w:tcPr>
                <w:p w14:paraId="53982CDB">
                  <w:pPr>
                    <w:jc w:val="center"/>
                    <w:rPr>
                      <w:rFonts w:hint="eastAsia"/>
                      <w:color w:val="000000"/>
                      <w:szCs w:val="21"/>
                      <w:u w:val="single"/>
                    </w:rPr>
                  </w:pPr>
                  <w:r>
                    <w:rPr>
                      <w:color w:val="000000"/>
                      <w:szCs w:val="21"/>
                      <w:u w:val="single"/>
                    </w:rPr>
                    <w:t>900-039-49</w:t>
                  </w:r>
                </w:p>
              </w:tc>
              <w:tc>
                <w:tcPr>
                  <w:tcW w:w="596" w:type="pct"/>
                  <w:vMerge w:val="restart"/>
                  <w:noWrap w:val="0"/>
                  <w:vAlign w:val="center"/>
                </w:tcPr>
                <w:p w14:paraId="6717CA78">
                  <w:pPr>
                    <w:pStyle w:val="48"/>
                    <w:autoSpaceDE w:val="0"/>
                    <w:autoSpaceDN w:val="0"/>
                    <w:snapToGrid w:val="0"/>
                    <w:spacing w:before="31" w:beforeLines="10" w:after="31" w:afterLines="10"/>
                    <w:rPr>
                      <w:rFonts w:hint="default"/>
                      <w:color w:val="000000"/>
                      <w:szCs w:val="21"/>
                      <w:u w:val="single"/>
                      <w:lang w:val="en-US"/>
                    </w:rPr>
                  </w:pPr>
                  <w:r>
                    <w:rPr>
                      <w:rFonts w:hint="eastAsia"/>
                      <w:color w:val="000000"/>
                      <w:szCs w:val="21"/>
                      <w:u w:val="single"/>
                    </w:rPr>
                    <w:t>车间</w:t>
                  </w:r>
                  <w:r>
                    <w:rPr>
                      <w:rFonts w:hint="eastAsia"/>
                      <w:color w:val="000000"/>
                      <w:szCs w:val="21"/>
                      <w:u w:val="single"/>
                      <w:lang w:val="en-US" w:eastAsia="zh-CN"/>
                    </w:rPr>
                    <w:t>东北角</w:t>
                  </w:r>
                </w:p>
              </w:tc>
              <w:tc>
                <w:tcPr>
                  <w:tcW w:w="359" w:type="pct"/>
                  <w:vMerge w:val="restart"/>
                  <w:noWrap w:val="0"/>
                  <w:vAlign w:val="center"/>
                </w:tcPr>
                <w:p w14:paraId="22B3158C">
                  <w:pPr>
                    <w:pStyle w:val="48"/>
                    <w:rPr>
                      <w:rFonts w:hint="eastAsia"/>
                      <w:color w:val="000000"/>
                      <w:szCs w:val="21"/>
                      <w:u w:val="single"/>
                    </w:rPr>
                  </w:pPr>
                  <w:r>
                    <w:rPr>
                      <w:rFonts w:hint="eastAsia"/>
                      <w:color w:val="000000"/>
                      <w:szCs w:val="21"/>
                      <w:u w:val="single"/>
                      <w:lang w:val="en-US" w:eastAsia="zh-CN"/>
                    </w:rPr>
                    <w:t>10</w:t>
                  </w:r>
                  <w:r>
                    <w:rPr>
                      <w:rFonts w:hint="eastAsia"/>
                      <w:color w:val="000000"/>
                      <w:szCs w:val="21"/>
                      <w:u w:val="single"/>
                    </w:rPr>
                    <w:t>m</w:t>
                  </w:r>
                  <w:r>
                    <w:rPr>
                      <w:rFonts w:hint="eastAsia"/>
                      <w:color w:val="000000"/>
                      <w:szCs w:val="21"/>
                      <w:u w:val="single"/>
                      <w:vertAlign w:val="superscript"/>
                    </w:rPr>
                    <w:t>2</w:t>
                  </w:r>
                </w:p>
              </w:tc>
              <w:tc>
                <w:tcPr>
                  <w:tcW w:w="530" w:type="pct"/>
                  <w:noWrap w:val="0"/>
                  <w:vAlign w:val="center"/>
                </w:tcPr>
                <w:p w14:paraId="0BE16356">
                  <w:pPr>
                    <w:pStyle w:val="48"/>
                    <w:rPr>
                      <w:rFonts w:hint="eastAsia"/>
                      <w:color w:val="000000"/>
                      <w:szCs w:val="21"/>
                      <w:u w:val="single"/>
                    </w:rPr>
                  </w:pPr>
                  <w:r>
                    <w:rPr>
                      <w:rFonts w:hint="eastAsia"/>
                      <w:color w:val="000000"/>
                      <w:szCs w:val="21"/>
                      <w:u w:val="single"/>
                      <w:lang w:val="en-US" w:eastAsia="zh-CN"/>
                    </w:rPr>
                    <w:t>桶装</w:t>
                  </w:r>
                </w:p>
              </w:tc>
              <w:tc>
                <w:tcPr>
                  <w:tcW w:w="463" w:type="pct"/>
                  <w:noWrap w:val="0"/>
                  <w:vAlign w:val="center"/>
                </w:tcPr>
                <w:p w14:paraId="103AB806">
                  <w:pPr>
                    <w:pStyle w:val="48"/>
                    <w:rPr>
                      <w:color w:val="000000"/>
                      <w:szCs w:val="21"/>
                      <w:u w:val="single"/>
                    </w:rPr>
                  </w:pPr>
                  <w:r>
                    <w:rPr>
                      <w:rFonts w:hint="eastAsia"/>
                      <w:color w:val="000000"/>
                      <w:szCs w:val="21"/>
                      <w:u w:val="single"/>
                      <w:lang w:val="en-US" w:eastAsia="zh-CN"/>
                    </w:rPr>
                    <w:t>2</w:t>
                  </w:r>
                  <w:r>
                    <w:rPr>
                      <w:rFonts w:hint="eastAsia"/>
                      <w:color w:val="000000"/>
                      <w:szCs w:val="21"/>
                      <w:u w:val="single"/>
                    </w:rPr>
                    <w:t>t</w:t>
                  </w:r>
                </w:p>
              </w:tc>
              <w:tc>
                <w:tcPr>
                  <w:tcW w:w="502" w:type="pct"/>
                  <w:noWrap w:val="0"/>
                  <w:vAlign w:val="center"/>
                </w:tcPr>
                <w:p w14:paraId="1981CA62">
                  <w:pPr>
                    <w:pStyle w:val="48"/>
                    <w:rPr>
                      <w:rFonts w:hint="eastAsia"/>
                      <w:color w:val="000000"/>
                      <w:szCs w:val="21"/>
                      <w:u w:val="single"/>
                    </w:rPr>
                  </w:pPr>
                  <w:r>
                    <w:rPr>
                      <w:rFonts w:hint="eastAsia"/>
                      <w:color w:val="000000"/>
                      <w:szCs w:val="21"/>
                      <w:u w:val="single"/>
                    </w:rPr>
                    <w:t>6</w:t>
                  </w:r>
                  <w:r>
                    <w:rPr>
                      <w:color w:val="000000"/>
                      <w:szCs w:val="21"/>
                      <w:u w:val="single"/>
                    </w:rPr>
                    <w:t>个月</w:t>
                  </w:r>
                </w:p>
              </w:tc>
            </w:tr>
            <w:tr w14:paraId="5879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2" w:hRule="atLeast"/>
                <w:jc w:val="center"/>
              </w:trPr>
              <w:tc>
                <w:tcPr>
                  <w:tcW w:w="469" w:type="pct"/>
                  <w:vMerge w:val="continue"/>
                  <w:noWrap w:val="0"/>
                  <w:vAlign w:val="center"/>
                </w:tcPr>
                <w:p w14:paraId="0F76D75A">
                  <w:pPr>
                    <w:pStyle w:val="48"/>
                    <w:rPr>
                      <w:rFonts w:hint="eastAsia"/>
                      <w:color w:val="000000"/>
                      <w:szCs w:val="21"/>
                      <w:u w:val="single"/>
                    </w:rPr>
                  </w:pPr>
                </w:p>
              </w:tc>
              <w:tc>
                <w:tcPr>
                  <w:tcW w:w="740" w:type="pct"/>
                  <w:noWrap w:val="0"/>
                  <w:vAlign w:val="center"/>
                </w:tcPr>
                <w:p w14:paraId="2016E535">
                  <w:pPr>
                    <w:snapToGrid w:val="0"/>
                    <w:spacing w:before="31" w:beforeLines="10" w:after="31" w:afterLines="10"/>
                    <w:jc w:val="center"/>
                    <w:rPr>
                      <w:rFonts w:hint="eastAsia"/>
                      <w:color w:val="000000"/>
                      <w:szCs w:val="21"/>
                      <w:u w:val="single"/>
                    </w:rPr>
                  </w:pPr>
                  <w:r>
                    <w:rPr>
                      <w:rFonts w:hint="eastAsia"/>
                      <w:color w:val="000000"/>
                      <w:szCs w:val="21"/>
                      <w:u w:val="single"/>
                      <w:lang w:val="en-US" w:eastAsia="zh-CN"/>
                    </w:rPr>
                    <w:t>废机油</w:t>
                  </w:r>
                </w:p>
              </w:tc>
              <w:tc>
                <w:tcPr>
                  <w:tcW w:w="534" w:type="pct"/>
                  <w:noWrap w:val="0"/>
                  <w:vAlign w:val="center"/>
                </w:tcPr>
                <w:p w14:paraId="4FD4C66A">
                  <w:pPr>
                    <w:topLinePunct/>
                    <w:adjustRightInd w:val="0"/>
                    <w:spacing w:before="31" w:beforeLines="10" w:after="31" w:afterLines="10"/>
                    <w:jc w:val="center"/>
                    <w:rPr>
                      <w:color w:val="000000"/>
                      <w:szCs w:val="21"/>
                      <w:u w:val="single"/>
                    </w:rPr>
                  </w:pPr>
                  <w:r>
                    <w:rPr>
                      <w:rFonts w:hint="eastAsia"/>
                      <w:color w:val="000000"/>
                      <w:szCs w:val="21"/>
                      <w:u w:val="single"/>
                    </w:rPr>
                    <w:t>H</w:t>
                  </w:r>
                  <w:r>
                    <w:rPr>
                      <w:color w:val="000000"/>
                      <w:szCs w:val="21"/>
                      <w:u w:val="single"/>
                    </w:rPr>
                    <w:t>W</w:t>
                  </w:r>
                  <w:r>
                    <w:rPr>
                      <w:rFonts w:hint="eastAsia"/>
                      <w:color w:val="000000"/>
                      <w:szCs w:val="21"/>
                      <w:u w:val="single"/>
                    </w:rPr>
                    <w:t>08</w:t>
                  </w:r>
                </w:p>
              </w:tc>
              <w:tc>
                <w:tcPr>
                  <w:tcW w:w="804" w:type="pct"/>
                  <w:noWrap w:val="0"/>
                  <w:vAlign w:val="center"/>
                </w:tcPr>
                <w:p w14:paraId="45C468F8">
                  <w:pPr>
                    <w:jc w:val="center"/>
                    <w:rPr>
                      <w:rFonts w:hint="eastAsia"/>
                      <w:color w:val="000000"/>
                      <w:szCs w:val="21"/>
                      <w:u w:val="single"/>
                    </w:rPr>
                  </w:pPr>
                  <w:r>
                    <w:rPr>
                      <w:color w:val="000000"/>
                      <w:szCs w:val="21"/>
                      <w:u w:val="single"/>
                    </w:rPr>
                    <w:t>900-2</w:t>
                  </w:r>
                  <w:r>
                    <w:rPr>
                      <w:rFonts w:hint="eastAsia"/>
                      <w:color w:val="000000"/>
                      <w:szCs w:val="21"/>
                      <w:u w:val="single"/>
                    </w:rPr>
                    <w:t>17</w:t>
                  </w:r>
                  <w:r>
                    <w:rPr>
                      <w:color w:val="000000"/>
                      <w:szCs w:val="21"/>
                      <w:u w:val="single"/>
                    </w:rPr>
                    <w:t>-08</w:t>
                  </w:r>
                </w:p>
              </w:tc>
              <w:tc>
                <w:tcPr>
                  <w:tcW w:w="596" w:type="pct"/>
                  <w:vMerge w:val="continue"/>
                  <w:noWrap w:val="0"/>
                  <w:vAlign w:val="center"/>
                </w:tcPr>
                <w:p w14:paraId="3326FCE9">
                  <w:pPr>
                    <w:pStyle w:val="48"/>
                    <w:snapToGrid w:val="0"/>
                    <w:spacing w:before="31" w:beforeLines="10" w:after="31" w:afterLines="10"/>
                    <w:rPr>
                      <w:color w:val="000000"/>
                      <w:szCs w:val="21"/>
                      <w:u w:val="single"/>
                    </w:rPr>
                  </w:pPr>
                </w:p>
              </w:tc>
              <w:tc>
                <w:tcPr>
                  <w:tcW w:w="359" w:type="pct"/>
                  <w:vMerge w:val="continue"/>
                  <w:noWrap w:val="0"/>
                  <w:vAlign w:val="center"/>
                </w:tcPr>
                <w:p w14:paraId="453748AA">
                  <w:pPr>
                    <w:pStyle w:val="48"/>
                    <w:rPr>
                      <w:rFonts w:hint="eastAsia"/>
                      <w:color w:val="000000"/>
                      <w:szCs w:val="21"/>
                      <w:u w:val="single"/>
                    </w:rPr>
                  </w:pPr>
                </w:p>
              </w:tc>
              <w:tc>
                <w:tcPr>
                  <w:tcW w:w="530" w:type="pct"/>
                  <w:noWrap w:val="0"/>
                  <w:vAlign w:val="center"/>
                </w:tcPr>
                <w:p w14:paraId="67726B08">
                  <w:pPr>
                    <w:pStyle w:val="48"/>
                    <w:rPr>
                      <w:rFonts w:hint="eastAsia" w:eastAsia="宋体"/>
                      <w:color w:val="000000"/>
                      <w:szCs w:val="21"/>
                      <w:u w:val="single"/>
                      <w:lang w:eastAsia="zh-CN"/>
                    </w:rPr>
                  </w:pPr>
                  <w:r>
                    <w:rPr>
                      <w:rFonts w:hint="eastAsia"/>
                      <w:color w:val="000000"/>
                      <w:szCs w:val="21"/>
                      <w:u w:val="single"/>
                      <w:lang w:val="en-US" w:eastAsia="zh-CN"/>
                    </w:rPr>
                    <w:t>桶装</w:t>
                  </w:r>
                </w:p>
              </w:tc>
              <w:tc>
                <w:tcPr>
                  <w:tcW w:w="463" w:type="pct"/>
                  <w:noWrap w:val="0"/>
                  <w:vAlign w:val="center"/>
                </w:tcPr>
                <w:p w14:paraId="05C17A04">
                  <w:pPr>
                    <w:pStyle w:val="48"/>
                    <w:rPr>
                      <w:color w:val="000000"/>
                      <w:szCs w:val="21"/>
                      <w:u w:val="single"/>
                    </w:rPr>
                  </w:pPr>
                  <w:r>
                    <w:rPr>
                      <w:rFonts w:hint="eastAsia"/>
                      <w:color w:val="000000"/>
                      <w:szCs w:val="21"/>
                      <w:u w:val="single"/>
                    </w:rPr>
                    <w:t>0.</w:t>
                  </w:r>
                  <w:r>
                    <w:rPr>
                      <w:rFonts w:hint="eastAsia"/>
                      <w:color w:val="000000"/>
                      <w:szCs w:val="21"/>
                      <w:u w:val="single"/>
                      <w:lang w:val="en-US" w:eastAsia="zh-CN"/>
                    </w:rPr>
                    <w:t>02</w:t>
                  </w:r>
                  <w:r>
                    <w:rPr>
                      <w:rFonts w:hint="eastAsia"/>
                      <w:color w:val="000000"/>
                      <w:szCs w:val="21"/>
                      <w:u w:val="single"/>
                    </w:rPr>
                    <w:t>t</w:t>
                  </w:r>
                </w:p>
              </w:tc>
              <w:tc>
                <w:tcPr>
                  <w:tcW w:w="502" w:type="pct"/>
                  <w:noWrap w:val="0"/>
                  <w:vAlign w:val="center"/>
                </w:tcPr>
                <w:p w14:paraId="719296FC">
                  <w:pPr>
                    <w:pStyle w:val="48"/>
                    <w:rPr>
                      <w:rFonts w:hint="eastAsia"/>
                      <w:color w:val="000000"/>
                      <w:szCs w:val="21"/>
                      <w:u w:val="single"/>
                    </w:rPr>
                  </w:pPr>
                  <w:r>
                    <w:rPr>
                      <w:rFonts w:hint="eastAsia"/>
                      <w:color w:val="000000"/>
                      <w:szCs w:val="21"/>
                      <w:u w:val="single"/>
                    </w:rPr>
                    <w:t>6</w:t>
                  </w:r>
                  <w:r>
                    <w:rPr>
                      <w:color w:val="000000"/>
                      <w:szCs w:val="21"/>
                      <w:u w:val="single"/>
                    </w:rPr>
                    <w:t>个月</w:t>
                  </w:r>
                </w:p>
              </w:tc>
            </w:tr>
          </w:tbl>
          <w:p w14:paraId="5EDF80C7">
            <w:pPr>
              <w:adjustRightInd w:val="0"/>
              <w:spacing w:line="360" w:lineRule="auto"/>
              <w:rPr>
                <w:rFonts w:hint="eastAsia"/>
                <w:bCs/>
                <w:color w:val="000000"/>
                <w:sz w:val="24"/>
                <w:u w:val="single"/>
              </w:rPr>
            </w:pPr>
            <w:r>
              <w:rPr>
                <w:rFonts w:hint="eastAsia"/>
                <w:bCs/>
                <w:color w:val="000000"/>
                <w:sz w:val="24"/>
                <w:u w:val="single"/>
              </w:rPr>
              <w:t>4.3废物管理要求</w:t>
            </w:r>
          </w:p>
          <w:p w14:paraId="4628480C">
            <w:pPr>
              <w:adjustRightInd w:val="0"/>
              <w:spacing w:line="360" w:lineRule="auto"/>
              <w:ind w:firstLine="480" w:firstLineChars="200"/>
              <w:rPr>
                <w:rFonts w:hint="eastAsia"/>
                <w:bCs/>
                <w:color w:val="000000"/>
                <w:sz w:val="24"/>
                <w:u w:val="single"/>
              </w:rPr>
            </w:pPr>
            <w:r>
              <w:rPr>
                <w:rFonts w:hint="eastAsia"/>
                <w:bCs/>
                <w:color w:val="000000"/>
                <w:sz w:val="24"/>
                <w:u w:val="single"/>
              </w:rPr>
              <w:t>（1）一般工业固体废物管理要求</w:t>
            </w:r>
          </w:p>
          <w:p w14:paraId="5F746805">
            <w:pPr>
              <w:adjustRightInd w:val="0"/>
              <w:spacing w:line="360" w:lineRule="auto"/>
              <w:ind w:firstLine="480" w:firstLineChars="200"/>
              <w:rPr>
                <w:rFonts w:hint="eastAsia"/>
                <w:bCs/>
                <w:color w:val="000000"/>
                <w:sz w:val="24"/>
                <w:u w:val="single"/>
              </w:rPr>
            </w:pPr>
            <w:r>
              <w:rPr>
                <w:rFonts w:hint="eastAsia"/>
                <w:bCs/>
                <w:color w:val="000000"/>
                <w:sz w:val="24"/>
                <w:u w:val="single"/>
              </w:rPr>
              <w:t>评价要求一般固废暂存区按以下要求进行规范建设：</w:t>
            </w:r>
          </w:p>
          <w:p w14:paraId="6F429CAE">
            <w:pPr>
              <w:adjustRightInd w:val="0"/>
              <w:spacing w:line="360" w:lineRule="auto"/>
              <w:ind w:firstLine="480" w:firstLineChars="200"/>
              <w:rPr>
                <w:rFonts w:hint="eastAsia"/>
                <w:bCs/>
                <w:color w:val="000000"/>
                <w:sz w:val="24"/>
                <w:u w:val="single"/>
              </w:rPr>
            </w:pPr>
            <w:r>
              <w:rPr>
                <w:rFonts w:hint="eastAsia"/>
                <w:bCs/>
                <w:color w:val="000000"/>
                <w:sz w:val="24"/>
                <w:u w:val="single"/>
              </w:rPr>
              <w:t>①一般固废暂存区</w:t>
            </w:r>
            <w:r>
              <w:rPr>
                <w:bCs/>
                <w:color w:val="000000"/>
                <w:sz w:val="24"/>
                <w:u w:val="single"/>
              </w:rPr>
              <w:t>地面干净平整无损，地面做硬化处理</w:t>
            </w:r>
            <w:r>
              <w:rPr>
                <w:rFonts w:hint="eastAsia"/>
                <w:bCs/>
                <w:color w:val="000000"/>
                <w:sz w:val="24"/>
                <w:u w:val="single"/>
              </w:rPr>
              <w:t>。</w:t>
            </w:r>
          </w:p>
          <w:p w14:paraId="6A34DC01">
            <w:pPr>
              <w:adjustRightInd w:val="0"/>
              <w:spacing w:line="360" w:lineRule="auto"/>
              <w:ind w:firstLine="480" w:firstLineChars="200"/>
              <w:rPr>
                <w:rFonts w:hint="eastAsia"/>
                <w:bCs/>
                <w:color w:val="000000"/>
                <w:sz w:val="24"/>
                <w:u w:val="single"/>
              </w:rPr>
            </w:pPr>
            <w:r>
              <w:rPr>
                <w:rFonts w:hint="eastAsia"/>
                <w:bCs/>
                <w:color w:val="000000"/>
                <w:sz w:val="24"/>
                <w:u w:val="single"/>
              </w:rPr>
              <w:t>②一般工业固体废物在暂存区内分类分区贮存，不得混入生活垃圾和危险废物，不得向生活垃圾收集设施中投放工业固体废物。</w:t>
            </w:r>
          </w:p>
          <w:p w14:paraId="3C812EA2">
            <w:pPr>
              <w:adjustRightInd w:val="0"/>
              <w:spacing w:line="360" w:lineRule="auto"/>
              <w:ind w:firstLine="480" w:firstLineChars="200"/>
              <w:rPr>
                <w:rFonts w:hint="eastAsia"/>
                <w:bCs/>
                <w:color w:val="000000"/>
                <w:sz w:val="24"/>
                <w:u w:val="single"/>
              </w:rPr>
            </w:pPr>
            <w:r>
              <w:rPr>
                <w:rFonts w:hint="eastAsia"/>
                <w:bCs/>
                <w:color w:val="000000"/>
                <w:sz w:val="24"/>
                <w:u w:val="single"/>
              </w:rPr>
              <w:t>③应在一般固废暂存区显著位置张贴符合规定的标志，并注明相应固废类别。</w:t>
            </w:r>
          </w:p>
          <w:p w14:paraId="1AC71FB6">
            <w:pPr>
              <w:adjustRightInd w:val="0"/>
              <w:spacing w:line="360" w:lineRule="auto"/>
              <w:ind w:firstLine="480" w:firstLineChars="200"/>
              <w:rPr>
                <w:rFonts w:hint="eastAsia"/>
                <w:bCs/>
                <w:color w:val="000000"/>
                <w:sz w:val="24"/>
                <w:u w:val="single"/>
              </w:rPr>
            </w:pPr>
            <w:r>
              <w:rPr>
                <w:rFonts w:hint="eastAsia"/>
                <w:bCs/>
                <w:color w:val="000000"/>
                <w:sz w:val="24"/>
                <w:u w:val="single"/>
              </w:rPr>
              <w:t>④建立一般工业固体废物管理台账，如实记录产生工业固体废物的种类、数量、流向、贮存、利用、处置等信息，实现工业固体废物全过程、可追溯、可查询。管理台账应由专人管理，防止遗失，保存期限不少于5年。</w:t>
            </w:r>
          </w:p>
          <w:p w14:paraId="4A00A630">
            <w:pPr>
              <w:adjustRightInd w:val="0"/>
              <w:spacing w:line="360" w:lineRule="auto"/>
              <w:ind w:firstLine="480" w:firstLineChars="200"/>
              <w:rPr>
                <w:bCs/>
                <w:color w:val="000000"/>
                <w:sz w:val="24"/>
                <w:u w:val="single"/>
              </w:rPr>
            </w:pPr>
            <w:r>
              <w:rPr>
                <w:rFonts w:hint="eastAsia"/>
                <w:bCs/>
                <w:color w:val="000000"/>
                <w:sz w:val="24"/>
                <w:u w:val="single"/>
              </w:rPr>
              <w:t>（2）危险废物管理要求</w:t>
            </w:r>
          </w:p>
          <w:p w14:paraId="3FFA2153">
            <w:pPr>
              <w:adjustRightInd w:val="0"/>
              <w:spacing w:line="360" w:lineRule="auto"/>
              <w:ind w:firstLine="480" w:firstLineChars="200"/>
              <w:rPr>
                <w:rFonts w:hint="eastAsia"/>
                <w:bCs/>
                <w:color w:val="000000"/>
                <w:sz w:val="24"/>
                <w:u w:val="single"/>
              </w:rPr>
            </w:pPr>
            <w:r>
              <w:rPr>
                <w:rFonts w:hint="eastAsia"/>
                <w:bCs/>
                <w:color w:val="000000"/>
                <w:sz w:val="24"/>
                <w:u w:val="single"/>
              </w:rPr>
              <w:t>本项目危废暂存间</w:t>
            </w:r>
            <w:r>
              <w:rPr>
                <w:rFonts w:hint="eastAsia"/>
                <w:bCs/>
                <w:color w:val="000000"/>
                <w:sz w:val="24"/>
                <w:u w:val="single"/>
                <w:lang w:val="en-US" w:eastAsia="zh-CN"/>
              </w:rPr>
              <w:t>应</w:t>
            </w:r>
            <w:r>
              <w:rPr>
                <w:rFonts w:hint="eastAsia"/>
                <w:bCs/>
                <w:color w:val="000000"/>
                <w:sz w:val="24"/>
                <w:u w:val="single"/>
              </w:rPr>
              <w:t>按照《危险废物贮存污染控制标准》（GB18597-2023）中有关规定进行建设，具体如下：</w:t>
            </w:r>
          </w:p>
          <w:p w14:paraId="571E97A0">
            <w:pPr>
              <w:adjustRightInd w:val="0"/>
              <w:spacing w:line="360" w:lineRule="auto"/>
              <w:ind w:firstLine="480" w:firstLineChars="200"/>
              <w:rPr>
                <w:rFonts w:hint="eastAsia"/>
                <w:bCs/>
                <w:color w:val="000000"/>
                <w:sz w:val="24"/>
                <w:u w:val="single"/>
              </w:rPr>
            </w:pPr>
            <w:r>
              <w:rPr>
                <w:rFonts w:hint="eastAsia"/>
                <w:bCs/>
                <w:color w:val="000000"/>
                <w:sz w:val="24"/>
                <w:u w:val="single"/>
              </w:rPr>
              <w:t>①危险固废收集后，按类别放入相应的容器内，再暂存于危废暂存间。危废暂存间有防渗漏、防雨、防流失、防晒、防风等措施；危废暂存间有耐腐蚀的硬化地面和基础防渗层，地面无裂隙。</w:t>
            </w:r>
          </w:p>
          <w:p w14:paraId="4BAA6C84">
            <w:pPr>
              <w:adjustRightInd w:val="0"/>
              <w:spacing w:line="360" w:lineRule="auto"/>
              <w:ind w:firstLine="480" w:firstLineChars="200"/>
              <w:rPr>
                <w:rFonts w:hint="eastAsia"/>
                <w:bCs/>
                <w:color w:val="000000"/>
                <w:sz w:val="24"/>
                <w:u w:val="single"/>
              </w:rPr>
            </w:pPr>
            <w:r>
              <w:rPr>
                <w:rFonts w:hint="eastAsia"/>
                <w:bCs/>
                <w:color w:val="000000"/>
                <w:sz w:val="24"/>
                <w:u w:val="single"/>
              </w:rPr>
              <w:t>②危险废物分类分区存放，设置统一的标识牌。根据《危险废物贮存污染控制标准》（GB18597-2023）要求，各种危废收集后分别装入特定的容器中存放，容器上</w:t>
            </w:r>
            <w:r>
              <w:rPr>
                <w:rFonts w:hint="eastAsia"/>
                <w:bCs/>
                <w:color w:val="000000"/>
                <w:sz w:val="24"/>
                <w:u w:val="single"/>
                <w:lang w:eastAsia="zh-CN"/>
              </w:rPr>
              <w:t>粘贴</w:t>
            </w:r>
            <w:r>
              <w:rPr>
                <w:rFonts w:hint="eastAsia"/>
                <w:bCs/>
                <w:color w:val="000000"/>
                <w:sz w:val="24"/>
                <w:u w:val="single"/>
              </w:rPr>
              <w:t>符合标准的危险废物标签；危废暂存间门口需张贴标准规范的危险废物标识和危废信息板，屋内张贴企业《危险废物管理制度》；危险废物贮存设施内清理出来的泄漏物，一律按危险废物处理。</w:t>
            </w:r>
          </w:p>
          <w:p w14:paraId="01737B23">
            <w:pPr>
              <w:adjustRightInd w:val="0"/>
              <w:spacing w:line="360" w:lineRule="auto"/>
              <w:ind w:firstLine="480" w:firstLineChars="200"/>
              <w:rPr>
                <w:rFonts w:hint="eastAsia"/>
                <w:bCs/>
                <w:color w:val="000000"/>
                <w:sz w:val="24"/>
                <w:u w:val="single"/>
              </w:rPr>
            </w:pPr>
            <w:r>
              <w:rPr>
                <w:rFonts w:hint="eastAsia"/>
                <w:bCs/>
                <w:color w:val="000000"/>
                <w:sz w:val="24"/>
                <w:u w:val="single"/>
              </w:rPr>
              <w:t>③所有包装容器足够安全，严防在装载、搬移或运输途中出现渗漏、逸出、抛洒或挥发等情况，在包装明显位置附上危险废物标签。废物贮存容器具有耐腐蚀、耐压、密封和不与所贮存的废物发生反应等特性，并按照危险废物特性分类进行收集、贮存，禁止危险废物混入非危险废物中。</w:t>
            </w:r>
          </w:p>
          <w:p w14:paraId="79D16EC2">
            <w:pPr>
              <w:adjustRightInd w:val="0"/>
              <w:spacing w:line="360" w:lineRule="auto"/>
              <w:ind w:firstLine="480" w:firstLineChars="200"/>
              <w:rPr>
                <w:bCs/>
                <w:color w:val="000000"/>
                <w:sz w:val="24"/>
                <w:u w:val="single"/>
              </w:rPr>
            </w:pPr>
            <w:r>
              <w:rPr>
                <w:rFonts w:hint="eastAsia"/>
                <w:bCs/>
                <w:color w:val="000000"/>
                <w:sz w:val="24"/>
                <w:u w:val="single"/>
              </w:rPr>
              <w:t>④建立危险废物管理台账，如实记载产生危险废物的种类、产生量、产生环节、流向、贮存、处置情况等事项；确保危险废物合法利用或处置，杜绝非法流失。管理台账应由专人管理，防止遗失，保存期限不少于5年。</w:t>
            </w:r>
          </w:p>
          <w:p w14:paraId="583FA851">
            <w:pPr>
              <w:adjustRightInd w:val="0"/>
              <w:spacing w:line="360" w:lineRule="auto"/>
              <w:ind w:firstLine="480" w:firstLineChars="200"/>
              <w:rPr>
                <w:rFonts w:hint="eastAsia"/>
                <w:bCs/>
                <w:color w:val="000000"/>
                <w:sz w:val="24"/>
                <w:u w:val="single"/>
              </w:rPr>
            </w:pPr>
            <w:r>
              <w:rPr>
                <w:rFonts w:hint="eastAsia"/>
                <w:bCs/>
                <w:color w:val="000000"/>
                <w:sz w:val="24"/>
                <w:u w:val="single"/>
              </w:rPr>
              <w:t>⑤危险废物交由有资质单位安全处置，并遵守“五联单制”转移制度。危险废物信息在相关平台进行网上申报，全面实施危险废物转移业务信息化办理，危险废物转移通过监管平台执行电子联单。</w:t>
            </w:r>
          </w:p>
          <w:p w14:paraId="220B2C74">
            <w:pPr>
              <w:adjustRightInd w:val="0"/>
              <w:spacing w:line="360" w:lineRule="auto"/>
              <w:ind w:firstLine="480" w:firstLineChars="200"/>
              <w:rPr>
                <w:rFonts w:hint="eastAsia"/>
                <w:bCs/>
                <w:color w:val="000000"/>
                <w:sz w:val="24"/>
                <w:u w:val="single"/>
              </w:rPr>
            </w:pPr>
            <w:r>
              <w:rPr>
                <w:rFonts w:hint="eastAsia"/>
                <w:bCs/>
                <w:color w:val="000000"/>
                <w:sz w:val="24"/>
                <w:u w:val="single"/>
              </w:rPr>
              <w:t>⑥运输委托具有资质的危险货物运输企业完成，保证运输过程无泄漏。</w:t>
            </w:r>
          </w:p>
          <w:p w14:paraId="0B657343">
            <w:pPr>
              <w:adjustRightInd w:val="0"/>
              <w:spacing w:line="360" w:lineRule="auto"/>
              <w:ind w:firstLine="480" w:firstLineChars="200"/>
              <w:rPr>
                <w:rFonts w:hint="eastAsia"/>
                <w:bCs/>
                <w:color w:val="000000"/>
                <w:sz w:val="24"/>
                <w:u w:val="single"/>
              </w:rPr>
            </w:pPr>
            <w:r>
              <w:rPr>
                <w:rFonts w:hint="eastAsia"/>
                <w:bCs/>
                <w:color w:val="000000"/>
                <w:sz w:val="24"/>
                <w:u w:val="single"/>
              </w:rPr>
              <w:t>综上所述，本项目的固体废物能够得到合理处置，不会对周围环境产生大的影响。</w:t>
            </w:r>
          </w:p>
          <w:p w14:paraId="4B9CAAD9">
            <w:pPr>
              <w:adjustRightInd w:val="0"/>
              <w:spacing w:line="360" w:lineRule="auto"/>
              <w:rPr>
                <w:b/>
                <w:bCs/>
                <w:color w:val="000000"/>
                <w:sz w:val="24"/>
              </w:rPr>
            </w:pPr>
            <w:r>
              <w:rPr>
                <w:rFonts w:hint="eastAsia"/>
                <w:b/>
                <w:bCs/>
                <w:color w:val="000000"/>
                <w:sz w:val="24"/>
              </w:rPr>
              <w:t>5. 地下水、土壤</w:t>
            </w:r>
          </w:p>
          <w:p w14:paraId="6575AECC">
            <w:pPr>
              <w:adjustRightInd w:val="0"/>
              <w:spacing w:line="360" w:lineRule="auto"/>
              <w:ind w:firstLine="480" w:firstLineChars="200"/>
              <w:rPr>
                <w:rFonts w:hint="eastAsia"/>
                <w:bCs/>
                <w:color w:val="000000"/>
                <w:sz w:val="24"/>
              </w:rPr>
            </w:pPr>
            <w:r>
              <w:rPr>
                <w:rFonts w:hint="eastAsia"/>
                <w:bCs/>
                <w:color w:val="000000"/>
                <w:sz w:val="24"/>
              </w:rPr>
              <w:t>依据前述分析，本项目可能会对地下水、土壤造成影响的主要为危废暂存间。</w:t>
            </w:r>
          </w:p>
          <w:p w14:paraId="01259AC9">
            <w:pPr>
              <w:adjustRightInd w:val="0"/>
              <w:spacing w:line="360" w:lineRule="auto"/>
              <w:ind w:firstLine="480" w:firstLineChars="200"/>
              <w:rPr>
                <w:rFonts w:hint="eastAsia"/>
                <w:bCs/>
                <w:color w:val="000000"/>
                <w:sz w:val="24"/>
              </w:rPr>
            </w:pPr>
            <w:r>
              <w:rPr>
                <w:rFonts w:hint="eastAsia"/>
                <w:bCs/>
                <w:color w:val="000000"/>
                <w:sz w:val="24"/>
              </w:rPr>
              <w:t>本项目危废暂存间内危险废物均存放在专用容器内，设200mm高砖混围堰，可有效避免危废容器破裂导致危险废物泄漏蔓延，污染地表水、地下水。危废暂存间内围堰、内墙和墙角均已应采取防渗措施：采用混凝土砌成，表面涂一层5mm厚度的防酸水泥涂层，再涂刷防腐、防渗油漆，渗透系数不大于1×10</w:t>
            </w:r>
            <w:r>
              <w:rPr>
                <w:rFonts w:hint="eastAsia"/>
                <w:bCs/>
                <w:color w:val="000000"/>
                <w:sz w:val="24"/>
                <w:vertAlign w:val="superscript"/>
              </w:rPr>
              <w:t>-10</w:t>
            </w:r>
            <w:r>
              <w:rPr>
                <w:rFonts w:hint="eastAsia"/>
                <w:bCs/>
                <w:color w:val="000000"/>
                <w:sz w:val="24"/>
              </w:rPr>
              <w:t>cm/s（防渗层厚度等效于等效黏土防渗层Mb≥6.0m）。</w:t>
            </w:r>
          </w:p>
          <w:p w14:paraId="59E7571B">
            <w:pPr>
              <w:adjustRightInd w:val="0"/>
              <w:spacing w:line="360" w:lineRule="auto"/>
              <w:ind w:firstLine="480"/>
              <w:rPr>
                <w:rFonts w:hint="eastAsia"/>
                <w:bCs/>
                <w:color w:val="000000"/>
                <w:sz w:val="24"/>
              </w:rPr>
            </w:pPr>
            <w:r>
              <w:rPr>
                <w:rFonts w:hint="eastAsia"/>
                <w:bCs/>
                <w:color w:val="000000"/>
                <w:sz w:val="24"/>
              </w:rPr>
              <w:t>本项目危废暂存间采取上述措施后，不存在污染地下水和土壤的污染途径，不会对区域的地下水和土壤造成影响。</w:t>
            </w:r>
          </w:p>
          <w:p w14:paraId="0C966E16">
            <w:pPr>
              <w:adjustRightInd w:val="0"/>
              <w:spacing w:line="360" w:lineRule="auto"/>
              <w:rPr>
                <w:b/>
                <w:color w:val="000000"/>
                <w:sz w:val="24"/>
              </w:rPr>
            </w:pPr>
            <w:r>
              <w:rPr>
                <w:b/>
                <w:color w:val="000000"/>
                <w:sz w:val="24"/>
              </w:rPr>
              <w:t>6.</w:t>
            </w:r>
            <w:r>
              <w:rPr>
                <w:rFonts w:hint="eastAsia"/>
                <w:b/>
                <w:color w:val="000000"/>
                <w:sz w:val="24"/>
              </w:rPr>
              <w:t>环境风险分析</w:t>
            </w:r>
          </w:p>
          <w:p w14:paraId="23C524F2">
            <w:pPr>
              <w:spacing w:line="360" w:lineRule="auto"/>
              <w:ind w:firstLine="480" w:firstLineChars="200"/>
              <w:rPr>
                <w:rFonts w:hint="eastAsia" w:hAnsi="宋体"/>
                <w:color w:val="000000"/>
                <w:sz w:val="24"/>
              </w:rPr>
            </w:pPr>
            <w:r>
              <w:rPr>
                <w:rFonts w:hint="eastAsia" w:hAnsi="宋体"/>
                <w:color w:val="000000"/>
                <w:sz w:val="24"/>
              </w:rPr>
              <w:t>（1）风险调查</w:t>
            </w:r>
          </w:p>
          <w:p w14:paraId="58F9EC95">
            <w:pPr>
              <w:spacing w:line="360" w:lineRule="auto"/>
              <w:ind w:firstLine="480" w:firstLineChars="200"/>
              <w:rPr>
                <w:rFonts w:hint="eastAsia" w:hAnsi="宋体"/>
                <w:color w:val="000000"/>
                <w:sz w:val="24"/>
              </w:rPr>
            </w:pPr>
            <w:r>
              <w:rPr>
                <w:rFonts w:hint="eastAsia" w:hAnsi="宋体"/>
                <w:color w:val="000000"/>
                <w:sz w:val="24"/>
              </w:rPr>
              <w:t>本项目不涉及《有毒有害大气污染物名录》、《有毒有害水污染名录》内的物质，根据《建设项目环境风险评价技术导则》（HJ169-2018）附录B，项目涉及的主要危险性物质为</w:t>
            </w:r>
            <w:r>
              <w:rPr>
                <w:rFonts w:hint="eastAsia" w:hAnsi="宋体"/>
                <w:color w:val="000000"/>
                <w:sz w:val="24"/>
                <w:lang w:val="en-US" w:eastAsia="zh-CN"/>
              </w:rPr>
              <w:t>机油、废机油</w:t>
            </w:r>
            <w:r>
              <w:rPr>
                <w:rFonts w:hint="eastAsia" w:hAnsi="宋体"/>
                <w:color w:val="000000"/>
                <w:sz w:val="24"/>
              </w:rPr>
              <w:t>，其数量及分布情况见下表。</w:t>
            </w:r>
          </w:p>
          <w:p w14:paraId="074E5545">
            <w:pPr>
              <w:adjustRightInd w:val="0"/>
              <w:snapToGrid w:val="0"/>
              <w:spacing w:before="93" w:beforeLines="30"/>
              <w:jc w:val="center"/>
              <w:rPr>
                <w:rFonts w:hint="eastAsia" w:ascii="黑体" w:hAnsi="黑体" w:eastAsia="黑体" w:cs="宋体"/>
                <w:bCs/>
                <w:color w:val="000000"/>
                <w:sz w:val="24"/>
                <w:szCs w:val="24"/>
              </w:rPr>
            </w:pPr>
            <w:r>
              <w:rPr>
                <w:rFonts w:hint="eastAsia" w:ascii="黑体" w:hAnsi="黑体" w:eastAsia="黑体" w:cs="宋体"/>
                <w:bCs/>
                <w:color w:val="000000"/>
                <w:sz w:val="24"/>
                <w:szCs w:val="24"/>
              </w:rPr>
              <w:t>表</w:t>
            </w:r>
            <w:r>
              <w:rPr>
                <w:rFonts w:hint="eastAsia" w:ascii="黑体" w:hAnsi="黑体" w:eastAsia="黑体" w:cs="宋体"/>
                <w:bCs/>
                <w:color w:val="000000"/>
                <w:sz w:val="24"/>
                <w:szCs w:val="24"/>
                <w:lang w:val="en-US" w:eastAsia="zh-CN"/>
              </w:rPr>
              <w:t>33</w:t>
            </w:r>
            <w:r>
              <w:rPr>
                <w:rFonts w:hint="eastAsia" w:ascii="黑体" w:hAnsi="黑体" w:eastAsia="黑体" w:cs="宋体"/>
                <w:bCs/>
                <w:color w:val="000000"/>
                <w:sz w:val="24"/>
                <w:szCs w:val="24"/>
              </w:rPr>
              <w:t xml:space="preserve">    风险物质储存情况表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057"/>
              <w:gridCol w:w="2130"/>
              <w:gridCol w:w="2130"/>
              <w:gridCol w:w="1862"/>
            </w:tblGrid>
            <w:tr w14:paraId="6A48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257" w:type="pct"/>
                  <w:noWrap w:val="0"/>
                  <w:vAlign w:val="center"/>
                </w:tcPr>
                <w:p w14:paraId="3C3E8B4E">
                  <w:pPr>
                    <w:pStyle w:val="51"/>
                    <w:snapToGrid/>
                    <w:spacing w:before="0" w:beforeAutospacing="0" w:after="0" w:afterAutospacing="0" w:line="240" w:lineRule="auto"/>
                    <w:ind w:left="0" w:right="0" w:firstLine="0"/>
                    <w:rPr>
                      <w:rFonts w:ascii="Times New Roman" w:hAnsi="Times New Roman" w:cs="Times New Roman"/>
                      <w:color w:val="000000"/>
                      <w:szCs w:val="21"/>
                      <w:lang w:val="zh-CN"/>
                    </w:rPr>
                  </w:pPr>
                  <w:r>
                    <w:rPr>
                      <w:rFonts w:ascii="Times New Roman" w:hAnsi="Times New Roman" w:cs="Times New Roman"/>
                      <w:color w:val="000000"/>
                      <w:szCs w:val="21"/>
                      <w:lang w:val="zh-CN"/>
                    </w:rPr>
                    <w:t>风险物质名称</w:t>
                  </w:r>
                </w:p>
              </w:tc>
              <w:tc>
                <w:tcPr>
                  <w:tcW w:w="1302" w:type="pct"/>
                  <w:noWrap w:val="0"/>
                  <w:vAlign w:val="center"/>
                </w:tcPr>
                <w:p w14:paraId="2305126A">
                  <w:pPr>
                    <w:pStyle w:val="51"/>
                    <w:snapToGrid/>
                    <w:spacing w:before="0" w:beforeAutospacing="0" w:after="0" w:afterAutospacing="0" w:line="240" w:lineRule="auto"/>
                    <w:ind w:left="0" w:right="0" w:firstLine="0"/>
                    <w:rPr>
                      <w:rFonts w:ascii="Times New Roman" w:hAnsi="Times New Roman" w:cs="Times New Roman"/>
                      <w:color w:val="000000"/>
                      <w:szCs w:val="21"/>
                      <w:lang w:val="zh-CN"/>
                    </w:rPr>
                  </w:pPr>
                  <w:r>
                    <w:rPr>
                      <w:rFonts w:ascii="Times New Roman" w:hAnsi="Times New Roman" w:cs="Times New Roman"/>
                      <w:color w:val="000000"/>
                      <w:szCs w:val="21"/>
                      <w:lang w:val="zh-CN"/>
                    </w:rPr>
                    <w:t>厂内储存方式</w:t>
                  </w:r>
                </w:p>
              </w:tc>
              <w:tc>
                <w:tcPr>
                  <w:tcW w:w="1302" w:type="pct"/>
                  <w:noWrap w:val="0"/>
                  <w:vAlign w:val="center"/>
                </w:tcPr>
                <w:p w14:paraId="58DCBE26">
                  <w:pPr>
                    <w:pStyle w:val="51"/>
                    <w:snapToGrid/>
                    <w:spacing w:before="0" w:beforeAutospacing="0" w:after="0" w:afterAutospacing="0" w:line="240" w:lineRule="auto"/>
                    <w:ind w:left="0" w:right="0" w:firstLine="0"/>
                    <w:rPr>
                      <w:rFonts w:ascii="Times New Roman" w:hAnsi="Times New Roman" w:cs="Times New Roman"/>
                      <w:color w:val="000000"/>
                      <w:szCs w:val="21"/>
                      <w:lang w:val="zh-CN"/>
                    </w:rPr>
                  </w:pPr>
                  <w:r>
                    <w:rPr>
                      <w:rFonts w:ascii="Times New Roman" w:hAnsi="Times New Roman" w:cs="Times New Roman"/>
                      <w:color w:val="000000"/>
                      <w:szCs w:val="21"/>
                      <w:lang w:val="zh-CN"/>
                    </w:rPr>
                    <w:t>贮存地点</w:t>
                  </w:r>
                </w:p>
              </w:tc>
              <w:tc>
                <w:tcPr>
                  <w:tcW w:w="1138" w:type="pct"/>
                  <w:noWrap w:val="0"/>
                  <w:vAlign w:val="center"/>
                </w:tcPr>
                <w:p w14:paraId="13FDB2B2">
                  <w:pPr>
                    <w:pStyle w:val="51"/>
                    <w:snapToGrid/>
                    <w:spacing w:before="0" w:beforeAutospacing="0" w:after="0" w:afterAutospacing="0" w:line="240" w:lineRule="auto"/>
                    <w:ind w:left="0" w:right="0" w:firstLine="0"/>
                    <w:rPr>
                      <w:rFonts w:ascii="Times New Roman" w:hAnsi="Times New Roman" w:cs="Times New Roman"/>
                      <w:color w:val="000000"/>
                      <w:szCs w:val="21"/>
                      <w:lang w:val="zh-CN"/>
                    </w:rPr>
                  </w:pPr>
                  <w:r>
                    <w:rPr>
                      <w:rFonts w:ascii="Times New Roman" w:hAnsi="Times New Roman" w:cs="Times New Roman"/>
                      <w:color w:val="000000"/>
                      <w:szCs w:val="21"/>
                      <w:lang w:val="zh-CN"/>
                    </w:rPr>
                    <w:t>最大储存量</w:t>
                  </w:r>
                </w:p>
              </w:tc>
            </w:tr>
            <w:tr w14:paraId="0357E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257" w:type="pct"/>
                  <w:noWrap w:val="0"/>
                  <w:vAlign w:val="center"/>
                </w:tcPr>
                <w:p w14:paraId="29ABCDCB">
                  <w:pPr>
                    <w:pStyle w:val="51"/>
                    <w:snapToGrid/>
                    <w:spacing w:before="0" w:beforeAutospacing="0" w:after="0" w:afterAutospacing="0" w:line="240" w:lineRule="auto"/>
                    <w:ind w:left="0" w:right="0" w:firstLine="0"/>
                    <w:rPr>
                      <w:rFonts w:hint="eastAsia" w:ascii="Times New Roman" w:hAnsi="Times New Roman" w:eastAsia="宋体" w:cs="Times New Roman"/>
                      <w:color w:val="000000"/>
                      <w:szCs w:val="21"/>
                      <w:lang w:val="zh-CN" w:eastAsia="zh-CN"/>
                    </w:rPr>
                  </w:pPr>
                  <w:r>
                    <w:rPr>
                      <w:rFonts w:hint="eastAsia" w:ascii="Times New Roman" w:hAnsi="Times New Roman" w:cs="Times New Roman"/>
                      <w:color w:val="000000"/>
                      <w:szCs w:val="21"/>
                      <w:lang w:val="en-US" w:eastAsia="zh-CN"/>
                    </w:rPr>
                    <w:t>机油</w:t>
                  </w:r>
                </w:p>
              </w:tc>
              <w:tc>
                <w:tcPr>
                  <w:tcW w:w="1302" w:type="pct"/>
                  <w:noWrap w:val="0"/>
                  <w:vAlign w:val="center"/>
                </w:tcPr>
                <w:p w14:paraId="7475D36D">
                  <w:pPr>
                    <w:pStyle w:val="51"/>
                    <w:snapToGrid/>
                    <w:spacing w:before="0" w:beforeAutospacing="0" w:after="0" w:afterAutospacing="0" w:line="240" w:lineRule="auto"/>
                    <w:ind w:left="0" w:right="0" w:firstLine="0"/>
                    <w:rPr>
                      <w:rFonts w:ascii="Times New Roman" w:hAnsi="Times New Roman" w:cs="Times New Roman"/>
                      <w:color w:val="000000"/>
                      <w:szCs w:val="21"/>
                      <w:lang w:val="zh-CN"/>
                    </w:rPr>
                  </w:pPr>
                  <w:r>
                    <w:rPr>
                      <w:rFonts w:ascii="Times New Roman" w:hAnsi="Times New Roman" w:cs="Times New Roman"/>
                      <w:color w:val="000000"/>
                      <w:szCs w:val="21"/>
                      <w:lang w:val="zh-CN"/>
                    </w:rPr>
                    <w:t>桶装</w:t>
                  </w:r>
                </w:p>
              </w:tc>
              <w:tc>
                <w:tcPr>
                  <w:tcW w:w="1302" w:type="pct"/>
                  <w:noWrap w:val="0"/>
                  <w:vAlign w:val="center"/>
                </w:tcPr>
                <w:p w14:paraId="3E8B209E">
                  <w:pPr>
                    <w:pStyle w:val="51"/>
                    <w:snapToGrid/>
                    <w:spacing w:before="0" w:beforeAutospacing="0" w:after="0" w:afterAutospacing="0" w:line="240" w:lineRule="auto"/>
                    <w:ind w:left="0" w:right="0" w:firstLine="0"/>
                    <w:rPr>
                      <w:rFonts w:hint="eastAsia" w:ascii="Times New Roman" w:hAnsi="Times New Roman" w:eastAsia="宋体" w:cs="Times New Roman"/>
                      <w:color w:val="000000"/>
                      <w:szCs w:val="21"/>
                      <w:lang w:val="en-US" w:eastAsia="zh-CN"/>
                    </w:rPr>
                  </w:pPr>
                  <w:r>
                    <w:rPr>
                      <w:rFonts w:hint="eastAsia" w:ascii="Times New Roman" w:hAnsi="Times New Roman" w:cs="Times New Roman"/>
                      <w:color w:val="000000"/>
                      <w:szCs w:val="21"/>
                      <w:lang w:val="en-US" w:eastAsia="zh-CN"/>
                    </w:rPr>
                    <w:t>车间</w:t>
                  </w:r>
                </w:p>
              </w:tc>
              <w:tc>
                <w:tcPr>
                  <w:tcW w:w="1138" w:type="pct"/>
                  <w:noWrap w:val="0"/>
                  <w:vAlign w:val="center"/>
                </w:tcPr>
                <w:p w14:paraId="63A316B6">
                  <w:pPr>
                    <w:pStyle w:val="51"/>
                    <w:snapToGrid/>
                    <w:spacing w:before="0" w:beforeAutospacing="0" w:after="0" w:afterAutospacing="0" w:line="240" w:lineRule="auto"/>
                    <w:ind w:left="0" w:right="0" w:firstLine="0"/>
                    <w:rPr>
                      <w:rFonts w:ascii="Times New Roman" w:hAnsi="Times New Roman" w:cs="Times New Roman"/>
                      <w:color w:val="000000"/>
                      <w:szCs w:val="21"/>
                      <w:lang w:val="zh-CN"/>
                    </w:rPr>
                  </w:pPr>
                  <w:r>
                    <w:rPr>
                      <w:rFonts w:hint="eastAsia" w:ascii="Times New Roman" w:hAnsi="Times New Roman" w:cs="Times New Roman"/>
                      <w:color w:val="000000"/>
                      <w:szCs w:val="21"/>
                      <w:lang w:val="en-US" w:eastAsia="zh-CN"/>
                    </w:rPr>
                    <w:t>0.01</w:t>
                  </w:r>
                  <w:r>
                    <w:rPr>
                      <w:rFonts w:ascii="Times New Roman" w:hAnsi="Times New Roman" w:cs="Times New Roman"/>
                      <w:color w:val="000000"/>
                      <w:szCs w:val="21"/>
                      <w:lang w:val="zh-CN"/>
                    </w:rPr>
                    <w:t>t</w:t>
                  </w:r>
                </w:p>
              </w:tc>
            </w:tr>
            <w:tr w14:paraId="5681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257" w:type="pct"/>
                  <w:noWrap w:val="0"/>
                  <w:vAlign w:val="center"/>
                </w:tcPr>
                <w:p w14:paraId="3A35CCA8">
                  <w:pPr>
                    <w:pStyle w:val="51"/>
                    <w:snapToGrid/>
                    <w:spacing w:before="0" w:beforeAutospacing="0" w:after="0" w:afterAutospacing="0" w:line="240" w:lineRule="auto"/>
                    <w:ind w:left="0" w:right="0" w:firstLine="0"/>
                    <w:rPr>
                      <w:rFonts w:hint="eastAsia" w:ascii="Times New Roman" w:hAnsi="Times New Roman" w:eastAsia="宋体" w:cs="Times New Roman"/>
                      <w:color w:val="000000"/>
                      <w:szCs w:val="21"/>
                      <w:lang w:val="en-US" w:eastAsia="zh-CN"/>
                    </w:rPr>
                  </w:pPr>
                  <w:r>
                    <w:rPr>
                      <w:rFonts w:hint="eastAsia" w:ascii="Times New Roman" w:hAnsi="Times New Roman" w:cs="Times New Roman"/>
                      <w:color w:val="000000"/>
                      <w:szCs w:val="21"/>
                      <w:lang w:val="en-US" w:eastAsia="zh-CN"/>
                    </w:rPr>
                    <w:t>废机油</w:t>
                  </w:r>
                </w:p>
              </w:tc>
              <w:tc>
                <w:tcPr>
                  <w:tcW w:w="1302" w:type="pct"/>
                  <w:noWrap w:val="0"/>
                  <w:vAlign w:val="center"/>
                </w:tcPr>
                <w:p w14:paraId="52485B05">
                  <w:pPr>
                    <w:pStyle w:val="51"/>
                    <w:snapToGrid/>
                    <w:spacing w:before="0" w:beforeAutospacing="0" w:after="0" w:afterAutospacing="0" w:line="240" w:lineRule="auto"/>
                    <w:ind w:left="0" w:right="0" w:firstLine="0"/>
                    <w:rPr>
                      <w:rFonts w:ascii="Times New Roman" w:hAnsi="Times New Roman" w:cs="Times New Roman"/>
                      <w:color w:val="000000"/>
                      <w:szCs w:val="21"/>
                      <w:lang w:val="zh-CN"/>
                    </w:rPr>
                  </w:pPr>
                  <w:r>
                    <w:rPr>
                      <w:rFonts w:ascii="Times New Roman" w:hAnsi="Times New Roman" w:cs="Times New Roman"/>
                      <w:color w:val="000000"/>
                      <w:szCs w:val="21"/>
                      <w:lang w:val="zh-CN"/>
                    </w:rPr>
                    <w:t>桶装</w:t>
                  </w:r>
                </w:p>
              </w:tc>
              <w:tc>
                <w:tcPr>
                  <w:tcW w:w="1302" w:type="pct"/>
                  <w:noWrap w:val="0"/>
                  <w:vAlign w:val="center"/>
                </w:tcPr>
                <w:p w14:paraId="768FEF3B">
                  <w:pPr>
                    <w:pStyle w:val="51"/>
                    <w:snapToGrid/>
                    <w:spacing w:before="0" w:beforeAutospacing="0" w:after="0" w:afterAutospacing="0" w:line="240" w:lineRule="auto"/>
                    <w:ind w:left="0" w:right="0" w:firstLine="0"/>
                    <w:rPr>
                      <w:rFonts w:ascii="Times New Roman" w:hAnsi="Times New Roman" w:cs="Times New Roman"/>
                      <w:color w:val="000000"/>
                      <w:szCs w:val="21"/>
                      <w:lang w:val="zh-CN"/>
                    </w:rPr>
                  </w:pPr>
                  <w:r>
                    <w:rPr>
                      <w:rFonts w:ascii="Times New Roman" w:hAnsi="Times New Roman" w:cs="Times New Roman"/>
                      <w:color w:val="000000"/>
                      <w:szCs w:val="21"/>
                      <w:lang w:val="zh-CN"/>
                    </w:rPr>
                    <w:t>危废暂存间</w:t>
                  </w:r>
                </w:p>
              </w:tc>
              <w:tc>
                <w:tcPr>
                  <w:tcW w:w="1138" w:type="pct"/>
                  <w:noWrap w:val="0"/>
                  <w:vAlign w:val="center"/>
                </w:tcPr>
                <w:p w14:paraId="0CFF7298">
                  <w:pPr>
                    <w:pStyle w:val="51"/>
                    <w:snapToGrid/>
                    <w:spacing w:before="0" w:beforeAutospacing="0" w:after="0" w:afterAutospacing="0" w:line="240" w:lineRule="auto"/>
                    <w:ind w:left="0" w:right="0" w:firstLine="0"/>
                    <w:rPr>
                      <w:rFonts w:ascii="Times New Roman" w:hAnsi="Times New Roman" w:cs="Times New Roman"/>
                      <w:color w:val="000000"/>
                      <w:szCs w:val="21"/>
                      <w:lang w:val="zh-CN"/>
                    </w:rPr>
                  </w:pPr>
                  <w:r>
                    <w:rPr>
                      <w:rFonts w:hint="eastAsia" w:ascii="Times New Roman" w:hAnsi="Times New Roman" w:cs="Times New Roman"/>
                      <w:color w:val="000000"/>
                      <w:szCs w:val="21"/>
                      <w:lang w:val="en-US" w:eastAsia="zh-CN"/>
                    </w:rPr>
                    <w:t>0.01</w:t>
                  </w:r>
                  <w:r>
                    <w:rPr>
                      <w:rFonts w:ascii="Times New Roman" w:hAnsi="Times New Roman" w:cs="Times New Roman"/>
                      <w:color w:val="000000"/>
                      <w:szCs w:val="21"/>
                      <w:lang w:val="zh-CN"/>
                    </w:rPr>
                    <w:t>t</w:t>
                  </w:r>
                </w:p>
              </w:tc>
            </w:tr>
          </w:tbl>
          <w:p w14:paraId="4F2CC92B">
            <w:pPr>
              <w:spacing w:line="360" w:lineRule="auto"/>
              <w:ind w:firstLine="480" w:firstLineChars="200"/>
              <w:rPr>
                <w:rFonts w:hint="eastAsia" w:hAnsi="宋体"/>
                <w:color w:val="000000"/>
                <w:sz w:val="24"/>
              </w:rPr>
            </w:pPr>
            <w:r>
              <w:rPr>
                <w:rFonts w:hint="eastAsia" w:hAnsi="宋体"/>
                <w:color w:val="000000"/>
                <w:sz w:val="24"/>
              </w:rPr>
              <w:t>参照附录B计算危险物质数量与临界量比值。</w:t>
            </w:r>
          </w:p>
          <w:p w14:paraId="10AF6D59">
            <w:pPr>
              <w:adjustRightInd w:val="0"/>
              <w:snapToGrid w:val="0"/>
              <w:spacing w:before="93" w:beforeLines="30"/>
              <w:jc w:val="center"/>
              <w:rPr>
                <w:rFonts w:ascii="黑体" w:hAnsi="黑体" w:eastAsia="黑体" w:cs="宋体"/>
                <w:bCs/>
                <w:color w:val="000000"/>
                <w:sz w:val="24"/>
                <w:szCs w:val="24"/>
              </w:rPr>
            </w:pPr>
            <w:r>
              <w:rPr>
                <w:rFonts w:hint="eastAsia" w:ascii="黑体" w:hAnsi="黑体" w:eastAsia="黑体" w:cs="宋体"/>
                <w:bCs/>
                <w:color w:val="000000"/>
                <w:sz w:val="24"/>
                <w:szCs w:val="24"/>
              </w:rPr>
              <w:t>表</w:t>
            </w:r>
            <w:r>
              <w:rPr>
                <w:rFonts w:hint="eastAsia" w:ascii="黑体" w:hAnsi="黑体" w:eastAsia="黑体" w:cs="宋体"/>
                <w:bCs/>
                <w:color w:val="000000"/>
                <w:sz w:val="24"/>
                <w:szCs w:val="24"/>
                <w:lang w:val="en-US" w:eastAsia="zh-CN"/>
              </w:rPr>
              <w:t>34</w:t>
            </w:r>
            <w:r>
              <w:rPr>
                <w:rFonts w:hint="eastAsia" w:ascii="黑体" w:hAnsi="黑体" w:eastAsia="黑体" w:cs="宋体"/>
                <w:bCs/>
                <w:color w:val="000000"/>
                <w:sz w:val="24"/>
                <w:szCs w:val="24"/>
              </w:rPr>
              <w:t xml:space="preserve">    Q值计算一览表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61"/>
              <w:gridCol w:w="2233"/>
              <w:gridCol w:w="1975"/>
              <w:gridCol w:w="2044"/>
              <w:gridCol w:w="1266"/>
            </w:tblGrid>
            <w:tr w14:paraId="1AAB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404" w:type="pct"/>
                  <w:noWrap w:val="0"/>
                  <w:vAlign w:val="center"/>
                </w:tcPr>
                <w:p w14:paraId="38454B28">
                  <w:pPr>
                    <w:pStyle w:val="51"/>
                    <w:snapToGrid/>
                    <w:spacing w:before="0" w:beforeAutospacing="0" w:after="0" w:afterAutospacing="0" w:line="240" w:lineRule="auto"/>
                    <w:ind w:left="0" w:right="0" w:firstLine="0"/>
                    <w:rPr>
                      <w:rFonts w:ascii="Times New Roman" w:hAnsi="Times New Roman" w:cs="Times New Roman"/>
                      <w:color w:val="000000"/>
                      <w:szCs w:val="21"/>
                      <w:lang w:val="zh-CN"/>
                    </w:rPr>
                  </w:pPr>
                  <w:r>
                    <w:rPr>
                      <w:rFonts w:ascii="Times New Roman" w:hAnsi="Times New Roman" w:cs="Times New Roman"/>
                      <w:color w:val="000000"/>
                      <w:szCs w:val="21"/>
                      <w:lang w:val="zh-CN"/>
                    </w:rPr>
                    <w:t>序号</w:t>
                  </w:r>
                </w:p>
              </w:tc>
              <w:tc>
                <w:tcPr>
                  <w:tcW w:w="1365" w:type="pct"/>
                  <w:noWrap w:val="0"/>
                  <w:vAlign w:val="center"/>
                </w:tcPr>
                <w:p w14:paraId="3353124C">
                  <w:pPr>
                    <w:pStyle w:val="51"/>
                    <w:snapToGrid/>
                    <w:spacing w:before="0" w:beforeAutospacing="0" w:after="0" w:afterAutospacing="0" w:line="240" w:lineRule="auto"/>
                    <w:ind w:left="0" w:right="0" w:firstLine="0"/>
                    <w:rPr>
                      <w:rFonts w:ascii="Times New Roman" w:hAnsi="Times New Roman" w:cs="Times New Roman"/>
                      <w:color w:val="000000"/>
                      <w:szCs w:val="21"/>
                      <w:lang w:val="zh-CN"/>
                    </w:rPr>
                  </w:pPr>
                  <w:r>
                    <w:rPr>
                      <w:rFonts w:ascii="Times New Roman" w:hAnsi="Times New Roman" w:cs="Times New Roman"/>
                      <w:color w:val="000000"/>
                      <w:szCs w:val="21"/>
                      <w:lang w:val="zh-CN"/>
                    </w:rPr>
                    <w:t>风险物质</w:t>
                  </w:r>
                </w:p>
              </w:tc>
              <w:tc>
                <w:tcPr>
                  <w:tcW w:w="1207" w:type="pct"/>
                  <w:noWrap w:val="0"/>
                  <w:vAlign w:val="center"/>
                </w:tcPr>
                <w:p w14:paraId="279CECD9">
                  <w:pPr>
                    <w:pStyle w:val="51"/>
                    <w:snapToGrid/>
                    <w:spacing w:before="0" w:beforeAutospacing="0" w:after="0" w:afterAutospacing="0" w:line="240" w:lineRule="auto"/>
                    <w:ind w:left="0" w:right="0" w:firstLine="0"/>
                    <w:rPr>
                      <w:rFonts w:ascii="Times New Roman" w:hAnsi="Times New Roman" w:cs="Times New Roman"/>
                      <w:color w:val="000000"/>
                      <w:szCs w:val="21"/>
                      <w:lang w:val="zh-CN"/>
                    </w:rPr>
                  </w:pPr>
                  <w:r>
                    <w:rPr>
                      <w:rFonts w:ascii="Times New Roman" w:hAnsi="Times New Roman" w:cs="Times New Roman"/>
                      <w:color w:val="000000"/>
                      <w:szCs w:val="21"/>
                      <w:lang w:val="zh-CN"/>
                    </w:rPr>
                    <w:t>临界量（Qn）t</w:t>
                  </w:r>
                </w:p>
              </w:tc>
              <w:tc>
                <w:tcPr>
                  <w:tcW w:w="1247" w:type="pct"/>
                  <w:noWrap w:val="0"/>
                  <w:vAlign w:val="center"/>
                </w:tcPr>
                <w:p w14:paraId="0DD2411D">
                  <w:pPr>
                    <w:pStyle w:val="51"/>
                    <w:snapToGrid/>
                    <w:spacing w:before="0" w:beforeAutospacing="0" w:after="0" w:afterAutospacing="0" w:line="240" w:lineRule="auto"/>
                    <w:ind w:left="0" w:right="0" w:firstLine="0"/>
                    <w:rPr>
                      <w:rFonts w:ascii="Times New Roman" w:hAnsi="Times New Roman" w:cs="Times New Roman"/>
                      <w:color w:val="000000"/>
                      <w:szCs w:val="21"/>
                      <w:lang w:val="zh-CN"/>
                    </w:rPr>
                  </w:pPr>
                  <w:r>
                    <w:rPr>
                      <w:rFonts w:ascii="Times New Roman" w:hAnsi="Times New Roman" w:cs="Times New Roman"/>
                      <w:color w:val="000000"/>
                      <w:szCs w:val="21"/>
                      <w:lang w:val="zh-CN"/>
                    </w:rPr>
                    <w:t>储存量（qn）t</w:t>
                  </w:r>
                </w:p>
              </w:tc>
              <w:tc>
                <w:tcPr>
                  <w:tcW w:w="774" w:type="pct"/>
                  <w:noWrap w:val="0"/>
                  <w:vAlign w:val="center"/>
                </w:tcPr>
                <w:p w14:paraId="0B75C9BC">
                  <w:pPr>
                    <w:pStyle w:val="51"/>
                    <w:snapToGrid/>
                    <w:spacing w:before="0" w:beforeAutospacing="0" w:after="0" w:afterAutospacing="0" w:line="240" w:lineRule="auto"/>
                    <w:ind w:left="0" w:right="0" w:firstLine="0"/>
                    <w:rPr>
                      <w:rFonts w:ascii="Times New Roman" w:hAnsi="Times New Roman" w:cs="Times New Roman"/>
                      <w:color w:val="000000"/>
                      <w:szCs w:val="21"/>
                      <w:lang w:val="zh-CN"/>
                    </w:rPr>
                  </w:pPr>
                  <w:r>
                    <w:rPr>
                      <w:rFonts w:ascii="Times New Roman" w:hAnsi="Times New Roman" w:cs="Times New Roman"/>
                      <w:color w:val="000000"/>
                      <w:szCs w:val="21"/>
                      <w:lang w:val="zh-CN"/>
                    </w:rPr>
                    <w:t>∑qn/Qn</w:t>
                  </w:r>
                </w:p>
              </w:tc>
            </w:tr>
            <w:tr w14:paraId="406F9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404" w:type="pct"/>
                  <w:noWrap w:val="0"/>
                  <w:vAlign w:val="center"/>
                </w:tcPr>
                <w:p w14:paraId="0A272110">
                  <w:pPr>
                    <w:pStyle w:val="51"/>
                    <w:snapToGrid/>
                    <w:spacing w:before="0" w:beforeAutospacing="0" w:after="0" w:afterAutospacing="0" w:line="240" w:lineRule="auto"/>
                    <w:ind w:left="0" w:right="0" w:firstLine="0"/>
                    <w:rPr>
                      <w:rFonts w:ascii="Times New Roman" w:hAnsi="Times New Roman" w:cs="Times New Roman"/>
                      <w:color w:val="000000"/>
                      <w:szCs w:val="21"/>
                      <w:lang w:val="zh-CN"/>
                    </w:rPr>
                  </w:pPr>
                  <w:r>
                    <w:rPr>
                      <w:rFonts w:ascii="Times New Roman" w:hAnsi="Times New Roman" w:cs="Times New Roman"/>
                      <w:color w:val="000000"/>
                      <w:szCs w:val="21"/>
                      <w:lang w:val="zh-CN"/>
                    </w:rPr>
                    <w:t>1</w:t>
                  </w:r>
                </w:p>
              </w:tc>
              <w:tc>
                <w:tcPr>
                  <w:tcW w:w="2233" w:type="dxa"/>
                  <w:noWrap w:val="0"/>
                  <w:vAlign w:val="center"/>
                </w:tcPr>
                <w:p w14:paraId="34D002EB">
                  <w:pPr>
                    <w:pStyle w:val="51"/>
                    <w:snapToGrid/>
                    <w:spacing w:before="0" w:beforeAutospacing="0" w:after="0" w:afterAutospacing="0" w:line="240" w:lineRule="auto"/>
                    <w:ind w:left="0" w:leftChars="0" w:right="0" w:rightChars="0" w:firstLine="0" w:firstLineChars="0"/>
                    <w:rPr>
                      <w:rFonts w:ascii="Times New Roman" w:hAnsi="Times New Roman" w:cs="Times New Roman"/>
                      <w:color w:val="000000"/>
                      <w:szCs w:val="21"/>
                      <w:lang w:val="zh-CN"/>
                    </w:rPr>
                  </w:pPr>
                  <w:r>
                    <w:rPr>
                      <w:rFonts w:hint="eastAsia" w:ascii="Times New Roman" w:hAnsi="Times New Roman" w:cs="Times New Roman"/>
                      <w:color w:val="000000"/>
                      <w:szCs w:val="21"/>
                      <w:lang w:val="en-US" w:eastAsia="zh-CN"/>
                    </w:rPr>
                    <w:t>机油</w:t>
                  </w:r>
                </w:p>
              </w:tc>
              <w:tc>
                <w:tcPr>
                  <w:tcW w:w="1207" w:type="pct"/>
                  <w:noWrap w:val="0"/>
                  <w:vAlign w:val="center"/>
                </w:tcPr>
                <w:p w14:paraId="3F5DC4F7">
                  <w:pPr>
                    <w:pStyle w:val="51"/>
                    <w:snapToGrid/>
                    <w:spacing w:before="0" w:beforeAutospacing="0" w:after="0" w:afterAutospacing="0" w:line="240" w:lineRule="auto"/>
                    <w:ind w:left="0" w:right="0" w:firstLine="0"/>
                    <w:rPr>
                      <w:rFonts w:ascii="Times New Roman" w:hAnsi="Times New Roman" w:cs="Times New Roman"/>
                      <w:color w:val="000000"/>
                      <w:szCs w:val="21"/>
                      <w:lang w:val="zh-CN"/>
                    </w:rPr>
                  </w:pPr>
                  <w:r>
                    <w:rPr>
                      <w:rFonts w:ascii="Times New Roman" w:hAnsi="Times New Roman" w:cs="Times New Roman"/>
                      <w:color w:val="000000"/>
                      <w:szCs w:val="21"/>
                      <w:lang w:val="zh-CN"/>
                    </w:rPr>
                    <w:t>2500</w:t>
                  </w:r>
                </w:p>
              </w:tc>
              <w:tc>
                <w:tcPr>
                  <w:tcW w:w="1247" w:type="pct"/>
                  <w:noWrap w:val="0"/>
                  <w:vAlign w:val="center"/>
                </w:tcPr>
                <w:p w14:paraId="0F2E99D6">
                  <w:pPr>
                    <w:pStyle w:val="51"/>
                    <w:snapToGrid/>
                    <w:spacing w:before="0" w:beforeAutospacing="0" w:after="0" w:afterAutospacing="0" w:line="240" w:lineRule="auto"/>
                    <w:ind w:left="0" w:right="0" w:firstLine="0"/>
                    <w:rPr>
                      <w:rFonts w:hint="default" w:ascii="Times New Roman" w:hAnsi="Times New Roman" w:eastAsia="宋体" w:cs="Times New Roman"/>
                      <w:color w:val="000000"/>
                      <w:szCs w:val="21"/>
                      <w:lang w:val="en-US" w:eastAsia="zh-CN"/>
                    </w:rPr>
                  </w:pPr>
                  <w:r>
                    <w:rPr>
                      <w:rFonts w:hint="eastAsia" w:ascii="Times New Roman" w:hAnsi="Times New Roman" w:cs="Times New Roman"/>
                      <w:color w:val="000000"/>
                      <w:szCs w:val="21"/>
                      <w:lang w:val="en-US" w:eastAsia="zh-CN"/>
                    </w:rPr>
                    <w:t>0.01</w:t>
                  </w:r>
                </w:p>
              </w:tc>
              <w:tc>
                <w:tcPr>
                  <w:tcW w:w="774" w:type="pct"/>
                  <w:noWrap w:val="0"/>
                  <w:vAlign w:val="center"/>
                </w:tcPr>
                <w:p w14:paraId="282E2274">
                  <w:pPr>
                    <w:pStyle w:val="51"/>
                    <w:snapToGrid/>
                    <w:spacing w:before="0" w:beforeAutospacing="0" w:after="0" w:afterAutospacing="0" w:line="240" w:lineRule="auto"/>
                    <w:ind w:left="0" w:right="0" w:firstLine="0"/>
                    <w:rPr>
                      <w:rFonts w:hint="default" w:ascii="Times New Roman" w:hAnsi="Times New Roman" w:eastAsia="宋体" w:cs="Times New Roman"/>
                      <w:color w:val="000000"/>
                      <w:szCs w:val="21"/>
                      <w:lang w:val="en-US" w:eastAsia="zh-CN"/>
                    </w:rPr>
                  </w:pPr>
                  <w:r>
                    <w:rPr>
                      <w:rFonts w:hint="eastAsia" w:ascii="Times New Roman" w:hAnsi="Times New Roman" w:cs="Times New Roman"/>
                      <w:color w:val="000000"/>
                      <w:szCs w:val="21"/>
                      <w:lang w:val="en-US" w:eastAsia="zh-CN"/>
                    </w:rPr>
                    <w:t>0.000004</w:t>
                  </w:r>
                </w:p>
              </w:tc>
            </w:tr>
            <w:tr w14:paraId="6AC2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404" w:type="pct"/>
                  <w:noWrap w:val="0"/>
                  <w:vAlign w:val="center"/>
                </w:tcPr>
                <w:p w14:paraId="7446666E">
                  <w:pPr>
                    <w:pStyle w:val="51"/>
                    <w:snapToGrid/>
                    <w:spacing w:before="0" w:beforeAutospacing="0" w:after="0" w:afterAutospacing="0" w:line="240" w:lineRule="auto"/>
                    <w:ind w:left="0" w:right="0" w:firstLine="0"/>
                    <w:rPr>
                      <w:rFonts w:ascii="Times New Roman" w:hAnsi="Times New Roman" w:cs="Times New Roman"/>
                      <w:color w:val="000000"/>
                      <w:szCs w:val="21"/>
                      <w:lang w:val="zh-CN"/>
                    </w:rPr>
                  </w:pPr>
                  <w:r>
                    <w:rPr>
                      <w:rFonts w:ascii="Times New Roman" w:hAnsi="Times New Roman" w:cs="Times New Roman"/>
                      <w:color w:val="000000"/>
                      <w:szCs w:val="21"/>
                    </w:rPr>
                    <w:t>2</w:t>
                  </w:r>
                </w:p>
              </w:tc>
              <w:tc>
                <w:tcPr>
                  <w:tcW w:w="2233" w:type="dxa"/>
                  <w:noWrap w:val="0"/>
                  <w:vAlign w:val="center"/>
                </w:tcPr>
                <w:p w14:paraId="3C5B271C">
                  <w:pPr>
                    <w:pStyle w:val="51"/>
                    <w:snapToGrid/>
                    <w:spacing w:before="0" w:beforeAutospacing="0" w:after="0" w:afterAutospacing="0" w:line="240" w:lineRule="auto"/>
                    <w:ind w:left="0" w:leftChars="0" w:right="0" w:rightChars="0" w:firstLine="0" w:firstLineChars="0"/>
                    <w:rPr>
                      <w:rFonts w:ascii="Times New Roman" w:hAnsi="Times New Roman" w:cs="Times New Roman"/>
                      <w:color w:val="000000"/>
                      <w:szCs w:val="21"/>
                      <w:lang w:val="zh-CN"/>
                    </w:rPr>
                  </w:pPr>
                  <w:r>
                    <w:rPr>
                      <w:rFonts w:hint="eastAsia" w:ascii="Times New Roman" w:hAnsi="Times New Roman" w:cs="Times New Roman"/>
                      <w:color w:val="000000"/>
                      <w:szCs w:val="21"/>
                      <w:lang w:val="en-US" w:eastAsia="zh-CN"/>
                    </w:rPr>
                    <w:t>废机油</w:t>
                  </w:r>
                </w:p>
              </w:tc>
              <w:tc>
                <w:tcPr>
                  <w:tcW w:w="1207" w:type="pct"/>
                  <w:noWrap w:val="0"/>
                  <w:vAlign w:val="center"/>
                </w:tcPr>
                <w:p w14:paraId="1ECA989E">
                  <w:pPr>
                    <w:pStyle w:val="51"/>
                    <w:snapToGrid/>
                    <w:spacing w:before="0" w:beforeAutospacing="0" w:after="0" w:afterAutospacing="0" w:line="240" w:lineRule="auto"/>
                    <w:ind w:left="0" w:right="0" w:firstLine="0"/>
                    <w:rPr>
                      <w:rFonts w:ascii="Times New Roman" w:hAnsi="Times New Roman" w:cs="Times New Roman"/>
                      <w:color w:val="000000"/>
                      <w:szCs w:val="21"/>
                      <w:lang w:val="zh-CN"/>
                    </w:rPr>
                  </w:pPr>
                  <w:r>
                    <w:rPr>
                      <w:rFonts w:ascii="Times New Roman" w:hAnsi="Times New Roman" w:cs="Times New Roman"/>
                      <w:color w:val="000000"/>
                      <w:szCs w:val="21"/>
                      <w:lang w:val="zh-CN"/>
                    </w:rPr>
                    <w:t>2500</w:t>
                  </w:r>
                </w:p>
              </w:tc>
              <w:tc>
                <w:tcPr>
                  <w:tcW w:w="1247" w:type="pct"/>
                  <w:noWrap w:val="0"/>
                  <w:vAlign w:val="center"/>
                </w:tcPr>
                <w:p w14:paraId="388285D1">
                  <w:pPr>
                    <w:pStyle w:val="51"/>
                    <w:snapToGrid/>
                    <w:spacing w:before="0" w:beforeAutospacing="0" w:after="0" w:afterAutospacing="0" w:line="240" w:lineRule="auto"/>
                    <w:ind w:left="0" w:right="0" w:firstLine="0"/>
                    <w:rPr>
                      <w:rFonts w:ascii="Times New Roman" w:hAnsi="Times New Roman" w:cs="Times New Roman"/>
                      <w:color w:val="000000"/>
                      <w:szCs w:val="21"/>
                      <w:lang w:val="zh-CN"/>
                    </w:rPr>
                  </w:pPr>
                  <w:r>
                    <w:rPr>
                      <w:rFonts w:hint="eastAsia" w:ascii="Times New Roman" w:hAnsi="Times New Roman" w:cs="Times New Roman"/>
                      <w:color w:val="000000"/>
                      <w:szCs w:val="21"/>
                      <w:lang w:val="en-US" w:eastAsia="zh-CN"/>
                    </w:rPr>
                    <w:t>0.01</w:t>
                  </w:r>
                </w:p>
              </w:tc>
              <w:tc>
                <w:tcPr>
                  <w:tcW w:w="774" w:type="pct"/>
                  <w:noWrap w:val="0"/>
                  <w:vAlign w:val="center"/>
                </w:tcPr>
                <w:p w14:paraId="31DBD9F4">
                  <w:pPr>
                    <w:pStyle w:val="51"/>
                    <w:snapToGrid/>
                    <w:spacing w:before="0" w:beforeAutospacing="0" w:after="0" w:afterAutospacing="0" w:line="240" w:lineRule="auto"/>
                    <w:ind w:left="0" w:right="0" w:firstLine="0"/>
                    <w:rPr>
                      <w:rFonts w:ascii="Times New Roman" w:hAnsi="Times New Roman" w:cs="Times New Roman"/>
                      <w:color w:val="000000"/>
                      <w:szCs w:val="21"/>
                      <w:lang w:val="zh-CN"/>
                    </w:rPr>
                  </w:pPr>
                  <w:r>
                    <w:rPr>
                      <w:rFonts w:hint="eastAsia" w:ascii="Times New Roman" w:hAnsi="Times New Roman" w:cs="Times New Roman"/>
                      <w:color w:val="000000"/>
                      <w:szCs w:val="21"/>
                      <w:lang w:val="en-US" w:eastAsia="zh-CN"/>
                    </w:rPr>
                    <w:t>0.000004</w:t>
                  </w:r>
                </w:p>
              </w:tc>
            </w:tr>
            <w:tr w14:paraId="1210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4225" w:type="pct"/>
                  <w:gridSpan w:val="4"/>
                  <w:noWrap w:val="0"/>
                  <w:vAlign w:val="center"/>
                </w:tcPr>
                <w:p w14:paraId="4B58F0CC">
                  <w:pPr>
                    <w:pStyle w:val="51"/>
                    <w:snapToGrid/>
                    <w:spacing w:before="0" w:beforeAutospacing="0" w:after="0" w:afterAutospacing="0" w:line="240" w:lineRule="auto"/>
                    <w:ind w:left="0" w:right="0" w:firstLine="0"/>
                    <w:rPr>
                      <w:rFonts w:ascii="Times New Roman" w:hAnsi="Times New Roman" w:cs="Times New Roman"/>
                      <w:color w:val="000000"/>
                      <w:szCs w:val="21"/>
                      <w:lang w:val="zh-CN"/>
                    </w:rPr>
                  </w:pPr>
                  <w:r>
                    <w:rPr>
                      <w:rFonts w:ascii="Times New Roman" w:hAnsi="Times New Roman" w:cs="Times New Roman"/>
                      <w:color w:val="000000"/>
                      <w:szCs w:val="21"/>
                      <w:lang w:val="zh-CN"/>
                    </w:rPr>
                    <w:t>Q值</w:t>
                  </w:r>
                </w:p>
              </w:tc>
              <w:tc>
                <w:tcPr>
                  <w:tcW w:w="774" w:type="pct"/>
                  <w:noWrap w:val="0"/>
                  <w:vAlign w:val="center"/>
                </w:tcPr>
                <w:p w14:paraId="50951CB0">
                  <w:pPr>
                    <w:pStyle w:val="51"/>
                    <w:snapToGrid/>
                    <w:spacing w:before="0" w:beforeAutospacing="0" w:after="0" w:afterAutospacing="0" w:line="240" w:lineRule="auto"/>
                    <w:ind w:left="0" w:right="0" w:firstLine="0"/>
                    <w:rPr>
                      <w:rFonts w:hint="default" w:ascii="Times New Roman" w:hAnsi="Times New Roman" w:cs="Times New Roman"/>
                      <w:color w:val="000000"/>
                      <w:szCs w:val="21"/>
                      <w:lang w:val="en-US"/>
                    </w:rPr>
                  </w:pPr>
                  <w:r>
                    <w:rPr>
                      <w:rFonts w:hint="eastAsia" w:ascii="Times New Roman" w:hAnsi="Times New Roman" w:cs="Times New Roman"/>
                      <w:color w:val="000000"/>
                      <w:szCs w:val="21"/>
                      <w:lang w:val="en-US" w:eastAsia="zh-CN"/>
                    </w:rPr>
                    <w:t>0.000008</w:t>
                  </w:r>
                </w:p>
              </w:tc>
            </w:tr>
          </w:tbl>
          <w:p w14:paraId="0851E0EF">
            <w:pPr>
              <w:spacing w:line="360" w:lineRule="auto"/>
              <w:ind w:firstLine="480" w:firstLineChars="200"/>
              <w:rPr>
                <w:rFonts w:hint="eastAsia" w:hAnsi="宋体"/>
                <w:color w:val="000000"/>
                <w:sz w:val="24"/>
              </w:rPr>
            </w:pPr>
            <w:r>
              <w:rPr>
                <w:rFonts w:hint="eastAsia" w:hAnsi="宋体"/>
                <w:color w:val="000000"/>
                <w:sz w:val="24"/>
              </w:rPr>
              <w:t>由上表可知，本项目涉及危险物质的Q值为0.</w:t>
            </w:r>
            <w:r>
              <w:rPr>
                <w:rFonts w:hint="eastAsia" w:hAnsi="宋体"/>
                <w:color w:val="000000"/>
                <w:sz w:val="24"/>
                <w:lang w:val="en-US" w:eastAsia="zh-CN"/>
              </w:rPr>
              <w:t>000008</w:t>
            </w:r>
            <w:r>
              <w:rPr>
                <w:rFonts w:hint="eastAsia" w:hAnsi="宋体"/>
                <w:color w:val="000000"/>
                <w:sz w:val="24"/>
              </w:rPr>
              <w:t>＜1，因此根据《建设项目环境风险评价技术导则》（HJ169-2018），确定本项目风险等级为一般风险等级，做简单分析。</w:t>
            </w:r>
          </w:p>
          <w:p w14:paraId="7DEEF0DD">
            <w:pPr>
              <w:spacing w:line="360" w:lineRule="auto"/>
              <w:ind w:firstLine="480" w:firstLineChars="200"/>
              <w:rPr>
                <w:rFonts w:hint="eastAsia" w:hAnsi="宋体"/>
                <w:color w:val="000000"/>
                <w:sz w:val="24"/>
              </w:rPr>
            </w:pPr>
            <w:r>
              <w:rPr>
                <w:rFonts w:hint="eastAsia" w:hAnsi="宋体"/>
                <w:color w:val="000000"/>
                <w:sz w:val="24"/>
              </w:rPr>
              <w:t>（2）风险防范措施</w:t>
            </w:r>
          </w:p>
          <w:p w14:paraId="67EAB971">
            <w:pPr>
              <w:spacing w:line="360" w:lineRule="auto"/>
              <w:ind w:firstLine="480" w:firstLineChars="200"/>
              <w:rPr>
                <w:rFonts w:hint="eastAsia"/>
                <w:color w:val="000000"/>
                <w:sz w:val="24"/>
              </w:rPr>
            </w:pPr>
            <w:r>
              <w:rPr>
                <w:rFonts w:hint="eastAsia" w:hAnsi="宋体"/>
                <w:color w:val="000000"/>
                <w:sz w:val="24"/>
              </w:rPr>
              <w:t>本项目环境风险物质主要为</w:t>
            </w:r>
            <w:r>
              <w:rPr>
                <w:rFonts w:hint="eastAsia" w:hAnsi="宋体"/>
                <w:color w:val="000000"/>
                <w:sz w:val="24"/>
                <w:lang w:val="en-US" w:eastAsia="zh-CN"/>
              </w:rPr>
              <w:t>机油、废机油</w:t>
            </w:r>
            <w:r>
              <w:rPr>
                <w:rFonts w:hint="eastAsia" w:hAnsi="宋体"/>
                <w:color w:val="000000"/>
                <w:sz w:val="24"/>
              </w:rPr>
              <w:t>，其中</w:t>
            </w:r>
            <w:r>
              <w:rPr>
                <w:rFonts w:hint="eastAsia" w:hAnsi="宋体"/>
                <w:color w:val="000000"/>
                <w:sz w:val="24"/>
                <w:lang w:val="en-US" w:eastAsia="zh-CN"/>
              </w:rPr>
              <w:t>机油采用</w:t>
            </w:r>
            <w:r>
              <w:rPr>
                <w:rFonts w:hint="eastAsia" w:hAnsi="宋体"/>
                <w:color w:val="000000"/>
                <w:sz w:val="24"/>
              </w:rPr>
              <w:t>桶装存放于车间的原料区</w:t>
            </w:r>
            <w:r>
              <w:rPr>
                <w:rFonts w:hint="eastAsia" w:hAnsi="宋体"/>
                <w:color w:val="000000"/>
                <w:sz w:val="24"/>
                <w:lang w:eastAsia="zh-CN"/>
              </w:rPr>
              <w:t>，</w:t>
            </w:r>
            <w:r>
              <w:rPr>
                <w:rFonts w:hint="eastAsia" w:hAnsi="宋体"/>
                <w:color w:val="000000"/>
                <w:sz w:val="24"/>
                <w:lang w:val="en-US" w:eastAsia="zh-CN"/>
              </w:rPr>
              <w:t>废机油</w:t>
            </w:r>
            <w:r>
              <w:rPr>
                <w:rFonts w:hint="eastAsia" w:hAnsi="宋体"/>
                <w:color w:val="000000"/>
                <w:sz w:val="24"/>
              </w:rPr>
              <w:t>采用桶装暂存于危废暂存间</w:t>
            </w:r>
            <w:r>
              <w:rPr>
                <w:rFonts w:hint="eastAsia" w:hAnsi="宋体"/>
                <w:color w:val="000000"/>
                <w:sz w:val="24"/>
                <w:lang w:eastAsia="zh-CN"/>
              </w:rPr>
              <w:t>。</w:t>
            </w:r>
            <w:r>
              <w:rPr>
                <w:rFonts w:hint="eastAsia" w:hAnsi="宋体"/>
                <w:color w:val="000000"/>
                <w:sz w:val="24"/>
              </w:rPr>
              <w:t>本项目最大可信事故为风险物质的泄漏事故。本项目生产车间地面已硬化并做防渗处理，危废暂存间按照</w:t>
            </w:r>
            <w:r>
              <w:rPr>
                <w:color w:val="000000"/>
                <w:sz w:val="24"/>
              </w:rPr>
              <w:t>《危险废物贮存污染控制标准》（GB18597-20</w:t>
            </w:r>
            <w:r>
              <w:rPr>
                <w:rFonts w:hint="eastAsia"/>
                <w:color w:val="000000"/>
                <w:sz w:val="24"/>
              </w:rPr>
              <w:t>23</w:t>
            </w:r>
            <w:r>
              <w:rPr>
                <w:color w:val="000000"/>
                <w:sz w:val="24"/>
              </w:rPr>
              <w:t>）</w:t>
            </w:r>
            <w:r>
              <w:rPr>
                <w:rFonts w:hint="eastAsia"/>
                <w:color w:val="000000"/>
                <w:sz w:val="24"/>
              </w:rPr>
              <w:t>要求做好防渗处理。</w:t>
            </w:r>
          </w:p>
          <w:p w14:paraId="70EE71D1">
            <w:pPr>
              <w:spacing w:line="360" w:lineRule="auto"/>
              <w:ind w:firstLine="480" w:firstLineChars="200"/>
              <w:rPr>
                <w:rFonts w:hint="eastAsia"/>
                <w:color w:val="000000"/>
                <w:sz w:val="24"/>
              </w:rPr>
            </w:pPr>
            <w:r>
              <w:rPr>
                <w:rFonts w:hint="eastAsia"/>
                <w:color w:val="000000"/>
                <w:sz w:val="24"/>
              </w:rPr>
              <w:t>针对项目生产过程中可能产生的事故，要贯彻预防为主的原则，增强安全生产和环保意识，完善并严格执行各项工作规范，杜绝事故发生，提高操作、管理人员的业务素质，加强对操作人员进行岗位培训，普及在岗职工对物质的性质、毒性和安全防范的基本知识，对操作人员进行岗位规范定期培训、考核，合格者方可上岗，并加强对职工和周围人员的自我保护常识宣传。具体防范措施如下：</w:t>
            </w:r>
          </w:p>
          <w:p w14:paraId="6F4BFAB1">
            <w:pPr>
              <w:spacing w:line="360" w:lineRule="auto"/>
              <w:ind w:firstLine="480" w:firstLineChars="200"/>
              <w:rPr>
                <w:rFonts w:hint="eastAsia"/>
                <w:color w:val="000000"/>
                <w:sz w:val="24"/>
              </w:rPr>
            </w:pPr>
            <w:r>
              <w:rPr>
                <w:rFonts w:hint="eastAsia"/>
                <w:color w:val="000000"/>
                <w:sz w:val="24"/>
              </w:rPr>
              <w:t>①加强危险物质贮存过程中的管理：加强危险品管理，建立危险品定期汇总登记制度，记录危险化学品种类和数量，并存档备查。</w:t>
            </w:r>
          </w:p>
          <w:p w14:paraId="5348943F">
            <w:pPr>
              <w:spacing w:line="360" w:lineRule="auto"/>
              <w:ind w:firstLine="480" w:firstLineChars="200"/>
              <w:rPr>
                <w:rFonts w:hint="eastAsia"/>
                <w:color w:val="000000"/>
                <w:sz w:val="24"/>
              </w:rPr>
            </w:pPr>
            <w:r>
              <w:rPr>
                <w:rFonts w:hint="eastAsia"/>
                <w:color w:val="000000"/>
                <w:sz w:val="24"/>
              </w:rPr>
              <w:t>②贮存危险品的场所必须符合国家法律、法规和其他有关规定；贮存的危险品必须有明显的标志，标志应符合《危险废物贮存污染控制标准》（GB18597-2023）的规定。</w:t>
            </w:r>
          </w:p>
          <w:p w14:paraId="4869D437">
            <w:pPr>
              <w:spacing w:line="360" w:lineRule="auto"/>
              <w:ind w:firstLine="480" w:firstLineChars="200"/>
              <w:rPr>
                <w:rFonts w:hint="eastAsia"/>
                <w:color w:val="000000"/>
                <w:sz w:val="24"/>
              </w:rPr>
            </w:pPr>
            <w:r>
              <w:rPr>
                <w:rFonts w:hint="eastAsia"/>
                <w:color w:val="000000"/>
                <w:sz w:val="24"/>
              </w:rPr>
              <w:t>③液态物料存放区应做好地面防渗措施，设置围堰或下设托盘，防止物料泄漏时扩延污染范围。并且设专人负责液态物料存放区的管理，液态物料加盖密封存放，定期巡查，发生泄漏时及时发现及时处理。</w:t>
            </w:r>
          </w:p>
          <w:p w14:paraId="6CDE9512">
            <w:pPr>
              <w:spacing w:line="360" w:lineRule="auto"/>
              <w:ind w:firstLine="480" w:firstLineChars="200"/>
              <w:rPr>
                <w:rFonts w:hint="eastAsia"/>
                <w:color w:val="000000"/>
                <w:sz w:val="24"/>
              </w:rPr>
            </w:pPr>
            <w:r>
              <w:rPr>
                <w:rFonts w:hint="eastAsia"/>
                <w:color w:val="000000"/>
                <w:sz w:val="24"/>
              </w:rPr>
              <w:t>④危险品进厂严格检验数量、质量、包装情况、是否泄漏；对设备、管线、泵等定期检查、保养、维修；遵守各项规章制度和操作规程，严格执行岗位责任制，加强培训教育和考核工作。</w:t>
            </w:r>
          </w:p>
          <w:p w14:paraId="241B0CC5">
            <w:pPr>
              <w:spacing w:line="360" w:lineRule="auto"/>
              <w:ind w:firstLine="480" w:firstLineChars="200"/>
              <w:rPr>
                <w:rFonts w:hint="eastAsia"/>
                <w:color w:val="000000"/>
                <w:sz w:val="24"/>
              </w:rPr>
            </w:pPr>
            <w:r>
              <w:rPr>
                <w:rFonts w:hint="eastAsia"/>
                <w:color w:val="000000"/>
                <w:sz w:val="24"/>
              </w:rPr>
              <w:t>⑤厂区内严禁明火，应配置足量的相应灭火设备，定期检查灭火状态及其有效期等。</w:t>
            </w:r>
          </w:p>
          <w:p w14:paraId="55956481">
            <w:pPr>
              <w:spacing w:line="360" w:lineRule="auto"/>
              <w:ind w:firstLine="480" w:firstLineChars="200"/>
              <w:rPr>
                <w:rFonts w:hint="eastAsia"/>
                <w:color w:val="000000"/>
                <w:sz w:val="24"/>
              </w:rPr>
            </w:pPr>
            <w:r>
              <w:rPr>
                <w:rFonts w:hint="eastAsia"/>
                <w:color w:val="000000"/>
                <w:sz w:val="24"/>
              </w:rPr>
              <w:t>⑥厂区还应配备沙袋、沙土、应急桶、防护口罩、防毒面具、防护手套等应急物资。</w:t>
            </w:r>
          </w:p>
          <w:p w14:paraId="10111AEA">
            <w:pPr>
              <w:spacing w:line="360" w:lineRule="auto"/>
              <w:ind w:firstLine="480" w:firstLineChars="200"/>
              <w:rPr>
                <w:rFonts w:hint="eastAsia"/>
                <w:color w:val="000000"/>
                <w:sz w:val="24"/>
              </w:rPr>
            </w:pPr>
            <w:r>
              <w:rPr>
                <w:rFonts w:hint="eastAsia"/>
                <w:color w:val="000000"/>
                <w:sz w:val="24"/>
              </w:rPr>
              <w:t>综上所述，企业从管理、员工培训等方面积极采取防范措施，确保项目运行的安全性；同时在严格执行国家相关法律、法规和规范，按相关操作规章操作的前提下，可以将事故风险降至最低。通过采用相应的控制措施后，本项目环境风险可控。</w:t>
            </w:r>
          </w:p>
          <w:p w14:paraId="0F21AE5D">
            <w:pPr>
              <w:spacing w:line="360" w:lineRule="auto"/>
              <w:rPr>
                <w:b/>
                <w:bCs/>
                <w:color w:val="000000"/>
                <w:sz w:val="24"/>
              </w:rPr>
            </w:pPr>
            <w:r>
              <w:rPr>
                <w:b/>
                <w:bCs/>
                <w:color w:val="000000"/>
                <w:sz w:val="24"/>
              </w:rPr>
              <w:t>7.</w:t>
            </w:r>
            <w:r>
              <w:rPr>
                <w:rFonts w:hint="eastAsia"/>
                <w:b/>
                <w:bCs/>
                <w:color w:val="000000"/>
                <w:sz w:val="24"/>
              </w:rPr>
              <w:t xml:space="preserve"> 排污许可</w:t>
            </w:r>
          </w:p>
          <w:p w14:paraId="6BBF9046">
            <w:pPr>
              <w:spacing w:line="360" w:lineRule="auto"/>
              <w:ind w:firstLine="480" w:firstLineChars="200"/>
              <w:rPr>
                <w:color w:val="000000"/>
                <w:sz w:val="24"/>
              </w:rPr>
            </w:pPr>
            <w:r>
              <w:rPr>
                <w:rFonts w:hint="eastAsia"/>
                <w:color w:val="000000"/>
                <w:sz w:val="24"/>
              </w:rPr>
              <w:t>经</w:t>
            </w:r>
            <w:r>
              <w:rPr>
                <w:color w:val="000000"/>
                <w:sz w:val="24"/>
              </w:rPr>
              <w:t>查阅《固定污染源排污许可分类管理名录》（2019年版），本项目</w:t>
            </w:r>
            <w:r>
              <w:rPr>
                <w:rFonts w:hint="eastAsia"/>
                <w:color w:val="000000"/>
                <w:sz w:val="24"/>
              </w:rPr>
              <w:t>排污许可管理类别</w:t>
            </w:r>
            <w:r>
              <w:rPr>
                <w:color w:val="000000"/>
                <w:sz w:val="24"/>
              </w:rPr>
              <w:t>见下表。</w:t>
            </w:r>
          </w:p>
          <w:p w14:paraId="010848FA">
            <w:pPr>
              <w:snapToGrid w:val="0"/>
              <w:spacing w:before="93" w:beforeLines="30"/>
              <w:jc w:val="center"/>
              <w:rPr>
                <w:rFonts w:hint="eastAsia" w:ascii="黑体" w:eastAsia="黑体"/>
                <w:color w:val="000000"/>
                <w:sz w:val="24"/>
                <w:szCs w:val="24"/>
              </w:rPr>
            </w:pPr>
            <w:r>
              <w:rPr>
                <w:rFonts w:hint="eastAsia" w:ascii="黑体" w:eastAsia="黑体"/>
                <w:color w:val="000000"/>
                <w:sz w:val="24"/>
                <w:szCs w:val="24"/>
              </w:rPr>
              <w:t>表</w:t>
            </w:r>
            <w:r>
              <w:rPr>
                <w:rFonts w:hint="eastAsia" w:ascii="黑体" w:eastAsia="黑体"/>
                <w:color w:val="000000"/>
                <w:sz w:val="24"/>
                <w:szCs w:val="24"/>
                <w:lang w:val="en-US" w:eastAsia="zh-CN"/>
              </w:rPr>
              <w:t>35</w:t>
            </w:r>
            <w:r>
              <w:rPr>
                <w:rFonts w:hint="eastAsia" w:ascii="黑体" w:eastAsia="黑体"/>
                <w:color w:val="000000"/>
                <w:sz w:val="24"/>
                <w:szCs w:val="24"/>
              </w:rPr>
              <w:t xml:space="preserve">    固定污染源排污许可分类管理名录</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166"/>
              <w:gridCol w:w="1213"/>
              <w:gridCol w:w="4712"/>
              <w:gridCol w:w="1091"/>
            </w:tblGrid>
            <w:tr w14:paraId="14574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0" w:hRule="atLeast"/>
              </w:trPr>
              <w:tc>
                <w:tcPr>
                  <w:tcW w:w="1166" w:type="dxa"/>
                  <w:noWrap w:val="0"/>
                  <w:vAlign w:val="center"/>
                </w:tcPr>
                <w:p w14:paraId="47B0D4D0">
                  <w:pPr>
                    <w:snapToGrid w:val="0"/>
                    <w:spacing w:before="31" w:beforeLines="10" w:after="31" w:afterLines="10"/>
                    <w:jc w:val="center"/>
                    <w:rPr>
                      <w:color w:val="000000"/>
                      <w:szCs w:val="21"/>
                    </w:rPr>
                  </w:pPr>
                  <w:r>
                    <w:rPr>
                      <w:rFonts w:hint="eastAsia"/>
                      <w:color w:val="000000"/>
                      <w:szCs w:val="21"/>
                    </w:rPr>
                    <w:t>行业类别</w:t>
                  </w:r>
                </w:p>
              </w:tc>
              <w:tc>
                <w:tcPr>
                  <w:tcW w:w="1213" w:type="dxa"/>
                  <w:noWrap w:val="0"/>
                  <w:vAlign w:val="center"/>
                </w:tcPr>
                <w:p w14:paraId="3BEAA87A">
                  <w:pPr>
                    <w:snapToGrid w:val="0"/>
                    <w:spacing w:before="31" w:beforeLines="10" w:after="31" w:afterLines="10"/>
                    <w:jc w:val="center"/>
                    <w:rPr>
                      <w:rFonts w:hint="eastAsia"/>
                      <w:color w:val="000000"/>
                      <w:szCs w:val="21"/>
                    </w:rPr>
                  </w:pPr>
                  <w:r>
                    <w:rPr>
                      <w:rFonts w:hint="eastAsia"/>
                      <w:color w:val="000000"/>
                      <w:szCs w:val="21"/>
                    </w:rPr>
                    <w:t>重点管理</w:t>
                  </w:r>
                </w:p>
              </w:tc>
              <w:tc>
                <w:tcPr>
                  <w:tcW w:w="4712" w:type="dxa"/>
                  <w:noWrap w:val="0"/>
                  <w:vAlign w:val="center"/>
                </w:tcPr>
                <w:p w14:paraId="7704D7B4">
                  <w:pPr>
                    <w:snapToGrid w:val="0"/>
                    <w:spacing w:before="31" w:beforeLines="10" w:after="31" w:afterLines="10"/>
                    <w:jc w:val="center"/>
                    <w:rPr>
                      <w:color w:val="000000"/>
                      <w:szCs w:val="21"/>
                    </w:rPr>
                  </w:pPr>
                  <w:r>
                    <w:rPr>
                      <w:rFonts w:hint="eastAsia"/>
                      <w:color w:val="000000"/>
                      <w:szCs w:val="21"/>
                    </w:rPr>
                    <w:t>简化管理</w:t>
                  </w:r>
                </w:p>
              </w:tc>
              <w:tc>
                <w:tcPr>
                  <w:tcW w:w="1091" w:type="dxa"/>
                  <w:noWrap w:val="0"/>
                  <w:vAlign w:val="center"/>
                </w:tcPr>
                <w:p w14:paraId="6633A81D">
                  <w:pPr>
                    <w:snapToGrid w:val="0"/>
                    <w:spacing w:before="31" w:beforeLines="10" w:after="31" w:afterLines="10"/>
                    <w:jc w:val="center"/>
                    <w:rPr>
                      <w:rFonts w:hint="eastAsia"/>
                      <w:color w:val="000000"/>
                      <w:szCs w:val="21"/>
                    </w:rPr>
                  </w:pPr>
                  <w:r>
                    <w:rPr>
                      <w:rFonts w:hint="eastAsia"/>
                      <w:color w:val="000000"/>
                      <w:szCs w:val="21"/>
                    </w:rPr>
                    <w:t>登记管理</w:t>
                  </w:r>
                </w:p>
              </w:tc>
            </w:tr>
            <w:tr w14:paraId="3F40F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0" w:hRule="atLeast"/>
              </w:trPr>
              <w:tc>
                <w:tcPr>
                  <w:tcW w:w="1166" w:type="dxa"/>
                  <w:shd w:val="clear" w:color="auto" w:fill="auto"/>
                  <w:noWrap w:val="0"/>
                  <w:vAlign w:val="center"/>
                </w:tcPr>
                <w:p w14:paraId="3201A7D7">
                  <w:pPr>
                    <w:snapToGrid w:val="0"/>
                    <w:spacing w:before="31" w:beforeLines="10" w:after="31" w:afterLines="10"/>
                    <w:jc w:val="center"/>
                    <w:rPr>
                      <w:color w:val="000000"/>
                      <w:szCs w:val="21"/>
                    </w:rPr>
                  </w:pPr>
                  <w:r>
                    <w:rPr>
                      <w:rFonts w:hint="eastAsia"/>
                      <w:color w:val="000000"/>
                      <w:szCs w:val="21"/>
                    </w:rPr>
                    <w:t>制鞋业195</w:t>
                  </w:r>
                </w:p>
              </w:tc>
              <w:tc>
                <w:tcPr>
                  <w:tcW w:w="1213" w:type="dxa"/>
                  <w:shd w:val="clear" w:color="auto" w:fill="auto"/>
                  <w:noWrap w:val="0"/>
                  <w:vAlign w:val="center"/>
                </w:tcPr>
                <w:p w14:paraId="7E710FE5">
                  <w:pPr>
                    <w:snapToGrid w:val="0"/>
                    <w:spacing w:before="31" w:beforeLines="10" w:after="31" w:afterLines="10"/>
                    <w:jc w:val="center"/>
                    <w:rPr>
                      <w:color w:val="000000"/>
                      <w:szCs w:val="21"/>
                    </w:rPr>
                  </w:pPr>
                  <w:r>
                    <w:rPr>
                      <w:rFonts w:hint="eastAsia"/>
                      <w:color w:val="000000"/>
                      <w:szCs w:val="21"/>
                    </w:rPr>
                    <w:t>纳入重点排污单位名录的</w:t>
                  </w:r>
                </w:p>
              </w:tc>
              <w:tc>
                <w:tcPr>
                  <w:tcW w:w="4712" w:type="dxa"/>
                  <w:shd w:val="clear" w:color="auto" w:fill="auto"/>
                  <w:noWrap w:val="0"/>
                  <w:vAlign w:val="center"/>
                </w:tcPr>
                <w:p w14:paraId="2FEC2D65">
                  <w:pPr>
                    <w:snapToGrid w:val="0"/>
                    <w:spacing w:before="31" w:beforeLines="10" w:after="31" w:afterLines="10"/>
                    <w:jc w:val="center"/>
                    <w:rPr>
                      <w:rFonts w:hint="eastAsia"/>
                      <w:color w:val="000000"/>
                      <w:szCs w:val="21"/>
                    </w:rPr>
                  </w:pPr>
                  <w:r>
                    <w:rPr>
                      <w:rFonts w:hint="eastAsia"/>
                      <w:color w:val="000000"/>
                      <w:szCs w:val="21"/>
                    </w:rPr>
                    <w:t>除重点管理以外的年使用10吨及以上溶剂型胶粘剂或者3吨及以上溶剂型处理剂的</w:t>
                  </w:r>
                </w:p>
              </w:tc>
              <w:tc>
                <w:tcPr>
                  <w:tcW w:w="1091" w:type="dxa"/>
                  <w:shd w:val="clear" w:color="auto" w:fill="D7D7D7"/>
                  <w:noWrap w:val="0"/>
                  <w:vAlign w:val="center"/>
                </w:tcPr>
                <w:p w14:paraId="339D7FA2">
                  <w:pPr>
                    <w:snapToGrid w:val="0"/>
                    <w:spacing w:before="31" w:beforeLines="10" w:after="31" w:afterLines="10"/>
                    <w:jc w:val="center"/>
                    <w:rPr>
                      <w:color w:val="000000"/>
                      <w:szCs w:val="21"/>
                    </w:rPr>
                  </w:pPr>
                  <w:r>
                    <w:rPr>
                      <w:rFonts w:hint="eastAsia"/>
                      <w:color w:val="000000"/>
                      <w:szCs w:val="21"/>
                    </w:rPr>
                    <w:t>其他</w:t>
                  </w:r>
                </w:p>
              </w:tc>
            </w:tr>
            <w:tr w14:paraId="65D65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0" w:hRule="atLeast"/>
              </w:trPr>
              <w:tc>
                <w:tcPr>
                  <w:tcW w:w="1166" w:type="dxa"/>
                  <w:shd w:val="clear" w:color="auto" w:fill="auto"/>
                  <w:noWrap w:val="0"/>
                  <w:vAlign w:val="center"/>
                </w:tcPr>
                <w:p w14:paraId="248F4F5C">
                  <w:pPr>
                    <w:snapToGrid w:val="0"/>
                    <w:spacing w:before="31" w:beforeLines="10" w:after="31" w:afterLines="10"/>
                    <w:jc w:val="center"/>
                    <w:rPr>
                      <w:rFonts w:hint="eastAsia"/>
                      <w:color w:val="000000"/>
                      <w:kern w:val="2"/>
                      <w:sz w:val="21"/>
                      <w:szCs w:val="21"/>
                      <w:lang w:val="en-US" w:eastAsia="zh-CN" w:bidi="ar-SA"/>
                    </w:rPr>
                  </w:pPr>
                  <w:r>
                    <w:rPr>
                      <w:rFonts w:hint="eastAsia"/>
                      <w:color w:val="000000"/>
                      <w:szCs w:val="21"/>
                    </w:rPr>
                    <w:t>塑料制品业292</w:t>
                  </w:r>
                </w:p>
              </w:tc>
              <w:tc>
                <w:tcPr>
                  <w:tcW w:w="1213" w:type="dxa"/>
                  <w:shd w:val="clear" w:color="auto" w:fill="auto"/>
                  <w:noWrap w:val="0"/>
                  <w:vAlign w:val="center"/>
                </w:tcPr>
                <w:p w14:paraId="547A3B5E">
                  <w:pPr>
                    <w:snapToGrid w:val="0"/>
                    <w:spacing w:before="31" w:beforeLines="10" w:after="31" w:afterLines="10"/>
                    <w:jc w:val="center"/>
                    <w:rPr>
                      <w:rFonts w:hint="eastAsia"/>
                      <w:color w:val="000000"/>
                      <w:kern w:val="2"/>
                      <w:sz w:val="21"/>
                      <w:szCs w:val="21"/>
                      <w:lang w:val="en-US" w:eastAsia="zh-CN" w:bidi="ar-SA"/>
                    </w:rPr>
                  </w:pPr>
                  <w:r>
                    <w:rPr>
                      <w:rFonts w:hint="eastAsia"/>
                      <w:color w:val="000000"/>
                      <w:szCs w:val="21"/>
                      <w:lang w:val="en-US" w:eastAsia="zh-CN"/>
                    </w:rPr>
                    <w:t>塑</w:t>
                  </w:r>
                  <w:r>
                    <w:rPr>
                      <w:rFonts w:hint="eastAsia"/>
                      <w:color w:val="000000"/>
                      <w:szCs w:val="21"/>
                    </w:rPr>
                    <w:t>料人造革、合成革制造2925</w:t>
                  </w:r>
                </w:p>
              </w:tc>
              <w:tc>
                <w:tcPr>
                  <w:tcW w:w="4712" w:type="dxa"/>
                  <w:shd w:val="clear" w:color="auto" w:fill="auto"/>
                  <w:noWrap w:val="0"/>
                  <w:vAlign w:val="center"/>
                </w:tcPr>
                <w:p w14:paraId="4D973A1B">
                  <w:pPr>
                    <w:snapToGrid w:val="0"/>
                    <w:spacing w:before="31" w:beforeLines="10" w:after="31" w:afterLines="10"/>
                    <w:jc w:val="center"/>
                    <w:rPr>
                      <w:rFonts w:hint="eastAsia"/>
                      <w:color w:val="000000"/>
                      <w:kern w:val="2"/>
                      <w:sz w:val="21"/>
                      <w:szCs w:val="21"/>
                      <w:lang w:val="en-US" w:eastAsia="zh-CN" w:bidi="ar-SA"/>
                    </w:rPr>
                  </w:pPr>
                  <w:r>
                    <w:rPr>
                      <w:rFonts w:hint="eastAsia"/>
                      <w:color w:val="000000"/>
                      <w:szCs w:val="21"/>
                      <w:lang w:val="en-US" w:eastAsia="zh-CN"/>
                    </w:rPr>
                    <w:t>年</w:t>
                  </w:r>
                  <w:r>
                    <w:rPr>
                      <w:rFonts w:hint="eastAsia"/>
                      <w:color w:val="000000"/>
                      <w:szCs w:val="21"/>
                    </w:rPr>
                    <w:t>产1万吨及以上的泡沫塑料制造2924，年产1万吨及以上涉及改性的塑料薄膜制造2921、塑料板、管、型材制造2922、塑料丝、绳和编织品制造2923、塑料包装箱及容器制造2926、日用塑料品制造2927、人造草坪制造2928、塑料零件及其他塑料制品制造2929</w:t>
                  </w:r>
                </w:p>
              </w:tc>
              <w:tc>
                <w:tcPr>
                  <w:tcW w:w="1091" w:type="dxa"/>
                  <w:shd w:val="clear" w:color="auto" w:fill="D7D7D7"/>
                  <w:noWrap w:val="0"/>
                  <w:vAlign w:val="center"/>
                </w:tcPr>
                <w:p w14:paraId="77C8288D">
                  <w:pPr>
                    <w:snapToGrid w:val="0"/>
                    <w:spacing w:before="31" w:beforeLines="10" w:after="31" w:afterLines="10"/>
                    <w:jc w:val="center"/>
                    <w:rPr>
                      <w:rFonts w:hint="eastAsia"/>
                      <w:color w:val="000000"/>
                      <w:kern w:val="2"/>
                      <w:sz w:val="21"/>
                      <w:szCs w:val="21"/>
                      <w:lang w:val="en-US" w:eastAsia="zh-CN" w:bidi="ar-SA"/>
                    </w:rPr>
                  </w:pPr>
                  <w:r>
                    <w:rPr>
                      <w:rFonts w:hint="eastAsia"/>
                      <w:color w:val="000000"/>
                      <w:szCs w:val="21"/>
                    </w:rPr>
                    <w:t>其他</w:t>
                  </w:r>
                </w:p>
              </w:tc>
            </w:tr>
          </w:tbl>
          <w:p w14:paraId="5B2EA91D">
            <w:pPr>
              <w:spacing w:line="360" w:lineRule="auto"/>
              <w:ind w:firstLine="480" w:firstLineChars="200"/>
              <w:rPr>
                <w:rFonts w:hint="eastAsia"/>
                <w:color w:val="000000"/>
                <w:sz w:val="24"/>
              </w:rPr>
            </w:pPr>
            <w:r>
              <w:rPr>
                <w:rFonts w:hint="eastAsia"/>
                <w:color w:val="000000"/>
                <w:sz w:val="24"/>
              </w:rPr>
              <w:t>本项目排污许可实行</w:t>
            </w:r>
            <w:r>
              <w:rPr>
                <w:rFonts w:hint="eastAsia"/>
                <w:color w:val="000000"/>
                <w:sz w:val="24"/>
                <w:lang w:val="en-US" w:eastAsia="zh-CN"/>
              </w:rPr>
              <w:t>登记</w:t>
            </w:r>
            <w:r>
              <w:rPr>
                <w:rFonts w:hint="eastAsia"/>
                <w:color w:val="000000"/>
                <w:sz w:val="24"/>
              </w:rPr>
              <w:t>管理</w:t>
            </w:r>
            <w:r>
              <w:rPr>
                <w:rFonts w:hint="eastAsia"/>
                <w:color w:val="000000"/>
                <w:sz w:val="24"/>
                <w:lang w:eastAsia="zh-CN"/>
              </w:rPr>
              <w:t>，</w:t>
            </w:r>
            <w:r>
              <w:rPr>
                <w:rFonts w:hint="eastAsia"/>
                <w:color w:val="000000"/>
                <w:sz w:val="24"/>
              </w:rPr>
              <w:t>建设单位应按照《排污许可管理条例》（国务院令第736号）的相关要求进行排污许可</w:t>
            </w:r>
            <w:r>
              <w:rPr>
                <w:rFonts w:hint="eastAsia"/>
                <w:color w:val="000000"/>
                <w:sz w:val="24"/>
                <w:lang w:val="en-US" w:eastAsia="zh-CN"/>
              </w:rPr>
              <w:t>登记</w:t>
            </w:r>
            <w:r>
              <w:rPr>
                <w:rFonts w:hint="eastAsia"/>
                <w:color w:val="000000"/>
                <w:sz w:val="24"/>
              </w:rPr>
              <w:t>。</w:t>
            </w:r>
          </w:p>
          <w:p w14:paraId="0912F893">
            <w:pPr>
              <w:spacing w:line="360" w:lineRule="auto"/>
              <w:rPr>
                <w:rFonts w:hint="default" w:eastAsia="宋体"/>
                <w:b/>
                <w:bCs/>
                <w:color w:val="000000"/>
                <w:sz w:val="24"/>
                <w:lang w:val="en-US" w:eastAsia="zh-CN"/>
              </w:rPr>
            </w:pPr>
            <w:r>
              <w:rPr>
                <w:rFonts w:hint="eastAsia"/>
                <w:b/>
                <w:bCs/>
                <w:color w:val="000000"/>
                <w:sz w:val="24"/>
                <w:lang w:val="en-US" w:eastAsia="zh-CN"/>
              </w:rPr>
              <w:t>8</w:t>
            </w:r>
            <w:r>
              <w:rPr>
                <w:b/>
                <w:bCs/>
                <w:color w:val="000000"/>
                <w:sz w:val="24"/>
              </w:rPr>
              <w:t>.</w:t>
            </w:r>
            <w:r>
              <w:rPr>
                <w:rFonts w:hint="eastAsia"/>
                <w:b/>
                <w:bCs/>
                <w:color w:val="000000"/>
                <w:sz w:val="24"/>
              </w:rPr>
              <w:t xml:space="preserve"> </w:t>
            </w:r>
            <w:r>
              <w:rPr>
                <w:rFonts w:hint="eastAsia"/>
                <w:b/>
                <w:bCs/>
                <w:color w:val="000000"/>
                <w:sz w:val="24"/>
                <w:lang w:val="en-US" w:eastAsia="zh-CN"/>
              </w:rPr>
              <w:t>自行监测计划</w:t>
            </w:r>
          </w:p>
          <w:p w14:paraId="2D34B2C8">
            <w:pPr>
              <w:adjustRightInd w:val="0"/>
              <w:spacing w:line="360" w:lineRule="auto"/>
              <w:ind w:firstLine="480" w:firstLineChars="200"/>
              <w:rPr>
                <w:rFonts w:hint="eastAsia"/>
                <w:color w:val="000000"/>
                <w:sz w:val="24"/>
              </w:rPr>
            </w:pPr>
            <w:r>
              <w:rPr>
                <w:rFonts w:hint="eastAsia"/>
                <w:color w:val="000000"/>
                <w:sz w:val="24"/>
                <w:lang w:val="en-US" w:eastAsia="zh-CN"/>
              </w:rPr>
              <w:t>参考</w:t>
            </w:r>
            <w:r>
              <w:rPr>
                <w:rFonts w:hint="default" w:ascii="Times New Roman" w:hAnsi="Times New Roman" w:eastAsia="宋体" w:cs="Times New Roman"/>
                <w:color w:val="000000"/>
                <w:sz w:val="24"/>
                <w:lang w:val="en-US" w:eastAsia="zh-CN"/>
              </w:rPr>
              <w:t>《排污单位自行监测技术指南</w:t>
            </w:r>
            <w:r>
              <w:rPr>
                <w:rFonts w:hint="eastAsia" w:ascii="Times New Roman" w:hAnsi="Times New Roman" w:eastAsia="宋体" w:cs="Times New Roman"/>
                <w:color w:val="000000"/>
                <w:sz w:val="24"/>
                <w:lang w:val="en-US" w:eastAsia="zh-CN"/>
              </w:rPr>
              <w:t xml:space="preserve"> </w:t>
            </w:r>
            <w:r>
              <w:rPr>
                <w:rFonts w:hint="default" w:ascii="Times New Roman" w:hAnsi="Times New Roman" w:eastAsia="宋体" w:cs="Times New Roman"/>
                <w:color w:val="000000"/>
                <w:sz w:val="24"/>
                <w:lang w:val="en-US" w:eastAsia="zh-CN"/>
              </w:rPr>
              <w:t>橡胶和塑料制品》（HJ1207-2021）</w:t>
            </w:r>
            <w:r>
              <w:rPr>
                <w:rFonts w:hint="eastAsia"/>
                <w:color w:val="000000"/>
                <w:sz w:val="24"/>
              </w:rPr>
              <w:t>，</w:t>
            </w:r>
            <w:r>
              <w:rPr>
                <w:rFonts w:hint="eastAsia"/>
                <w:bCs/>
                <w:color w:val="000000"/>
                <w:sz w:val="24"/>
              </w:rPr>
              <w:t>结合本项目运行期产污特征、项目工程周围环境实际情况，制定出本项目运行期废气监测计划，详见下表。</w:t>
            </w:r>
          </w:p>
          <w:p w14:paraId="0C36E888">
            <w:pPr>
              <w:snapToGrid w:val="0"/>
              <w:spacing w:before="156" w:beforeLines="50"/>
              <w:jc w:val="center"/>
              <w:rPr>
                <w:rFonts w:ascii="黑体" w:hAnsi="黑体" w:eastAsia="黑体"/>
                <w:color w:val="000000"/>
                <w:sz w:val="24"/>
              </w:rPr>
            </w:pPr>
            <w:r>
              <w:rPr>
                <w:rFonts w:ascii="黑体" w:hAnsi="黑体" w:eastAsia="黑体"/>
                <w:color w:val="000000"/>
                <w:sz w:val="24"/>
              </w:rPr>
              <w:t>表</w:t>
            </w:r>
            <w:r>
              <w:rPr>
                <w:rFonts w:hint="eastAsia" w:ascii="黑体" w:hAnsi="黑体" w:eastAsia="黑体"/>
                <w:color w:val="000000"/>
                <w:sz w:val="24"/>
                <w:lang w:val="en-US" w:eastAsia="zh-CN"/>
              </w:rPr>
              <w:t>36</w:t>
            </w:r>
            <w:r>
              <w:rPr>
                <w:rFonts w:ascii="黑体" w:hAnsi="黑体" w:eastAsia="黑体"/>
                <w:color w:val="000000"/>
                <w:sz w:val="24"/>
              </w:rPr>
              <w:t xml:space="preserve">    废气自行监测方案</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342"/>
              <w:gridCol w:w="761"/>
              <w:gridCol w:w="887"/>
              <w:gridCol w:w="887"/>
              <w:gridCol w:w="4189"/>
              <w:gridCol w:w="1113"/>
            </w:tblGrid>
            <w:tr w14:paraId="588EBE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209" w:type="pct"/>
                  <w:tcBorders>
                    <w:top w:val="single" w:color="auto" w:sz="4" w:space="0"/>
                    <w:left w:val="single" w:color="auto" w:sz="4" w:space="0"/>
                    <w:bottom w:val="single" w:color="auto" w:sz="6" w:space="0"/>
                    <w:right w:val="single" w:color="auto" w:sz="6" w:space="0"/>
                  </w:tcBorders>
                  <w:noWrap w:val="0"/>
                  <w:vAlign w:val="center"/>
                </w:tcPr>
                <w:p w14:paraId="02468F02">
                  <w:pPr>
                    <w:widowControl/>
                    <w:jc w:val="center"/>
                    <w:rPr>
                      <w:rFonts w:hint="eastAsia" w:eastAsia="宋体"/>
                      <w:color w:val="000000"/>
                      <w:szCs w:val="21"/>
                      <w:lang w:val="en-US" w:eastAsia="zh-CN"/>
                    </w:rPr>
                  </w:pPr>
                  <w:r>
                    <w:rPr>
                      <w:rFonts w:hint="eastAsia"/>
                      <w:color w:val="000000"/>
                      <w:szCs w:val="21"/>
                      <w:lang w:val="en-US" w:eastAsia="zh-CN"/>
                    </w:rPr>
                    <w:t>项目</w:t>
                  </w:r>
                </w:p>
              </w:tc>
              <w:tc>
                <w:tcPr>
                  <w:tcW w:w="465" w:type="pct"/>
                  <w:tcBorders>
                    <w:top w:val="single" w:color="auto" w:sz="4" w:space="0"/>
                    <w:left w:val="single" w:color="auto" w:sz="4" w:space="0"/>
                    <w:bottom w:val="single" w:color="auto" w:sz="6" w:space="0"/>
                    <w:right w:val="single" w:color="auto" w:sz="6" w:space="0"/>
                  </w:tcBorders>
                  <w:noWrap w:val="0"/>
                  <w:vAlign w:val="center"/>
                </w:tcPr>
                <w:p w14:paraId="6B3DE709">
                  <w:pPr>
                    <w:widowControl/>
                    <w:jc w:val="center"/>
                    <w:rPr>
                      <w:color w:val="000000"/>
                      <w:szCs w:val="21"/>
                    </w:rPr>
                  </w:pPr>
                  <w:r>
                    <w:rPr>
                      <w:color w:val="000000"/>
                      <w:szCs w:val="21"/>
                    </w:rPr>
                    <w:t>监测</w:t>
                  </w:r>
                </w:p>
                <w:p w14:paraId="48573822">
                  <w:pPr>
                    <w:widowControl/>
                    <w:jc w:val="center"/>
                    <w:rPr>
                      <w:color w:val="000000"/>
                      <w:szCs w:val="21"/>
                    </w:rPr>
                  </w:pPr>
                  <w:r>
                    <w:rPr>
                      <w:color w:val="000000"/>
                      <w:szCs w:val="21"/>
                    </w:rPr>
                    <w:t>点位</w:t>
                  </w:r>
                </w:p>
              </w:tc>
              <w:tc>
                <w:tcPr>
                  <w:tcW w:w="542" w:type="pct"/>
                  <w:tcBorders>
                    <w:top w:val="single" w:color="auto" w:sz="4" w:space="0"/>
                    <w:left w:val="single" w:color="auto" w:sz="6" w:space="0"/>
                    <w:bottom w:val="single" w:color="auto" w:sz="6" w:space="0"/>
                    <w:right w:val="single" w:color="auto" w:sz="6" w:space="0"/>
                  </w:tcBorders>
                  <w:noWrap w:val="0"/>
                  <w:vAlign w:val="center"/>
                </w:tcPr>
                <w:p w14:paraId="2A4639A1">
                  <w:pPr>
                    <w:widowControl/>
                    <w:jc w:val="center"/>
                    <w:rPr>
                      <w:color w:val="000000"/>
                      <w:szCs w:val="21"/>
                    </w:rPr>
                  </w:pPr>
                  <w:r>
                    <w:rPr>
                      <w:color w:val="000000"/>
                      <w:szCs w:val="21"/>
                    </w:rPr>
                    <w:t>监测</w:t>
                  </w:r>
                </w:p>
                <w:p w14:paraId="18E35EBD">
                  <w:pPr>
                    <w:widowControl/>
                    <w:jc w:val="center"/>
                    <w:rPr>
                      <w:rFonts w:hint="eastAsia"/>
                      <w:color w:val="000000"/>
                      <w:szCs w:val="21"/>
                    </w:rPr>
                  </w:pPr>
                  <w:r>
                    <w:rPr>
                      <w:rFonts w:hint="eastAsia"/>
                      <w:color w:val="000000"/>
                      <w:szCs w:val="21"/>
                    </w:rPr>
                    <w:t>因子</w:t>
                  </w:r>
                </w:p>
              </w:tc>
              <w:tc>
                <w:tcPr>
                  <w:tcW w:w="542" w:type="pct"/>
                  <w:tcBorders>
                    <w:top w:val="single" w:color="auto" w:sz="4" w:space="0"/>
                    <w:left w:val="single" w:color="auto" w:sz="6" w:space="0"/>
                    <w:bottom w:val="single" w:color="auto" w:sz="6" w:space="0"/>
                    <w:right w:val="single" w:color="auto" w:sz="6" w:space="0"/>
                  </w:tcBorders>
                  <w:noWrap w:val="0"/>
                  <w:vAlign w:val="center"/>
                </w:tcPr>
                <w:p w14:paraId="337E9BC2">
                  <w:pPr>
                    <w:widowControl/>
                    <w:jc w:val="center"/>
                    <w:rPr>
                      <w:color w:val="000000"/>
                      <w:szCs w:val="21"/>
                    </w:rPr>
                  </w:pPr>
                  <w:r>
                    <w:rPr>
                      <w:color w:val="000000"/>
                      <w:szCs w:val="21"/>
                    </w:rPr>
                    <w:t>监测频次</w:t>
                  </w:r>
                </w:p>
              </w:tc>
              <w:tc>
                <w:tcPr>
                  <w:tcW w:w="2560" w:type="pct"/>
                  <w:tcBorders>
                    <w:top w:val="single" w:color="auto" w:sz="4" w:space="0"/>
                    <w:left w:val="single" w:color="auto" w:sz="6" w:space="0"/>
                    <w:bottom w:val="single" w:color="auto" w:sz="6" w:space="0"/>
                    <w:right w:val="single" w:color="auto" w:sz="4" w:space="0"/>
                  </w:tcBorders>
                  <w:noWrap w:val="0"/>
                  <w:vAlign w:val="center"/>
                </w:tcPr>
                <w:p w14:paraId="39BAD186">
                  <w:pPr>
                    <w:widowControl/>
                    <w:jc w:val="center"/>
                    <w:rPr>
                      <w:color w:val="000000"/>
                      <w:szCs w:val="21"/>
                    </w:rPr>
                  </w:pPr>
                  <w:r>
                    <w:rPr>
                      <w:color w:val="000000"/>
                      <w:szCs w:val="21"/>
                    </w:rPr>
                    <w:t>执行排放标准</w:t>
                  </w:r>
                </w:p>
              </w:tc>
              <w:tc>
                <w:tcPr>
                  <w:tcW w:w="680" w:type="pct"/>
                  <w:tcBorders>
                    <w:top w:val="single" w:color="auto" w:sz="4" w:space="0"/>
                    <w:left w:val="single" w:color="auto" w:sz="6" w:space="0"/>
                    <w:bottom w:val="single" w:color="auto" w:sz="6" w:space="0"/>
                    <w:right w:val="single" w:color="auto" w:sz="4" w:space="0"/>
                  </w:tcBorders>
                  <w:noWrap w:val="0"/>
                  <w:vAlign w:val="center"/>
                </w:tcPr>
                <w:p w14:paraId="57398653">
                  <w:pPr>
                    <w:widowControl/>
                    <w:jc w:val="center"/>
                    <w:rPr>
                      <w:rFonts w:hint="eastAsia" w:eastAsia="宋体"/>
                      <w:color w:val="000000"/>
                      <w:szCs w:val="21"/>
                      <w:lang w:val="en-US" w:eastAsia="zh-CN"/>
                    </w:rPr>
                  </w:pPr>
                  <w:r>
                    <w:rPr>
                      <w:rFonts w:hint="eastAsia"/>
                      <w:color w:val="000000"/>
                      <w:szCs w:val="21"/>
                      <w:lang w:val="en-US" w:eastAsia="zh-CN"/>
                    </w:rPr>
                    <w:t>备注</w:t>
                  </w:r>
                </w:p>
              </w:tc>
            </w:tr>
            <w:tr w14:paraId="5E22FD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1515" w:hRule="atLeast"/>
                <w:jc w:val="center"/>
              </w:trPr>
              <w:tc>
                <w:tcPr>
                  <w:tcW w:w="209" w:type="pct"/>
                  <w:vMerge w:val="restart"/>
                  <w:tcBorders>
                    <w:top w:val="single" w:color="auto" w:sz="6" w:space="0"/>
                    <w:left w:val="single" w:color="auto" w:sz="4" w:space="0"/>
                    <w:right w:val="single" w:color="auto" w:sz="6" w:space="0"/>
                  </w:tcBorders>
                  <w:noWrap w:val="0"/>
                  <w:vAlign w:val="center"/>
                </w:tcPr>
                <w:p w14:paraId="618DE2AB">
                  <w:pPr>
                    <w:jc w:val="center"/>
                    <w:rPr>
                      <w:rFonts w:hint="eastAsia" w:eastAsia="宋体"/>
                      <w:color w:val="000000"/>
                      <w:szCs w:val="21"/>
                      <w:lang w:val="en-US" w:eastAsia="zh-CN"/>
                    </w:rPr>
                  </w:pPr>
                  <w:r>
                    <w:rPr>
                      <w:rFonts w:hint="eastAsia"/>
                      <w:color w:val="000000"/>
                      <w:szCs w:val="21"/>
                      <w:lang w:val="en-US" w:eastAsia="zh-CN"/>
                    </w:rPr>
                    <w:t>废气</w:t>
                  </w:r>
                </w:p>
              </w:tc>
              <w:tc>
                <w:tcPr>
                  <w:tcW w:w="465" w:type="pct"/>
                  <w:vMerge w:val="restart"/>
                  <w:tcBorders>
                    <w:top w:val="single" w:color="auto" w:sz="6" w:space="0"/>
                    <w:left w:val="single" w:color="auto" w:sz="4" w:space="0"/>
                    <w:right w:val="single" w:color="auto" w:sz="6" w:space="0"/>
                  </w:tcBorders>
                  <w:noWrap w:val="0"/>
                  <w:vAlign w:val="center"/>
                </w:tcPr>
                <w:p w14:paraId="518C0CF4">
                  <w:pPr>
                    <w:jc w:val="center"/>
                    <w:rPr>
                      <w:color w:val="000000"/>
                      <w:szCs w:val="21"/>
                    </w:rPr>
                  </w:pPr>
                  <w:r>
                    <w:rPr>
                      <w:rFonts w:hint="eastAsia"/>
                      <w:color w:val="000000"/>
                      <w:szCs w:val="21"/>
                    </w:rPr>
                    <w:t>DA001排气筒</w:t>
                  </w:r>
                </w:p>
              </w:tc>
              <w:tc>
                <w:tcPr>
                  <w:tcW w:w="542" w:type="pct"/>
                  <w:tcBorders>
                    <w:top w:val="single" w:color="auto" w:sz="6" w:space="0"/>
                    <w:left w:val="single" w:color="auto" w:sz="6" w:space="0"/>
                    <w:right w:val="single" w:color="auto" w:sz="6" w:space="0"/>
                  </w:tcBorders>
                  <w:noWrap w:val="0"/>
                  <w:vAlign w:val="center"/>
                </w:tcPr>
                <w:p w14:paraId="54A4ACD7">
                  <w:pPr>
                    <w:jc w:val="center"/>
                    <w:rPr>
                      <w:color w:val="000000"/>
                      <w:szCs w:val="21"/>
                    </w:rPr>
                  </w:pPr>
                  <w:r>
                    <w:rPr>
                      <w:rFonts w:hint="eastAsia"/>
                      <w:color w:val="000000"/>
                      <w:szCs w:val="21"/>
                    </w:rPr>
                    <w:t>非甲烷总烃</w:t>
                  </w:r>
                </w:p>
              </w:tc>
              <w:tc>
                <w:tcPr>
                  <w:tcW w:w="542" w:type="pct"/>
                  <w:tcBorders>
                    <w:top w:val="single" w:color="auto" w:sz="6" w:space="0"/>
                    <w:left w:val="single" w:color="auto" w:sz="6" w:space="0"/>
                    <w:right w:val="single" w:color="auto" w:sz="6" w:space="0"/>
                  </w:tcBorders>
                  <w:noWrap w:val="0"/>
                  <w:vAlign w:val="center"/>
                </w:tcPr>
                <w:p w14:paraId="18F60EBB">
                  <w:pPr>
                    <w:jc w:val="center"/>
                    <w:rPr>
                      <w:color w:val="000000"/>
                      <w:szCs w:val="21"/>
                    </w:rPr>
                  </w:pPr>
                  <w:r>
                    <w:rPr>
                      <w:color w:val="000000"/>
                      <w:szCs w:val="21"/>
                    </w:rPr>
                    <w:t>1次/</w:t>
                  </w:r>
                  <w:r>
                    <w:rPr>
                      <w:rFonts w:hint="eastAsia"/>
                      <w:color w:val="000000"/>
                      <w:szCs w:val="21"/>
                      <w:lang w:val="en-US" w:eastAsia="zh-CN"/>
                    </w:rPr>
                    <w:t>半</w:t>
                  </w:r>
                  <w:r>
                    <w:rPr>
                      <w:color w:val="000000"/>
                      <w:szCs w:val="21"/>
                    </w:rPr>
                    <w:t>年</w:t>
                  </w:r>
                </w:p>
              </w:tc>
              <w:tc>
                <w:tcPr>
                  <w:tcW w:w="2560" w:type="pct"/>
                  <w:tcBorders>
                    <w:top w:val="single" w:color="auto" w:sz="6" w:space="0"/>
                    <w:left w:val="single" w:color="auto" w:sz="6" w:space="0"/>
                    <w:right w:val="single" w:color="auto" w:sz="4" w:space="0"/>
                  </w:tcBorders>
                  <w:noWrap w:val="0"/>
                  <w:vAlign w:val="center"/>
                </w:tcPr>
                <w:p w14:paraId="1662CA92">
                  <w:pPr>
                    <w:jc w:val="center"/>
                    <w:rPr>
                      <w:rFonts w:hint="eastAsia"/>
                      <w:color w:val="000000"/>
                      <w:szCs w:val="21"/>
                    </w:rPr>
                  </w:pPr>
                  <w:r>
                    <w:rPr>
                      <w:rFonts w:hint="eastAsia"/>
                      <w:color w:val="000000"/>
                      <w:szCs w:val="21"/>
                    </w:rPr>
                    <w:t>《大气污染物综合排放标准》（GB16297-1996）、《关于全省开展工业企业挥发性有机物专项治理工作中排放建议值的通知》（豫环攻坚办</w:t>
                  </w:r>
                  <w:r>
                    <w:rPr>
                      <w:rFonts w:hint="eastAsia"/>
                      <w:color w:val="000000"/>
                      <w:szCs w:val="21"/>
                      <w:lang w:eastAsia="zh-CN"/>
                    </w:rPr>
                    <w:t>〔2017〕162号</w:t>
                  </w:r>
                  <w:r>
                    <w:rPr>
                      <w:rFonts w:hint="eastAsia"/>
                      <w:color w:val="000000"/>
                      <w:szCs w:val="21"/>
                    </w:rPr>
                    <w:t>）</w:t>
                  </w:r>
                  <w:r>
                    <w:rPr>
                      <w:rFonts w:hint="eastAsia"/>
                      <w:color w:val="000000"/>
                      <w:szCs w:val="21"/>
                      <w:lang w:eastAsia="zh-CN"/>
                    </w:rPr>
                    <w:t>、</w:t>
                  </w:r>
                  <w:r>
                    <w:rPr>
                      <w:rFonts w:hint="eastAsia"/>
                      <w:color w:val="000000"/>
                      <w:szCs w:val="21"/>
                    </w:rPr>
                    <w:t>《</w:t>
                  </w:r>
                  <w:r>
                    <w:rPr>
                      <w:rFonts w:hint="eastAsia"/>
                      <w:color w:val="000000"/>
                      <w:szCs w:val="21"/>
                      <w:lang w:val="en-US" w:eastAsia="zh-CN"/>
                    </w:rPr>
                    <w:t>河南省</w:t>
                  </w:r>
                  <w:r>
                    <w:rPr>
                      <w:rFonts w:hint="eastAsia"/>
                      <w:color w:val="000000"/>
                      <w:szCs w:val="21"/>
                    </w:rPr>
                    <w:t>重污染天气重点行业</w:t>
                  </w:r>
                  <w:r>
                    <w:rPr>
                      <w:rFonts w:hint="eastAsia"/>
                      <w:color w:val="000000"/>
                      <w:szCs w:val="21"/>
                      <w:lang w:val="en-US" w:eastAsia="zh-CN"/>
                    </w:rPr>
                    <w:t>应急减排措施制定技术指南</w:t>
                  </w:r>
                  <w:r>
                    <w:rPr>
                      <w:rFonts w:hint="eastAsia"/>
                      <w:color w:val="000000"/>
                      <w:szCs w:val="21"/>
                    </w:rPr>
                    <w:t>》（202</w:t>
                  </w:r>
                  <w:r>
                    <w:rPr>
                      <w:rFonts w:hint="eastAsia"/>
                      <w:color w:val="000000"/>
                      <w:szCs w:val="21"/>
                      <w:lang w:val="en-US" w:eastAsia="zh-CN"/>
                    </w:rPr>
                    <w:t>4</w:t>
                  </w:r>
                  <w:r>
                    <w:rPr>
                      <w:rFonts w:hint="eastAsia"/>
                      <w:color w:val="000000"/>
                      <w:szCs w:val="21"/>
                    </w:rPr>
                    <w:t>年修订版）</w:t>
                  </w:r>
                  <w:r>
                    <w:rPr>
                      <w:rFonts w:hint="eastAsia"/>
                      <w:color w:val="000000"/>
                      <w:szCs w:val="21"/>
                      <w:lang w:val="en-US" w:eastAsia="zh-CN"/>
                    </w:rPr>
                    <w:t>塑料制品A企业差异化指标</w:t>
                  </w:r>
                </w:p>
              </w:tc>
              <w:tc>
                <w:tcPr>
                  <w:tcW w:w="680" w:type="pct"/>
                  <w:vMerge w:val="restart"/>
                  <w:tcBorders>
                    <w:top w:val="single" w:color="auto" w:sz="6" w:space="0"/>
                    <w:left w:val="single" w:color="auto" w:sz="6" w:space="0"/>
                    <w:right w:val="single" w:color="auto" w:sz="4" w:space="0"/>
                  </w:tcBorders>
                  <w:noWrap w:val="0"/>
                  <w:vAlign w:val="center"/>
                </w:tcPr>
                <w:p w14:paraId="3B9D5170">
                  <w:pPr>
                    <w:jc w:val="center"/>
                    <w:rPr>
                      <w:rFonts w:hint="eastAsia" w:eastAsia="宋体"/>
                      <w:color w:val="000000"/>
                      <w:szCs w:val="21"/>
                      <w:lang w:val="en-US" w:eastAsia="zh-CN"/>
                    </w:rPr>
                  </w:pPr>
                  <w:r>
                    <w:rPr>
                      <w:rFonts w:hint="eastAsia"/>
                      <w:color w:val="000000"/>
                      <w:szCs w:val="21"/>
                      <w:lang w:val="en-US" w:eastAsia="zh-CN"/>
                    </w:rPr>
                    <w:t>/</w:t>
                  </w:r>
                </w:p>
              </w:tc>
            </w:tr>
            <w:tr w14:paraId="583A6B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209" w:type="pct"/>
                  <w:vMerge w:val="continue"/>
                  <w:tcBorders>
                    <w:left w:val="single" w:color="auto" w:sz="4" w:space="0"/>
                    <w:right w:val="single" w:color="auto" w:sz="6" w:space="0"/>
                  </w:tcBorders>
                  <w:noWrap w:val="0"/>
                  <w:vAlign w:val="center"/>
                </w:tcPr>
                <w:p w14:paraId="1CF4E053">
                  <w:pPr>
                    <w:jc w:val="center"/>
                    <w:rPr>
                      <w:rFonts w:hint="eastAsia"/>
                      <w:color w:val="000000"/>
                      <w:szCs w:val="21"/>
                      <w:lang w:val="en-US" w:eastAsia="zh-CN"/>
                    </w:rPr>
                  </w:pPr>
                </w:p>
              </w:tc>
              <w:tc>
                <w:tcPr>
                  <w:tcW w:w="465" w:type="pct"/>
                  <w:vMerge w:val="continue"/>
                  <w:tcBorders>
                    <w:left w:val="single" w:color="auto" w:sz="4" w:space="0"/>
                    <w:right w:val="single" w:color="auto" w:sz="6" w:space="0"/>
                  </w:tcBorders>
                  <w:noWrap w:val="0"/>
                  <w:vAlign w:val="center"/>
                </w:tcPr>
                <w:p w14:paraId="631DEC1E">
                  <w:pPr>
                    <w:jc w:val="center"/>
                    <w:rPr>
                      <w:rFonts w:hint="eastAsia"/>
                      <w:color w:val="000000"/>
                      <w:szCs w:val="21"/>
                    </w:rPr>
                  </w:pPr>
                </w:p>
              </w:tc>
              <w:tc>
                <w:tcPr>
                  <w:tcW w:w="542" w:type="pct"/>
                  <w:tcBorders>
                    <w:top w:val="single" w:color="auto" w:sz="6" w:space="0"/>
                    <w:left w:val="single" w:color="auto" w:sz="6" w:space="0"/>
                    <w:right w:val="single" w:color="auto" w:sz="6" w:space="0"/>
                  </w:tcBorders>
                  <w:noWrap w:val="0"/>
                  <w:vAlign w:val="center"/>
                </w:tcPr>
                <w:p w14:paraId="16CD70D2">
                  <w:pPr>
                    <w:jc w:val="center"/>
                    <w:rPr>
                      <w:rFonts w:hint="eastAsia" w:eastAsia="宋体"/>
                      <w:color w:val="000000"/>
                      <w:szCs w:val="21"/>
                      <w:lang w:val="en-US" w:eastAsia="zh-CN"/>
                    </w:rPr>
                  </w:pPr>
                  <w:r>
                    <w:rPr>
                      <w:rFonts w:hint="eastAsia"/>
                      <w:color w:val="000000"/>
                      <w:szCs w:val="21"/>
                      <w:lang w:val="en-US" w:eastAsia="zh-CN"/>
                    </w:rPr>
                    <w:t>氯化氢</w:t>
                  </w:r>
                </w:p>
              </w:tc>
              <w:tc>
                <w:tcPr>
                  <w:tcW w:w="542" w:type="pct"/>
                  <w:tcBorders>
                    <w:top w:val="single" w:color="auto" w:sz="6" w:space="0"/>
                    <w:left w:val="single" w:color="auto" w:sz="6" w:space="0"/>
                    <w:right w:val="single" w:color="auto" w:sz="6" w:space="0"/>
                  </w:tcBorders>
                  <w:noWrap w:val="0"/>
                  <w:vAlign w:val="center"/>
                </w:tcPr>
                <w:p w14:paraId="752F9208">
                  <w:pPr>
                    <w:jc w:val="center"/>
                    <w:rPr>
                      <w:color w:val="000000"/>
                      <w:szCs w:val="21"/>
                    </w:rPr>
                  </w:pPr>
                  <w:r>
                    <w:rPr>
                      <w:color w:val="000000"/>
                      <w:szCs w:val="21"/>
                    </w:rPr>
                    <w:t>1次/</w:t>
                  </w:r>
                  <w:r>
                    <w:rPr>
                      <w:rFonts w:hint="eastAsia"/>
                      <w:color w:val="000000"/>
                      <w:szCs w:val="21"/>
                      <w:lang w:val="en-US" w:eastAsia="zh-CN"/>
                    </w:rPr>
                    <w:t>半</w:t>
                  </w:r>
                  <w:r>
                    <w:rPr>
                      <w:color w:val="000000"/>
                      <w:szCs w:val="21"/>
                    </w:rPr>
                    <w:t>年</w:t>
                  </w:r>
                </w:p>
              </w:tc>
              <w:tc>
                <w:tcPr>
                  <w:tcW w:w="2560" w:type="pct"/>
                  <w:tcBorders>
                    <w:left w:val="single" w:color="auto" w:sz="6" w:space="0"/>
                    <w:right w:val="single" w:color="auto" w:sz="4" w:space="0"/>
                  </w:tcBorders>
                  <w:noWrap w:val="0"/>
                  <w:vAlign w:val="center"/>
                </w:tcPr>
                <w:p w14:paraId="423270E9">
                  <w:pPr>
                    <w:jc w:val="center"/>
                    <w:rPr>
                      <w:rFonts w:hint="eastAsia"/>
                      <w:color w:val="000000"/>
                      <w:szCs w:val="21"/>
                    </w:rPr>
                  </w:pPr>
                  <w:r>
                    <w:rPr>
                      <w:rFonts w:hint="eastAsia"/>
                      <w:color w:val="000000"/>
                      <w:szCs w:val="21"/>
                    </w:rPr>
                    <w:t>《大气污染物综合排放标准》（GB16297-1996）</w:t>
                  </w:r>
                </w:p>
              </w:tc>
              <w:tc>
                <w:tcPr>
                  <w:tcW w:w="680" w:type="pct"/>
                  <w:vMerge w:val="continue"/>
                  <w:tcBorders>
                    <w:left w:val="single" w:color="auto" w:sz="6" w:space="0"/>
                    <w:right w:val="single" w:color="auto" w:sz="4" w:space="0"/>
                  </w:tcBorders>
                  <w:noWrap w:val="0"/>
                  <w:vAlign w:val="center"/>
                </w:tcPr>
                <w:p w14:paraId="4773E263">
                  <w:pPr>
                    <w:jc w:val="center"/>
                    <w:rPr>
                      <w:rFonts w:hint="eastAsia"/>
                      <w:color w:val="000000"/>
                      <w:szCs w:val="21"/>
                    </w:rPr>
                  </w:pPr>
                </w:p>
              </w:tc>
            </w:tr>
            <w:tr w14:paraId="1CD7AF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209" w:type="pct"/>
                  <w:vMerge w:val="continue"/>
                  <w:tcBorders>
                    <w:left w:val="single" w:color="auto" w:sz="4" w:space="0"/>
                    <w:right w:val="single" w:color="auto" w:sz="6" w:space="0"/>
                  </w:tcBorders>
                  <w:noWrap w:val="0"/>
                  <w:vAlign w:val="center"/>
                </w:tcPr>
                <w:p w14:paraId="633008F7">
                  <w:pPr>
                    <w:jc w:val="center"/>
                    <w:rPr>
                      <w:rFonts w:hint="eastAsia"/>
                      <w:color w:val="000000"/>
                      <w:szCs w:val="21"/>
                    </w:rPr>
                  </w:pPr>
                </w:p>
              </w:tc>
              <w:tc>
                <w:tcPr>
                  <w:tcW w:w="465" w:type="pct"/>
                  <w:tcBorders>
                    <w:top w:val="single" w:color="auto" w:sz="6" w:space="0"/>
                    <w:left w:val="single" w:color="auto" w:sz="4" w:space="0"/>
                    <w:right w:val="single" w:color="auto" w:sz="6" w:space="0"/>
                  </w:tcBorders>
                  <w:noWrap w:val="0"/>
                  <w:vAlign w:val="center"/>
                </w:tcPr>
                <w:p w14:paraId="439B37BE">
                  <w:pPr>
                    <w:jc w:val="center"/>
                    <w:rPr>
                      <w:rFonts w:hint="eastAsia"/>
                      <w:color w:val="000000"/>
                      <w:szCs w:val="21"/>
                    </w:rPr>
                  </w:pPr>
                  <w:r>
                    <w:rPr>
                      <w:rFonts w:hint="eastAsia"/>
                      <w:color w:val="000000"/>
                      <w:szCs w:val="21"/>
                    </w:rPr>
                    <w:t>DA00</w:t>
                  </w:r>
                  <w:r>
                    <w:rPr>
                      <w:rFonts w:hint="eastAsia"/>
                      <w:color w:val="000000"/>
                      <w:szCs w:val="21"/>
                      <w:lang w:val="en-US" w:eastAsia="zh-CN"/>
                    </w:rPr>
                    <w:t>2</w:t>
                  </w:r>
                  <w:r>
                    <w:rPr>
                      <w:rFonts w:hint="eastAsia"/>
                      <w:color w:val="000000"/>
                      <w:szCs w:val="21"/>
                    </w:rPr>
                    <w:t>排气筒</w:t>
                  </w:r>
                </w:p>
              </w:tc>
              <w:tc>
                <w:tcPr>
                  <w:tcW w:w="542" w:type="pct"/>
                  <w:tcBorders>
                    <w:top w:val="single" w:color="auto" w:sz="6" w:space="0"/>
                    <w:left w:val="single" w:color="auto" w:sz="6" w:space="0"/>
                    <w:right w:val="single" w:color="auto" w:sz="6" w:space="0"/>
                  </w:tcBorders>
                  <w:noWrap w:val="0"/>
                  <w:vAlign w:val="center"/>
                </w:tcPr>
                <w:p w14:paraId="44442B07">
                  <w:pPr>
                    <w:jc w:val="center"/>
                    <w:rPr>
                      <w:rFonts w:hint="eastAsia" w:eastAsia="宋体"/>
                      <w:color w:val="000000"/>
                      <w:szCs w:val="21"/>
                      <w:lang w:val="en-US" w:eastAsia="zh-CN"/>
                    </w:rPr>
                  </w:pPr>
                  <w:r>
                    <w:rPr>
                      <w:rFonts w:hint="eastAsia"/>
                      <w:color w:val="000000"/>
                      <w:szCs w:val="21"/>
                      <w:lang w:val="en-US" w:eastAsia="zh-CN"/>
                    </w:rPr>
                    <w:t>颗粒物</w:t>
                  </w:r>
                </w:p>
              </w:tc>
              <w:tc>
                <w:tcPr>
                  <w:tcW w:w="542" w:type="pct"/>
                  <w:tcBorders>
                    <w:top w:val="single" w:color="auto" w:sz="6" w:space="0"/>
                    <w:left w:val="single" w:color="auto" w:sz="6" w:space="0"/>
                    <w:right w:val="single" w:color="auto" w:sz="6" w:space="0"/>
                  </w:tcBorders>
                  <w:noWrap w:val="0"/>
                  <w:vAlign w:val="center"/>
                </w:tcPr>
                <w:p w14:paraId="6DFB48DB">
                  <w:pPr>
                    <w:jc w:val="center"/>
                    <w:rPr>
                      <w:color w:val="000000"/>
                      <w:szCs w:val="21"/>
                    </w:rPr>
                  </w:pPr>
                  <w:r>
                    <w:rPr>
                      <w:color w:val="000000"/>
                      <w:szCs w:val="21"/>
                    </w:rPr>
                    <w:t>1次/</w:t>
                  </w:r>
                  <w:r>
                    <w:rPr>
                      <w:rFonts w:hint="eastAsia"/>
                      <w:color w:val="000000"/>
                      <w:szCs w:val="21"/>
                      <w:lang w:val="en-US" w:eastAsia="zh-CN"/>
                    </w:rPr>
                    <w:t>半</w:t>
                  </w:r>
                  <w:r>
                    <w:rPr>
                      <w:color w:val="000000"/>
                      <w:szCs w:val="21"/>
                    </w:rPr>
                    <w:t>年</w:t>
                  </w:r>
                </w:p>
              </w:tc>
              <w:tc>
                <w:tcPr>
                  <w:tcW w:w="2560" w:type="pct"/>
                  <w:tcBorders>
                    <w:top w:val="single" w:color="auto" w:sz="6" w:space="0"/>
                    <w:left w:val="single" w:color="auto" w:sz="6" w:space="0"/>
                    <w:right w:val="single" w:color="auto" w:sz="4" w:space="0"/>
                  </w:tcBorders>
                  <w:noWrap w:val="0"/>
                  <w:vAlign w:val="center"/>
                </w:tcPr>
                <w:p w14:paraId="71DC0894">
                  <w:pPr>
                    <w:jc w:val="center"/>
                    <w:rPr>
                      <w:rFonts w:hint="eastAsia"/>
                      <w:color w:val="000000"/>
                      <w:szCs w:val="21"/>
                    </w:rPr>
                  </w:pPr>
                  <w:r>
                    <w:rPr>
                      <w:rFonts w:hint="eastAsia"/>
                      <w:color w:val="000000"/>
                      <w:szCs w:val="21"/>
                    </w:rPr>
                    <w:t>《大气污染物综合排放标准》（GB16297-1996）、《</w:t>
                  </w:r>
                  <w:r>
                    <w:rPr>
                      <w:rFonts w:hint="eastAsia"/>
                      <w:color w:val="000000"/>
                      <w:szCs w:val="21"/>
                      <w:lang w:val="en-US" w:eastAsia="zh-CN"/>
                    </w:rPr>
                    <w:t>河南省</w:t>
                  </w:r>
                  <w:r>
                    <w:rPr>
                      <w:rFonts w:hint="eastAsia"/>
                      <w:color w:val="000000"/>
                      <w:szCs w:val="21"/>
                    </w:rPr>
                    <w:t>重污染天气重点行业</w:t>
                  </w:r>
                  <w:r>
                    <w:rPr>
                      <w:rFonts w:hint="eastAsia"/>
                      <w:color w:val="000000"/>
                      <w:szCs w:val="21"/>
                      <w:lang w:val="en-US" w:eastAsia="zh-CN"/>
                    </w:rPr>
                    <w:t>应急减排措施制定技术指南</w:t>
                  </w:r>
                  <w:r>
                    <w:rPr>
                      <w:rFonts w:hint="eastAsia"/>
                      <w:color w:val="000000"/>
                      <w:szCs w:val="21"/>
                    </w:rPr>
                    <w:t>》（202</w:t>
                  </w:r>
                  <w:r>
                    <w:rPr>
                      <w:rFonts w:hint="eastAsia"/>
                      <w:color w:val="000000"/>
                      <w:szCs w:val="21"/>
                      <w:lang w:val="en-US" w:eastAsia="zh-CN"/>
                    </w:rPr>
                    <w:t>4</w:t>
                  </w:r>
                  <w:r>
                    <w:rPr>
                      <w:rFonts w:hint="eastAsia"/>
                      <w:color w:val="000000"/>
                      <w:szCs w:val="21"/>
                    </w:rPr>
                    <w:t>年修订版）</w:t>
                  </w:r>
                  <w:r>
                    <w:rPr>
                      <w:rFonts w:hint="eastAsia"/>
                      <w:color w:val="000000"/>
                      <w:szCs w:val="21"/>
                      <w:lang w:val="en-US" w:eastAsia="zh-CN"/>
                    </w:rPr>
                    <w:t>塑料制品A企业差异化指标</w:t>
                  </w:r>
                </w:p>
              </w:tc>
              <w:tc>
                <w:tcPr>
                  <w:tcW w:w="680" w:type="pct"/>
                  <w:vMerge w:val="continue"/>
                  <w:tcBorders>
                    <w:left w:val="single" w:color="auto" w:sz="6" w:space="0"/>
                    <w:right w:val="single" w:color="auto" w:sz="4" w:space="0"/>
                  </w:tcBorders>
                  <w:noWrap w:val="0"/>
                  <w:vAlign w:val="center"/>
                </w:tcPr>
                <w:p w14:paraId="43621D34">
                  <w:pPr>
                    <w:jc w:val="center"/>
                    <w:rPr>
                      <w:rFonts w:hint="eastAsia"/>
                      <w:color w:val="000000"/>
                      <w:szCs w:val="21"/>
                    </w:rPr>
                  </w:pPr>
                </w:p>
              </w:tc>
            </w:tr>
            <w:tr w14:paraId="4C8082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209" w:type="pct"/>
                  <w:vMerge w:val="continue"/>
                  <w:tcBorders>
                    <w:left w:val="single" w:color="auto" w:sz="4" w:space="0"/>
                    <w:right w:val="single" w:color="auto" w:sz="6" w:space="0"/>
                  </w:tcBorders>
                  <w:noWrap w:val="0"/>
                  <w:vAlign w:val="center"/>
                </w:tcPr>
                <w:p w14:paraId="6A732F2B">
                  <w:pPr>
                    <w:jc w:val="center"/>
                    <w:rPr>
                      <w:color w:val="000000"/>
                      <w:szCs w:val="21"/>
                    </w:rPr>
                  </w:pPr>
                </w:p>
              </w:tc>
              <w:tc>
                <w:tcPr>
                  <w:tcW w:w="465" w:type="pct"/>
                  <w:tcBorders>
                    <w:top w:val="single" w:color="auto" w:sz="6" w:space="0"/>
                    <w:left w:val="single" w:color="auto" w:sz="4" w:space="0"/>
                    <w:bottom w:val="single" w:color="auto" w:sz="6" w:space="0"/>
                    <w:right w:val="single" w:color="auto" w:sz="6" w:space="0"/>
                  </w:tcBorders>
                  <w:noWrap w:val="0"/>
                  <w:vAlign w:val="center"/>
                </w:tcPr>
                <w:p w14:paraId="62F44C4C">
                  <w:pPr>
                    <w:jc w:val="center"/>
                    <w:rPr>
                      <w:color w:val="000000"/>
                      <w:szCs w:val="21"/>
                    </w:rPr>
                  </w:pPr>
                  <w:r>
                    <w:rPr>
                      <w:color w:val="000000"/>
                      <w:szCs w:val="21"/>
                    </w:rPr>
                    <w:t>生产车间外</w:t>
                  </w:r>
                </w:p>
              </w:tc>
              <w:tc>
                <w:tcPr>
                  <w:tcW w:w="542" w:type="pct"/>
                  <w:tcBorders>
                    <w:top w:val="single" w:color="auto" w:sz="6" w:space="0"/>
                    <w:left w:val="single" w:color="auto" w:sz="6" w:space="0"/>
                    <w:bottom w:val="single" w:color="auto" w:sz="6" w:space="0"/>
                    <w:right w:val="single" w:color="auto" w:sz="6" w:space="0"/>
                  </w:tcBorders>
                  <w:noWrap w:val="0"/>
                  <w:vAlign w:val="center"/>
                </w:tcPr>
                <w:p w14:paraId="34F9557B">
                  <w:pPr>
                    <w:jc w:val="center"/>
                    <w:rPr>
                      <w:rFonts w:hint="eastAsia"/>
                      <w:color w:val="000000"/>
                      <w:szCs w:val="21"/>
                    </w:rPr>
                  </w:pPr>
                  <w:r>
                    <w:rPr>
                      <w:rFonts w:hint="eastAsia"/>
                      <w:color w:val="000000"/>
                      <w:szCs w:val="21"/>
                    </w:rPr>
                    <w:t>非甲烷总烃</w:t>
                  </w:r>
                </w:p>
              </w:tc>
              <w:tc>
                <w:tcPr>
                  <w:tcW w:w="542" w:type="pct"/>
                  <w:tcBorders>
                    <w:top w:val="single" w:color="auto" w:sz="6" w:space="0"/>
                    <w:left w:val="single" w:color="auto" w:sz="6" w:space="0"/>
                    <w:bottom w:val="single" w:color="auto" w:sz="6" w:space="0"/>
                    <w:right w:val="single" w:color="auto" w:sz="6" w:space="0"/>
                  </w:tcBorders>
                  <w:noWrap w:val="0"/>
                  <w:vAlign w:val="center"/>
                </w:tcPr>
                <w:p w14:paraId="70F06D17">
                  <w:pPr>
                    <w:jc w:val="center"/>
                    <w:rPr>
                      <w:color w:val="000000"/>
                      <w:szCs w:val="21"/>
                    </w:rPr>
                  </w:pPr>
                  <w:r>
                    <w:rPr>
                      <w:color w:val="000000"/>
                      <w:szCs w:val="21"/>
                    </w:rPr>
                    <w:t>1次/</w:t>
                  </w:r>
                  <w:r>
                    <w:rPr>
                      <w:rFonts w:hint="eastAsia"/>
                      <w:color w:val="000000"/>
                      <w:szCs w:val="21"/>
                    </w:rPr>
                    <w:t>年</w:t>
                  </w:r>
                </w:p>
              </w:tc>
              <w:tc>
                <w:tcPr>
                  <w:tcW w:w="2560" w:type="pct"/>
                  <w:tcBorders>
                    <w:top w:val="single" w:color="auto" w:sz="6" w:space="0"/>
                    <w:left w:val="single" w:color="auto" w:sz="6" w:space="0"/>
                    <w:bottom w:val="single" w:color="auto" w:sz="6" w:space="0"/>
                    <w:right w:val="single" w:color="auto" w:sz="4" w:space="0"/>
                  </w:tcBorders>
                  <w:noWrap w:val="0"/>
                  <w:vAlign w:val="center"/>
                </w:tcPr>
                <w:p w14:paraId="2DFCE82F">
                  <w:pPr>
                    <w:jc w:val="center"/>
                    <w:rPr>
                      <w:rFonts w:hint="eastAsia"/>
                      <w:color w:val="000000"/>
                      <w:szCs w:val="21"/>
                    </w:rPr>
                  </w:pPr>
                  <w:r>
                    <w:rPr>
                      <w:rFonts w:hint="eastAsia"/>
                      <w:color w:val="000000"/>
                      <w:szCs w:val="21"/>
                    </w:rPr>
                    <w:t>《挥发性有机物无组织排放控制标准》（GB37822-2019）、《关于全省开展工业企业挥发性有机物专项治理工作中排放建议值的通知》（豫环攻坚办</w:t>
                  </w:r>
                  <w:r>
                    <w:rPr>
                      <w:rFonts w:hint="eastAsia"/>
                      <w:color w:val="000000"/>
                      <w:szCs w:val="21"/>
                      <w:lang w:eastAsia="zh-CN"/>
                    </w:rPr>
                    <w:t>〔2017〕162号</w:t>
                  </w:r>
                  <w:r>
                    <w:rPr>
                      <w:rFonts w:hint="eastAsia"/>
                      <w:color w:val="000000"/>
                      <w:szCs w:val="21"/>
                    </w:rPr>
                    <w:t>）</w:t>
                  </w:r>
                </w:p>
              </w:tc>
              <w:tc>
                <w:tcPr>
                  <w:tcW w:w="680" w:type="pct"/>
                  <w:vMerge w:val="continue"/>
                  <w:tcBorders>
                    <w:left w:val="single" w:color="auto" w:sz="6" w:space="0"/>
                    <w:right w:val="single" w:color="auto" w:sz="4" w:space="0"/>
                  </w:tcBorders>
                  <w:noWrap w:val="0"/>
                  <w:vAlign w:val="center"/>
                </w:tcPr>
                <w:p w14:paraId="3C85885E">
                  <w:pPr>
                    <w:jc w:val="center"/>
                    <w:rPr>
                      <w:rFonts w:hint="eastAsia"/>
                      <w:color w:val="000000"/>
                      <w:szCs w:val="21"/>
                    </w:rPr>
                  </w:pPr>
                </w:p>
              </w:tc>
            </w:tr>
            <w:tr w14:paraId="0DA2BC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209" w:type="pct"/>
                  <w:vMerge w:val="continue"/>
                  <w:tcBorders>
                    <w:left w:val="single" w:color="auto" w:sz="4" w:space="0"/>
                    <w:right w:val="single" w:color="auto" w:sz="6" w:space="0"/>
                  </w:tcBorders>
                  <w:noWrap w:val="0"/>
                  <w:vAlign w:val="center"/>
                </w:tcPr>
                <w:p w14:paraId="4055F14A">
                  <w:pPr>
                    <w:jc w:val="center"/>
                    <w:rPr>
                      <w:color w:val="000000"/>
                      <w:szCs w:val="21"/>
                    </w:rPr>
                  </w:pPr>
                </w:p>
              </w:tc>
              <w:tc>
                <w:tcPr>
                  <w:tcW w:w="465" w:type="pct"/>
                  <w:vMerge w:val="restart"/>
                  <w:tcBorders>
                    <w:top w:val="single" w:color="auto" w:sz="6" w:space="0"/>
                    <w:left w:val="single" w:color="auto" w:sz="4" w:space="0"/>
                    <w:right w:val="single" w:color="auto" w:sz="6" w:space="0"/>
                  </w:tcBorders>
                  <w:noWrap w:val="0"/>
                  <w:vAlign w:val="center"/>
                </w:tcPr>
                <w:p w14:paraId="7E393DF2">
                  <w:pPr>
                    <w:jc w:val="center"/>
                    <w:rPr>
                      <w:rFonts w:hint="eastAsia"/>
                      <w:color w:val="000000"/>
                      <w:szCs w:val="21"/>
                    </w:rPr>
                  </w:pPr>
                  <w:r>
                    <w:rPr>
                      <w:color w:val="000000"/>
                      <w:szCs w:val="21"/>
                    </w:rPr>
                    <w:t>厂界</w:t>
                  </w:r>
                </w:p>
              </w:tc>
              <w:tc>
                <w:tcPr>
                  <w:tcW w:w="542" w:type="pct"/>
                  <w:tcBorders>
                    <w:top w:val="single" w:color="auto" w:sz="6" w:space="0"/>
                    <w:left w:val="single" w:color="auto" w:sz="6" w:space="0"/>
                    <w:bottom w:val="single" w:color="auto" w:sz="6" w:space="0"/>
                    <w:right w:val="single" w:color="auto" w:sz="6" w:space="0"/>
                  </w:tcBorders>
                  <w:noWrap w:val="0"/>
                  <w:vAlign w:val="center"/>
                </w:tcPr>
                <w:p w14:paraId="56CA1B88">
                  <w:pPr>
                    <w:jc w:val="center"/>
                    <w:rPr>
                      <w:rFonts w:hint="default" w:eastAsia="宋体"/>
                      <w:color w:val="000000"/>
                      <w:szCs w:val="21"/>
                      <w:lang w:val="en-US" w:eastAsia="zh-CN"/>
                    </w:rPr>
                  </w:pPr>
                  <w:r>
                    <w:rPr>
                      <w:rFonts w:hint="eastAsia"/>
                      <w:color w:val="000000"/>
                      <w:szCs w:val="21"/>
                      <w:lang w:val="en-US" w:eastAsia="zh-CN"/>
                    </w:rPr>
                    <w:t>颗粒物</w:t>
                  </w:r>
                </w:p>
              </w:tc>
              <w:tc>
                <w:tcPr>
                  <w:tcW w:w="542" w:type="pct"/>
                  <w:tcBorders>
                    <w:top w:val="single" w:color="auto" w:sz="6" w:space="0"/>
                    <w:left w:val="single" w:color="auto" w:sz="6" w:space="0"/>
                    <w:bottom w:val="single" w:color="auto" w:sz="6" w:space="0"/>
                    <w:right w:val="single" w:color="auto" w:sz="6" w:space="0"/>
                  </w:tcBorders>
                  <w:noWrap w:val="0"/>
                  <w:vAlign w:val="center"/>
                </w:tcPr>
                <w:p w14:paraId="4CC4A7FF">
                  <w:pPr>
                    <w:jc w:val="center"/>
                    <w:rPr>
                      <w:color w:val="000000"/>
                      <w:szCs w:val="21"/>
                    </w:rPr>
                  </w:pPr>
                  <w:r>
                    <w:rPr>
                      <w:color w:val="000000"/>
                      <w:szCs w:val="21"/>
                    </w:rPr>
                    <w:t>1次/</w:t>
                  </w:r>
                  <w:r>
                    <w:rPr>
                      <w:rFonts w:hint="eastAsia"/>
                      <w:color w:val="000000"/>
                      <w:szCs w:val="21"/>
                    </w:rPr>
                    <w:t>年</w:t>
                  </w:r>
                </w:p>
              </w:tc>
              <w:tc>
                <w:tcPr>
                  <w:tcW w:w="2560" w:type="pct"/>
                  <w:tcBorders>
                    <w:top w:val="single" w:color="auto" w:sz="6" w:space="0"/>
                    <w:left w:val="single" w:color="auto" w:sz="6" w:space="0"/>
                    <w:bottom w:val="single" w:color="auto" w:sz="6" w:space="0"/>
                    <w:right w:val="single" w:color="auto" w:sz="4" w:space="0"/>
                  </w:tcBorders>
                  <w:noWrap w:val="0"/>
                  <w:vAlign w:val="center"/>
                </w:tcPr>
                <w:p w14:paraId="657236E0">
                  <w:pPr>
                    <w:jc w:val="center"/>
                    <w:rPr>
                      <w:color w:val="000000"/>
                      <w:szCs w:val="21"/>
                    </w:rPr>
                  </w:pPr>
                  <w:r>
                    <w:rPr>
                      <w:rFonts w:hint="eastAsia"/>
                      <w:color w:val="000000"/>
                      <w:szCs w:val="21"/>
                    </w:rPr>
                    <w:t>《大气污染物综合排放标准》（GB16297-1996）</w:t>
                  </w:r>
                </w:p>
              </w:tc>
              <w:tc>
                <w:tcPr>
                  <w:tcW w:w="680" w:type="pct"/>
                  <w:vMerge w:val="continue"/>
                  <w:tcBorders>
                    <w:left w:val="single" w:color="auto" w:sz="6" w:space="0"/>
                    <w:right w:val="single" w:color="auto" w:sz="4" w:space="0"/>
                  </w:tcBorders>
                  <w:noWrap w:val="0"/>
                  <w:vAlign w:val="center"/>
                </w:tcPr>
                <w:p w14:paraId="4FEE78AC">
                  <w:pPr>
                    <w:jc w:val="center"/>
                    <w:rPr>
                      <w:rFonts w:hint="eastAsia"/>
                      <w:color w:val="000000"/>
                      <w:szCs w:val="21"/>
                    </w:rPr>
                  </w:pPr>
                </w:p>
              </w:tc>
            </w:tr>
            <w:tr w14:paraId="63100D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209" w:type="pct"/>
                  <w:vMerge w:val="continue"/>
                  <w:tcBorders>
                    <w:left w:val="single" w:color="auto" w:sz="4" w:space="0"/>
                    <w:right w:val="single" w:color="auto" w:sz="6" w:space="0"/>
                  </w:tcBorders>
                  <w:noWrap w:val="0"/>
                  <w:vAlign w:val="center"/>
                </w:tcPr>
                <w:p w14:paraId="0168B5A7">
                  <w:pPr>
                    <w:jc w:val="center"/>
                    <w:rPr>
                      <w:color w:val="000000"/>
                      <w:szCs w:val="21"/>
                    </w:rPr>
                  </w:pPr>
                </w:p>
              </w:tc>
              <w:tc>
                <w:tcPr>
                  <w:tcW w:w="465" w:type="pct"/>
                  <w:vMerge w:val="continue"/>
                  <w:tcBorders>
                    <w:left w:val="single" w:color="auto" w:sz="4" w:space="0"/>
                    <w:right w:val="single" w:color="auto" w:sz="6" w:space="0"/>
                  </w:tcBorders>
                  <w:noWrap w:val="0"/>
                  <w:vAlign w:val="center"/>
                </w:tcPr>
                <w:p w14:paraId="4466F7E7">
                  <w:pPr>
                    <w:jc w:val="center"/>
                    <w:rPr>
                      <w:color w:val="000000"/>
                      <w:szCs w:val="21"/>
                    </w:rPr>
                  </w:pPr>
                </w:p>
              </w:tc>
              <w:tc>
                <w:tcPr>
                  <w:tcW w:w="542" w:type="pct"/>
                  <w:tcBorders>
                    <w:top w:val="single" w:color="auto" w:sz="6" w:space="0"/>
                    <w:left w:val="single" w:color="auto" w:sz="6" w:space="0"/>
                    <w:bottom w:val="single" w:color="auto" w:sz="6" w:space="0"/>
                    <w:right w:val="single" w:color="auto" w:sz="6" w:space="0"/>
                  </w:tcBorders>
                  <w:noWrap w:val="0"/>
                  <w:vAlign w:val="center"/>
                </w:tcPr>
                <w:p w14:paraId="6763A2A2">
                  <w:pPr>
                    <w:jc w:val="center"/>
                    <w:rPr>
                      <w:rFonts w:hint="eastAsia"/>
                      <w:color w:val="000000"/>
                      <w:szCs w:val="21"/>
                      <w:lang w:val="en-US" w:eastAsia="zh-CN"/>
                    </w:rPr>
                  </w:pPr>
                  <w:r>
                    <w:rPr>
                      <w:rFonts w:hint="eastAsia"/>
                      <w:color w:val="000000"/>
                      <w:szCs w:val="21"/>
                    </w:rPr>
                    <w:t>非甲烷总烃</w:t>
                  </w:r>
                </w:p>
              </w:tc>
              <w:tc>
                <w:tcPr>
                  <w:tcW w:w="542" w:type="pct"/>
                  <w:tcBorders>
                    <w:top w:val="single" w:color="auto" w:sz="6" w:space="0"/>
                    <w:left w:val="single" w:color="auto" w:sz="6" w:space="0"/>
                    <w:bottom w:val="single" w:color="auto" w:sz="6" w:space="0"/>
                    <w:right w:val="single" w:color="auto" w:sz="6" w:space="0"/>
                  </w:tcBorders>
                  <w:noWrap w:val="0"/>
                  <w:vAlign w:val="center"/>
                </w:tcPr>
                <w:p w14:paraId="51638DA6">
                  <w:pPr>
                    <w:jc w:val="center"/>
                    <w:rPr>
                      <w:color w:val="000000"/>
                      <w:szCs w:val="21"/>
                    </w:rPr>
                  </w:pPr>
                  <w:r>
                    <w:rPr>
                      <w:color w:val="000000"/>
                      <w:szCs w:val="21"/>
                    </w:rPr>
                    <w:t>1次/</w:t>
                  </w:r>
                  <w:r>
                    <w:rPr>
                      <w:rFonts w:hint="eastAsia"/>
                      <w:color w:val="000000"/>
                      <w:szCs w:val="21"/>
                    </w:rPr>
                    <w:t>年</w:t>
                  </w:r>
                </w:p>
              </w:tc>
              <w:tc>
                <w:tcPr>
                  <w:tcW w:w="2560" w:type="pct"/>
                  <w:tcBorders>
                    <w:top w:val="single" w:color="auto" w:sz="6" w:space="0"/>
                    <w:left w:val="single" w:color="auto" w:sz="6" w:space="0"/>
                    <w:bottom w:val="single" w:color="auto" w:sz="6" w:space="0"/>
                    <w:right w:val="single" w:color="auto" w:sz="4" w:space="0"/>
                  </w:tcBorders>
                  <w:noWrap w:val="0"/>
                  <w:vAlign w:val="center"/>
                </w:tcPr>
                <w:p w14:paraId="7B69ACB1">
                  <w:pPr>
                    <w:jc w:val="center"/>
                    <w:rPr>
                      <w:rFonts w:hint="eastAsia"/>
                      <w:color w:val="000000"/>
                      <w:szCs w:val="21"/>
                    </w:rPr>
                  </w:pPr>
                  <w:r>
                    <w:rPr>
                      <w:rFonts w:hint="eastAsia"/>
                      <w:color w:val="000000"/>
                      <w:szCs w:val="21"/>
                    </w:rPr>
                    <w:t>《大气污染物综合排放标准》（GB16297-1996）、《关于全省开展工业企业挥发性有机物专项治理工作中排放建议值的通知》（豫环攻坚办</w:t>
                  </w:r>
                  <w:r>
                    <w:rPr>
                      <w:rFonts w:hint="eastAsia"/>
                      <w:color w:val="000000"/>
                      <w:szCs w:val="21"/>
                      <w:lang w:eastAsia="zh-CN"/>
                    </w:rPr>
                    <w:t>〔2017〕162号</w:t>
                  </w:r>
                  <w:r>
                    <w:rPr>
                      <w:rFonts w:hint="eastAsia"/>
                      <w:color w:val="000000"/>
                      <w:szCs w:val="21"/>
                    </w:rPr>
                    <w:t>）</w:t>
                  </w:r>
                  <w:r>
                    <w:rPr>
                      <w:rFonts w:hint="eastAsia"/>
                      <w:color w:val="000000"/>
                      <w:szCs w:val="21"/>
                      <w:lang w:eastAsia="zh-CN"/>
                    </w:rPr>
                    <w:t>、</w:t>
                  </w:r>
                  <w:r>
                    <w:rPr>
                      <w:rFonts w:hint="eastAsia"/>
                      <w:color w:val="000000"/>
                      <w:szCs w:val="21"/>
                    </w:rPr>
                    <w:t>《</w:t>
                  </w:r>
                  <w:r>
                    <w:rPr>
                      <w:rFonts w:hint="eastAsia"/>
                      <w:color w:val="000000"/>
                      <w:szCs w:val="21"/>
                      <w:lang w:val="en-US" w:eastAsia="zh-CN"/>
                    </w:rPr>
                    <w:t>河南省</w:t>
                  </w:r>
                  <w:r>
                    <w:rPr>
                      <w:rFonts w:hint="eastAsia"/>
                      <w:color w:val="000000"/>
                      <w:szCs w:val="21"/>
                    </w:rPr>
                    <w:t>重污染天气重点行业</w:t>
                  </w:r>
                  <w:r>
                    <w:rPr>
                      <w:rFonts w:hint="eastAsia"/>
                      <w:color w:val="000000"/>
                      <w:szCs w:val="21"/>
                      <w:lang w:val="en-US" w:eastAsia="zh-CN"/>
                    </w:rPr>
                    <w:t>应急减排措施制定技术指南</w:t>
                  </w:r>
                  <w:r>
                    <w:rPr>
                      <w:rFonts w:hint="eastAsia"/>
                      <w:color w:val="000000"/>
                      <w:szCs w:val="21"/>
                    </w:rPr>
                    <w:t>》（202</w:t>
                  </w:r>
                  <w:r>
                    <w:rPr>
                      <w:rFonts w:hint="eastAsia"/>
                      <w:color w:val="000000"/>
                      <w:szCs w:val="21"/>
                      <w:lang w:val="en-US" w:eastAsia="zh-CN"/>
                    </w:rPr>
                    <w:t>4</w:t>
                  </w:r>
                  <w:r>
                    <w:rPr>
                      <w:rFonts w:hint="eastAsia"/>
                      <w:color w:val="000000"/>
                      <w:szCs w:val="21"/>
                    </w:rPr>
                    <w:t>年修订版）</w:t>
                  </w:r>
                  <w:r>
                    <w:rPr>
                      <w:rFonts w:hint="eastAsia"/>
                      <w:color w:val="000000"/>
                      <w:szCs w:val="21"/>
                      <w:lang w:val="en-US" w:eastAsia="zh-CN"/>
                    </w:rPr>
                    <w:t>塑料制品A企业差异化指标、</w:t>
                  </w:r>
                  <w:r>
                    <w:rPr>
                      <w:rFonts w:hint="eastAsia"/>
                      <w:color w:val="000000"/>
                      <w:szCs w:val="21"/>
                    </w:rPr>
                    <w:t>《挥发性有机物无组织排放控制标准》（GB37822-2019）</w:t>
                  </w:r>
                </w:p>
              </w:tc>
              <w:tc>
                <w:tcPr>
                  <w:tcW w:w="680" w:type="pct"/>
                  <w:vMerge w:val="continue"/>
                  <w:tcBorders>
                    <w:left w:val="single" w:color="auto" w:sz="6" w:space="0"/>
                    <w:right w:val="single" w:color="auto" w:sz="4" w:space="0"/>
                  </w:tcBorders>
                  <w:noWrap w:val="0"/>
                  <w:vAlign w:val="center"/>
                </w:tcPr>
                <w:p w14:paraId="17D58AEA">
                  <w:pPr>
                    <w:jc w:val="center"/>
                    <w:rPr>
                      <w:rFonts w:hint="eastAsia"/>
                      <w:color w:val="000000"/>
                      <w:szCs w:val="21"/>
                    </w:rPr>
                  </w:pPr>
                </w:p>
              </w:tc>
            </w:tr>
            <w:tr w14:paraId="031F26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209" w:type="pct"/>
                  <w:vMerge w:val="continue"/>
                  <w:tcBorders>
                    <w:left w:val="single" w:color="auto" w:sz="4" w:space="0"/>
                    <w:bottom w:val="single" w:color="auto" w:sz="6" w:space="0"/>
                    <w:right w:val="single" w:color="auto" w:sz="6" w:space="0"/>
                  </w:tcBorders>
                  <w:noWrap w:val="0"/>
                  <w:vAlign w:val="center"/>
                </w:tcPr>
                <w:p w14:paraId="7C627FF2">
                  <w:pPr>
                    <w:jc w:val="center"/>
                    <w:rPr>
                      <w:color w:val="000000"/>
                      <w:szCs w:val="21"/>
                    </w:rPr>
                  </w:pPr>
                </w:p>
              </w:tc>
              <w:tc>
                <w:tcPr>
                  <w:tcW w:w="465" w:type="pct"/>
                  <w:vMerge w:val="continue"/>
                  <w:tcBorders>
                    <w:left w:val="single" w:color="auto" w:sz="4" w:space="0"/>
                    <w:bottom w:val="single" w:color="auto" w:sz="6" w:space="0"/>
                    <w:right w:val="single" w:color="auto" w:sz="6" w:space="0"/>
                  </w:tcBorders>
                  <w:noWrap w:val="0"/>
                  <w:vAlign w:val="center"/>
                </w:tcPr>
                <w:p w14:paraId="389A076F">
                  <w:pPr>
                    <w:jc w:val="center"/>
                    <w:rPr>
                      <w:color w:val="000000"/>
                      <w:szCs w:val="21"/>
                    </w:rPr>
                  </w:pPr>
                </w:p>
              </w:tc>
              <w:tc>
                <w:tcPr>
                  <w:tcW w:w="542" w:type="pct"/>
                  <w:tcBorders>
                    <w:top w:val="single" w:color="auto" w:sz="6" w:space="0"/>
                    <w:left w:val="single" w:color="auto" w:sz="6" w:space="0"/>
                    <w:bottom w:val="single" w:color="auto" w:sz="6" w:space="0"/>
                    <w:right w:val="single" w:color="auto" w:sz="6" w:space="0"/>
                  </w:tcBorders>
                  <w:noWrap w:val="0"/>
                  <w:vAlign w:val="center"/>
                </w:tcPr>
                <w:p w14:paraId="76634359">
                  <w:pPr>
                    <w:jc w:val="center"/>
                    <w:rPr>
                      <w:rFonts w:hint="eastAsia"/>
                      <w:color w:val="000000"/>
                      <w:szCs w:val="21"/>
                      <w:lang w:val="en-US" w:eastAsia="zh-CN"/>
                    </w:rPr>
                  </w:pPr>
                  <w:r>
                    <w:rPr>
                      <w:rFonts w:hint="eastAsia"/>
                      <w:color w:val="000000"/>
                      <w:szCs w:val="21"/>
                      <w:lang w:val="en-US" w:eastAsia="zh-CN"/>
                    </w:rPr>
                    <w:t>氯化氢</w:t>
                  </w:r>
                </w:p>
              </w:tc>
              <w:tc>
                <w:tcPr>
                  <w:tcW w:w="542" w:type="pct"/>
                  <w:tcBorders>
                    <w:top w:val="single" w:color="auto" w:sz="6" w:space="0"/>
                    <w:left w:val="single" w:color="auto" w:sz="6" w:space="0"/>
                    <w:bottom w:val="single" w:color="auto" w:sz="6" w:space="0"/>
                    <w:right w:val="single" w:color="auto" w:sz="6" w:space="0"/>
                  </w:tcBorders>
                  <w:noWrap w:val="0"/>
                  <w:vAlign w:val="center"/>
                </w:tcPr>
                <w:p w14:paraId="7D10A6C9">
                  <w:pPr>
                    <w:jc w:val="center"/>
                    <w:rPr>
                      <w:color w:val="000000"/>
                      <w:szCs w:val="21"/>
                    </w:rPr>
                  </w:pPr>
                  <w:r>
                    <w:rPr>
                      <w:color w:val="000000"/>
                      <w:szCs w:val="21"/>
                    </w:rPr>
                    <w:t>1次/</w:t>
                  </w:r>
                  <w:r>
                    <w:rPr>
                      <w:rFonts w:hint="eastAsia"/>
                      <w:color w:val="000000"/>
                      <w:szCs w:val="21"/>
                    </w:rPr>
                    <w:t>年</w:t>
                  </w:r>
                </w:p>
              </w:tc>
              <w:tc>
                <w:tcPr>
                  <w:tcW w:w="2560" w:type="pct"/>
                  <w:tcBorders>
                    <w:top w:val="single" w:color="auto" w:sz="6" w:space="0"/>
                    <w:left w:val="single" w:color="auto" w:sz="6" w:space="0"/>
                    <w:bottom w:val="single" w:color="auto" w:sz="6" w:space="0"/>
                    <w:right w:val="single" w:color="auto" w:sz="4" w:space="0"/>
                  </w:tcBorders>
                  <w:noWrap w:val="0"/>
                  <w:vAlign w:val="center"/>
                </w:tcPr>
                <w:p w14:paraId="41BB68B2">
                  <w:pPr>
                    <w:jc w:val="center"/>
                    <w:rPr>
                      <w:rFonts w:hint="eastAsia"/>
                      <w:color w:val="000000"/>
                      <w:szCs w:val="21"/>
                    </w:rPr>
                  </w:pPr>
                  <w:r>
                    <w:rPr>
                      <w:rFonts w:hint="eastAsia"/>
                      <w:color w:val="000000"/>
                      <w:szCs w:val="21"/>
                    </w:rPr>
                    <w:t>《大气污染物综合排放标准》（GB16297-1996）</w:t>
                  </w:r>
                </w:p>
              </w:tc>
              <w:tc>
                <w:tcPr>
                  <w:tcW w:w="680" w:type="pct"/>
                  <w:vMerge w:val="continue"/>
                  <w:tcBorders>
                    <w:left w:val="single" w:color="auto" w:sz="6" w:space="0"/>
                    <w:bottom w:val="single" w:color="auto" w:sz="6" w:space="0"/>
                    <w:right w:val="single" w:color="auto" w:sz="4" w:space="0"/>
                  </w:tcBorders>
                  <w:noWrap w:val="0"/>
                  <w:vAlign w:val="center"/>
                </w:tcPr>
                <w:p w14:paraId="1BF5CC9D">
                  <w:pPr>
                    <w:jc w:val="center"/>
                    <w:rPr>
                      <w:rFonts w:hint="eastAsia"/>
                      <w:color w:val="000000"/>
                      <w:szCs w:val="21"/>
                    </w:rPr>
                  </w:pPr>
                </w:p>
              </w:tc>
            </w:tr>
            <w:tr w14:paraId="1B5778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209" w:type="pct"/>
                  <w:tcBorders>
                    <w:left w:val="single" w:color="auto" w:sz="4" w:space="0"/>
                    <w:bottom w:val="single" w:color="auto" w:sz="6" w:space="0"/>
                    <w:right w:val="single" w:color="auto" w:sz="6" w:space="0"/>
                  </w:tcBorders>
                  <w:noWrap w:val="0"/>
                  <w:vAlign w:val="center"/>
                </w:tcPr>
                <w:p w14:paraId="20203E31">
                  <w:pPr>
                    <w:jc w:val="center"/>
                    <w:rPr>
                      <w:rFonts w:hint="eastAsia" w:eastAsia="宋体"/>
                      <w:color w:val="000000"/>
                      <w:szCs w:val="21"/>
                      <w:lang w:val="en-US" w:eastAsia="zh-CN"/>
                    </w:rPr>
                  </w:pPr>
                  <w:r>
                    <w:rPr>
                      <w:rFonts w:hint="eastAsia"/>
                      <w:color w:val="000000"/>
                      <w:szCs w:val="21"/>
                      <w:lang w:val="en-US" w:eastAsia="zh-CN"/>
                    </w:rPr>
                    <w:t>废水</w:t>
                  </w:r>
                </w:p>
              </w:tc>
              <w:tc>
                <w:tcPr>
                  <w:tcW w:w="465" w:type="pct"/>
                  <w:tcBorders>
                    <w:top w:val="single" w:color="auto" w:sz="6" w:space="0"/>
                    <w:left w:val="single" w:color="auto" w:sz="4" w:space="0"/>
                    <w:bottom w:val="single" w:color="auto" w:sz="6" w:space="0"/>
                    <w:right w:val="single" w:color="auto" w:sz="6" w:space="0"/>
                  </w:tcBorders>
                  <w:noWrap w:val="0"/>
                  <w:vAlign w:val="center"/>
                </w:tcPr>
                <w:p w14:paraId="26106157">
                  <w:pPr>
                    <w:jc w:val="center"/>
                    <w:rPr>
                      <w:rFonts w:hint="default" w:eastAsia="宋体"/>
                      <w:color w:val="000000"/>
                      <w:szCs w:val="21"/>
                      <w:lang w:val="en-US" w:eastAsia="zh-CN"/>
                    </w:rPr>
                  </w:pPr>
                  <w:r>
                    <w:rPr>
                      <w:rFonts w:hint="eastAsia"/>
                      <w:color w:val="000000"/>
                      <w:szCs w:val="21"/>
                      <w:lang w:val="en-US" w:eastAsia="zh-CN"/>
                    </w:rPr>
                    <w:t>厂区总排放口</w:t>
                  </w:r>
                </w:p>
              </w:tc>
              <w:tc>
                <w:tcPr>
                  <w:tcW w:w="542" w:type="pct"/>
                  <w:tcBorders>
                    <w:top w:val="single" w:color="auto" w:sz="6" w:space="0"/>
                    <w:left w:val="single" w:color="auto" w:sz="6" w:space="0"/>
                    <w:bottom w:val="single" w:color="auto" w:sz="6" w:space="0"/>
                    <w:right w:val="single" w:color="auto" w:sz="6" w:space="0"/>
                  </w:tcBorders>
                  <w:noWrap w:val="0"/>
                  <w:vAlign w:val="center"/>
                </w:tcPr>
                <w:p w14:paraId="140ECF3D">
                  <w:pPr>
                    <w:jc w:val="center"/>
                    <w:rPr>
                      <w:rFonts w:hint="default" w:eastAsia="宋体"/>
                      <w:color w:val="000000"/>
                      <w:szCs w:val="21"/>
                      <w:lang w:val="en-US" w:eastAsia="zh-CN"/>
                    </w:rPr>
                  </w:pPr>
                  <w:r>
                    <w:rPr>
                      <w:rFonts w:hint="eastAsia"/>
                      <w:color w:val="000000"/>
                      <w:szCs w:val="21"/>
                      <w:lang w:val="en-US" w:eastAsia="zh-CN"/>
                    </w:rPr>
                    <w:t>COD、氨氮、SS</w:t>
                  </w:r>
                </w:p>
              </w:tc>
              <w:tc>
                <w:tcPr>
                  <w:tcW w:w="542" w:type="pct"/>
                  <w:tcBorders>
                    <w:top w:val="single" w:color="auto" w:sz="6" w:space="0"/>
                    <w:left w:val="single" w:color="auto" w:sz="6" w:space="0"/>
                    <w:bottom w:val="single" w:color="auto" w:sz="6" w:space="0"/>
                    <w:right w:val="single" w:color="auto" w:sz="6" w:space="0"/>
                  </w:tcBorders>
                  <w:noWrap w:val="0"/>
                  <w:vAlign w:val="center"/>
                </w:tcPr>
                <w:p w14:paraId="2C2F6D56">
                  <w:pPr>
                    <w:jc w:val="center"/>
                    <w:rPr>
                      <w:color w:val="000000"/>
                      <w:szCs w:val="21"/>
                    </w:rPr>
                  </w:pPr>
                  <w:r>
                    <w:rPr>
                      <w:color w:val="000000"/>
                      <w:szCs w:val="21"/>
                    </w:rPr>
                    <w:t>1次/</w:t>
                  </w:r>
                  <w:r>
                    <w:rPr>
                      <w:rFonts w:hint="eastAsia"/>
                      <w:color w:val="000000"/>
                      <w:szCs w:val="21"/>
                    </w:rPr>
                    <w:t>年</w:t>
                  </w:r>
                </w:p>
              </w:tc>
              <w:tc>
                <w:tcPr>
                  <w:tcW w:w="2560" w:type="pct"/>
                  <w:tcBorders>
                    <w:top w:val="single" w:color="auto" w:sz="6" w:space="0"/>
                    <w:left w:val="single" w:color="auto" w:sz="6" w:space="0"/>
                    <w:bottom w:val="single" w:color="auto" w:sz="6" w:space="0"/>
                    <w:right w:val="single" w:color="auto" w:sz="4" w:space="0"/>
                  </w:tcBorders>
                  <w:noWrap w:val="0"/>
                  <w:vAlign w:val="center"/>
                </w:tcPr>
                <w:p w14:paraId="3725723D">
                  <w:pPr>
                    <w:jc w:val="center"/>
                    <w:rPr>
                      <w:rFonts w:hint="eastAsia"/>
                      <w:color w:val="000000"/>
                      <w:szCs w:val="21"/>
                    </w:rPr>
                  </w:pPr>
                  <w:r>
                    <w:rPr>
                      <w:rFonts w:hint="eastAsia"/>
                      <w:color w:val="000000"/>
                      <w:szCs w:val="21"/>
                    </w:rPr>
                    <w:t>《污水综合排放标准》（GB8978-1996）表4三级</w:t>
                  </w:r>
                </w:p>
              </w:tc>
              <w:tc>
                <w:tcPr>
                  <w:tcW w:w="680" w:type="pct"/>
                  <w:tcBorders>
                    <w:top w:val="single" w:color="auto" w:sz="6" w:space="0"/>
                    <w:left w:val="single" w:color="auto" w:sz="6" w:space="0"/>
                    <w:bottom w:val="single" w:color="auto" w:sz="6" w:space="0"/>
                    <w:right w:val="single" w:color="auto" w:sz="4" w:space="0"/>
                  </w:tcBorders>
                  <w:noWrap w:val="0"/>
                  <w:vAlign w:val="center"/>
                </w:tcPr>
                <w:p w14:paraId="5F8BD389">
                  <w:pPr>
                    <w:jc w:val="center"/>
                    <w:rPr>
                      <w:rFonts w:hint="default" w:eastAsia="宋体"/>
                      <w:color w:val="000000"/>
                      <w:szCs w:val="21"/>
                      <w:lang w:val="en-US" w:eastAsia="zh-CN"/>
                    </w:rPr>
                  </w:pPr>
                  <w:r>
                    <w:rPr>
                      <w:rFonts w:hint="eastAsia"/>
                      <w:color w:val="000000"/>
                      <w:szCs w:val="21"/>
                      <w:lang w:val="en-US" w:eastAsia="zh-CN"/>
                    </w:rPr>
                    <w:t>待管网铺设完毕，废水可进入污水处理厂后定期监测</w:t>
                  </w:r>
                </w:p>
              </w:tc>
            </w:tr>
            <w:tr w14:paraId="272E99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209" w:type="pct"/>
                  <w:tcBorders>
                    <w:top w:val="single" w:color="auto" w:sz="6" w:space="0"/>
                    <w:left w:val="single" w:color="auto" w:sz="4" w:space="0"/>
                    <w:right w:val="single" w:color="auto" w:sz="6" w:space="0"/>
                  </w:tcBorders>
                  <w:noWrap w:val="0"/>
                  <w:vAlign w:val="center"/>
                </w:tcPr>
                <w:p w14:paraId="462FF50B">
                  <w:pPr>
                    <w:jc w:val="center"/>
                    <w:rPr>
                      <w:rFonts w:hint="eastAsia"/>
                      <w:color w:val="000000"/>
                      <w:kern w:val="2"/>
                      <w:sz w:val="21"/>
                      <w:szCs w:val="21"/>
                      <w:lang w:val="en-US" w:eastAsia="zh-CN" w:bidi="ar-SA"/>
                    </w:rPr>
                  </w:pPr>
                  <w:r>
                    <w:rPr>
                      <w:rFonts w:hint="eastAsia"/>
                      <w:color w:val="000000"/>
                      <w:szCs w:val="21"/>
                      <w:lang w:val="en-US" w:eastAsia="zh-CN"/>
                    </w:rPr>
                    <w:t>噪声</w:t>
                  </w:r>
                </w:p>
              </w:tc>
              <w:tc>
                <w:tcPr>
                  <w:tcW w:w="465" w:type="pct"/>
                  <w:tcBorders>
                    <w:top w:val="single" w:color="auto" w:sz="6" w:space="0"/>
                    <w:left w:val="single" w:color="auto" w:sz="4" w:space="0"/>
                    <w:right w:val="single" w:color="auto" w:sz="6" w:space="0"/>
                  </w:tcBorders>
                  <w:noWrap w:val="0"/>
                  <w:vAlign w:val="center"/>
                </w:tcPr>
                <w:p w14:paraId="7ED7678A">
                  <w:pPr>
                    <w:jc w:val="center"/>
                    <w:rPr>
                      <w:rFonts w:hint="default"/>
                      <w:color w:val="000000"/>
                      <w:szCs w:val="21"/>
                      <w:lang w:val="en-US" w:eastAsia="zh-CN"/>
                    </w:rPr>
                  </w:pPr>
                  <w:r>
                    <w:rPr>
                      <w:rFonts w:hint="eastAsia"/>
                      <w:color w:val="000000"/>
                      <w:szCs w:val="21"/>
                      <w:lang w:val="en-US" w:eastAsia="zh-CN"/>
                    </w:rPr>
                    <w:t>厂界</w:t>
                  </w:r>
                </w:p>
              </w:tc>
              <w:tc>
                <w:tcPr>
                  <w:tcW w:w="542" w:type="pct"/>
                  <w:tcBorders>
                    <w:top w:val="single" w:color="auto" w:sz="6" w:space="0"/>
                    <w:left w:val="single" w:color="auto" w:sz="6" w:space="0"/>
                    <w:bottom w:val="single" w:color="auto" w:sz="6" w:space="0"/>
                    <w:right w:val="single" w:color="auto" w:sz="6" w:space="0"/>
                  </w:tcBorders>
                  <w:noWrap w:val="0"/>
                  <w:vAlign w:val="center"/>
                </w:tcPr>
                <w:p w14:paraId="51EA6871">
                  <w:pPr>
                    <w:jc w:val="center"/>
                    <w:rPr>
                      <w:rFonts w:hint="eastAsia" w:eastAsia="宋体"/>
                      <w:color w:val="000000"/>
                      <w:szCs w:val="21"/>
                      <w:lang w:val="en-US" w:eastAsia="zh-CN"/>
                    </w:rPr>
                  </w:pPr>
                  <w:r>
                    <w:rPr>
                      <w:color w:val="000000"/>
                      <w:szCs w:val="21"/>
                    </w:rPr>
                    <w:t>等效声级</w:t>
                  </w:r>
                </w:p>
              </w:tc>
              <w:tc>
                <w:tcPr>
                  <w:tcW w:w="542" w:type="pct"/>
                  <w:tcBorders>
                    <w:top w:val="single" w:color="auto" w:sz="6" w:space="0"/>
                    <w:left w:val="single" w:color="auto" w:sz="6" w:space="0"/>
                    <w:right w:val="single" w:color="auto" w:sz="6" w:space="0"/>
                  </w:tcBorders>
                  <w:noWrap w:val="0"/>
                  <w:vAlign w:val="center"/>
                </w:tcPr>
                <w:p w14:paraId="663EB5F3">
                  <w:pPr>
                    <w:jc w:val="center"/>
                    <w:rPr>
                      <w:color w:val="000000"/>
                      <w:szCs w:val="21"/>
                    </w:rPr>
                  </w:pPr>
                  <w:r>
                    <w:rPr>
                      <w:color w:val="000000"/>
                      <w:szCs w:val="21"/>
                    </w:rPr>
                    <w:t>1次/季度</w:t>
                  </w:r>
                </w:p>
              </w:tc>
              <w:tc>
                <w:tcPr>
                  <w:tcW w:w="2560" w:type="pct"/>
                  <w:tcBorders>
                    <w:top w:val="single" w:color="auto" w:sz="6" w:space="0"/>
                    <w:left w:val="single" w:color="auto" w:sz="6" w:space="0"/>
                    <w:right w:val="single" w:color="auto" w:sz="4" w:space="0"/>
                  </w:tcBorders>
                  <w:noWrap w:val="0"/>
                  <w:vAlign w:val="center"/>
                </w:tcPr>
                <w:p w14:paraId="4AF60060">
                  <w:pPr>
                    <w:jc w:val="center"/>
                    <w:rPr>
                      <w:rFonts w:hint="eastAsia"/>
                      <w:color w:val="000000"/>
                      <w:szCs w:val="21"/>
                    </w:rPr>
                  </w:pPr>
                  <w:r>
                    <w:rPr>
                      <w:color w:val="000000"/>
                      <w:kern w:val="0"/>
                      <w:szCs w:val="21"/>
                    </w:rPr>
                    <w:t>《工业企业厂界环境噪声排放标准》（GB12348-2008）</w:t>
                  </w:r>
                  <w:r>
                    <w:rPr>
                      <w:rFonts w:hint="eastAsia"/>
                      <w:color w:val="000000"/>
                      <w:kern w:val="0"/>
                      <w:szCs w:val="21"/>
                      <w:lang w:val="en-US" w:eastAsia="zh-CN"/>
                    </w:rPr>
                    <w:t>3</w:t>
                  </w:r>
                  <w:r>
                    <w:rPr>
                      <w:color w:val="000000"/>
                      <w:kern w:val="0"/>
                      <w:szCs w:val="21"/>
                    </w:rPr>
                    <w:t>类</w:t>
                  </w:r>
                </w:p>
              </w:tc>
              <w:tc>
                <w:tcPr>
                  <w:tcW w:w="680" w:type="pct"/>
                  <w:tcBorders>
                    <w:top w:val="single" w:color="auto" w:sz="6" w:space="0"/>
                    <w:left w:val="single" w:color="auto" w:sz="6" w:space="0"/>
                    <w:right w:val="single" w:color="auto" w:sz="4" w:space="0"/>
                  </w:tcBorders>
                  <w:noWrap w:val="0"/>
                  <w:vAlign w:val="center"/>
                </w:tcPr>
                <w:p w14:paraId="654CD12B">
                  <w:pPr>
                    <w:jc w:val="center"/>
                    <w:rPr>
                      <w:rFonts w:hint="eastAsia" w:eastAsia="宋体"/>
                      <w:color w:val="000000"/>
                      <w:kern w:val="0"/>
                      <w:szCs w:val="21"/>
                      <w:lang w:val="en-US" w:eastAsia="zh-CN"/>
                    </w:rPr>
                  </w:pPr>
                  <w:r>
                    <w:rPr>
                      <w:rFonts w:hint="eastAsia"/>
                      <w:color w:val="000000"/>
                      <w:kern w:val="0"/>
                      <w:szCs w:val="21"/>
                      <w:lang w:val="en-US" w:eastAsia="zh-CN"/>
                    </w:rPr>
                    <w:t>/</w:t>
                  </w:r>
                </w:p>
              </w:tc>
            </w:tr>
          </w:tbl>
          <w:p w14:paraId="089851E4">
            <w:pPr>
              <w:adjustRightInd w:val="0"/>
              <w:spacing w:line="360" w:lineRule="auto"/>
              <w:rPr>
                <w:b/>
                <w:bCs/>
                <w:color w:val="000000"/>
                <w:sz w:val="24"/>
              </w:rPr>
            </w:pPr>
            <w:r>
              <w:rPr>
                <w:rFonts w:hint="eastAsia"/>
                <w:b/>
                <w:bCs/>
                <w:color w:val="000000"/>
                <w:sz w:val="24"/>
                <w:lang w:val="en-US" w:eastAsia="zh-CN"/>
              </w:rPr>
              <w:t>9</w:t>
            </w:r>
            <w:r>
              <w:rPr>
                <w:b/>
                <w:bCs/>
                <w:color w:val="000000"/>
                <w:sz w:val="24"/>
              </w:rPr>
              <w:t>. 环保投资</w:t>
            </w:r>
          </w:p>
          <w:p w14:paraId="7072F4D1">
            <w:pPr>
              <w:spacing w:line="360" w:lineRule="auto"/>
              <w:ind w:firstLine="570"/>
              <w:rPr>
                <w:rFonts w:hint="eastAsia"/>
                <w:color w:val="000000"/>
                <w:sz w:val="24"/>
                <w:szCs w:val="24"/>
                <w:u w:val="none"/>
              </w:rPr>
            </w:pPr>
            <w:r>
              <w:rPr>
                <w:rFonts w:hint="eastAsia"/>
                <w:color w:val="000000"/>
                <w:sz w:val="24"/>
                <w:szCs w:val="24"/>
              </w:rPr>
              <w:t>本项目总投资为</w:t>
            </w:r>
            <w:r>
              <w:rPr>
                <w:rFonts w:hint="eastAsia"/>
                <w:color w:val="000000"/>
                <w:sz w:val="24"/>
                <w:szCs w:val="24"/>
                <w:lang w:val="en-US" w:eastAsia="zh-CN"/>
              </w:rPr>
              <w:t>50</w:t>
            </w:r>
            <w:r>
              <w:rPr>
                <w:rFonts w:hint="eastAsia"/>
                <w:color w:val="000000"/>
                <w:sz w:val="24"/>
                <w:szCs w:val="24"/>
              </w:rPr>
              <w:t>万元，</w:t>
            </w:r>
            <w:r>
              <w:rPr>
                <w:rFonts w:hint="eastAsia"/>
                <w:color w:val="000000"/>
                <w:sz w:val="24"/>
                <w:szCs w:val="24"/>
                <w:u w:val="none"/>
              </w:rPr>
              <w:t>其中环保投资为</w:t>
            </w:r>
            <w:r>
              <w:rPr>
                <w:rFonts w:hint="eastAsia"/>
                <w:color w:val="000000"/>
                <w:sz w:val="24"/>
                <w:szCs w:val="24"/>
                <w:u w:val="none"/>
                <w:lang w:val="en-US" w:eastAsia="zh-CN"/>
              </w:rPr>
              <w:t>5.7</w:t>
            </w:r>
            <w:r>
              <w:rPr>
                <w:rFonts w:hint="eastAsia"/>
                <w:color w:val="000000"/>
                <w:sz w:val="24"/>
                <w:szCs w:val="24"/>
                <w:u w:val="none"/>
              </w:rPr>
              <w:t>万元，占总投资的</w:t>
            </w:r>
            <w:r>
              <w:rPr>
                <w:rFonts w:hint="eastAsia"/>
                <w:color w:val="000000"/>
                <w:sz w:val="24"/>
                <w:szCs w:val="24"/>
                <w:u w:val="none"/>
                <w:lang w:val="en-US" w:eastAsia="zh-CN"/>
              </w:rPr>
              <w:t>11.4</w:t>
            </w:r>
            <w:r>
              <w:rPr>
                <w:rFonts w:hint="eastAsia"/>
                <w:color w:val="000000"/>
                <w:sz w:val="24"/>
                <w:szCs w:val="24"/>
                <w:u w:val="none"/>
              </w:rPr>
              <w:t>%。环保投资估算见下表。</w:t>
            </w:r>
          </w:p>
          <w:p w14:paraId="7928FF36">
            <w:pPr>
              <w:snapToGrid w:val="0"/>
              <w:spacing w:before="93" w:beforeLines="30"/>
              <w:jc w:val="center"/>
              <w:rPr>
                <w:rFonts w:hint="eastAsia" w:ascii="黑体" w:eastAsia="黑体"/>
                <w:color w:val="000000"/>
                <w:sz w:val="24"/>
                <w:szCs w:val="24"/>
              </w:rPr>
            </w:pPr>
            <w:r>
              <w:rPr>
                <w:rFonts w:hint="eastAsia" w:ascii="黑体" w:eastAsia="黑体"/>
                <w:color w:val="000000"/>
                <w:sz w:val="24"/>
                <w:szCs w:val="24"/>
              </w:rPr>
              <w:t>表</w:t>
            </w:r>
            <w:r>
              <w:rPr>
                <w:rFonts w:hint="eastAsia" w:ascii="黑体" w:eastAsia="黑体"/>
                <w:color w:val="000000"/>
                <w:sz w:val="24"/>
                <w:szCs w:val="24"/>
                <w:lang w:val="en-US" w:eastAsia="zh-CN"/>
              </w:rPr>
              <w:t>37</w:t>
            </w:r>
            <w:r>
              <w:rPr>
                <w:rFonts w:hint="eastAsia" w:ascii="黑体" w:eastAsia="黑体"/>
                <w:color w:val="000000"/>
                <w:sz w:val="24"/>
                <w:szCs w:val="24"/>
              </w:rPr>
              <w:t xml:space="preserve">    环保投资估算一览表</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632"/>
              <w:gridCol w:w="3247"/>
              <w:gridCol w:w="2268"/>
              <w:gridCol w:w="2035"/>
            </w:tblGrid>
            <w:tr w14:paraId="03F02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0" w:hRule="atLeast"/>
              </w:trPr>
              <w:tc>
                <w:tcPr>
                  <w:tcW w:w="632" w:type="dxa"/>
                  <w:noWrap w:val="0"/>
                  <w:vAlign w:val="center"/>
                </w:tcPr>
                <w:p w14:paraId="438C9417">
                  <w:pPr>
                    <w:snapToGrid w:val="0"/>
                    <w:spacing w:before="31" w:beforeLines="10" w:after="31" w:afterLines="10"/>
                    <w:jc w:val="center"/>
                    <w:rPr>
                      <w:rFonts w:hint="eastAsia"/>
                      <w:color w:val="000000"/>
                      <w:szCs w:val="21"/>
                      <w:u w:val="none"/>
                    </w:rPr>
                  </w:pPr>
                  <w:r>
                    <w:rPr>
                      <w:rFonts w:hint="eastAsia"/>
                      <w:color w:val="000000"/>
                      <w:szCs w:val="21"/>
                      <w:u w:val="none"/>
                    </w:rPr>
                    <w:t>项目</w:t>
                  </w:r>
                </w:p>
              </w:tc>
              <w:tc>
                <w:tcPr>
                  <w:tcW w:w="3247" w:type="dxa"/>
                  <w:noWrap w:val="0"/>
                  <w:vAlign w:val="center"/>
                </w:tcPr>
                <w:p w14:paraId="08695E0A">
                  <w:pPr>
                    <w:snapToGrid w:val="0"/>
                    <w:spacing w:before="31" w:beforeLines="10" w:after="31" w:afterLines="10"/>
                    <w:jc w:val="center"/>
                    <w:rPr>
                      <w:color w:val="000000"/>
                      <w:szCs w:val="21"/>
                      <w:u w:val="none"/>
                    </w:rPr>
                  </w:pPr>
                  <w:r>
                    <w:rPr>
                      <w:rFonts w:hint="eastAsia"/>
                      <w:color w:val="000000"/>
                      <w:szCs w:val="21"/>
                      <w:u w:val="none"/>
                    </w:rPr>
                    <w:t>环保设施</w:t>
                  </w:r>
                </w:p>
              </w:tc>
              <w:tc>
                <w:tcPr>
                  <w:tcW w:w="2268" w:type="dxa"/>
                  <w:noWrap w:val="0"/>
                  <w:vAlign w:val="center"/>
                </w:tcPr>
                <w:p w14:paraId="7CD3BAD7">
                  <w:pPr>
                    <w:snapToGrid w:val="0"/>
                    <w:spacing w:before="31" w:beforeLines="10" w:after="31" w:afterLines="10"/>
                    <w:jc w:val="center"/>
                    <w:rPr>
                      <w:color w:val="000000"/>
                      <w:szCs w:val="21"/>
                      <w:u w:val="none"/>
                    </w:rPr>
                  </w:pPr>
                  <w:r>
                    <w:rPr>
                      <w:rFonts w:hint="eastAsia"/>
                      <w:color w:val="000000"/>
                      <w:szCs w:val="21"/>
                      <w:u w:val="none"/>
                    </w:rPr>
                    <w:t>数量/规格</w:t>
                  </w:r>
                </w:p>
              </w:tc>
              <w:tc>
                <w:tcPr>
                  <w:tcW w:w="2035" w:type="dxa"/>
                  <w:noWrap w:val="0"/>
                  <w:vAlign w:val="center"/>
                </w:tcPr>
                <w:p w14:paraId="13976485">
                  <w:pPr>
                    <w:snapToGrid w:val="0"/>
                    <w:spacing w:before="31" w:beforeLines="10" w:after="31" w:afterLines="10"/>
                    <w:jc w:val="center"/>
                    <w:rPr>
                      <w:color w:val="000000"/>
                      <w:szCs w:val="21"/>
                      <w:u w:val="none"/>
                    </w:rPr>
                  </w:pPr>
                  <w:r>
                    <w:rPr>
                      <w:rFonts w:hint="eastAsia"/>
                      <w:color w:val="000000"/>
                      <w:szCs w:val="21"/>
                      <w:u w:val="none"/>
                    </w:rPr>
                    <w:t>投资（万元）</w:t>
                  </w:r>
                </w:p>
              </w:tc>
            </w:tr>
            <w:tr w14:paraId="57936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0" w:hRule="atLeast"/>
              </w:trPr>
              <w:tc>
                <w:tcPr>
                  <w:tcW w:w="632" w:type="dxa"/>
                  <w:vMerge w:val="restart"/>
                  <w:noWrap w:val="0"/>
                  <w:vAlign w:val="center"/>
                </w:tcPr>
                <w:p w14:paraId="7987900F">
                  <w:pPr>
                    <w:snapToGrid w:val="0"/>
                    <w:spacing w:before="31" w:beforeLines="10" w:after="31" w:afterLines="10"/>
                    <w:jc w:val="center"/>
                    <w:rPr>
                      <w:rFonts w:hint="eastAsia"/>
                      <w:color w:val="000000"/>
                      <w:szCs w:val="21"/>
                      <w:u w:val="none"/>
                    </w:rPr>
                  </w:pPr>
                  <w:r>
                    <w:rPr>
                      <w:rFonts w:hint="eastAsia"/>
                      <w:color w:val="000000"/>
                      <w:szCs w:val="21"/>
                      <w:u w:val="none"/>
                    </w:rPr>
                    <w:t>废气</w:t>
                  </w:r>
                </w:p>
              </w:tc>
              <w:tc>
                <w:tcPr>
                  <w:tcW w:w="3247" w:type="dxa"/>
                  <w:noWrap w:val="0"/>
                  <w:vAlign w:val="center"/>
                </w:tcPr>
                <w:p w14:paraId="0AFB1726">
                  <w:pPr>
                    <w:snapToGrid w:val="0"/>
                    <w:spacing w:before="31" w:beforeLines="10" w:after="31" w:afterLines="10"/>
                    <w:jc w:val="center"/>
                    <w:rPr>
                      <w:rFonts w:hint="eastAsia"/>
                      <w:color w:val="000000"/>
                      <w:szCs w:val="21"/>
                      <w:u w:val="none"/>
                    </w:rPr>
                  </w:pPr>
                  <w:r>
                    <w:rPr>
                      <w:rFonts w:hint="eastAsia"/>
                      <w:color w:val="000000"/>
                      <w:szCs w:val="21"/>
                      <w:u w:val="none"/>
                    </w:rPr>
                    <w:t>二级活性炭吸附+15m排气筒</w:t>
                  </w:r>
                </w:p>
              </w:tc>
              <w:tc>
                <w:tcPr>
                  <w:tcW w:w="2268" w:type="dxa"/>
                  <w:noWrap w:val="0"/>
                  <w:vAlign w:val="center"/>
                </w:tcPr>
                <w:p w14:paraId="166C9D98">
                  <w:pPr>
                    <w:snapToGrid w:val="0"/>
                    <w:spacing w:before="31" w:beforeLines="10" w:after="31" w:afterLines="10"/>
                    <w:jc w:val="center"/>
                    <w:rPr>
                      <w:rFonts w:hint="eastAsia"/>
                      <w:color w:val="000000"/>
                      <w:szCs w:val="21"/>
                      <w:u w:val="none"/>
                    </w:rPr>
                  </w:pPr>
                  <w:r>
                    <w:rPr>
                      <w:rFonts w:hint="eastAsia"/>
                      <w:color w:val="000000"/>
                      <w:szCs w:val="21"/>
                      <w:u w:val="none"/>
                      <w:lang w:val="en-US" w:eastAsia="zh-CN"/>
                    </w:rPr>
                    <w:t>1</w:t>
                  </w:r>
                  <w:r>
                    <w:rPr>
                      <w:rFonts w:hint="eastAsia"/>
                      <w:color w:val="000000"/>
                      <w:szCs w:val="21"/>
                      <w:u w:val="none"/>
                    </w:rPr>
                    <w:t>套</w:t>
                  </w:r>
                </w:p>
              </w:tc>
              <w:tc>
                <w:tcPr>
                  <w:tcW w:w="2035" w:type="dxa"/>
                  <w:noWrap w:val="0"/>
                  <w:vAlign w:val="center"/>
                </w:tcPr>
                <w:p w14:paraId="2B2BEC04">
                  <w:pPr>
                    <w:snapToGrid w:val="0"/>
                    <w:spacing w:before="31" w:beforeLines="10" w:after="31" w:afterLines="10"/>
                    <w:jc w:val="center"/>
                    <w:rPr>
                      <w:rFonts w:hint="eastAsia" w:eastAsia="宋体"/>
                      <w:color w:val="000000"/>
                      <w:szCs w:val="21"/>
                      <w:u w:val="none"/>
                      <w:lang w:eastAsia="zh-CN"/>
                    </w:rPr>
                  </w:pPr>
                  <w:r>
                    <w:rPr>
                      <w:rFonts w:hint="eastAsia"/>
                      <w:color w:val="000000"/>
                      <w:szCs w:val="21"/>
                      <w:u w:val="none"/>
                      <w:lang w:val="en-US" w:eastAsia="zh-CN"/>
                    </w:rPr>
                    <w:t>3</w:t>
                  </w:r>
                </w:p>
              </w:tc>
            </w:tr>
            <w:tr w14:paraId="26947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0" w:hRule="atLeast"/>
              </w:trPr>
              <w:tc>
                <w:tcPr>
                  <w:tcW w:w="632" w:type="dxa"/>
                  <w:vMerge w:val="continue"/>
                  <w:noWrap w:val="0"/>
                  <w:vAlign w:val="center"/>
                </w:tcPr>
                <w:p w14:paraId="5B2788C9">
                  <w:pPr>
                    <w:snapToGrid w:val="0"/>
                    <w:spacing w:before="31" w:beforeLines="10" w:after="31" w:afterLines="10"/>
                    <w:jc w:val="center"/>
                    <w:rPr>
                      <w:rFonts w:hint="eastAsia"/>
                      <w:color w:val="000000"/>
                      <w:szCs w:val="21"/>
                      <w:u w:val="none"/>
                    </w:rPr>
                  </w:pPr>
                </w:p>
              </w:tc>
              <w:tc>
                <w:tcPr>
                  <w:tcW w:w="3247" w:type="dxa"/>
                  <w:noWrap w:val="0"/>
                  <w:vAlign w:val="center"/>
                </w:tcPr>
                <w:p w14:paraId="79251DE4">
                  <w:pPr>
                    <w:snapToGrid w:val="0"/>
                    <w:spacing w:before="31" w:beforeLines="10" w:after="31" w:afterLines="10"/>
                    <w:jc w:val="center"/>
                    <w:rPr>
                      <w:rFonts w:hint="eastAsia" w:eastAsia="宋体"/>
                      <w:color w:val="000000"/>
                      <w:szCs w:val="21"/>
                      <w:u w:val="none"/>
                      <w:lang w:val="en-US" w:eastAsia="zh-CN"/>
                    </w:rPr>
                  </w:pPr>
                  <w:r>
                    <w:rPr>
                      <w:rFonts w:hint="eastAsia"/>
                      <w:color w:val="000000"/>
                      <w:szCs w:val="21"/>
                      <w:u w:val="none"/>
                      <w:lang w:val="en-US" w:eastAsia="zh-CN"/>
                    </w:rPr>
                    <w:t>袋式除尘器</w:t>
                  </w:r>
                  <w:r>
                    <w:rPr>
                      <w:rFonts w:hint="eastAsia"/>
                      <w:color w:val="000000"/>
                      <w:szCs w:val="21"/>
                      <w:u w:val="none"/>
                    </w:rPr>
                    <w:t>+15m排气筒</w:t>
                  </w:r>
                </w:p>
              </w:tc>
              <w:tc>
                <w:tcPr>
                  <w:tcW w:w="2268" w:type="dxa"/>
                  <w:noWrap w:val="0"/>
                  <w:vAlign w:val="center"/>
                </w:tcPr>
                <w:p w14:paraId="40AEF898">
                  <w:pPr>
                    <w:snapToGrid w:val="0"/>
                    <w:spacing w:before="31" w:beforeLines="10" w:after="31" w:afterLines="10"/>
                    <w:jc w:val="center"/>
                    <w:rPr>
                      <w:rFonts w:hint="eastAsia"/>
                      <w:color w:val="000000"/>
                      <w:szCs w:val="21"/>
                      <w:u w:val="none"/>
                    </w:rPr>
                  </w:pPr>
                  <w:r>
                    <w:rPr>
                      <w:rFonts w:hint="eastAsia"/>
                      <w:color w:val="000000"/>
                      <w:szCs w:val="21"/>
                      <w:u w:val="none"/>
                      <w:lang w:val="en-US" w:eastAsia="zh-CN"/>
                    </w:rPr>
                    <w:t>1</w:t>
                  </w:r>
                  <w:r>
                    <w:rPr>
                      <w:rFonts w:hint="eastAsia"/>
                      <w:color w:val="000000"/>
                      <w:szCs w:val="21"/>
                      <w:u w:val="none"/>
                    </w:rPr>
                    <w:t>套</w:t>
                  </w:r>
                </w:p>
              </w:tc>
              <w:tc>
                <w:tcPr>
                  <w:tcW w:w="2035" w:type="dxa"/>
                  <w:noWrap w:val="0"/>
                  <w:vAlign w:val="center"/>
                </w:tcPr>
                <w:p w14:paraId="3FA83345">
                  <w:pPr>
                    <w:snapToGrid w:val="0"/>
                    <w:spacing w:before="31" w:beforeLines="10" w:after="31" w:afterLines="10"/>
                    <w:jc w:val="center"/>
                    <w:rPr>
                      <w:rFonts w:hint="eastAsia" w:eastAsia="宋体"/>
                      <w:color w:val="000000"/>
                      <w:szCs w:val="21"/>
                      <w:u w:val="none"/>
                      <w:lang w:eastAsia="zh-CN"/>
                    </w:rPr>
                  </w:pPr>
                  <w:r>
                    <w:rPr>
                      <w:rFonts w:hint="eastAsia"/>
                      <w:color w:val="000000"/>
                      <w:szCs w:val="21"/>
                      <w:u w:val="none"/>
                      <w:lang w:val="en-US" w:eastAsia="zh-CN"/>
                    </w:rPr>
                    <w:t>2</w:t>
                  </w:r>
                </w:p>
              </w:tc>
            </w:tr>
            <w:tr w14:paraId="1D32F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0" w:hRule="atLeast"/>
              </w:trPr>
              <w:tc>
                <w:tcPr>
                  <w:tcW w:w="632" w:type="dxa"/>
                  <w:noWrap w:val="0"/>
                  <w:vAlign w:val="center"/>
                </w:tcPr>
                <w:p w14:paraId="5B21C22D">
                  <w:pPr>
                    <w:snapToGrid w:val="0"/>
                    <w:spacing w:before="31" w:beforeLines="10" w:after="31" w:afterLines="10"/>
                    <w:jc w:val="center"/>
                    <w:rPr>
                      <w:rFonts w:hint="eastAsia"/>
                      <w:color w:val="000000"/>
                      <w:szCs w:val="21"/>
                      <w:u w:val="none"/>
                    </w:rPr>
                  </w:pPr>
                  <w:r>
                    <w:rPr>
                      <w:rFonts w:hint="eastAsia"/>
                      <w:color w:val="000000"/>
                      <w:szCs w:val="21"/>
                      <w:u w:val="none"/>
                    </w:rPr>
                    <w:t>废水</w:t>
                  </w:r>
                </w:p>
              </w:tc>
              <w:tc>
                <w:tcPr>
                  <w:tcW w:w="3247" w:type="dxa"/>
                  <w:noWrap w:val="0"/>
                  <w:vAlign w:val="center"/>
                </w:tcPr>
                <w:p w14:paraId="35F02A00">
                  <w:pPr>
                    <w:snapToGrid w:val="0"/>
                    <w:spacing w:before="31" w:beforeLines="10" w:after="31" w:afterLines="10"/>
                    <w:jc w:val="center"/>
                    <w:rPr>
                      <w:color w:val="000000"/>
                      <w:szCs w:val="21"/>
                      <w:u w:val="none"/>
                    </w:rPr>
                  </w:pPr>
                  <w:r>
                    <w:rPr>
                      <w:rFonts w:hint="eastAsia"/>
                      <w:color w:val="000000"/>
                      <w:szCs w:val="21"/>
                      <w:u w:val="none"/>
                    </w:rPr>
                    <w:t>化粪池</w:t>
                  </w:r>
                </w:p>
              </w:tc>
              <w:tc>
                <w:tcPr>
                  <w:tcW w:w="2268" w:type="dxa"/>
                  <w:noWrap w:val="0"/>
                  <w:vAlign w:val="center"/>
                </w:tcPr>
                <w:p w14:paraId="47565DE0">
                  <w:pPr>
                    <w:snapToGrid w:val="0"/>
                    <w:spacing w:before="31" w:beforeLines="10" w:after="31" w:afterLines="10"/>
                    <w:jc w:val="center"/>
                    <w:rPr>
                      <w:rFonts w:hint="eastAsia"/>
                      <w:color w:val="000000"/>
                      <w:szCs w:val="21"/>
                      <w:u w:val="none"/>
                    </w:rPr>
                  </w:pPr>
                  <w:r>
                    <w:rPr>
                      <w:rFonts w:hint="eastAsia"/>
                      <w:color w:val="000000"/>
                      <w:szCs w:val="21"/>
                      <w:u w:val="none"/>
                    </w:rPr>
                    <w:t>1个，</w:t>
                  </w:r>
                  <w:r>
                    <w:rPr>
                      <w:rFonts w:hint="eastAsia"/>
                      <w:color w:val="000000"/>
                      <w:szCs w:val="21"/>
                      <w:u w:val="none"/>
                      <w:lang w:val="en-US" w:eastAsia="zh-CN"/>
                    </w:rPr>
                    <w:t>10</w:t>
                  </w:r>
                  <w:r>
                    <w:rPr>
                      <w:rFonts w:hint="eastAsia"/>
                      <w:color w:val="000000"/>
                      <w:szCs w:val="21"/>
                      <w:u w:val="none"/>
                    </w:rPr>
                    <w:t>m</w:t>
                  </w:r>
                  <w:r>
                    <w:rPr>
                      <w:rFonts w:hint="eastAsia"/>
                      <w:color w:val="000000"/>
                      <w:szCs w:val="21"/>
                      <w:u w:val="none"/>
                      <w:vertAlign w:val="superscript"/>
                    </w:rPr>
                    <w:t>3</w:t>
                  </w:r>
                </w:p>
              </w:tc>
              <w:tc>
                <w:tcPr>
                  <w:tcW w:w="2035" w:type="dxa"/>
                  <w:noWrap w:val="0"/>
                  <w:vAlign w:val="center"/>
                </w:tcPr>
                <w:p w14:paraId="032509CC">
                  <w:pPr>
                    <w:snapToGrid w:val="0"/>
                    <w:spacing w:before="31" w:beforeLines="10" w:after="31" w:afterLines="10"/>
                    <w:jc w:val="center"/>
                    <w:rPr>
                      <w:rFonts w:hint="eastAsia"/>
                      <w:color w:val="000000"/>
                      <w:szCs w:val="21"/>
                      <w:u w:val="none"/>
                    </w:rPr>
                  </w:pPr>
                  <w:r>
                    <w:rPr>
                      <w:rFonts w:hint="eastAsia"/>
                      <w:color w:val="000000"/>
                      <w:szCs w:val="21"/>
                      <w:u w:val="none"/>
                    </w:rPr>
                    <w:t>依托厂区内现有设施</w:t>
                  </w:r>
                </w:p>
              </w:tc>
            </w:tr>
            <w:tr w14:paraId="34934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0" w:hRule="atLeast"/>
              </w:trPr>
              <w:tc>
                <w:tcPr>
                  <w:tcW w:w="632" w:type="dxa"/>
                  <w:vMerge w:val="restart"/>
                  <w:noWrap w:val="0"/>
                  <w:vAlign w:val="center"/>
                </w:tcPr>
                <w:p w14:paraId="770DA021">
                  <w:pPr>
                    <w:snapToGrid w:val="0"/>
                    <w:spacing w:before="31" w:beforeLines="10" w:after="31" w:afterLines="10"/>
                    <w:jc w:val="center"/>
                    <w:rPr>
                      <w:rFonts w:hint="eastAsia"/>
                      <w:color w:val="000000"/>
                      <w:szCs w:val="21"/>
                      <w:u w:val="none"/>
                    </w:rPr>
                  </w:pPr>
                  <w:r>
                    <w:rPr>
                      <w:rFonts w:hint="eastAsia"/>
                      <w:color w:val="000000"/>
                      <w:szCs w:val="21"/>
                      <w:u w:val="none"/>
                    </w:rPr>
                    <w:t>固废</w:t>
                  </w:r>
                </w:p>
              </w:tc>
              <w:tc>
                <w:tcPr>
                  <w:tcW w:w="3247" w:type="dxa"/>
                  <w:noWrap w:val="0"/>
                  <w:vAlign w:val="center"/>
                </w:tcPr>
                <w:p w14:paraId="4947044E">
                  <w:pPr>
                    <w:snapToGrid w:val="0"/>
                    <w:spacing w:before="31" w:beforeLines="10" w:after="31" w:afterLines="10"/>
                    <w:jc w:val="center"/>
                    <w:rPr>
                      <w:rFonts w:hint="eastAsia"/>
                      <w:color w:val="000000"/>
                      <w:szCs w:val="21"/>
                      <w:u w:val="none"/>
                    </w:rPr>
                  </w:pPr>
                  <w:r>
                    <w:rPr>
                      <w:rFonts w:hint="eastAsia"/>
                      <w:color w:val="000000"/>
                      <w:szCs w:val="21"/>
                      <w:u w:val="none"/>
                    </w:rPr>
                    <w:t>垃圾桶</w:t>
                  </w:r>
                </w:p>
              </w:tc>
              <w:tc>
                <w:tcPr>
                  <w:tcW w:w="2268" w:type="dxa"/>
                  <w:noWrap w:val="0"/>
                  <w:vAlign w:val="center"/>
                </w:tcPr>
                <w:p w14:paraId="74034977">
                  <w:pPr>
                    <w:snapToGrid w:val="0"/>
                    <w:spacing w:before="31" w:beforeLines="10" w:after="31" w:afterLines="10"/>
                    <w:jc w:val="center"/>
                    <w:rPr>
                      <w:rFonts w:hint="eastAsia"/>
                      <w:color w:val="000000"/>
                      <w:szCs w:val="21"/>
                      <w:u w:val="none"/>
                    </w:rPr>
                  </w:pPr>
                  <w:r>
                    <w:rPr>
                      <w:rFonts w:hint="eastAsia"/>
                      <w:color w:val="000000"/>
                      <w:szCs w:val="21"/>
                      <w:u w:val="none"/>
                    </w:rPr>
                    <w:t>若干</w:t>
                  </w:r>
                </w:p>
              </w:tc>
              <w:tc>
                <w:tcPr>
                  <w:tcW w:w="2035" w:type="dxa"/>
                  <w:noWrap w:val="0"/>
                  <w:vAlign w:val="center"/>
                </w:tcPr>
                <w:p w14:paraId="28B48859">
                  <w:pPr>
                    <w:snapToGrid w:val="0"/>
                    <w:spacing w:before="31" w:beforeLines="10" w:after="31" w:afterLines="10"/>
                    <w:jc w:val="center"/>
                    <w:rPr>
                      <w:rFonts w:hint="default" w:eastAsia="宋体"/>
                      <w:color w:val="000000"/>
                      <w:szCs w:val="21"/>
                      <w:u w:val="none"/>
                      <w:lang w:val="en-US" w:eastAsia="zh-CN"/>
                    </w:rPr>
                  </w:pPr>
                  <w:r>
                    <w:rPr>
                      <w:rFonts w:hint="eastAsia"/>
                      <w:color w:val="000000"/>
                      <w:szCs w:val="21"/>
                      <w:u w:val="none"/>
                      <w:lang w:val="en-US" w:eastAsia="zh-CN"/>
                    </w:rPr>
                    <w:t>0.1</w:t>
                  </w:r>
                </w:p>
              </w:tc>
            </w:tr>
            <w:tr w14:paraId="263DE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0" w:hRule="atLeast"/>
              </w:trPr>
              <w:tc>
                <w:tcPr>
                  <w:tcW w:w="632" w:type="dxa"/>
                  <w:vMerge w:val="continue"/>
                  <w:noWrap w:val="0"/>
                  <w:vAlign w:val="center"/>
                </w:tcPr>
                <w:p w14:paraId="495E5965">
                  <w:pPr>
                    <w:snapToGrid w:val="0"/>
                    <w:spacing w:before="31" w:beforeLines="10" w:after="31" w:afterLines="10"/>
                    <w:jc w:val="center"/>
                    <w:rPr>
                      <w:rFonts w:hint="eastAsia"/>
                      <w:color w:val="000000"/>
                      <w:szCs w:val="21"/>
                      <w:u w:val="none"/>
                    </w:rPr>
                  </w:pPr>
                </w:p>
              </w:tc>
              <w:tc>
                <w:tcPr>
                  <w:tcW w:w="3247" w:type="dxa"/>
                  <w:noWrap w:val="0"/>
                  <w:vAlign w:val="center"/>
                </w:tcPr>
                <w:p w14:paraId="2A34AEFF">
                  <w:pPr>
                    <w:snapToGrid w:val="0"/>
                    <w:spacing w:before="31" w:beforeLines="10" w:after="31" w:afterLines="10"/>
                    <w:jc w:val="center"/>
                    <w:rPr>
                      <w:rFonts w:hint="eastAsia"/>
                      <w:color w:val="000000"/>
                      <w:szCs w:val="21"/>
                      <w:u w:val="none"/>
                    </w:rPr>
                  </w:pPr>
                  <w:r>
                    <w:rPr>
                      <w:rFonts w:hint="eastAsia"/>
                      <w:color w:val="000000"/>
                      <w:szCs w:val="21"/>
                      <w:u w:val="none"/>
                    </w:rPr>
                    <w:t>一般固废暂存区</w:t>
                  </w:r>
                </w:p>
              </w:tc>
              <w:tc>
                <w:tcPr>
                  <w:tcW w:w="2268" w:type="dxa"/>
                  <w:noWrap w:val="0"/>
                  <w:vAlign w:val="center"/>
                </w:tcPr>
                <w:p w14:paraId="29B810FA">
                  <w:pPr>
                    <w:snapToGrid w:val="0"/>
                    <w:spacing w:before="31" w:beforeLines="10" w:after="31" w:afterLines="10"/>
                    <w:jc w:val="center"/>
                    <w:rPr>
                      <w:rFonts w:hint="eastAsia"/>
                      <w:color w:val="000000"/>
                      <w:szCs w:val="21"/>
                      <w:u w:val="none"/>
                      <w:vertAlign w:val="superscript"/>
                    </w:rPr>
                  </w:pPr>
                  <w:r>
                    <w:rPr>
                      <w:rFonts w:hint="eastAsia"/>
                      <w:color w:val="000000"/>
                      <w:szCs w:val="21"/>
                      <w:u w:val="none"/>
                    </w:rPr>
                    <w:t>10m</w:t>
                  </w:r>
                  <w:r>
                    <w:rPr>
                      <w:rFonts w:hint="eastAsia"/>
                      <w:color w:val="000000"/>
                      <w:szCs w:val="21"/>
                      <w:u w:val="none"/>
                      <w:vertAlign w:val="superscript"/>
                    </w:rPr>
                    <w:t>2</w:t>
                  </w:r>
                </w:p>
              </w:tc>
              <w:tc>
                <w:tcPr>
                  <w:tcW w:w="2035" w:type="dxa"/>
                  <w:noWrap w:val="0"/>
                  <w:vAlign w:val="center"/>
                </w:tcPr>
                <w:p w14:paraId="4CBE001D">
                  <w:pPr>
                    <w:snapToGrid w:val="0"/>
                    <w:spacing w:before="31" w:beforeLines="10" w:after="31" w:afterLines="10"/>
                    <w:jc w:val="center"/>
                    <w:rPr>
                      <w:color w:val="000000"/>
                      <w:szCs w:val="21"/>
                      <w:u w:val="none"/>
                    </w:rPr>
                  </w:pPr>
                  <w:r>
                    <w:rPr>
                      <w:rFonts w:hint="eastAsia"/>
                      <w:color w:val="000000"/>
                      <w:szCs w:val="21"/>
                      <w:u w:val="none"/>
                    </w:rPr>
                    <w:t>0.1</w:t>
                  </w:r>
                </w:p>
              </w:tc>
            </w:tr>
            <w:tr w14:paraId="07768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0" w:hRule="atLeast"/>
              </w:trPr>
              <w:tc>
                <w:tcPr>
                  <w:tcW w:w="632" w:type="dxa"/>
                  <w:vMerge w:val="continue"/>
                  <w:noWrap w:val="0"/>
                  <w:vAlign w:val="center"/>
                </w:tcPr>
                <w:p w14:paraId="710B4E7C">
                  <w:pPr>
                    <w:snapToGrid w:val="0"/>
                    <w:spacing w:before="31" w:beforeLines="10" w:after="31" w:afterLines="10"/>
                    <w:jc w:val="center"/>
                    <w:rPr>
                      <w:rFonts w:hint="eastAsia"/>
                      <w:color w:val="000000"/>
                      <w:szCs w:val="21"/>
                      <w:u w:val="none"/>
                    </w:rPr>
                  </w:pPr>
                </w:p>
              </w:tc>
              <w:tc>
                <w:tcPr>
                  <w:tcW w:w="3247" w:type="dxa"/>
                  <w:noWrap w:val="0"/>
                  <w:vAlign w:val="center"/>
                </w:tcPr>
                <w:p w14:paraId="1C2C04D2">
                  <w:pPr>
                    <w:snapToGrid w:val="0"/>
                    <w:spacing w:before="31" w:beforeLines="10" w:after="31" w:afterLines="10"/>
                    <w:jc w:val="center"/>
                    <w:rPr>
                      <w:rFonts w:hint="eastAsia"/>
                      <w:color w:val="000000"/>
                      <w:szCs w:val="21"/>
                      <w:u w:val="none"/>
                    </w:rPr>
                  </w:pPr>
                  <w:r>
                    <w:rPr>
                      <w:rFonts w:hint="eastAsia"/>
                      <w:color w:val="000000"/>
                      <w:szCs w:val="21"/>
                      <w:u w:val="none"/>
                    </w:rPr>
                    <w:t>危废暂存间</w:t>
                  </w:r>
                </w:p>
              </w:tc>
              <w:tc>
                <w:tcPr>
                  <w:tcW w:w="2268" w:type="dxa"/>
                  <w:noWrap w:val="0"/>
                  <w:vAlign w:val="center"/>
                </w:tcPr>
                <w:p w14:paraId="6DE41E5F">
                  <w:pPr>
                    <w:snapToGrid w:val="0"/>
                    <w:spacing w:before="31" w:beforeLines="10" w:after="31" w:afterLines="10"/>
                    <w:jc w:val="center"/>
                    <w:rPr>
                      <w:rFonts w:hint="eastAsia"/>
                      <w:color w:val="000000"/>
                      <w:szCs w:val="21"/>
                      <w:u w:val="none"/>
                      <w:vertAlign w:val="superscript"/>
                    </w:rPr>
                  </w:pPr>
                  <w:r>
                    <w:rPr>
                      <w:rFonts w:hint="eastAsia"/>
                      <w:color w:val="000000"/>
                      <w:szCs w:val="21"/>
                      <w:u w:val="none"/>
                      <w:lang w:val="en-US" w:eastAsia="zh-CN"/>
                    </w:rPr>
                    <w:t>10</w:t>
                  </w:r>
                  <w:r>
                    <w:rPr>
                      <w:rFonts w:hint="eastAsia"/>
                      <w:color w:val="000000"/>
                      <w:szCs w:val="21"/>
                      <w:u w:val="none"/>
                    </w:rPr>
                    <w:t>m</w:t>
                  </w:r>
                  <w:r>
                    <w:rPr>
                      <w:rFonts w:hint="eastAsia"/>
                      <w:color w:val="000000"/>
                      <w:szCs w:val="21"/>
                      <w:u w:val="none"/>
                      <w:vertAlign w:val="superscript"/>
                    </w:rPr>
                    <w:t>2</w:t>
                  </w:r>
                </w:p>
                <w:p w14:paraId="6D9347FE">
                  <w:pPr>
                    <w:snapToGrid w:val="0"/>
                    <w:spacing w:before="31" w:beforeLines="10" w:after="31" w:afterLines="10"/>
                    <w:jc w:val="center"/>
                    <w:rPr>
                      <w:rFonts w:hint="eastAsia"/>
                      <w:color w:val="000000"/>
                      <w:szCs w:val="21"/>
                      <w:u w:val="none"/>
                      <w:vertAlign w:val="superscript"/>
                    </w:rPr>
                  </w:pPr>
                </w:p>
              </w:tc>
              <w:tc>
                <w:tcPr>
                  <w:tcW w:w="2035" w:type="dxa"/>
                  <w:noWrap w:val="0"/>
                  <w:vAlign w:val="center"/>
                </w:tcPr>
                <w:p w14:paraId="2CF3E17C">
                  <w:pPr>
                    <w:snapToGrid w:val="0"/>
                    <w:spacing w:before="31" w:beforeLines="10" w:after="31" w:afterLines="10"/>
                    <w:jc w:val="center"/>
                    <w:rPr>
                      <w:rFonts w:hint="default" w:eastAsia="宋体"/>
                      <w:color w:val="000000"/>
                      <w:szCs w:val="21"/>
                      <w:u w:val="none"/>
                      <w:lang w:val="en-US" w:eastAsia="zh-CN"/>
                    </w:rPr>
                  </w:pPr>
                  <w:r>
                    <w:rPr>
                      <w:rFonts w:hint="eastAsia"/>
                      <w:color w:val="000000"/>
                      <w:szCs w:val="21"/>
                      <w:u w:val="none"/>
                      <w:lang w:val="en-US" w:eastAsia="zh-CN"/>
                    </w:rPr>
                    <w:t>0.5</w:t>
                  </w:r>
                </w:p>
              </w:tc>
            </w:tr>
            <w:tr w14:paraId="38C02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09" w:hRule="atLeast"/>
              </w:trPr>
              <w:tc>
                <w:tcPr>
                  <w:tcW w:w="3879" w:type="dxa"/>
                  <w:gridSpan w:val="2"/>
                  <w:noWrap w:val="0"/>
                  <w:vAlign w:val="center"/>
                </w:tcPr>
                <w:p w14:paraId="1BAF98BB">
                  <w:pPr>
                    <w:snapToGrid w:val="0"/>
                    <w:spacing w:before="31" w:beforeLines="10" w:after="31" w:afterLines="10"/>
                    <w:jc w:val="center"/>
                    <w:rPr>
                      <w:rFonts w:hint="eastAsia"/>
                      <w:color w:val="000000"/>
                      <w:szCs w:val="21"/>
                      <w:u w:val="none"/>
                    </w:rPr>
                  </w:pPr>
                  <w:r>
                    <w:rPr>
                      <w:rFonts w:hint="eastAsia"/>
                      <w:color w:val="000000"/>
                      <w:szCs w:val="21"/>
                      <w:u w:val="none"/>
                    </w:rPr>
                    <w:t>合计</w:t>
                  </w:r>
                </w:p>
              </w:tc>
              <w:tc>
                <w:tcPr>
                  <w:tcW w:w="2268" w:type="dxa"/>
                  <w:noWrap w:val="0"/>
                  <w:vAlign w:val="center"/>
                </w:tcPr>
                <w:p w14:paraId="184B5546">
                  <w:pPr>
                    <w:snapToGrid w:val="0"/>
                    <w:spacing w:before="31" w:beforeLines="10" w:after="31" w:afterLines="10"/>
                    <w:jc w:val="center"/>
                    <w:rPr>
                      <w:rFonts w:hint="eastAsia"/>
                      <w:color w:val="000000"/>
                      <w:szCs w:val="21"/>
                      <w:u w:val="none"/>
                    </w:rPr>
                  </w:pPr>
                  <w:r>
                    <w:rPr>
                      <w:rFonts w:hint="eastAsia"/>
                      <w:color w:val="000000"/>
                      <w:szCs w:val="21"/>
                      <w:u w:val="none"/>
                    </w:rPr>
                    <w:t>/</w:t>
                  </w:r>
                </w:p>
              </w:tc>
              <w:tc>
                <w:tcPr>
                  <w:tcW w:w="2035" w:type="dxa"/>
                  <w:noWrap w:val="0"/>
                  <w:vAlign w:val="center"/>
                </w:tcPr>
                <w:p w14:paraId="3049A588">
                  <w:pPr>
                    <w:snapToGrid w:val="0"/>
                    <w:spacing w:before="31" w:beforeLines="10" w:after="31" w:afterLines="10"/>
                    <w:jc w:val="center"/>
                    <w:rPr>
                      <w:rFonts w:hint="default" w:eastAsia="宋体"/>
                      <w:color w:val="000000"/>
                      <w:szCs w:val="21"/>
                      <w:u w:val="none"/>
                      <w:lang w:val="en-US" w:eastAsia="zh-CN"/>
                    </w:rPr>
                  </w:pPr>
                  <w:r>
                    <w:rPr>
                      <w:rFonts w:hint="eastAsia"/>
                      <w:color w:val="000000"/>
                      <w:szCs w:val="21"/>
                      <w:u w:val="none"/>
                      <w:lang w:val="en-US" w:eastAsia="zh-CN"/>
                    </w:rPr>
                    <w:t>5.7</w:t>
                  </w:r>
                </w:p>
              </w:tc>
            </w:tr>
          </w:tbl>
          <w:p w14:paraId="11632C9F">
            <w:pPr>
              <w:snapToGrid w:val="0"/>
              <w:rPr>
                <w:rFonts w:hint="eastAsia"/>
                <w:color w:val="000000"/>
                <w:sz w:val="24"/>
                <w:szCs w:val="24"/>
              </w:rPr>
            </w:pPr>
          </w:p>
          <w:p w14:paraId="6D6D43F8">
            <w:pPr>
              <w:snapToGrid w:val="0"/>
              <w:rPr>
                <w:rFonts w:hint="eastAsia"/>
                <w:color w:val="000000"/>
                <w:sz w:val="24"/>
                <w:szCs w:val="24"/>
              </w:rPr>
            </w:pPr>
          </w:p>
          <w:p w14:paraId="71ABC88D">
            <w:pPr>
              <w:snapToGrid w:val="0"/>
              <w:rPr>
                <w:rFonts w:hint="eastAsia"/>
                <w:color w:val="000000"/>
                <w:sz w:val="24"/>
                <w:szCs w:val="24"/>
              </w:rPr>
            </w:pPr>
          </w:p>
          <w:p w14:paraId="711EC18A">
            <w:pPr>
              <w:snapToGrid w:val="0"/>
              <w:rPr>
                <w:rFonts w:hint="eastAsia"/>
                <w:color w:val="000000"/>
                <w:sz w:val="24"/>
                <w:szCs w:val="24"/>
              </w:rPr>
            </w:pPr>
          </w:p>
          <w:p w14:paraId="54EE04FA">
            <w:pPr>
              <w:snapToGrid w:val="0"/>
              <w:rPr>
                <w:rFonts w:hint="eastAsia"/>
                <w:color w:val="000000"/>
                <w:sz w:val="24"/>
                <w:szCs w:val="24"/>
              </w:rPr>
            </w:pPr>
          </w:p>
          <w:p w14:paraId="276FB174">
            <w:pPr>
              <w:snapToGrid w:val="0"/>
              <w:rPr>
                <w:rFonts w:hint="eastAsia"/>
                <w:color w:val="000000"/>
                <w:sz w:val="24"/>
                <w:szCs w:val="24"/>
              </w:rPr>
            </w:pPr>
          </w:p>
          <w:p w14:paraId="239984B8">
            <w:pPr>
              <w:snapToGrid w:val="0"/>
              <w:rPr>
                <w:rFonts w:hint="eastAsia"/>
                <w:color w:val="000000"/>
                <w:sz w:val="24"/>
                <w:szCs w:val="24"/>
              </w:rPr>
            </w:pPr>
          </w:p>
          <w:p w14:paraId="1F6D0274">
            <w:pPr>
              <w:snapToGrid w:val="0"/>
              <w:rPr>
                <w:rFonts w:hint="eastAsia"/>
                <w:color w:val="000000"/>
                <w:sz w:val="24"/>
                <w:szCs w:val="24"/>
              </w:rPr>
            </w:pPr>
          </w:p>
          <w:p w14:paraId="30D49AEA">
            <w:pPr>
              <w:snapToGrid w:val="0"/>
              <w:rPr>
                <w:rFonts w:hint="eastAsia"/>
                <w:color w:val="000000"/>
                <w:sz w:val="24"/>
                <w:szCs w:val="24"/>
              </w:rPr>
            </w:pPr>
          </w:p>
          <w:p w14:paraId="4EE2D835">
            <w:pPr>
              <w:snapToGrid w:val="0"/>
              <w:rPr>
                <w:rFonts w:hint="eastAsia"/>
                <w:color w:val="000000"/>
                <w:sz w:val="24"/>
                <w:szCs w:val="24"/>
              </w:rPr>
            </w:pPr>
          </w:p>
          <w:p w14:paraId="75ECA380">
            <w:pPr>
              <w:snapToGrid w:val="0"/>
              <w:rPr>
                <w:rFonts w:hint="eastAsia"/>
                <w:color w:val="000000"/>
                <w:sz w:val="24"/>
                <w:szCs w:val="24"/>
              </w:rPr>
            </w:pPr>
          </w:p>
          <w:p w14:paraId="295873C9">
            <w:pPr>
              <w:snapToGrid w:val="0"/>
              <w:rPr>
                <w:rFonts w:hint="eastAsia"/>
                <w:color w:val="000000"/>
                <w:sz w:val="24"/>
                <w:szCs w:val="24"/>
              </w:rPr>
            </w:pPr>
          </w:p>
          <w:p w14:paraId="5983342C">
            <w:pPr>
              <w:snapToGrid w:val="0"/>
              <w:rPr>
                <w:rFonts w:hint="eastAsia"/>
                <w:color w:val="000000"/>
                <w:sz w:val="24"/>
                <w:szCs w:val="24"/>
              </w:rPr>
            </w:pPr>
          </w:p>
          <w:p w14:paraId="7AB15F80">
            <w:pPr>
              <w:snapToGrid w:val="0"/>
              <w:rPr>
                <w:rFonts w:hint="eastAsia"/>
                <w:color w:val="000000"/>
                <w:sz w:val="24"/>
                <w:szCs w:val="24"/>
              </w:rPr>
            </w:pPr>
          </w:p>
          <w:p w14:paraId="4DDC2917">
            <w:pPr>
              <w:snapToGrid w:val="0"/>
              <w:rPr>
                <w:rFonts w:hint="eastAsia"/>
                <w:color w:val="000000"/>
                <w:sz w:val="24"/>
                <w:szCs w:val="24"/>
              </w:rPr>
            </w:pPr>
          </w:p>
          <w:p w14:paraId="700E6CFA">
            <w:pPr>
              <w:snapToGrid w:val="0"/>
              <w:rPr>
                <w:rFonts w:hint="eastAsia"/>
                <w:color w:val="000000"/>
                <w:sz w:val="24"/>
                <w:szCs w:val="24"/>
              </w:rPr>
            </w:pPr>
          </w:p>
          <w:p w14:paraId="43670266">
            <w:pPr>
              <w:snapToGrid w:val="0"/>
              <w:rPr>
                <w:rFonts w:hint="eastAsia"/>
                <w:color w:val="000000"/>
                <w:sz w:val="24"/>
                <w:szCs w:val="24"/>
              </w:rPr>
            </w:pPr>
          </w:p>
          <w:p w14:paraId="1D16D872">
            <w:pPr>
              <w:snapToGrid w:val="0"/>
              <w:rPr>
                <w:rFonts w:hint="eastAsia"/>
                <w:color w:val="000000"/>
                <w:sz w:val="24"/>
                <w:szCs w:val="24"/>
              </w:rPr>
            </w:pPr>
          </w:p>
          <w:p w14:paraId="68D52B3D">
            <w:pPr>
              <w:snapToGrid w:val="0"/>
              <w:rPr>
                <w:rFonts w:hint="eastAsia"/>
                <w:color w:val="000000"/>
                <w:sz w:val="24"/>
                <w:szCs w:val="24"/>
              </w:rPr>
            </w:pPr>
          </w:p>
          <w:p w14:paraId="66AC4217">
            <w:pPr>
              <w:snapToGrid w:val="0"/>
              <w:rPr>
                <w:rFonts w:hint="eastAsia"/>
                <w:color w:val="000000"/>
                <w:sz w:val="24"/>
                <w:szCs w:val="24"/>
              </w:rPr>
            </w:pPr>
          </w:p>
          <w:p w14:paraId="22BB6713">
            <w:pPr>
              <w:snapToGrid w:val="0"/>
              <w:rPr>
                <w:rFonts w:hint="eastAsia"/>
                <w:color w:val="000000"/>
                <w:sz w:val="24"/>
                <w:szCs w:val="24"/>
              </w:rPr>
            </w:pPr>
          </w:p>
          <w:p w14:paraId="1932828F">
            <w:pPr>
              <w:snapToGrid w:val="0"/>
              <w:rPr>
                <w:rFonts w:hint="eastAsia"/>
                <w:color w:val="000000"/>
                <w:sz w:val="24"/>
                <w:szCs w:val="24"/>
              </w:rPr>
            </w:pPr>
          </w:p>
          <w:p w14:paraId="7876040B">
            <w:pPr>
              <w:snapToGrid w:val="0"/>
              <w:rPr>
                <w:rFonts w:hint="eastAsia"/>
                <w:color w:val="000000"/>
                <w:sz w:val="24"/>
                <w:szCs w:val="24"/>
              </w:rPr>
            </w:pPr>
          </w:p>
          <w:p w14:paraId="507E7FEE">
            <w:pPr>
              <w:snapToGrid w:val="0"/>
              <w:rPr>
                <w:rFonts w:hint="eastAsia"/>
                <w:color w:val="000000"/>
                <w:sz w:val="24"/>
                <w:szCs w:val="24"/>
              </w:rPr>
            </w:pPr>
          </w:p>
          <w:p w14:paraId="5CB39946">
            <w:pPr>
              <w:snapToGrid w:val="0"/>
              <w:rPr>
                <w:rFonts w:hint="eastAsia"/>
                <w:color w:val="000000"/>
                <w:sz w:val="24"/>
                <w:szCs w:val="24"/>
              </w:rPr>
            </w:pPr>
          </w:p>
          <w:p w14:paraId="00F43117">
            <w:pPr>
              <w:snapToGrid w:val="0"/>
              <w:rPr>
                <w:rFonts w:hint="eastAsia"/>
                <w:color w:val="000000"/>
                <w:sz w:val="24"/>
                <w:szCs w:val="24"/>
              </w:rPr>
            </w:pPr>
          </w:p>
          <w:p w14:paraId="44FF26A0">
            <w:pPr>
              <w:snapToGrid w:val="0"/>
              <w:rPr>
                <w:rFonts w:hint="eastAsia"/>
                <w:color w:val="000000"/>
                <w:sz w:val="24"/>
                <w:szCs w:val="24"/>
              </w:rPr>
            </w:pPr>
          </w:p>
          <w:p w14:paraId="27C9F9D7">
            <w:pPr>
              <w:snapToGrid w:val="0"/>
              <w:rPr>
                <w:rFonts w:hint="eastAsia"/>
                <w:color w:val="000000"/>
                <w:sz w:val="10"/>
                <w:szCs w:val="10"/>
              </w:rPr>
            </w:pPr>
          </w:p>
          <w:p w14:paraId="30256C50">
            <w:pPr>
              <w:snapToGrid w:val="0"/>
              <w:rPr>
                <w:rFonts w:hint="eastAsia"/>
                <w:color w:val="000000"/>
                <w:sz w:val="10"/>
                <w:szCs w:val="10"/>
              </w:rPr>
            </w:pPr>
          </w:p>
        </w:tc>
      </w:tr>
    </w:tbl>
    <w:p w14:paraId="19429641">
      <w:pPr>
        <w:snapToGrid w:val="0"/>
        <w:spacing w:after="124" w:afterLines="40"/>
        <w:jc w:val="center"/>
        <w:rPr>
          <w:rFonts w:ascii="黑体" w:hAnsi="黑体" w:eastAsia="黑体"/>
          <w:snapToGrid w:val="0"/>
          <w:color w:val="000000"/>
          <w:sz w:val="30"/>
          <w:szCs w:val="30"/>
        </w:rPr>
      </w:pPr>
      <w:r>
        <w:rPr>
          <w:rFonts w:hint="eastAsia"/>
          <w:color w:val="000000"/>
          <w:sz w:val="10"/>
          <w:szCs w:val="10"/>
        </w:rPr>
        <w:t xml:space="preserve">  </w:t>
      </w:r>
      <w:r>
        <w:rPr>
          <w:rFonts w:hint="eastAsia" w:ascii="黑体" w:hAnsi="黑体" w:eastAsia="黑体"/>
          <w:snapToGrid w:val="0"/>
          <w:color w:val="000000"/>
          <w:sz w:val="30"/>
          <w:szCs w:val="30"/>
        </w:rPr>
        <w:t>五、</w:t>
      </w:r>
      <w:bookmarkStart w:id="1" w:name="_Hlk54167917"/>
      <w:r>
        <w:rPr>
          <w:rFonts w:hint="eastAsia" w:ascii="黑体" w:hAnsi="黑体" w:eastAsia="黑体"/>
          <w:snapToGrid w:val="0"/>
          <w:color w:val="000000"/>
          <w:sz w:val="30"/>
          <w:szCs w:val="30"/>
        </w:rPr>
        <w:t>环境保护措施监督检查清单</w:t>
      </w:r>
      <w:bookmarkEnd w:id="1"/>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91"/>
        <w:gridCol w:w="1431"/>
        <w:gridCol w:w="1406"/>
        <w:gridCol w:w="1928"/>
        <w:gridCol w:w="3002"/>
      </w:tblGrid>
      <w:tr w14:paraId="0CE37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 w:hRule="atLeast"/>
          <w:jc w:val="center"/>
        </w:trPr>
        <w:tc>
          <w:tcPr>
            <w:tcW w:w="664" w:type="pct"/>
            <w:tcBorders>
              <w:tl2br w:val="single" w:color="auto" w:sz="4" w:space="0"/>
            </w:tcBorders>
            <w:noWrap w:val="0"/>
            <w:vAlign w:val="center"/>
          </w:tcPr>
          <w:p w14:paraId="48F0D0E3">
            <w:pPr>
              <w:spacing w:before="93" w:beforeLines="30"/>
              <w:jc w:val="right"/>
              <w:rPr>
                <w:snapToGrid w:val="0"/>
                <w:color w:val="000000"/>
                <w:sz w:val="24"/>
                <w:szCs w:val="24"/>
              </w:rPr>
            </w:pPr>
            <w:r>
              <w:rPr>
                <w:rFonts w:hint="eastAsia"/>
                <w:snapToGrid w:val="0"/>
                <w:color w:val="000000"/>
                <w:sz w:val="24"/>
                <w:szCs w:val="24"/>
              </w:rPr>
              <w:t>内容</w:t>
            </w:r>
          </w:p>
          <w:p w14:paraId="722FCB60">
            <w:pPr>
              <w:spacing w:after="93" w:afterLines="30"/>
              <w:rPr>
                <w:rFonts w:hint="eastAsia"/>
                <w:snapToGrid w:val="0"/>
                <w:color w:val="000000"/>
                <w:sz w:val="24"/>
                <w:szCs w:val="24"/>
              </w:rPr>
            </w:pPr>
            <w:r>
              <w:rPr>
                <w:rFonts w:hint="eastAsia"/>
                <w:snapToGrid w:val="0"/>
                <w:color w:val="000000"/>
                <w:sz w:val="24"/>
                <w:szCs w:val="24"/>
              </w:rPr>
              <w:t>要素</w:t>
            </w:r>
          </w:p>
        </w:tc>
        <w:tc>
          <w:tcPr>
            <w:tcW w:w="798" w:type="pct"/>
            <w:noWrap w:val="0"/>
            <w:vAlign w:val="center"/>
          </w:tcPr>
          <w:p w14:paraId="1F732BE8">
            <w:pPr>
              <w:adjustRightInd w:val="0"/>
              <w:snapToGrid w:val="0"/>
              <w:jc w:val="center"/>
              <w:rPr>
                <w:color w:val="000000"/>
                <w:sz w:val="24"/>
                <w:szCs w:val="24"/>
              </w:rPr>
            </w:pPr>
            <w:r>
              <w:rPr>
                <w:color w:val="000000"/>
                <w:sz w:val="24"/>
                <w:szCs w:val="24"/>
              </w:rPr>
              <w:t>排放口</w:t>
            </w:r>
            <w:r>
              <w:rPr>
                <w:rFonts w:hint="eastAsia"/>
                <w:color w:val="000000"/>
                <w:sz w:val="24"/>
                <w:szCs w:val="24"/>
              </w:rPr>
              <w:t>（</w:t>
            </w:r>
            <w:r>
              <w:rPr>
                <w:color w:val="000000"/>
                <w:sz w:val="24"/>
                <w:szCs w:val="24"/>
              </w:rPr>
              <w:t>编号、名称</w:t>
            </w:r>
            <w:r>
              <w:rPr>
                <w:rFonts w:hint="eastAsia"/>
                <w:color w:val="000000"/>
                <w:sz w:val="24"/>
                <w:szCs w:val="24"/>
              </w:rPr>
              <w:t>）</w:t>
            </w:r>
            <w:r>
              <w:rPr>
                <w:color w:val="000000"/>
                <w:sz w:val="24"/>
                <w:szCs w:val="24"/>
              </w:rPr>
              <w:t>/污染源</w:t>
            </w:r>
          </w:p>
        </w:tc>
        <w:tc>
          <w:tcPr>
            <w:tcW w:w="784" w:type="pct"/>
            <w:noWrap w:val="0"/>
            <w:vAlign w:val="center"/>
          </w:tcPr>
          <w:p w14:paraId="752B5C34">
            <w:pPr>
              <w:adjustRightInd w:val="0"/>
              <w:spacing w:line="360" w:lineRule="auto"/>
              <w:jc w:val="center"/>
              <w:rPr>
                <w:color w:val="000000"/>
                <w:sz w:val="24"/>
                <w:szCs w:val="24"/>
              </w:rPr>
            </w:pPr>
            <w:r>
              <w:rPr>
                <w:color w:val="000000"/>
                <w:sz w:val="24"/>
                <w:szCs w:val="24"/>
              </w:rPr>
              <w:t>污染物项目</w:t>
            </w:r>
          </w:p>
        </w:tc>
        <w:tc>
          <w:tcPr>
            <w:tcW w:w="1076" w:type="pct"/>
            <w:noWrap w:val="0"/>
            <w:vAlign w:val="center"/>
          </w:tcPr>
          <w:p w14:paraId="1A2032B6">
            <w:pPr>
              <w:adjustRightInd w:val="0"/>
              <w:spacing w:line="360" w:lineRule="auto"/>
              <w:jc w:val="center"/>
              <w:rPr>
                <w:color w:val="000000"/>
                <w:sz w:val="24"/>
                <w:szCs w:val="24"/>
              </w:rPr>
            </w:pPr>
            <w:r>
              <w:rPr>
                <w:color w:val="000000"/>
                <w:sz w:val="24"/>
                <w:szCs w:val="24"/>
              </w:rPr>
              <w:t>环境保护措施</w:t>
            </w:r>
          </w:p>
        </w:tc>
        <w:tc>
          <w:tcPr>
            <w:tcW w:w="1675" w:type="pct"/>
            <w:noWrap w:val="0"/>
            <w:vAlign w:val="center"/>
          </w:tcPr>
          <w:p w14:paraId="04EDCFE9">
            <w:pPr>
              <w:adjustRightInd w:val="0"/>
              <w:spacing w:line="360" w:lineRule="auto"/>
              <w:jc w:val="center"/>
              <w:rPr>
                <w:color w:val="000000"/>
                <w:sz w:val="24"/>
                <w:szCs w:val="24"/>
              </w:rPr>
            </w:pPr>
            <w:r>
              <w:rPr>
                <w:color w:val="000000"/>
                <w:sz w:val="24"/>
                <w:szCs w:val="24"/>
              </w:rPr>
              <w:t>执行标准</w:t>
            </w:r>
          </w:p>
        </w:tc>
      </w:tr>
      <w:tr w14:paraId="3957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8" w:hRule="atLeast"/>
          <w:jc w:val="center"/>
        </w:trPr>
        <w:tc>
          <w:tcPr>
            <w:tcW w:w="664" w:type="pct"/>
            <w:vMerge w:val="restart"/>
            <w:noWrap w:val="0"/>
            <w:vAlign w:val="center"/>
          </w:tcPr>
          <w:p w14:paraId="5138D0AC">
            <w:pPr>
              <w:adjustRightInd w:val="0"/>
              <w:spacing w:line="360" w:lineRule="auto"/>
              <w:jc w:val="center"/>
              <w:rPr>
                <w:color w:val="000000"/>
                <w:sz w:val="24"/>
                <w:szCs w:val="24"/>
              </w:rPr>
            </w:pPr>
            <w:r>
              <w:rPr>
                <w:color w:val="000000"/>
                <w:sz w:val="24"/>
                <w:szCs w:val="24"/>
              </w:rPr>
              <w:t>大气环境</w:t>
            </w:r>
          </w:p>
        </w:tc>
        <w:tc>
          <w:tcPr>
            <w:tcW w:w="798" w:type="pct"/>
            <w:noWrap w:val="0"/>
            <w:vAlign w:val="center"/>
          </w:tcPr>
          <w:p w14:paraId="1E369A45">
            <w:pPr>
              <w:adjustRightInd w:val="0"/>
              <w:jc w:val="center"/>
              <w:rPr>
                <w:color w:val="000000"/>
                <w:sz w:val="24"/>
                <w:szCs w:val="24"/>
              </w:rPr>
            </w:pPr>
            <w:r>
              <w:rPr>
                <w:rFonts w:hint="eastAsia"/>
                <w:bCs/>
                <w:color w:val="000000"/>
                <w:sz w:val="24"/>
                <w:szCs w:val="24"/>
              </w:rPr>
              <w:t>DA001排气筒</w:t>
            </w:r>
          </w:p>
        </w:tc>
        <w:tc>
          <w:tcPr>
            <w:tcW w:w="784" w:type="pct"/>
            <w:noWrap w:val="0"/>
            <w:vAlign w:val="center"/>
          </w:tcPr>
          <w:p w14:paraId="52A3493C">
            <w:pPr>
              <w:adjustRightInd w:val="0"/>
              <w:jc w:val="center"/>
              <w:rPr>
                <w:rFonts w:hint="default" w:eastAsia="宋体"/>
                <w:color w:val="000000"/>
                <w:sz w:val="24"/>
                <w:szCs w:val="24"/>
                <w:lang w:val="en-US" w:eastAsia="zh-CN"/>
              </w:rPr>
            </w:pPr>
            <w:r>
              <w:rPr>
                <w:rFonts w:hint="eastAsia"/>
                <w:color w:val="000000"/>
                <w:sz w:val="24"/>
                <w:szCs w:val="24"/>
                <w:lang w:val="en-US" w:eastAsia="zh-CN"/>
              </w:rPr>
              <w:t>颗粒物</w:t>
            </w:r>
          </w:p>
        </w:tc>
        <w:tc>
          <w:tcPr>
            <w:tcW w:w="1076" w:type="pct"/>
            <w:noWrap w:val="0"/>
            <w:vAlign w:val="center"/>
          </w:tcPr>
          <w:p w14:paraId="3F50DCCF">
            <w:pPr>
              <w:adjustRightInd w:val="0"/>
              <w:jc w:val="center"/>
              <w:rPr>
                <w:color w:val="000000"/>
                <w:sz w:val="24"/>
                <w:szCs w:val="24"/>
              </w:rPr>
            </w:pPr>
            <w:r>
              <w:rPr>
                <w:rFonts w:hint="eastAsia"/>
                <w:color w:val="000000"/>
                <w:sz w:val="24"/>
                <w:szCs w:val="24"/>
              </w:rPr>
              <w:t>集气罩+</w:t>
            </w:r>
            <w:r>
              <w:rPr>
                <w:rFonts w:hint="eastAsia"/>
                <w:color w:val="000000"/>
                <w:sz w:val="24"/>
                <w:szCs w:val="24"/>
                <w:lang w:val="en-US" w:eastAsia="zh-CN"/>
              </w:rPr>
              <w:t>袋式除尘器</w:t>
            </w:r>
            <w:r>
              <w:rPr>
                <w:rFonts w:hint="eastAsia"/>
                <w:color w:val="000000"/>
                <w:sz w:val="24"/>
                <w:szCs w:val="24"/>
              </w:rPr>
              <w:t>+15m排气筒</w:t>
            </w:r>
          </w:p>
        </w:tc>
        <w:tc>
          <w:tcPr>
            <w:tcW w:w="1675" w:type="pct"/>
            <w:noWrap w:val="0"/>
            <w:vAlign w:val="center"/>
          </w:tcPr>
          <w:p w14:paraId="2C8DEAFB">
            <w:pPr>
              <w:adjustRightInd w:val="0"/>
              <w:jc w:val="center"/>
              <w:rPr>
                <w:rFonts w:hint="eastAsia" w:eastAsia="宋体"/>
                <w:color w:val="000000"/>
                <w:sz w:val="24"/>
                <w:szCs w:val="24"/>
                <w:lang w:eastAsia="zh-CN"/>
              </w:rPr>
            </w:pPr>
            <w:r>
              <w:rPr>
                <w:rFonts w:hint="eastAsia"/>
                <w:color w:val="000000"/>
                <w:sz w:val="24"/>
                <w:szCs w:val="24"/>
              </w:rPr>
              <w:t>《大气污染物综合排放标准》（GB16297-1996）、《河南省重污染天气重点行业应急减排措施制定技术指南》（2024年修订版）塑料制品A</w:t>
            </w:r>
            <w:r>
              <w:rPr>
                <w:rFonts w:hint="eastAsia"/>
                <w:color w:val="000000"/>
                <w:sz w:val="24"/>
                <w:szCs w:val="24"/>
                <w:lang w:val="en-US" w:eastAsia="zh-CN"/>
              </w:rPr>
              <w:t>级</w:t>
            </w:r>
            <w:r>
              <w:rPr>
                <w:rFonts w:hint="eastAsia"/>
                <w:color w:val="000000"/>
                <w:sz w:val="24"/>
                <w:szCs w:val="24"/>
              </w:rPr>
              <w:t>企业差异化指标</w:t>
            </w:r>
          </w:p>
        </w:tc>
      </w:tr>
      <w:tr w14:paraId="4049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8" w:hRule="atLeast"/>
          <w:jc w:val="center"/>
        </w:trPr>
        <w:tc>
          <w:tcPr>
            <w:tcW w:w="664" w:type="pct"/>
            <w:vMerge w:val="continue"/>
            <w:noWrap w:val="0"/>
            <w:vAlign w:val="center"/>
          </w:tcPr>
          <w:p w14:paraId="7CD1872B">
            <w:pPr>
              <w:adjustRightInd w:val="0"/>
              <w:spacing w:line="360" w:lineRule="auto"/>
              <w:jc w:val="center"/>
              <w:rPr>
                <w:color w:val="000000"/>
                <w:sz w:val="24"/>
                <w:szCs w:val="24"/>
              </w:rPr>
            </w:pPr>
          </w:p>
        </w:tc>
        <w:tc>
          <w:tcPr>
            <w:tcW w:w="798" w:type="pct"/>
            <w:noWrap w:val="0"/>
            <w:vAlign w:val="center"/>
          </w:tcPr>
          <w:p w14:paraId="1E4E2B1B">
            <w:pPr>
              <w:adjustRightInd w:val="0"/>
              <w:jc w:val="center"/>
              <w:rPr>
                <w:rFonts w:hint="eastAsia"/>
                <w:bCs/>
                <w:color w:val="000000"/>
                <w:sz w:val="24"/>
                <w:szCs w:val="24"/>
              </w:rPr>
            </w:pPr>
            <w:r>
              <w:rPr>
                <w:rFonts w:hint="eastAsia"/>
                <w:bCs/>
                <w:color w:val="000000"/>
                <w:sz w:val="24"/>
                <w:szCs w:val="24"/>
              </w:rPr>
              <w:t>DA00</w:t>
            </w:r>
            <w:r>
              <w:rPr>
                <w:rFonts w:hint="eastAsia"/>
                <w:bCs/>
                <w:color w:val="000000"/>
                <w:sz w:val="24"/>
                <w:szCs w:val="24"/>
                <w:lang w:val="en-US" w:eastAsia="zh-CN"/>
              </w:rPr>
              <w:t>2</w:t>
            </w:r>
            <w:r>
              <w:rPr>
                <w:rFonts w:hint="eastAsia"/>
                <w:bCs/>
                <w:color w:val="000000"/>
                <w:sz w:val="24"/>
                <w:szCs w:val="24"/>
              </w:rPr>
              <w:t>排气筒</w:t>
            </w:r>
          </w:p>
        </w:tc>
        <w:tc>
          <w:tcPr>
            <w:tcW w:w="784" w:type="pct"/>
            <w:noWrap w:val="0"/>
            <w:vAlign w:val="center"/>
          </w:tcPr>
          <w:p w14:paraId="1AA387B9">
            <w:pPr>
              <w:adjustRightInd w:val="0"/>
              <w:jc w:val="center"/>
              <w:rPr>
                <w:rFonts w:hint="eastAsia"/>
                <w:color w:val="000000"/>
                <w:sz w:val="24"/>
                <w:szCs w:val="24"/>
              </w:rPr>
            </w:pPr>
            <w:r>
              <w:rPr>
                <w:rFonts w:hint="eastAsia"/>
                <w:color w:val="000000"/>
                <w:sz w:val="24"/>
                <w:szCs w:val="24"/>
              </w:rPr>
              <w:t>非甲烷总烃</w:t>
            </w:r>
            <w:r>
              <w:rPr>
                <w:rFonts w:hint="eastAsia"/>
                <w:color w:val="000000"/>
                <w:sz w:val="24"/>
                <w:szCs w:val="24"/>
                <w:lang w:eastAsia="zh-CN"/>
              </w:rPr>
              <w:t>、</w:t>
            </w:r>
            <w:r>
              <w:rPr>
                <w:rFonts w:hint="eastAsia"/>
                <w:color w:val="000000"/>
                <w:sz w:val="24"/>
                <w:szCs w:val="24"/>
                <w:lang w:val="en-US" w:eastAsia="zh-CN"/>
              </w:rPr>
              <w:t>氯化氢</w:t>
            </w:r>
          </w:p>
        </w:tc>
        <w:tc>
          <w:tcPr>
            <w:tcW w:w="1076" w:type="pct"/>
            <w:noWrap w:val="0"/>
            <w:vAlign w:val="center"/>
          </w:tcPr>
          <w:p w14:paraId="03DADA40">
            <w:pPr>
              <w:adjustRightInd w:val="0"/>
              <w:jc w:val="center"/>
              <w:rPr>
                <w:rFonts w:hint="eastAsia"/>
                <w:color w:val="000000"/>
                <w:sz w:val="24"/>
                <w:szCs w:val="24"/>
              </w:rPr>
            </w:pPr>
            <w:r>
              <w:rPr>
                <w:rFonts w:hint="eastAsia"/>
                <w:color w:val="000000"/>
                <w:sz w:val="24"/>
                <w:szCs w:val="24"/>
              </w:rPr>
              <w:t>集气罩+二级活性炭吸附+15m排气筒</w:t>
            </w:r>
          </w:p>
        </w:tc>
        <w:tc>
          <w:tcPr>
            <w:tcW w:w="1675" w:type="pct"/>
            <w:noWrap w:val="0"/>
            <w:vAlign w:val="center"/>
          </w:tcPr>
          <w:p w14:paraId="74697595">
            <w:pPr>
              <w:adjustRightInd w:val="0"/>
              <w:jc w:val="center"/>
              <w:rPr>
                <w:rFonts w:hint="eastAsia"/>
                <w:color w:val="000000"/>
                <w:sz w:val="24"/>
                <w:szCs w:val="24"/>
              </w:rPr>
            </w:pPr>
            <w:r>
              <w:rPr>
                <w:rFonts w:hint="eastAsia"/>
                <w:color w:val="000000"/>
                <w:sz w:val="24"/>
                <w:szCs w:val="24"/>
              </w:rPr>
              <w:t>《大气污染物综合排放标准》（GB16297-1996）、《河南省重污染天气重点行业应急减排措施制定技术指南》（2024年修订版）塑料制品A</w:t>
            </w:r>
            <w:r>
              <w:rPr>
                <w:rFonts w:hint="eastAsia"/>
                <w:color w:val="000000"/>
                <w:sz w:val="24"/>
                <w:szCs w:val="24"/>
                <w:lang w:val="en-US" w:eastAsia="zh-CN"/>
              </w:rPr>
              <w:t>级</w:t>
            </w:r>
            <w:r>
              <w:rPr>
                <w:rFonts w:hint="eastAsia"/>
                <w:color w:val="000000"/>
                <w:sz w:val="24"/>
                <w:szCs w:val="24"/>
              </w:rPr>
              <w:t>企业差异化指标</w:t>
            </w:r>
            <w:r>
              <w:rPr>
                <w:rFonts w:hint="eastAsia"/>
                <w:color w:val="000000"/>
                <w:sz w:val="24"/>
                <w:szCs w:val="24"/>
                <w:lang w:eastAsia="zh-CN"/>
              </w:rPr>
              <w:t>、《关于全省开展工业企业挥发性有机物专项治理工作中排放建议值的通知》（豫环攻坚办〔2017〕162号）</w:t>
            </w:r>
          </w:p>
        </w:tc>
      </w:tr>
      <w:tr w14:paraId="3AEF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2" w:hRule="atLeast"/>
          <w:jc w:val="center"/>
        </w:trPr>
        <w:tc>
          <w:tcPr>
            <w:tcW w:w="664" w:type="pct"/>
            <w:vMerge w:val="continue"/>
            <w:noWrap w:val="0"/>
            <w:vAlign w:val="center"/>
          </w:tcPr>
          <w:p w14:paraId="53C6FEBF">
            <w:pPr>
              <w:adjustRightInd w:val="0"/>
              <w:spacing w:line="360" w:lineRule="auto"/>
              <w:jc w:val="center"/>
              <w:rPr>
                <w:color w:val="000000"/>
                <w:sz w:val="24"/>
                <w:szCs w:val="24"/>
              </w:rPr>
            </w:pPr>
          </w:p>
        </w:tc>
        <w:tc>
          <w:tcPr>
            <w:tcW w:w="798" w:type="pct"/>
            <w:noWrap w:val="0"/>
            <w:vAlign w:val="center"/>
          </w:tcPr>
          <w:p w14:paraId="5E1E9B16">
            <w:pPr>
              <w:adjustRightInd w:val="0"/>
              <w:jc w:val="center"/>
              <w:rPr>
                <w:rFonts w:hint="eastAsia"/>
                <w:color w:val="000000"/>
                <w:sz w:val="24"/>
                <w:szCs w:val="24"/>
              </w:rPr>
            </w:pPr>
            <w:r>
              <w:rPr>
                <w:rFonts w:hint="eastAsia"/>
                <w:color w:val="000000"/>
                <w:sz w:val="24"/>
                <w:szCs w:val="24"/>
              </w:rPr>
              <w:t>无组织废气</w:t>
            </w:r>
          </w:p>
        </w:tc>
        <w:tc>
          <w:tcPr>
            <w:tcW w:w="784" w:type="pct"/>
            <w:noWrap w:val="0"/>
            <w:vAlign w:val="center"/>
          </w:tcPr>
          <w:p w14:paraId="31A3A860">
            <w:pPr>
              <w:adjustRightInd w:val="0"/>
              <w:jc w:val="center"/>
              <w:rPr>
                <w:rFonts w:hint="default" w:eastAsia="宋体"/>
                <w:color w:val="000000"/>
                <w:sz w:val="24"/>
                <w:szCs w:val="24"/>
                <w:lang w:val="en-US" w:eastAsia="zh-CN"/>
              </w:rPr>
            </w:pPr>
            <w:r>
              <w:rPr>
                <w:rFonts w:hint="eastAsia"/>
                <w:color w:val="000000"/>
                <w:sz w:val="24"/>
                <w:szCs w:val="24"/>
                <w:lang w:val="en-US" w:eastAsia="zh-CN"/>
              </w:rPr>
              <w:t>颗粒物</w:t>
            </w:r>
            <w:r>
              <w:rPr>
                <w:rFonts w:hint="eastAsia"/>
                <w:color w:val="000000"/>
                <w:sz w:val="24"/>
                <w:szCs w:val="24"/>
                <w:lang w:eastAsia="zh-CN"/>
              </w:rPr>
              <w:t>、</w:t>
            </w:r>
            <w:r>
              <w:rPr>
                <w:rFonts w:hint="eastAsia"/>
                <w:color w:val="000000"/>
                <w:sz w:val="24"/>
                <w:szCs w:val="24"/>
              </w:rPr>
              <w:t>非甲烷总烃</w:t>
            </w:r>
            <w:r>
              <w:rPr>
                <w:rFonts w:hint="eastAsia"/>
                <w:color w:val="000000"/>
                <w:sz w:val="24"/>
                <w:szCs w:val="24"/>
                <w:lang w:eastAsia="zh-CN"/>
              </w:rPr>
              <w:t>、</w:t>
            </w:r>
            <w:r>
              <w:rPr>
                <w:rFonts w:hint="eastAsia"/>
                <w:color w:val="000000"/>
                <w:sz w:val="24"/>
                <w:szCs w:val="24"/>
                <w:lang w:val="en-US" w:eastAsia="zh-CN"/>
              </w:rPr>
              <w:t>氯化氢</w:t>
            </w:r>
          </w:p>
        </w:tc>
        <w:tc>
          <w:tcPr>
            <w:tcW w:w="1076" w:type="pct"/>
            <w:noWrap w:val="0"/>
            <w:vAlign w:val="center"/>
          </w:tcPr>
          <w:p w14:paraId="59E64449">
            <w:pPr>
              <w:adjustRightInd w:val="0"/>
              <w:jc w:val="center"/>
              <w:rPr>
                <w:rFonts w:hint="default" w:eastAsia="宋体"/>
                <w:color w:val="000000"/>
                <w:sz w:val="24"/>
                <w:szCs w:val="24"/>
                <w:lang w:val="en-US" w:eastAsia="zh-CN"/>
              </w:rPr>
            </w:pPr>
            <w:r>
              <w:rPr>
                <w:color w:val="000000"/>
                <w:sz w:val="24"/>
                <w:szCs w:val="24"/>
              </w:rPr>
              <w:t>车间封闭，</w:t>
            </w:r>
            <w:r>
              <w:rPr>
                <w:rFonts w:hint="eastAsia"/>
                <w:color w:val="000000"/>
                <w:sz w:val="24"/>
                <w:szCs w:val="24"/>
              </w:rPr>
              <w:t>产污点</w:t>
            </w:r>
            <w:r>
              <w:rPr>
                <w:rFonts w:hint="eastAsia"/>
                <w:color w:val="000000"/>
                <w:sz w:val="24"/>
                <w:szCs w:val="24"/>
                <w:lang w:val="en-US" w:eastAsia="zh-CN"/>
              </w:rPr>
              <w:t>废气收集</w:t>
            </w:r>
          </w:p>
        </w:tc>
        <w:tc>
          <w:tcPr>
            <w:tcW w:w="1675" w:type="pct"/>
            <w:noWrap w:val="0"/>
            <w:vAlign w:val="center"/>
          </w:tcPr>
          <w:p w14:paraId="7965D5BA">
            <w:pPr>
              <w:adjustRightInd w:val="0"/>
              <w:jc w:val="center"/>
              <w:rPr>
                <w:rFonts w:hint="eastAsia"/>
                <w:color w:val="000000"/>
                <w:sz w:val="24"/>
                <w:szCs w:val="24"/>
              </w:rPr>
            </w:pPr>
            <w:r>
              <w:rPr>
                <w:rFonts w:hint="eastAsia"/>
                <w:color w:val="000000"/>
                <w:sz w:val="24"/>
                <w:szCs w:val="24"/>
              </w:rPr>
              <w:t>《大气污染物综合排放标准》（GB16297-1996）、《河南省重污染天气重点行业应急减排措施制定技术指南》（2024年修订版）塑料制品A</w:t>
            </w:r>
            <w:r>
              <w:rPr>
                <w:rFonts w:hint="eastAsia"/>
                <w:color w:val="000000"/>
                <w:sz w:val="24"/>
                <w:szCs w:val="24"/>
                <w:lang w:val="en-US" w:eastAsia="zh-CN"/>
              </w:rPr>
              <w:t>级</w:t>
            </w:r>
            <w:r>
              <w:rPr>
                <w:rFonts w:hint="eastAsia"/>
                <w:color w:val="000000"/>
                <w:sz w:val="24"/>
                <w:szCs w:val="24"/>
              </w:rPr>
              <w:t>企业差异化指标</w:t>
            </w:r>
            <w:r>
              <w:rPr>
                <w:rFonts w:hint="eastAsia"/>
                <w:color w:val="000000"/>
                <w:sz w:val="24"/>
                <w:szCs w:val="24"/>
                <w:lang w:eastAsia="zh-CN"/>
              </w:rPr>
              <w:t>、《挥发性有机物无组织排放控制标准》（GB37822-2019）</w:t>
            </w:r>
          </w:p>
        </w:tc>
      </w:tr>
      <w:tr w14:paraId="10C9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64" w:type="pct"/>
            <w:noWrap w:val="0"/>
            <w:vAlign w:val="center"/>
          </w:tcPr>
          <w:p w14:paraId="47776676">
            <w:pPr>
              <w:spacing w:line="360" w:lineRule="auto"/>
              <w:jc w:val="center"/>
              <w:rPr>
                <w:color w:val="000000"/>
                <w:sz w:val="24"/>
                <w:szCs w:val="24"/>
              </w:rPr>
            </w:pPr>
            <w:r>
              <w:rPr>
                <w:color w:val="000000"/>
                <w:sz w:val="24"/>
                <w:szCs w:val="24"/>
              </w:rPr>
              <w:t>地表水</w:t>
            </w:r>
          </w:p>
          <w:p w14:paraId="2792CFE4">
            <w:pPr>
              <w:spacing w:line="360" w:lineRule="auto"/>
              <w:jc w:val="center"/>
              <w:rPr>
                <w:snapToGrid w:val="0"/>
                <w:color w:val="000000"/>
                <w:sz w:val="24"/>
                <w:szCs w:val="24"/>
              </w:rPr>
            </w:pPr>
            <w:r>
              <w:rPr>
                <w:color w:val="000000"/>
                <w:sz w:val="24"/>
                <w:szCs w:val="24"/>
              </w:rPr>
              <w:t>环境</w:t>
            </w:r>
          </w:p>
        </w:tc>
        <w:tc>
          <w:tcPr>
            <w:tcW w:w="798" w:type="pct"/>
            <w:noWrap w:val="0"/>
            <w:vAlign w:val="center"/>
          </w:tcPr>
          <w:p w14:paraId="31768226">
            <w:pPr>
              <w:adjustRightInd w:val="0"/>
              <w:jc w:val="center"/>
              <w:rPr>
                <w:color w:val="000000"/>
                <w:sz w:val="24"/>
                <w:szCs w:val="24"/>
              </w:rPr>
            </w:pPr>
            <w:r>
              <w:rPr>
                <w:color w:val="000000"/>
                <w:sz w:val="24"/>
                <w:szCs w:val="24"/>
              </w:rPr>
              <w:t>生活污水</w:t>
            </w:r>
          </w:p>
        </w:tc>
        <w:tc>
          <w:tcPr>
            <w:tcW w:w="784" w:type="pct"/>
            <w:noWrap w:val="0"/>
            <w:vAlign w:val="center"/>
          </w:tcPr>
          <w:p w14:paraId="76D70869">
            <w:pPr>
              <w:adjustRightInd w:val="0"/>
              <w:jc w:val="center"/>
              <w:rPr>
                <w:color w:val="000000"/>
                <w:sz w:val="24"/>
                <w:szCs w:val="24"/>
              </w:rPr>
            </w:pPr>
            <w:r>
              <w:rPr>
                <w:bCs/>
                <w:color w:val="000000"/>
                <w:sz w:val="24"/>
                <w:szCs w:val="24"/>
              </w:rPr>
              <w:t>COD、氨氮、SS</w:t>
            </w:r>
          </w:p>
        </w:tc>
        <w:tc>
          <w:tcPr>
            <w:tcW w:w="1076" w:type="pct"/>
            <w:noWrap w:val="0"/>
            <w:vAlign w:val="center"/>
          </w:tcPr>
          <w:p w14:paraId="1E96CC4B">
            <w:pPr>
              <w:adjustRightInd w:val="0"/>
              <w:jc w:val="center"/>
              <w:rPr>
                <w:rFonts w:hint="default"/>
                <w:color w:val="000000"/>
                <w:sz w:val="24"/>
                <w:szCs w:val="24"/>
                <w:lang w:val="en-US"/>
              </w:rPr>
            </w:pPr>
            <w:r>
              <w:rPr>
                <w:rFonts w:hint="eastAsia"/>
                <w:bCs/>
                <w:color w:val="000000"/>
                <w:sz w:val="24"/>
                <w:szCs w:val="24"/>
                <w:lang w:val="en-US" w:eastAsia="zh-CN"/>
              </w:rPr>
              <w:t>近期</w:t>
            </w:r>
            <w:r>
              <w:rPr>
                <w:bCs/>
                <w:color w:val="000000"/>
                <w:sz w:val="24"/>
                <w:szCs w:val="24"/>
              </w:rPr>
              <w:t>化粪池</w:t>
            </w:r>
            <w:r>
              <w:rPr>
                <w:rFonts w:hint="eastAsia"/>
                <w:bCs/>
                <w:color w:val="000000"/>
                <w:sz w:val="24"/>
                <w:szCs w:val="24"/>
                <w:lang w:val="en-US" w:eastAsia="zh-CN"/>
              </w:rPr>
              <w:t>处理后定期清理肥田，远期管网铺设完善进入偃师区第四污水处理厂处理</w:t>
            </w:r>
          </w:p>
        </w:tc>
        <w:tc>
          <w:tcPr>
            <w:tcW w:w="1675" w:type="pct"/>
            <w:noWrap w:val="0"/>
            <w:vAlign w:val="center"/>
          </w:tcPr>
          <w:p w14:paraId="553CE55C">
            <w:pPr>
              <w:jc w:val="center"/>
              <w:rPr>
                <w:color w:val="000000"/>
                <w:sz w:val="24"/>
                <w:szCs w:val="24"/>
              </w:rPr>
            </w:pPr>
            <w:r>
              <w:rPr>
                <w:rFonts w:hint="eastAsia"/>
                <w:color w:val="000000"/>
                <w:sz w:val="24"/>
                <w:szCs w:val="24"/>
                <w:lang w:val="en-US" w:eastAsia="zh-CN"/>
              </w:rPr>
              <w:t>近期不排放，远期执行</w:t>
            </w:r>
            <w:r>
              <w:rPr>
                <w:rFonts w:hint="eastAsia"/>
                <w:color w:val="000000"/>
                <w:sz w:val="24"/>
                <w:szCs w:val="24"/>
              </w:rPr>
              <w:t>《污水综合排放标准》（GB8978-1996）表4三级</w:t>
            </w:r>
          </w:p>
        </w:tc>
      </w:tr>
      <w:tr w14:paraId="1CE8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64" w:type="pct"/>
            <w:noWrap w:val="0"/>
            <w:vAlign w:val="center"/>
          </w:tcPr>
          <w:p w14:paraId="490E7E90">
            <w:pPr>
              <w:adjustRightInd w:val="0"/>
              <w:spacing w:line="360" w:lineRule="auto"/>
              <w:jc w:val="center"/>
              <w:rPr>
                <w:color w:val="000000"/>
                <w:sz w:val="24"/>
                <w:szCs w:val="24"/>
              </w:rPr>
            </w:pPr>
            <w:r>
              <w:rPr>
                <w:color w:val="000000"/>
                <w:sz w:val="24"/>
                <w:szCs w:val="24"/>
              </w:rPr>
              <w:t>声环境</w:t>
            </w:r>
          </w:p>
        </w:tc>
        <w:tc>
          <w:tcPr>
            <w:tcW w:w="798" w:type="pct"/>
            <w:noWrap w:val="0"/>
            <w:vAlign w:val="center"/>
          </w:tcPr>
          <w:p w14:paraId="69D4A383">
            <w:pPr>
              <w:adjustRightInd w:val="0"/>
              <w:jc w:val="center"/>
              <w:rPr>
                <w:color w:val="000000"/>
                <w:sz w:val="24"/>
                <w:szCs w:val="24"/>
              </w:rPr>
            </w:pPr>
            <w:r>
              <w:rPr>
                <w:color w:val="000000"/>
                <w:sz w:val="24"/>
                <w:szCs w:val="24"/>
              </w:rPr>
              <w:t>生产设备</w:t>
            </w:r>
          </w:p>
        </w:tc>
        <w:tc>
          <w:tcPr>
            <w:tcW w:w="784" w:type="pct"/>
            <w:noWrap w:val="0"/>
            <w:vAlign w:val="center"/>
          </w:tcPr>
          <w:p w14:paraId="603C3B62">
            <w:pPr>
              <w:adjustRightInd w:val="0"/>
              <w:jc w:val="center"/>
              <w:rPr>
                <w:color w:val="000000"/>
                <w:sz w:val="24"/>
                <w:szCs w:val="24"/>
              </w:rPr>
            </w:pPr>
            <w:r>
              <w:rPr>
                <w:color w:val="000000"/>
                <w:sz w:val="24"/>
                <w:szCs w:val="24"/>
              </w:rPr>
              <w:t>噪声</w:t>
            </w:r>
          </w:p>
        </w:tc>
        <w:tc>
          <w:tcPr>
            <w:tcW w:w="1076" w:type="pct"/>
            <w:noWrap w:val="0"/>
            <w:vAlign w:val="center"/>
          </w:tcPr>
          <w:p w14:paraId="4618A2C6">
            <w:pPr>
              <w:adjustRightInd w:val="0"/>
              <w:jc w:val="center"/>
              <w:rPr>
                <w:color w:val="000000"/>
                <w:sz w:val="24"/>
                <w:szCs w:val="24"/>
              </w:rPr>
            </w:pPr>
            <w:r>
              <w:rPr>
                <w:color w:val="000000"/>
                <w:sz w:val="24"/>
                <w:szCs w:val="24"/>
              </w:rPr>
              <w:t>建筑隔声、距离衰减、选用低噪音，振动小的设备</w:t>
            </w:r>
          </w:p>
        </w:tc>
        <w:tc>
          <w:tcPr>
            <w:tcW w:w="1675" w:type="pct"/>
            <w:noWrap w:val="0"/>
            <w:vAlign w:val="center"/>
          </w:tcPr>
          <w:p w14:paraId="4C45B9D3">
            <w:pPr>
              <w:adjustRightInd w:val="0"/>
              <w:jc w:val="center"/>
              <w:rPr>
                <w:color w:val="000000"/>
                <w:sz w:val="24"/>
                <w:szCs w:val="24"/>
              </w:rPr>
            </w:pPr>
            <w:r>
              <w:rPr>
                <w:color w:val="000000"/>
                <w:kern w:val="0"/>
                <w:sz w:val="24"/>
                <w:szCs w:val="24"/>
              </w:rPr>
              <w:t>《工业企业厂界环境噪声排放标准》（GB12348-2008）</w:t>
            </w:r>
            <w:r>
              <w:rPr>
                <w:rFonts w:hint="eastAsia"/>
                <w:color w:val="000000"/>
                <w:kern w:val="0"/>
                <w:sz w:val="24"/>
                <w:szCs w:val="24"/>
                <w:lang w:val="en-US" w:eastAsia="zh-CN"/>
              </w:rPr>
              <w:t>3</w:t>
            </w:r>
            <w:r>
              <w:rPr>
                <w:color w:val="000000"/>
                <w:kern w:val="0"/>
                <w:sz w:val="24"/>
                <w:szCs w:val="24"/>
              </w:rPr>
              <w:t>类</w:t>
            </w:r>
          </w:p>
        </w:tc>
      </w:tr>
      <w:tr w14:paraId="46BC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 w:hRule="atLeast"/>
          <w:jc w:val="center"/>
        </w:trPr>
        <w:tc>
          <w:tcPr>
            <w:tcW w:w="664" w:type="pct"/>
            <w:noWrap w:val="0"/>
            <w:vAlign w:val="center"/>
          </w:tcPr>
          <w:p w14:paraId="7C5A2E91">
            <w:pPr>
              <w:adjustRightInd w:val="0"/>
              <w:spacing w:line="360" w:lineRule="auto"/>
              <w:jc w:val="center"/>
              <w:rPr>
                <w:color w:val="000000"/>
                <w:sz w:val="24"/>
                <w:szCs w:val="24"/>
              </w:rPr>
            </w:pPr>
            <w:r>
              <w:rPr>
                <w:color w:val="000000"/>
                <w:sz w:val="24"/>
                <w:szCs w:val="24"/>
              </w:rPr>
              <w:t>电磁辐射</w:t>
            </w:r>
          </w:p>
        </w:tc>
        <w:tc>
          <w:tcPr>
            <w:tcW w:w="798" w:type="pct"/>
            <w:noWrap w:val="0"/>
            <w:vAlign w:val="center"/>
          </w:tcPr>
          <w:p w14:paraId="7F3C6D07">
            <w:pPr>
              <w:adjustRightInd w:val="0"/>
              <w:jc w:val="center"/>
              <w:rPr>
                <w:color w:val="000000"/>
                <w:sz w:val="24"/>
                <w:szCs w:val="24"/>
              </w:rPr>
            </w:pPr>
            <w:r>
              <w:rPr>
                <w:color w:val="000000"/>
                <w:sz w:val="24"/>
                <w:szCs w:val="24"/>
              </w:rPr>
              <w:t>/</w:t>
            </w:r>
          </w:p>
        </w:tc>
        <w:tc>
          <w:tcPr>
            <w:tcW w:w="784" w:type="pct"/>
            <w:noWrap w:val="0"/>
            <w:vAlign w:val="center"/>
          </w:tcPr>
          <w:p w14:paraId="37142081">
            <w:pPr>
              <w:adjustRightInd w:val="0"/>
              <w:jc w:val="center"/>
              <w:rPr>
                <w:color w:val="000000"/>
                <w:sz w:val="24"/>
                <w:szCs w:val="24"/>
              </w:rPr>
            </w:pPr>
            <w:r>
              <w:rPr>
                <w:color w:val="000000"/>
                <w:sz w:val="24"/>
                <w:szCs w:val="24"/>
              </w:rPr>
              <w:t>/</w:t>
            </w:r>
          </w:p>
        </w:tc>
        <w:tc>
          <w:tcPr>
            <w:tcW w:w="1076" w:type="pct"/>
            <w:noWrap w:val="0"/>
            <w:vAlign w:val="center"/>
          </w:tcPr>
          <w:p w14:paraId="1D24DDCF">
            <w:pPr>
              <w:adjustRightInd w:val="0"/>
              <w:jc w:val="center"/>
              <w:rPr>
                <w:color w:val="000000"/>
                <w:sz w:val="24"/>
                <w:szCs w:val="24"/>
              </w:rPr>
            </w:pPr>
            <w:r>
              <w:rPr>
                <w:color w:val="000000"/>
                <w:sz w:val="24"/>
                <w:szCs w:val="24"/>
              </w:rPr>
              <w:t>/</w:t>
            </w:r>
          </w:p>
        </w:tc>
        <w:tc>
          <w:tcPr>
            <w:tcW w:w="1675" w:type="pct"/>
            <w:noWrap w:val="0"/>
            <w:vAlign w:val="center"/>
          </w:tcPr>
          <w:p w14:paraId="1D2004A2">
            <w:pPr>
              <w:adjustRightInd w:val="0"/>
              <w:jc w:val="center"/>
              <w:rPr>
                <w:color w:val="000000"/>
                <w:sz w:val="24"/>
                <w:szCs w:val="24"/>
              </w:rPr>
            </w:pPr>
            <w:r>
              <w:rPr>
                <w:color w:val="000000"/>
                <w:sz w:val="24"/>
                <w:szCs w:val="24"/>
              </w:rPr>
              <w:t>/</w:t>
            </w:r>
          </w:p>
        </w:tc>
      </w:tr>
      <w:tr w14:paraId="13DF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664" w:type="pct"/>
            <w:noWrap w:val="0"/>
            <w:vAlign w:val="center"/>
          </w:tcPr>
          <w:p w14:paraId="6FAB04CC">
            <w:pPr>
              <w:spacing w:line="360" w:lineRule="auto"/>
              <w:jc w:val="center"/>
              <w:rPr>
                <w:snapToGrid w:val="0"/>
                <w:color w:val="000000"/>
                <w:sz w:val="24"/>
                <w:szCs w:val="24"/>
              </w:rPr>
            </w:pPr>
            <w:r>
              <w:rPr>
                <w:snapToGrid w:val="0"/>
                <w:color w:val="000000"/>
                <w:sz w:val="24"/>
                <w:szCs w:val="24"/>
              </w:rPr>
              <w:t>固体废物</w:t>
            </w:r>
          </w:p>
        </w:tc>
        <w:tc>
          <w:tcPr>
            <w:tcW w:w="4335" w:type="pct"/>
            <w:gridSpan w:val="4"/>
            <w:noWrap w:val="0"/>
            <w:vAlign w:val="center"/>
          </w:tcPr>
          <w:p w14:paraId="6306E1F3">
            <w:pPr>
              <w:spacing w:line="360" w:lineRule="auto"/>
              <w:rPr>
                <w:rFonts w:hint="eastAsia"/>
                <w:color w:val="000000"/>
                <w:sz w:val="24"/>
                <w:szCs w:val="24"/>
              </w:rPr>
            </w:pPr>
            <w:r>
              <w:rPr>
                <w:rFonts w:hint="eastAsia"/>
                <w:color w:val="000000"/>
                <w:sz w:val="24"/>
                <w:szCs w:val="24"/>
              </w:rPr>
              <w:t>（1）一般固废暂存区10m</w:t>
            </w:r>
            <w:r>
              <w:rPr>
                <w:rFonts w:hint="eastAsia"/>
                <w:color w:val="000000"/>
                <w:sz w:val="24"/>
                <w:szCs w:val="24"/>
                <w:vertAlign w:val="superscript"/>
              </w:rPr>
              <w:t>2</w:t>
            </w:r>
            <w:r>
              <w:rPr>
                <w:rFonts w:hint="eastAsia"/>
                <w:color w:val="000000"/>
                <w:sz w:val="24"/>
                <w:szCs w:val="24"/>
              </w:rPr>
              <w:t>，固体废物分区暂存，台账记录；</w:t>
            </w:r>
          </w:p>
          <w:p w14:paraId="7675CCBE">
            <w:pPr>
              <w:spacing w:line="360" w:lineRule="auto"/>
              <w:rPr>
                <w:snapToGrid w:val="0"/>
                <w:color w:val="000000"/>
                <w:sz w:val="24"/>
                <w:szCs w:val="24"/>
              </w:rPr>
            </w:pPr>
            <w:r>
              <w:rPr>
                <w:rFonts w:hint="eastAsia"/>
                <w:color w:val="000000"/>
                <w:sz w:val="24"/>
                <w:szCs w:val="24"/>
              </w:rPr>
              <w:t>（2）危废暂存间</w:t>
            </w:r>
            <w:r>
              <w:rPr>
                <w:rFonts w:hint="eastAsia"/>
                <w:color w:val="000000"/>
                <w:sz w:val="24"/>
                <w:szCs w:val="24"/>
                <w:lang w:val="en-US" w:eastAsia="zh-CN"/>
              </w:rPr>
              <w:t>10</w:t>
            </w:r>
            <w:r>
              <w:rPr>
                <w:rFonts w:hint="eastAsia"/>
                <w:color w:val="000000"/>
                <w:sz w:val="24"/>
                <w:szCs w:val="24"/>
              </w:rPr>
              <w:t>m</w:t>
            </w:r>
            <w:r>
              <w:rPr>
                <w:rFonts w:hint="eastAsia"/>
                <w:color w:val="000000"/>
                <w:sz w:val="24"/>
                <w:szCs w:val="24"/>
                <w:vertAlign w:val="superscript"/>
              </w:rPr>
              <w:t>2</w:t>
            </w:r>
            <w:r>
              <w:rPr>
                <w:rFonts w:hint="eastAsia"/>
                <w:color w:val="000000"/>
                <w:sz w:val="24"/>
                <w:szCs w:val="24"/>
              </w:rPr>
              <w:t>，危险废物分区暂存，台账记录，危废转移联单。</w:t>
            </w:r>
          </w:p>
        </w:tc>
      </w:tr>
      <w:tr w14:paraId="3076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664" w:type="pct"/>
            <w:noWrap w:val="0"/>
            <w:vAlign w:val="center"/>
          </w:tcPr>
          <w:p w14:paraId="113A281A">
            <w:pPr>
              <w:adjustRightInd w:val="0"/>
              <w:spacing w:before="93" w:beforeLines="30" w:after="93" w:afterLines="30"/>
              <w:jc w:val="center"/>
              <w:rPr>
                <w:color w:val="000000"/>
                <w:sz w:val="24"/>
                <w:szCs w:val="24"/>
              </w:rPr>
            </w:pPr>
            <w:r>
              <w:rPr>
                <w:color w:val="000000"/>
                <w:sz w:val="24"/>
                <w:szCs w:val="24"/>
              </w:rPr>
              <w:t>土壤及地下水污染防治措施</w:t>
            </w:r>
          </w:p>
        </w:tc>
        <w:tc>
          <w:tcPr>
            <w:tcW w:w="4335" w:type="pct"/>
            <w:gridSpan w:val="4"/>
            <w:noWrap w:val="0"/>
            <w:vAlign w:val="center"/>
          </w:tcPr>
          <w:p w14:paraId="6D61E430">
            <w:pPr>
              <w:adjustRightInd w:val="0"/>
              <w:spacing w:line="360" w:lineRule="auto"/>
              <w:ind w:firstLine="480" w:firstLineChars="200"/>
              <w:jc w:val="left"/>
              <w:rPr>
                <w:color w:val="000000"/>
                <w:sz w:val="24"/>
                <w:szCs w:val="24"/>
              </w:rPr>
            </w:pPr>
            <w:r>
              <w:rPr>
                <w:rFonts w:hint="eastAsia"/>
                <w:color w:val="000000"/>
                <w:sz w:val="24"/>
                <w:szCs w:val="24"/>
              </w:rPr>
              <w:t>危废暂存间内危险废物均存放在专用容器内，设200mm高砖混围堰，以免危废容器破裂导致危险废物泄漏蔓延污染地表水、地下水。危废暂存间内围堰、内墙和墙角均采取防渗措施。</w:t>
            </w:r>
          </w:p>
        </w:tc>
      </w:tr>
      <w:tr w14:paraId="0685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 w:hRule="atLeast"/>
          <w:jc w:val="center"/>
        </w:trPr>
        <w:tc>
          <w:tcPr>
            <w:tcW w:w="664" w:type="pct"/>
            <w:noWrap w:val="0"/>
            <w:vAlign w:val="center"/>
          </w:tcPr>
          <w:p w14:paraId="4504F1E7">
            <w:pPr>
              <w:adjustRightInd w:val="0"/>
              <w:spacing w:before="31" w:beforeLines="10" w:after="31" w:afterLines="10"/>
              <w:jc w:val="center"/>
              <w:rPr>
                <w:color w:val="000000"/>
                <w:sz w:val="24"/>
                <w:szCs w:val="24"/>
              </w:rPr>
            </w:pPr>
            <w:r>
              <w:rPr>
                <w:color w:val="000000"/>
                <w:sz w:val="24"/>
                <w:szCs w:val="24"/>
              </w:rPr>
              <w:t>生态保护</w:t>
            </w:r>
          </w:p>
          <w:p w14:paraId="11C9361E">
            <w:pPr>
              <w:adjustRightInd w:val="0"/>
              <w:spacing w:before="31" w:beforeLines="10" w:after="31" w:afterLines="10"/>
              <w:jc w:val="center"/>
              <w:rPr>
                <w:color w:val="000000"/>
                <w:sz w:val="24"/>
                <w:szCs w:val="24"/>
              </w:rPr>
            </w:pPr>
            <w:r>
              <w:rPr>
                <w:color w:val="000000"/>
                <w:sz w:val="24"/>
                <w:szCs w:val="24"/>
              </w:rPr>
              <w:t>措施</w:t>
            </w:r>
          </w:p>
        </w:tc>
        <w:tc>
          <w:tcPr>
            <w:tcW w:w="4335" w:type="pct"/>
            <w:gridSpan w:val="4"/>
            <w:noWrap w:val="0"/>
            <w:vAlign w:val="center"/>
          </w:tcPr>
          <w:p w14:paraId="0EE650D1">
            <w:pPr>
              <w:adjustRightInd w:val="0"/>
              <w:snapToGrid w:val="0"/>
              <w:jc w:val="center"/>
              <w:rPr>
                <w:rFonts w:hint="eastAsia"/>
                <w:color w:val="000000"/>
                <w:sz w:val="24"/>
                <w:szCs w:val="24"/>
              </w:rPr>
            </w:pPr>
            <w:r>
              <w:rPr>
                <w:rFonts w:hint="eastAsia"/>
                <w:color w:val="000000"/>
                <w:sz w:val="24"/>
                <w:szCs w:val="24"/>
              </w:rPr>
              <w:t>/</w:t>
            </w:r>
          </w:p>
        </w:tc>
      </w:tr>
      <w:tr w14:paraId="0AA3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 w:hRule="atLeast"/>
          <w:jc w:val="center"/>
        </w:trPr>
        <w:tc>
          <w:tcPr>
            <w:tcW w:w="664" w:type="pct"/>
            <w:noWrap w:val="0"/>
            <w:vAlign w:val="center"/>
          </w:tcPr>
          <w:p w14:paraId="2D3F7BD8">
            <w:pPr>
              <w:adjustRightInd w:val="0"/>
              <w:snapToGrid w:val="0"/>
              <w:spacing w:before="93" w:beforeLines="30"/>
              <w:jc w:val="center"/>
              <w:rPr>
                <w:color w:val="000000"/>
                <w:sz w:val="24"/>
                <w:szCs w:val="24"/>
              </w:rPr>
            </w:pPr>
            <w:r>
              <w:rPr>
                <w:color w:val="000000"/>
                <w:sz w:val="24"/>
                <w:szCs w:val="24"/>
              </w:rPr>
              <w:t>环境风险</w:t>
            </w:r>
          </w:p>
          <w:p w14:paraId="1E14DFD5">
            <w:pPr>
              <w:adjustRightInd w:val="0"/>
              <w:snapToGrid w:val="0"/>
              <w:spacing w:after="93" w:afterLines="30"/>
              <w:jc w:val="center"/>
              <w:rPr>
                <w:color w:val="000000"/>
                <w:sz w:val="24"/>
                <w:szCs w:val="24"/>
              </w:rPr>
            </w:pPr>
            <w:r>
              <w:rPr>
                <w:color w:val="000000"/>
                <w:sz w:val="24"/>
                <w:szCs w:val="24"/>
              </w:rPr>
              <w:t>防范措施</w:t>
            </w:r>
          </w:p>
        </w:tc>
        <w:tc>
          <w:tcPr>
            <w:tcW w:w="4335" w:type="pct"/>
            <w:gridSpan w:val="4"/>
            <w:noWrap w:val="0"/>
            <w:vAlign w:val="center"/>
          </w:tcPr>
          <w:p w14:paraId="2A809DB1">
            <w:pPr>
              <w:adjustRightInd w:val="0"/>
              <w:spacing w:line="360" w:lineRule="auto"/>
              <w:rPr>
                <w:rFonts w:hint="eastAsia"/>
                <w:color w:val="000000"/>
                <w:sz w:val="24"/>
                <w:szCs w:val="24"/>
              </w:rPr>
            </w:pPr>
            <w:r>
              <w:rPr>
                <w:rFonts w:hint="eastAsia"/>
                <w:color w:val="000000"/>
                <w:sz w:val="24"/>
                <w:szCs w:val="24"/>
              </w:rPr>
              <w:t>（1）加强危险物质贮存过程中的管理：加强危险品管理，建立危险品定期汇总登记制度，记录危险化学品种类和数量，并存档备查。</w:t>
            </w:r>
          </w:p>
          <w:p w14:paraId="7E2665C0">
            <w:pPr>
              <w:adjustRightInd w:val="0"/>
              <w:spacing w:line="360" w:lineRule="auto"/>
              <w:rPr>
                <w:rFonts w:hint="eastAsia"/>
                <w:color w:val="000000"/>
                <w:sz w:val="24"/>
                <w:szCs w:val="24"/>
              </w:rPr>
            </w:pPr>
            <w:r>
              <w:rPr>
                <w:rFonts w:hint="eastAsia"/>
                <w:color w:val="000000"/>
                <w:sz w:val="24"/>
                <w:szCs w:val="24"/>
              </w:rPr>
              <w:t>（2）贮存危险品的场所必须符合国家法律、法规和其他有关规定；贮存的危险品必须有明显的标志，标志应符合《危险废物贮存污染控制标准》（GB18597-2023）的规定。</w:t>
            </w:r>
          </w:p>
          <w:p w14:paraId="5C056509">
            <w:pPr>
              <w:adjustRightInd w:val="0"/>
              <w:spacing w:line="360" w:lineRule="auto"/>
              <w:rPr>
                <w:rFonts w:hint="eastAsia"/>
                <w:color w:val="000000"/>
                <w:sz w:val="24"/>
                <w:szCs w:val="24"/>
              </w:rPr>
            </w:pPr>
            <w:r>
              <w:rPr>
                <w:rFonts w:hint="eastAsia"/>
                <w:color w:val="000000"/>
                <w:sz w:val="24"/>
                <w:szCs w:val="24"/>
              </w:rPr>
              <w:t>（3）液态物料存放区应做好地面防渗措施，设置围堰或下设托盘，防止物料泄漏时扩延污染范围。并且设专人负责液态物料存放区的管理，液态物料加盖密封存放，定期巡查，发生泄漏时及时发现及时处理。</w:t>
            </w:r>
          </w:p>
          <w:p w14:paraId="6D95BE14">
            <w:pPr>
              <w:adjustRightInd w:val="0"/>
              <w:spacing w:line="360" w:lineRule="auto"/>
              <w:rPr>
                <w:rFonts w:hint="eastAsia"/>
                <w:color w:val="000000"/>
                <w:sz w:val="24"/>
                <w:szCs w:val="24"/>
              </w:rPr>
            </w:pPr>
            <w:r>
              <w:rPr>
                <w:rFonts w:hint="eastAsia"/>
                <w:color w:val="000000"/>
                <w:sz w:val="24"/>
                <w:szCs w:val="24"/>
              </w:rPr>
              <w:t>（4）危险品进厂严格检验数量、质量、包装情况、是否泄漏；对设备、管线、泵等定期检查、保养、维修；遵守各项规章制度和操作规程，严格执行岗位责任制，加强培训教育和考核工作。</w:t>
            </w:r>
          </w:p>
          <w:p w14:paraId="27AFF114">
            <w:pPr>
              <w:adjustRightInd w:val="0"/>
              <w:spacing w:line="360" w:lineRule="auto"/>
              <w:rPr>
                <w:rFonts w:hint="eastAsia"/>
                <w:color w:val="000000"/>
                <w:sz w:val="24"/>
                <w:szCs w:val="24"/>
              </w:rPr>
            </w:pPr>
            <w:r>
              <w:rPr>
                <w:rFonts w:hint="eastAsia"/>
                <w:color w:val="000000"/>
                <w:sz w:val="24"/>
                <w:szCs w:val="24"/>
              </w:rPr>
              <w:t>（5）厂区内严禁明火，应配置足量的相应灭火设备，定期检查灭火状态及其有效期等。</w:t>
            </w:r>
          </w:p>
          <w:p w14:paraId="69CD4DE9">
            <w:pPr>
              <w:adjustRightInd w:val="0"/>
              <w:spacing w:line="360" w:lineRule="auto"/>
              <w:rPr>
                <w:color w:val="000000"/>
                <w:sz w:val="24"/>
                <w:szCs w:val="24"/>
              </w:rPr>
            </w:pPr>
            <w:r>
              <w:rPr>
                <w:rFonts w:hint="eastAsia"/>
                <w:color w:val="000000"/>
                <w:sz w:val="24"/>
                <w:szCs w:val="24"/>
              </w:rPr>
              <w:t>（6）厂区还应配备沙袋、沙土、应急桶、防护口罩、防毒面具、防护手套等应急物资。</w:t>
            </w:r>
          </w:p>
        </w:tc>
      </w:tr>
      <w:tr w14:paraId="5153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 w:hRule="atLeast"/>
          <w:jc w:val="center"/>
        </w:trPr>
        <w:tc>
          <w:tcPr>
            <w:tcW w:w="664" w:type="pct"/>
            <w:noWrap w:val="0"/>
            <w:vAlign w:val="center"/>
          </w:tcPr>
          <w:p w14:paraId="6C4FE302">
            <w:pPr>
              <w:adjustRightInd w:val="0"/>
              <w:snapToGrid w:val="0"/>
              <w:spacing w:before="93" w:beforeLines="30"/>
              <w:jc w:val="center"/>
              <w:rPr>
                <w:color w:val="000000"/>
                <w:sz w:val="24"/>
                <w:szCs w:val="24"/>
              </w:rPr>
            </w:pPr>
            <w:r>
              <w:rPr>
                <w:color w:val="000000"/>
                <w:sz w:val="24"/>
                <w:szCs w:val="24"/>
              </w:rPr>
              <w:t>其他环境</w:t>
            </w:r>
          </w:p>
          <w:p w14:paraId="641F23D6">
            <w:pPr>
              <w:adjustRightInd w:val="0"/>
              <w:snapToGrid w:val="0"/>
              <w:spacing w:after="93" w:afterLines="30"/>
              <w:jc w:val="center"/>
              <w:rPr>
                <w:color w:val="000000"/>
                <w:sz w:val="24"/>
                <w:szCs w:val="24"/>
              </w:rPr>
            </w:pPr>
            <w:r>
              <w:rPr>
                <w:color w:val="000000"/>
                <w:sz w:val="24"/>
                <w:szCs w:val="24"/>
              </w:rPr>
              <w:t>管理要求</w:t>
            </w:r>
          </w:p>
        </w:tc>
        <w:tc>
          <w:tcPr>
            <w:tcW w:w="4335" w:type="pct"/>
            <w:gridSpan w:val="4"/>
            <w:noWrap w:val="0"/>
            <w:vAlign w:val="center"/>
          </w:tcPr>
          <w:p w14:paraId="7819E06B">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color w:val="000000"/>
                <w:sz w:val="24"/>
                <w:szCs w:val="24"/>
              </w:rPr>
            </w:pPr>
            <w:r>
              <w:rPr>
                <w:rFonts w:hint="eastAsia"/>
                <w:color w:val="000000"/>
                <w:sz w:val="24"/>
                <w:szCs w:val="24"/>
              </w:rPr>
              <w:t>（1）完善并妥保存环保档案：①环评批复文件或环境现状评估备案证明；②排污许可证；③竣工环保验收文件；④环境管理制度；⑤废气治理设施运行管理规程；⑥一年内废气监测报告；</w:t>
            </w:r>
          </w:p>
          <w:p w14:paraId="3D467484">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color w:val="000000"/>
                <w:sz w:val="24"/>
                <w:szCs w:val="24"/>
              </w:rPr>
            </w:pPr>
            <w:r>
              <w:rPr>
                <w:rFonts w:hint="eastAsia"/>
                <w:color w:val="000000"/>
                <w:sz w:val="24"/>
                <w:szCs w:val="24"/>
              </w:rPr>
              <w:t>（2）台账记录：①生产设施运行管理信息（生产时间、运行负荷、产品产量等</w:t>
            </w:r>
            <w:r>
              <w:rPr>
                <w:rFonts w:hint="eastAsia"/>
                <w:color w:val="000000"/>
                <w:sz w:val="24"/>
                <w:szCs w:val="24"/>
                <w:lang w:eastAsia="zh-CN"/>
              </w:rPr>
              <w:t>）</w:t>
            </w:r>
            <w:r>
              <w:rPr>
                <w:rFonts w:hint="eastAsia"/>
                <w:color w:val="000000"/>
                <w:sz w:val="24"/>
                <w:szCs w:val="24"/>
              </w:rPr>
              <w:t>②废气污染治理设施运行管理信息；③监测记录信息（主要污染排放口废气排放记录等）；④主要原辅材料消耗记录等；</w:t>
            </w:r>
          </w:p>
          <w:p w14:paraId="386FA8C5">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eastAsia="宋体"/>
                <w:color w:val="000000"/>
                <w:sz w:val="24"/>
                <w:szCs w:val="24"/>
                <w:lang w:eastAsia="zh-CN"/>
              </w:rPr>
            </w:pPr>
            <w:r>
              <w:rPr>
                <w:rFonts w:hint="eastAsia"/>
                <w:color w:val="000000"/>
                <w:sz w:val="24"/>
                <w:szCs w:val="24"/>
              </w:rPr>
              <w:t>（3）人员配置：配备专（兼）职环保人员，并具备相应的环境管理能力</w:t>
            </w:r>
            <w:r>
              <w:rPr>
                <w:rFonts w:hint="eastAsia"/>
                <w:color w:val="000000"/>
                <w:sz w:val="24"/>
                <w:szCs w:val="24"/>
                <w:lang w:eastAsia="zh-CN"/>
              </w:rPr>
              <w:t>；</w:t>
            </w:r>
          </w:p>
          <w:p w14:paraId="602AFFFF">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color w:val="000000"/>
                <w:sz w:val="24"/>
                <w:szCs w:val="24"/>
              </w:rPr>
            </w:pPr>
            <w:r>
              <w:rPr>
                <w:rFonts w:hint="eastAsia"/>
                <w:color w:val="000000"/>
                <w:sz w:val="24"/>
                <w:szCs w:val="24"/>
              </w:rPr>
              <w:t>（4）加强</w:t>
            </w:r>
            <w:r>
              <w:rPr>
                <w:rFonts w:hint="eastAsia"/>
                <w:color w:val="000000"/>
                <w:sz w:val="24"/>
                <w:szCs w:val="24"/>
                <w:lang w:eastAsia="zh-CN"/>
              </w:rPr>
              <w:t>环境治理</w:t>
            </w:r>
            <w:r>
              <w:rPr>
                <w:rFonts w:hint="eastAsia"/>
                <w:color w:val="000000"/>
                <w:sz w:val="24"/>
                <w:szCs w:val="24"/>
              </w:rPr>
              <w:t>设施管理，确保治理设施正常运行，污染物稳定达标排放。</w:t>
            </w:r>
          </w:p>
          <w:p w14:paraId="666B961D">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color w:val="000000"/>
                <w:sz w:val="24"/>
                <w:szCs w:val="24"/>
              </w:rPr>
            </w:pPr>
            <w:r>
              <w:rPr>
                <w:rFonts w:hint="eastAsia"/>
                <w:color w:val="000000"/>
                <w:sz w:val="24"/>
                <w:szCs w:val="24"/>
              </w:rPr>
              <w:t>（5）排放口规范化设置，粘贴标识牌。</w:t>
            </w:r>
          </w:p>
          <w:p w14:paraId="7E3618C2">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color w:val="000000"/>
                <w:sz w:val="24"/>
                <w:szCs w:val="24"/>
              </w:rPr>
            </w:pPr>
            <w:r>
              <w:rPr>
                <w:rFonts w:hint="eastAsia"/>
                <w:color w:val="000000"/>
                <w:sz w:val="24"/>
                <w:szCs w:val="24"/>
              </w:rPr>
              <w:t>（6）落实当地管理部门制定的重污染天气管控政策和减排指标。</w:t>
            </w:r>
          </w:p>
          <w:p w14:paraId="636933CA">
            <w:pPr>
              <w:adjustRightInd w:val="0"/>
              <w:rPr>
                <w:rFonts w:hint="eastAsia"/>
                <w:color w:val="000000"/>
                <w:sz w:val="24"/>
                <w:szCs w:val="24"/>
              </w:rPr>
            </w:pPr>
          </w:p>
          <w:p w14:paraId="2E73851D">
            <w:pPr>
              <w:adjustRightInd w:val="0"/>
              <w:rPr>
                <w:rFonts w:hint="eastAsia"/>
                <w:color w:val="000000"/>
                <w:sz w:val="24"/>
                <w:szCs w:val="24"/>
              </w:rPr>
            </w:pPr>
          </w:p>
          <w:p w14:paraId="40C74E42">
            <w:pPr>
              <w:adjustRightInd w:val="0"/>
              <w:rPr>
                <w:rFonts w:hint="eastAsia"/>
                <w:color w:val="000000"/>
                <w:sz w:val="24"/>
                <w:szCs w:val="24"/>
              </w:rPr>
            </w:pPr>
          </w:p>
          <w:p w14:paraId="296B8249">
            <w:pPr>
              <w:adjustRightInd w:val="0"/>
              <w:rPr>
                <w:rFonts w:hint="eastAsia"/>
                <w:color w:val="000000"/>
                <w:sz w:val="24"/>
                <w:szCs w:val="24"/>
              </w:rPr>
            </w:pPr>
          </w:p>
          <w:p w14:paraId="69BA0477">
            <w:pPr>
              <w:adjustRightInd w:val="0"/>
              <w:rPr>
                <w:rFonts w:hint="eastAsia"/>
                <w:color w:val="000000"/>
                <w:sz w:val="24"/>
                <w:szCs w:val="24"/>
              </w:rPr>
            </w:pPr>
          </w:p>
          <w:p w14:paraId="63DF9CEB">
            <w:pPr>
              <w:adjustRightInd w:val="0"/>
              <w:rPr>
                <w:rFonts w:hint="eastAsia"/>
                <w:color w:val="000000"/>
                <w:sz w:val="24"/>
                <w:szCs w:val="24"/>
              </w:rPr>
            </w:pPr>
          </w:p>
          <w:p w14:paraId="166A1508">
            <w:pPr>
              <w:adjustRightInd w:val="0"/>
              <w:rPr>
                <w:rFonts w:hint="eastAsia"/>
                <w:color w:val="000000"/>
                <w:sz w:val="24"/>
                <w:szCs w:val="24"/>
              </w:rPr>
            </w:pPr>
          </w:p>
          <w:p w14:paraId="0B8C9B90">
            <w:pPr>
              <w:adjustRightInd w:val="0"/>
              <w:rPr>
                <w:rFonts w:hint="eastAsia"/>
                <w:color w:val="000000"/>
                <w:sz w:val="24"/>
                <w:szCs w:val="24"/>
              </w:rPr>
            </w:pPr>
          </w:p>
          <w:p w14:paraId="58166D6B">
            <w:pPr>
              <w:adjustRightInd w:val="0"/>
              <w:rPr>
                <w:rFonts w:hint="eastAsia"/>
                <w:color w:val="000000"/>
                <w:sz w:val="24"/>
                <w:szCs w:val="24"/>
              </w:rPr>
            </w:pPr>
          </w:p>
          <w:p w14:paraId="65CDEC7B">
            <w:pPr>
              <w:adjustRightInd w:val="0"/>
              <w:rPr>
                <w:rFonts w:hint="eastAsia"/>
                <w:color w:val="000000"/>
                <w:sz w:val="24"/>
                <w:szCs w:val="24"/>
              </w:rPr>
            </w:pPr>
          </w:p>
          <w:p w14:paraId="26DCFC76">
            <w:pPr>
              <w:adjustRightInd w:val="0"/>
              <w:rPr>
                <w:rFonts w:hint="eastAsia"/>
                <w:color w:val="000000"/>
                <w:sz w:val="24"/>
                <w:szCs w:val="24"/>
              </w:rPr>
            </w:pPr>
          </w:p>
          <w:p w14:paraId="69391A1A">
            <w:pPr>
              <w:adjustRightInd w:val="0"/>
              <w:rPr>
                <w:rFonts w:hint="eastAsia"/>
                <w:color w:val="000000"/>
                <w:sz w:val="24"/>
                <w:szCs w:val="24"/>
              </w:rPr>
            </w:pPr>
          </w:p>
          <w:p w14:paraId="75598DF6">
            <w:pPr>
              <w:adjustRightInd w:val="0"/>
              <w:rPr>
                <w:rFonts w:hint="eastAsia"/>
                <w:color w:val="000000"/>
                <w:sz w:val="24"/>
                <w:szCs w:val="24"/>
              </w:rPr>
            </w:pPr>
          </w:p>
          <w:p w14:paraId="3AE78E01">
            <w:pPr>
              <w:adjustRightInd w:val="0"/>
              <w:rPr>
                <w:rFonts w:hint="eastAsia"/>
                <w:color w:val="000000"/>
                <w:sz w:val="24"/>
                <w:szCs w:val="24"/>
              </w:rPr>
            </w:pPr>
          </w:p>
          <w:p w14:paraId="5F774830">
            <w:pPr>
              <w:adjustRightInd w:val="0"/>
              <w:rPr>
                <w:rFonts w:hint="eastAsia"/>
                <w:color w:val="000000"/>
                <w:sz w:val="24"/>
                <w:szCs w:val="24"/>
              </w:rPr>
            </w:pPr>
          </w:p>
          <w:p w14:paraId="25DB2A8E">
            <w:pPr>
              <w:adjustRightInd w:val="0"/>
              <w:rPr>
                <w:rFonts w:hint="eastAsia"/>
                <w:color w:val="000000"/>
                <w:sz w:val="24"/>
                <w:szCs w:val="24"/>
              </w:rPr>
            </w:pPr>
          </w:p>
          <w:p w14:paraId="03FB7621">
            <w:pPr>
              <w:adjustRightInd w:val="0"/>
              <w:rPr>
                <w:rFonts w:hint="eastAsia"/>
                <w:color w:val="000000"/>
                <w:sz w:val="24"/>
                <w:szCs w:val="24"/>
              </w:rPr>
            </w:pPr>
          </w:p>
          <w:p w14:paraId="0C7A5DE1">
            <w:pPr>
              <w:adjustRightInd w:val="0"/>
              <w:rPr>
                <w:rFonts w:hint="eastAsia"/>
                <w:color w:val="000000"/>
                <w:sz w:val="24"/>
                <w:szCs w:val="24"/>
              </w:rPr>
            </w:pPr>
          </w:p>
          <w:p w14:paraId="79B71036">
            <w:pPr>
              <w:adjustRightInd w:val="0"/>
              <w:rPr>
                <w:rFonts w:hint="eastAsia"/>
                <w:color w:val="000000"/>
                <w:sz w:val="24"/>
                <w:szCs w:val="24"/>
              </w:rPr>
            </w:pPr>
          </w:p>
          <w:p w14:paraId="15A5DC27">
            <w:pPr>
              <w:adjustRightInd w:val="0"/>
              <w:rPr>
                <w:rFonts w:hint="eastAsia"/>
                <w:color w:val="000000"/>
                <w:sz w:val="24"/>
                <w:szCs w:val="24"/>
              </w:rPr>
            </w:pPr>
          </w:p>
          <w:p w14:paraId="5AD506EF">
            <w:pPr>
              <w:adjustRightInd w:val="0"/>
              <w:rPr>
                <w:rFonts w:hint="eastAsia"/>
                <w:color w:val="000000"/>
                <w:sz w:val="24"/>
                <w:szCs w:val="24"/>
              </w:rPr>
            </w:pPr>
          </w:p>
          <w:p w14:paraId="15CD7F52">
            <w:pPr>
              <w:adjustRightInd w:val="0"/>
              <w:rPr>
                <w:rFonts w:hint="eastAsia"/>
                <w:color w:val="000000"/>
                <w:sz w:val="24"/>
                <w:szCs w:val="24"/>
              </w:rPr>
            </w:pPr>
          </w:p>
          <w:p w14:paraId="6C50A3B0">
            <w:pPr>
              <w:adjustRightInd w:val="0"/>
              <w:rPr>
                <w:rFonts w:hint="eastAsia"/>
                <w:color w:val="000000"/>
                <w:sz w:val="24"/>
                <w:szCs w:val="24"/>
              </w:rPr>
            </w:pPr>
          </w:p>
          <w:p w14:paraId="358AC26E">
            <w:pPr>
              <w:adjustRightInd w:val="0"/>
              <w:rPr>
                <w:rFonts w:hint="eastAsia"/>
                <w:color w:val="000000"/>
                <w:sz w:val="24"/>
                <w:szCs w:val="24"/>
              </w:rPr>
            </w:pPr>
          </w:p>
          <w:p w14:paraId="1B702FA3">
            <w:pPr>
              <w:adjustRightInd w:val="0"/>
              <w:rPr>
                <w:rFonts w:hint="eastAsia"/>
                <w:color w:val="000000"/>
                <w:sz w:val="24"/>
                <w:szCs w:val="24"/>
              </w:rPr>
            </w:pPr>
          </w:p>
          <w:p w14:paraId="6D3AC9CC">
            <w:pPr>
              <w:adjustRightInd w:val="0"/>
              <w:rPr>
                <w:rFonts w:hint="eastAsia"/>
                <w:color w:val="000000"/>
                <w:sz w:val="24"/>
                <w:szCs w:val="24"/>
              </w:rPr>
            </w:pPr>
          </w:p>
          <w:p w14:paraId="5C102303">
            <w:pPr>
              <w:adjustRightInd w:val="0"/>
              <w:rPr>
                <w:rFonts w:hint="eastAsia"/>
                <w:color w:val="000000"/>
                <w:sz w:val="24"/>
                <w:szCs w:val="24"/>
              </w:rPr>
            </w:pPr>
          </w:p>
          <w:p w14:paraId="43C1CE46">
            <w:pPr>
              <w:adjustRightInd w:val="0"/>
              <w:rPr>
                <w:rFonts w:hint="eastAsia"/>
                <w:color w:val="000000"/>
                <w:sz w:val="24"/>
                <w:szCs w:val="24"/>
              </w:rPr>
            </w:pPr>
          </w:p>
          <w:p w14:paraId="2A353484">
            <w:pPr>
              <w:adjustRightInd w:val="0"/>
              <w:rPr>
                <w:rFonts w:hint="eastAsia"/>
                <w:color w:val="000000"/>
                <w:sz w:val="24"/>
                <w:szCs w:val="24"/>
              </w:rPr>
            </w:pPr>
          </w:p>
          <w:p w14:paraId="2C8DD20A">
            <w:pPr>
              <w:adjustRightInd w:val="0"/>
              <w:rPr>
                <w:rFonts w:hint="eastAsia"/>
                <w:color w:val="000000"/>
                <w:sz w:val="24"/>
                <w:szCs w:val="24"/>
              </w:rPr>
            </w:pPr>
          </w:p>
          <w:p w14:paraId="63AF1181">
            <w:pPr>
              <w:adjustRightInd w:val="0"/>
              <w:rPr>
                <w:rFonts w:hint="eastAsia"/>
                <w:color w:val="000000"/>
                <w:sz w:val="24"/>
                <w:szCs w:val="24"/>
              </w:rPr>
            </w:pPr>
          </w:p>
          <w:p w14:paraId="28DB3809">
            <w:pPr>
              <w:adjustRightInd w:val="0"/>
              <w:rPr>
                <w:rFonts w:hint="eastAsia"/>
                <w:color w:val="000000"/>
                <w:sz w:val="24"/>
                <w:szCs w:val="24"/>
              </w:rPr>
            </w:pPr>
          </w:p>
          <w:p w14:paraId="3EB1923C">
            <w:pPr>
              <w:adjustRightInd w:val="0"/>
              <w:rPr>
                <w:rFonts w:hint="eastAsia"/>
                <w:color w:val="000000"/>
                <w:sz w:val="24"/>
                <w:szCs w:val="24"/>
              </w:rPr>
            </w:pPr>
          </w:p>
          <w:p w14:paraId="53C6E994">
            <w:pPr>
              <w:adjustRightInd w:val="0"/>
              <w:rPr>
                <w:rFonts w:hint="eastAsia"/>
                <w:color w:val="000000"/>
                <w:sz w:val="24"/>
                <w:szCs w:val="24"/>
              </w:rPr>
            </w:pPr>
          </w:p>
          <w:p w14:paraId="2F550959">
            <w:pPr>
              <w:adjustRightInd w:val="0"/>
              <w:rPr>
                <w:rFonts w:hint="eastAsia"/>
                <w:color w:val="000000"/>
                <w:sz w:val="24"/>
                <w:szCs w:val="24"/>
              </w:rPr>
            </w:pPr>
          </w:p>
          <w:p w14:paraId="3C016E3A">
            <w:pPr>
              <w:adjustRightInd w:val="0"/>
              <w:rPr>
                <w:rFonts w:hint="eastAsia"/>
                <w:color w:val="000000"/>
                <w:sz w:val="24"/>
                <w:szCs w:val="24"/>
              </w:rPr>
            </w:pPr>
          </w:p>
        </w:tc>
      </w:tr>
    </w:tbl>
    <w:p w14:paraId="52B51CFD">
      <w:pPr>
        <w:snapToGrid w:val="0"/>
        <w:rPr>
          <w:rFonts w:hint="eastAsia"/>
          <w:color w:val="000000"/>
          <w:sz w:val="10"/>
          <w:szCs w:val="10"/>
        </w:rPr>
      </w:pPr>
      <w:r>
        <w:rPr>
          <w:rFonts w:hint="eastAsia"/>
          <w:color w:val="000000"/>
          <w:sz w:val="10"/>
          <w:szCs w:val="10"/>
        </w:rPr>
        <w:t xml:space="preserve"> </w:t>
      </w:r>
      <w:r>
        <w:rPr>
          <w:color w:val="000000"/>
          <w:sz w:val="10"/>
          <w:szCs w:val="10"/>
        </w:rPr>
        <w:t xml:space="preserve">  </w:t>
      </w:r>
    </w:p>
    <w:p w14:paraId="1541E76F">
      <w:pPr>
        <w:spacing w:line="360" w:lineRule="auto"/>
        <w:rPr>
          <w:color w:val="000000"/>
          <w:sz w:val="24"/>
          <w:szCs w:val="24"/>
        </w:rPr>
        <w:sectPr>
          <w:pgSz w:w="11906" w:h="16838"/>
          <w:pgMar w:top="1701" w:right="1531" w:bottom="1701" w:left="1531" w:header="851" w:footer="992" w:gutter="0"/>
          <w:pgBorders>
            <w:top w:val="none" w:sz="0" w:space="0"/>
            <w:left w:val="none" w:sz="0" w:space="0"/>
            <w:bottom w:val="none" w:sz="0" w:space="0"/>
            <w:right w:val="none" w:sz="0" w:space="0"/>
          </w:pgBorders>
          <w:cols w:space="720" w:num="1"/>
          <w:docGrid w:type="linesAndChars" w:linePitch="312" w:charSpace="117"/>
        </w:sectPr>
      </w:pPr>
    </w:p>
    <w:p w14:paraId="141EE4B6">
      <w:pPr>
        <w:snapToGrid w:val="0"/>
        <w:spacing w:after="124" w:afterLines="40"/>
        <w:jc w:val="center"/>
        <w:rPr>
          <w:color w:val="000000"/>
          <w:sz w:val="24"/>
          <w:szCs w:val="24"/>
        </w:rPr>
      </w:pPr>
      <w:r>
        <w:rPr>
          <w:rFonts w:hint="eastAsia" w:ascii="黑体" w:hAnsi="黑体" w:eastAsia="黑体"/>
          <w:snapToGrid w:val="0"/>
          <w:color w:val="000000"/>
          <w:sz w:val="30"/>
          <w:szCs w:val="30"/>
        </w:rPr>
        <w:t>六、结论</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9014"/>
      </w:tblGrid>
      <w:tr w14:paraId="0902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c>
          <w:tcPr>
            <w:tcW w:w="9060" w:type="dxa"/>
            <w:noWrap w:val="0"/>
            <w:vAlign w:val="top"/>
          </w:tcPr>
          <w:p w14:paraId="4BA2BE94">
            <w:pPr>
              <w:spacing w:line="360" w:lineRule="auto"/>
              <w:ind w:firstLine="480" w:firstLineChars="200"/>
              <w:rPr>
                <w:color w:val="000000"/>
                <w:sz w:val="24"/>
                <w:szCs w:val="24"/>
              </w:rPr>
            </w:pPr>
            <w:r>
              <w:rPr>
                <w:rFonts w:hint="eastAsia"/>
                <w:color w:val="000000"/>
                <w:sz w:val="24"/>
              </w:rPr>
              <w:t>综上所述，本项目的建设符合</w:t>
            </w:r>
            <w:r>
              <w:rPr>
                <w:rFonts w:hint="eastAsia"/>
                <w:color w:val="000000"/>
                <w:sz w:val="24"/>
                <w:lang w:val="en-US" w:eastAsia="zh-CN"/>
              </w:rPr>
              <w:t>河南省</w:t>
            </w:r>
            <w:r>
              <w:rPr>
                <w:rFonts w:hint="eastAsia"/>
                <w:color w:val="000000"/>
                <w:sz w:val="24"/>
              </w:rPr>
              <w:t>“三线一单”要求，符合当前国家产业政策和地方环保管理相关要求，符合相关规划，厂址选择及厂区平面布置合理可行。本项目产生的废气、废水、噪声采取有效措施后均可达标排放，固废能够合理处置，对周围环境的影响较小。建设单位在项目建设及运行中只要严格遵守“三同时”制度，认真落实本评价提出的各项污染防治措施，建立完善的环境管理制度，可以确保污染物达标排放，项目投产后对区域环境的影响较小。因此，从环境保护角度来看，本项目的建设可行。</w:t>
            </w:r>
          </w:p>
          <w:p w14:paraId="46EBA4E3">
            <w:pPr>
              <w:spacing w:line="360" w:lineRule="auto"/>
              <w:rPr>
                <w:color w:val="000000"/>
                <w:sz w:val="24"/>
                <w:szCs w:val="24"/>
              </w:rPr>
            </w:pPr>
          </w:p>
          <w:p w14:paraId="027FBA1A">
            <w:pPr>
              <w:spacing w:line="360" w:lineRule="auto"/>
              <w:rPr>
                <w:color w:val="000000"/>
                <w:sz w:val="24"/>
                <w:szCs w:val="24"/>
              </w:rPr>
            </w:pPr>
          </w:p>
          <w:p w14:paraId="144EA3BC">
            <w:pPr>
              <w:spacing w:line="360" w:lineRule="auto"/>
              <w:rPr>
                <w:color w:val="000000"/>
                <w:sz w:val="24"/>
                <w:szCs w:val="24"/>
              </w:rPr>
            </w:pPr>
          </w:p>
          <w:p w14:paraId="4DCF9937">
            <w:pPr>
              <w:spacing w:line="360" w:lineRule="auto"/>
              <w:rPr>
                <w:color w:val="000000"/>
                <w:sz w:val="24"/>
                <w:szCs w:val="24"/>
              </w:rPr>
            </w:pPr>
          </w:p>
          <w:p w14:paraId="6CE84684">
            <w:pPr>
              <w:spacing w:line="360" w:lineRule="auto"/>
              <w:rPr>
                <w:color w:val="000000"/>
                <w:sz w:val="24"/>
                <w:szCs w:val="24"/>
              </w:rPr>
            </w:pPr>
          </w:p>
          <w:p w14:paraId="0AD1D8B8">
            <w:pPr>
              <w:spacing w:line="360" w:lineRule="auto"/>
              <w:rPr>
                <w:color w:val="000000"/>
                <w:sz w:val="24"/>
                <w:szCs w:val="24"/>
              </w:rPr>
            </w:pPr>
          </w:p>
          <w:p w14:paraId="599EB320">
            <w:pPr>
              <w:spacing w:line="360" w:lineRule="auto"/>
              <w:rPr>
                <w:color w:val="000000"/>
                <w:sz w:val="24"/>
                <w:szCs w:val="24"/>
              </w:rPr>
            </w:pPr>
          </w:p>
          <w:p w14:paraId="23B3C3F5">
            <w:pPr>
              <w:spacing w:line="360" w:lineRule="auto"/>
              <w:rPr>
                <w:color w:val="000000"/>
                <w:sz w:val="24"/>
                <w:szCs w:val="24"/>
              </w:rPr>
            </w:pPr>
          </w:p>
          <w:p w14:paraId="2A98635B">
            <w:pPr>
              <w:spacing w:line="360" w:lineRule="auto"/>
              <w:rPr>
                <w:color w:val="000000"/>
                <w:sz w:val="24"/>
                <w:szCs w:val="24"/>
              </w:rPr>
            </w:pPr>
          </w:p>
          <w:p w14:paraId="291276A6">
            <w:pPr>
              <w:spacing w:line="360" w:lineRule="auto"/>
              <w:rPr>
                <w:color w:val="000000"/>
                <w:sz w:val="24"/>
                <w:szCs w:val="24"/>
              </w:rPr>
            </w:pPr>
          </w:p>
          <w:p w14:paraId="1253C798">
            <w:pPr>
              <w:spacing w:line="360" w:lineRule="auto"/>
              <w:rPr>
                <w:color w:val="000000"/>
                <w:sz w:val="24"/>
                <w:szCs w:val="24"/>
              </w:rPr>
            </w:pPr>
          </w:p>
          <w:p w14:paraId="07A241F7">
            <w:pPr>
              <w:spacing w:line="360" w:lineRule="auto"/>
              <w:rPr>
                <w:color w:val="000000"/>
                <w:sz w:val="24"/>
                <w:szCs w:val="24"/>
              </w:rPr>
            </w:pPr>
          </w:p>
          <w:p w14:paraId="3BF9035A">
            <w:pPr>
              <w:spacing w:line="360" w:lineRule="auto"/>
              <w:rPr>
                <w:color w:val="000000"/>
                <w:sz w:val="24"/>
                <w:szCs w:val="24"/>
              </w:rPr>
            </w:pPr>
          </w:p>
          <w:p w14:paraId="604F2B0E">
            <w:pPr>
              <w:spacing w:line="360" w:lineRule="auto"/>
              <w:rPr>
                <w:color w:val="000000"/>
                <w:sz w:val="24"/>
                <w:szCs w:val="24"/>
              </w:rPr>
            </w:pPr>
          </w:p>
          <w:p w14:paraId="37C43F0E">
            <w:pPr>
              <w:spacing w:line="360" w:lineRule="auto"/>
              <w:rPr>
                <w:color w:val="000000"/>
                <w:sz w:val="24"/>
                <w:szCs w:val="24"/>
              </w:rPr>
            </w:pPr>
          </w:p>
          <w:p w14:paraId="59B9B962">
            <w:pPr>
              <w:spacing w:line="360" w:lineRule="auto"/>
              <w:rPr>
                <w:color w:val="000000"/>
                <w:sz w:val="24"/>
                <w:szCs w:val="24"/>
              </w:rPr>
            </w:pPr>
          </w:p>
          <w:p w14:paraId="7E7C1D00">
            <w:pPr>
              <w:spacing w:line="360" w:lineRule="auto"/>
              <w:rPr>
                <w:color w:val="000000"/>
                <w:sz w:val="24"/>
                <w:szCs w:val="24"/>
              </w:rPr>
            </w:pPr>
          </w:p>
          <w:p w14:paraId="73AF4391">
            <w:pPr>
              <w:spacing w:line="360" w:lineRule="auto"/>
              <w:rPr>
                <w:color w:val="000000"/>
                <w:sz w:val="24"/>
                <w:szCs w:val="24"/>
              </w:rPr>
            </w:pPr>
          </w:p>
          <w:p w14:paraId="60B18B63">
            <w:pPr>
              <w:spacing w:line="360" w:lineRule="auto"/>
              <w:rPr>
                <w:color w:val="000000"/>
                <w:sz w:val="24"/>
                <w:szCs w:val="24"/>
              </w:rPr>
            </w:pPr>
          </w:p>
          <w:p w14:paraId="36FF5335">
            <w:pPr>
              <w:spacing w:line="360" w:lineRule="auto"/>
              <w:rPr>
                <w:rFonts w:hint="eastAsia"/>
                <w:color w:val="000000"/>
                <w:sz w:val="24"/>
                <w:szCs w:val="24"/>
              </w:rPr>
            </w:pPr>
          </w:p>
        </w:tc>
      </w:tr>
    </w:tbl>
    <w:p w14:paraId="2C095522">
      <w:pPr>
        <w:snapToGrid w:val="0"/>
        <w:rPr>
          <w:color w:val="000000"/>
          <w:sz w:val="10"/>
          <w:szCs w:val="10"/>
        </w:rPr>
      </w:pPr>
      <w:r>
        <w:rPr>
          <w:rFonts w:hint="eastAsia"/>
          <w:color w:val="000000"/>
          <w:sz w:val="24"/>
          <w:szCs w:val="24"/>
        </w:rPr>
        <w:t xml:space="preserve"> </w:t>
      </w:r>
      <w:r>
        <w:rPr>
          <w:color w:val="000000"/>
          <w:sz w:val="24"/>
          <w:szCs w:val="24"/>
        </w:rPr>
        <w:t xml:space="preserve">   </w:t>
      </w:r>
    </w:p>
    <w:p w14:paraId="61E27D08">
      <w:pPr>
        <w:spacing w:line="360" w:lineRule="auto"/>
        <w:rPr>
          <w:color w:val="000000"/>
          <w:sz w:val="24"/>
          <w:szCs w:val="24"/>
        </w:rPr>
        <w:sectPr>
          <w:pgSz w:w="11906" w:h="16838"/>
          <w:pgMar w:top="1701" w:right="1531" w:bottom="1701" w:left="1531" w:header="851" w:footer="992" w:gutter="0"/>
          <w:pgBorders>
            <w:top w:val="none" w:sz="0" w:space="0"/>
            <w:left w:val="none" w:sz="0" w:space="0"/>
            <w:bottom w:val="none" w:sz="0" w:space="0"/>
            <w:right w:val="none" w:sz="0" w:space="0"/>
          </w:pgBorders>
          <w:cols w:space="720" w:num="1"/>
          <w:docGrid w:type="linesAndChars" w:linePitch="312" w:charSpace="117"/>
        </w:sectPr>
      </w:pPr>
    </w:p>
    <w:p w14:paraId="3CFFF888">
      <w:pPr>
        <w:snapToGrid w:val="0"/>
        <w:rPr>
          <w:rFonts w:ascii="黑体" w:hAnsi="黑体" w:eastAsia="黑体"/>
          <w:color w:val="000000"/>
          <w:sz w:val="32"/>
          <w:szCs w:val="32"/>
        </w:rPr>
      </w:pPr>
      <w:r>
        <w:rPr>
          <w:rFonts w:hint="eastAsia" w:ascii="黑体" w:hAnsi="黑体" w:eastAsia="黑体"/>
          <w:color w:val="000000"/>
          <w:sz w:val="32"/>
          <w:szCs w:val="32"/>
        </w:rPr>
        <w:t>附表</w:t>
      </w:r>
    </w:p>
    <w:p w14:paraId="2BE27118">
      <w:pPr>
        <w:snapToGrid w:val="0"/>
        <w:jc w:val="center"/>
        <w:rPr>
          <w:color w:val="000000"/>
          <w:sz w:val="36"/>
          <w:szCs w:val="36"/>
        </w:rPr>
      </w:pPr>
      <w:r>
        <w:rPr>
          <w:rFonts w:hint="eastAsia" w:ascii="方正小标宋_GBK" w:hAnsi="黑体" w:eastAsia="方正小标宋_GBK"/>
          <w:snapToGrid w:val="0"/>
          <w:color w:val="000000"/>
          <w:sz w:val="36"/>
          <w:szCs w:val="36"/>
        </w:rPr>
        <w:t>建设项目污染物排放量汇总表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38"/>
        <w:gridCol w:w="1638"/>
        <w:gridCol w:w="1491"/>
        <w:gridCol w:w="1485"/>
        <w:gridCol w:w="1491"/>
        <w:gridCol w:w="1501"/>
        <w:gridCol w:w="1491"/>
        <w:gridCol w:w="1842"/>
        <w:gridCol w:w="1273"/>
      </w:tblGrid>
      <w:tr w14:paraId="6EF7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338" w:type="dxa"/>
            <w:tcBorders>
              <w:tl2br w:val="single" w:color="auto" w:sz="4" w:space="0"/>
            </w:tcBorders>
            <w:noWrap w:val="0"/>
            <w:vAlign w:val="center"/>
          </w:tcPr>
          <w:p w14:paraId="51DD47ED">
            <w:pPr>
              <w:keepNext w:val="0"/>
              <w:keepLines w:val="0"/>
              <w:pageBreakBefore w:val="0"/>
              <w:kinsoku/>
              <w:wordWrap/>
              <w:overflowPunct/>
              <w:topLinePunct w:val="0"/>
              <w:autoSpaceDE/>
              <w:autoSpaceDN/>
              <w:bidi w:val="0"/>
              <w:snapToGrid/>
              <w:spacing w:line="257" w:lineRule="auto"/>
              <w:jc w:val="right"/>
              <w:rPr>
                <w:rFonts w:ascii="黑体" w:hAnsi="黑体" w:eastAsia="黑体"/>
                <w:color w:val="000000"/>
                <w:sz w:val="24"/>
                <w:szCs w:val="24"/>
                <w:u w:val="none"/>
              </w:rPr>
            </w:pPr>
            <w:r>
              <w:rPr>
                <w:rFonts w:hint="eastAsia" w:ascii="黑体" w:hAnsi="黑体" w:eastAsia="黑体"/>
                <w:color w:val="000000"/>
                <w:sz w:val="24"/>
                <w:szCs w:val="24"/>
                <w:u w:val="none"/>
              </w:rPr>
              <w:t>项目</w:t>
            </w:r>
          </w:p>
          <w:p w14:paraId="787600C4">
            <w:pPr>
              <w:keepNext w:val="0"/>
              <w:keepLines w:val="0"/>
              <w:pageBreakBefore w:val="0"/>
              <w:kinsoku/>
              <w:wordWrap/>
              <w:overflowPunct/>
              <w:topLinePunct w:val="0"/>
              <w:autoSpaceDE/>
              <w:autoSpaceDN/>
              <w:bidi w:val="0"/>
              <w:snapToGrid/>
              <w:spacing w:line="257" w:lineRule="auto"/>
              <w:rPr>
                <w:rFonts w:hint="eastAsia" w:ascii="黑体" w:hAnsi="黑体" w:eastAsia="黑体"/>
                <w:color w:val="000000"/>
                <w:sz w:val="24"/>
                <w:szCs w:val="24"/>
                <w:u w:val="none"/>
              </w:rPr>
            </w:pPr>
            <w:r>
              <w:rPr>
                <w:rFonts w:hint="eastAsia" w:ascii="黑体" w:hAnsi="黑体" w:eastAsia="黑体"/>
                <w:color w:val="000000"/>
                <w:sz w:val="24"/>
                <w:szCs w:val="24"/>
                <w:u w:val="none"/>
              </w:rPr>
              <w:t>分类</w:t>
            </w:r>
          </w:p>
        </w:tc>
        <w:tc>
          <w:tcPr>
            <w:tcW w:w="1638" w:type="dxa"/>
            <w:noWrap w:val="0"/>
            <w:vAlign w:val="center"/>
          </w:tcPr>
          <w:p w14:paraId="41C361AD">
            <w:pPr>
              <w:pStyle w:val="38"/>
              <w:keepNext w:val="0"/>
              <w:keepLines w:val="0"/>
              <w:pageBreakBefore w:val="0"/>
              <w:kinsoku/>
              <w:wordWrap/>
              <w:overflowPunct/>
              <w:topLinePunct w:val="0"/>
              <w:autoSpaceDE/>
              <w:autoSpaceDN/>
              <w:bidi w:val="0"/>
              <w:snapToGrid/>
              <w:spacing w:beforeLines="0" w:afterLines="0" w:line="257" w:lineRule="auto"/>
              <w:rPr>
                <w:rFonts w:hint="eastAsia" w:ascii="黑体" w:hAnsi="黑体" w:eastAsia="黑体" w:cs="宋体"/>
                <w:snapToGrid w:val="0"/>
                <w:color w:val="000000"/>
                <w:kern w:val="21"/>
                <w:sz w:val="24"/>
                <w:szCs w:val="24"/>
                <w:u w:val="none"/>
              </w:rPr>
            </w:pPr>
            <w:r>
              <w:rPr>
                <w:rFonts w:hint="eastAsia" w:ascii="黑体" w:hAnsi="黑体" w:eastAsia="黑体" w:cs="宋体"/>
                <w:snapToGrid w:val="0"/>
                <w:color w:val="000000"/>
                <w:kern w:val="21"/>
                <w:sz w:val="24"/>
                <w:szCs w:val="24"/>
                <w:u w:val="none"/>
              </w:rPr>
              <w:t>污染物名称</w:t>
            </w:r>
          </w:p>
        </w:tc>
        <w:tc>
          <w:tcPr>
            <w:tcW w:w="1491" w:type="dxa"/>
            <w:noWrap w:val="0"/>
            <w:vAlign w:val="center"/>
          </w:tcPr>
          <w:p w14:paraId="37670CAB">
            <w:pPr>
              <w:pStyle w:val="38"/>
              <w:keepNext w:val="0"/>
              <w:keepLines w:val="0"/>
              <w:pageBreakBefore w:val="0"/>
              <w:kinsoku/>
              <w:wordWrap/>
              <w:overflowPunct/>
              <w:topLinePunct w:val="0"/>
              <w:autoSpaceDE/>
              <w:autoSpaceDN/>
              <w:bidi w:val="0"/>
              <w:snapToGrid/>
              <w:spacing w:beforeLines="0" w:afterLines="0" w:line="257" w:lineRule="auto"/>
              <w:rPr>
                <w:rFonts w:ascii="黑体" w:hAnsi="黑体" w:eastAsia="黑体"/>
                <w:snapToGrid w:val="0"/>
                <w:color w:val="000000"/>
                <w:kern w:val="21"/>
                <w:sz w:val="24"/>
                <w:szCs w:val="24"/>
                <w:u w:val="none"/>
              </w:rPr>
            </w:pPr>
            <w:r>
              <w:rPr>
                <w:rFonts w:ascii="黑体" w:hAnsi="黑体" w:eastAsia="黑体"/>
                <w:snapToGrid w:val="0"/>
                <w:color w:val="000000"/>
                <w:kern w:val="21"/>
                <w:sz w:val="24"/>
                <w:szCs w:val="24"/>
                <w:u w:val="none"/>
              </w:rPr>
              <w:t>现有工程排放量（固</w:t>
            </w:r>
            <w:r>
              <w:rPr>
                <w:rFonts w:hint="eastAsia" w:ascii="黑体" w:hAnsi="黑体" w:eastAsia="黑体"/>
                <w:snapToGrid w:val="0"/>
                <w:color w:val="000000"/>
                <w:kern w:val="21"/>
                <w:sz w:val="24"/>
                <w:szCs w:val="24"/>
                <w:u w:val="none"/>
              </w:rPr>
              <w:t>体</w:t>
            </w:r>
            <w:r>
              <w:rPr>
                <w:rFonts w:ascii="黑体" w:hAnsi="黑体" w:eastAsia="黑体"/>
                <w:snapToGrid w:val="0"/>
                <w:color w:val="000000"/>
                <w:kern w:val="21"/>
                <w:sz w:val="24"/>
                <w:szCs w:val="24"/>
                <w:u w:val="none"/>
              </w:rPr>
              <w:t>废</w:t>
            </w:r>
            <w:r>
              <w:rPr>
                <w:rFonts w:hint="eastAsia" w:ascii="黑体" w:hAnsi="黑体" w:eastAsia="黑体"/>
                <w:snapToGrid w:val="0"/>
                <w:color w:val="000000"/>
                <w:kern w:val="21"/>
                <w:sz w:val="24"/>
                <w:szCs w:val="24"/>
                <w:u w:val="none"/>
              </w:rPr>
              <w:t>物</w:t>
            </w:r>
            <w:r>
              <w:rPr>
                <w:rFonts w:ascii="黑体" w:hAnsi="黑体" w:eastAsia="黑体"/>
                <w:snapToGrid w:val="0"/>
                <w:color w:val="000000"/>
                <w:kern w:val="21"/>
                <w:sz w:val="24"/>
                <w:szCs w:val="24"/>
                <w:u w:val="none"/>
              </w:rPr>
              <w:t>产生量）</w:t>
            </w:r>
            <w:r>
              <w:rPr>
                <w:rFonts w:ascii="黑体" w:hAnsi="黑体" w:eastAsia="黑体"/>
                <w:snapToGrid w:val="0"/>
                <w:color w:val="000000"/>
                <w:kern w:val="21"/>
                <w:sz w:val="24"/>
                <w:szCs w:val="24"/>
                <w:u w:val="none"/>
              </w:rPr>
              <w:fldChar w:fldCharType="begin"/>
            </w:r>
            <w:r>
              <w:rPr>
                <w:rFonts w:ascii="黑体" w:hAnsi="黑体" w:eastAsia="黑体"/>
                <w:snapToGrid w:val="0"/>
                <w:color w:val="000000"/>
                <w:kern w:val="21"/>
                <w:sz w:val="24"/>
                <w:szCs w:val="24"/>
                <w:u w:val="none"/>
              </w:rPr>
              <w:instrText xml:space="preserve"> = 1 \* GB3 \* MERGEFORMAT </w:instrText>
            </w:r>
            <w:r>
              <w:rPr>
                <w:rFonts w:ascii="黑体" w:hAnsi="黑体" w:eastAsia="黑体"/>
                <w:snapToGrid w:val="0"/>
                <w:color w:val="000000"/>
                <w:kern w:val="21"/>
                <w:sz w:val="24"/>
                <w:szCs w:val="24"/>
                <w:u w:val="none"/>
              </w:rPr>
              <w:fldChar w:fldCharType="separate"/>
            </w:r>
            <w:r>
              <w:rPr>
                <w:rFonts w:hint="eastAsia" w:ascii="黑体" w:hAnsi="黑体" w:eastAsia="黑体" w:cs="宋体"/>
                <w:color w:val="000000"/>
                <w:kern w:val="2"/>
                <w:sz w:val="24"/>
                <w:szCs w:val="24"/>
                <w:u w:val="none"/>
              </w:rPr>
              <w:t>①</w:t>
            </w:r>
            <w:r>
              <w:rPr>
                <w:rFonts w:ascii="黑体" w:hAnsi="黑体" w:eastAsia="黑体"/>
                <w:snapToGrid w:val="0"/>
                <w:color w:val="000000"/>
                <w:kern w:val="21"/>
                <w:sz w:val="24"/>
                <w:szCs w:val="24"/>
                <w:u w:val="none"/>
              </w:rPr>
              <w:fldChar w:fldCharType="end"/>
            </w:r>
          </w:p>
        </w:tc>
        <w:tc>
          <w:tcPr>
            <w:tcW w:w="1485" w:type="dxa"/>
            <w:noWrap w:val="0"/>
            <w:vAlign w:val="center"/>
          </w:tcPr>
          <w:p w14:paraId="42A52D93">
            <w:pPr>
              <w:pStyle w:val="38"/>
              <w:keepNext w:val="0"/>
              <w:keepLines w:val="0"/>
              <w:pageBreakBefore w:val="0"/>
              <w:kinsoku/>
              <w:wordWrap/>
              <w:overflowPunct/>
              <w:topLinePunct w:val="0"/>
              <w:autoSpaceDE/>
              <w:autoSpaceDN/>
              <w:bidi w:val="0"/>
              <w:snapToGrid/>
              <w:spacing w:beforeLines="0" w:afterLines="0" w:line="257" w:lineRule="auto"/>
              <w:rPr>
                <w:rFonts w:ascii="黑体" w:hAnsi="黑体" w:eastAsia="黑体"/>
                <w:snapToGrid w:val="0"/>
                <w:color w:val="000000"/>
                <w:kern w:val="21"/>
                <w:sz w:val="24"/>
                <w:szCs w:val="24"/>
                <w:u w:val="none"/>
              </w:rPr>
            </w:pPr>
            <w:r>
              <w:rPr>
                <w:rFonts w:ascii="黑体" w:hAnsi="黑体" w:eastAsia="黑体"/>
                <w:snapToGrid w:val="0"/>
                <w:color w:val="000000"/>
                <w:kern w:val="21"/>
                <w:sz w:val="24"/>
                <w:szCs w:val="24"/>
                <w:u w:val="none"/>
              </w:rPr>
              <w:t>现有工程许可排放量</w:t>
            </w:r>
            <w:r>
              <w:rPr>
                <w:rFonts w:ascii="黑体" w:hAnsi="黑体" w:eastAsia="黑体"/>
                <w:snapToGrid w:val="0"/>
                <w:color w:val="000000"/>
                <w:kern w:val="21"/>
                <w:sz w:val="24"/>
                <w:szCs w:val="24"/>
                <w:u w:val="none"/>
              </w:rPr>
              <w:fldChar w:fldCharType="begin"/>
            </w:r>
            <w:r>
              <w:rPr>
                <w:rFonts w:ascii="黑体" w:hAnsi="黑体" w:eastAsia="黑体"/>
                <w:snapToGrid w:val="0"/>
                <w:color w:val="000000"/>
                <w:kern w:val="21"/>
                <w:sz w:val="24"/>
                <w:szCs w:val="24"/>
                <w:u w:val="none"/>
              </w:rPr>
              <w:instrText xml:space="preserve"> = 2 \* GB3 \* MERGEFORMAT </w:instrText>
            </w:r>
            <w:r>
              <w:rPr>
                <w:rFonts w:ascii="黑体" w:hAnsi="黑体" w:eastAsia="黑体"/>
                <w:snapToGrid w:val="0"/>
                <w:color w:val="000000"/>
                <w:kern w:val="21"/>
                <w:sz w:val="24"/>
                <w:szCs w:val="24"/>
                <w:u w:val="none"/>
              </w:rPr>
              <w:fldChar w:fldCharType="separate"/>
            </w:r>
            <w:r>
              <w:rPr>
                <w:rFonts w:hint="eastAsia" w:ascii="黑体" w:hAnsi="黑体" w:eastAsia="黑体" w:cs="宋体"/>
                <w:snapToGrid w:val="0"/>
                <w:color w:val="000000"/>
                <w:kern w:val="21"/>
                <w:sz w:val="24"/>
                <w:szCs w:val="24"/>
                <w:u w:val="none"/>
              </w:rPr>
              <w:t>②</w:t>
            </w:r>
            <w:r>
              <w:rPr>
                <w:rFonts w:ascii="黑体" w:hAnsi="黑体" w:eastAsia="黑体"/>
                <w:snapToGrid w:val="0"/>
                <w:color w:val="000000"/>
                <w:kern w:val="21"/>
                <w:sz w:val="24"/>
                <w:szCs w:val="24"/>
                <w:u w:val="none"/>
              </w:rPr>
              <w:fldChar w:fldCharType="end"/>
            </w:r>
          </w:p>
        </w:tc>
        <w:tc>
          <w:tcPr>
            <w:tcW w:w="1491" w:type="dxa"/>
            <w:noWrap w:val="0"/>
            <w:vAlign w:val="center"/>
          </w:tcPr>
          <w:p w14:paraId="547C0EFC">
            <w:pPr>
              <w:pStyle w:val="38"/>
              <w:keepNext w:val="0"/>
              <w:keepLines w:val="0"/>
              <w:pageBreakBefore w:val="0"/>
              <w:kinsoku/>
              <w:wordWrap/>
              <w:overflowPunct/>
              <w:topLinePunct w:val="0"/>
              <w:autoSpaceDE/>
              <w:autoSpaceDN/>
              <w:bidi w:val="0"/>
              <w:snapToGrid/>
              <w:spacing w:beforeLines="0" w:afterLines="0" w:line="257" w:lineRule="auto"/>
              <w:rPr>
                <w:rFonts w:ascii="黑体" w:hAnsi="黑体" w:eastAsia="黑体"/>
                <w:snapToGrid w:val="0"/>
                <w:color w:val="000000"/>
                <w:kern w:val="21"/>
                <w:sz w:val="24"/>
                <w:szCs w:val="24"/>
                <w:u w:val="none"/>
              </w:rPr>
            </w:pPr>
            <w:r>
              <w:rPr>
                <w:rFonts w:ascii="黑体" w:hAnsi="黑体" w:eastAsia="黑体"/>
                <w:snapToGrid w:val="0"/>
                <w:color w:val="000000"/>
                <w:kern w:val="21"/>
                <w:sz w:val="24"/>
                <w:szCs w:val="24"/>
                <w:u w:val="none"/>
              </w:rPr>
              <w:t>在建工程排放量（固</w:t>
            </w:r>
            <w:r>
              <w:rPr>
                <w:rFonts w:hint="eastAsia" w:ascii="黑体" w:hAnsi="黑体" w:eastAsia="黑体"/>
                <w:snapToGrid w:val="0"/>
                <w:color w:val="000000"/>
                <w:kern w:val="21"/>
                <w:sz w:val="24"/>
                <w:szCs w:val="24"/>
                <w:u w:val="none"/>
              </w:rPr>
              <w:t>体</w:t>
            </w:r>
            <w:r>
              <w:rPr>
                <w:rFonts w:ascii="黑体" w:hAnsi="黑体" w:eastAsia="黑体"/>
                <w:snapToGrid w:val="0"/>
                <w:color w:val="000000"/>
                <w:kern w:val="21"/>
                <w:sz w:val="24"/>
                <w:szCs w:val="24"/>
                <w:u w:val="none"/>
              </w:rPr>
              <w:t>废</w:t>
            </w:r>
            <w:r>
              <w:rPr>
                <w:rFonts w:hint="eastAsia" w:ascii="黑体" w:hAnsi="黑体" w:eastAsia="黑体"/>
                <w:snapToGrid w:val="0"/>
                <w:color w:val="000000"/>
                <w:kern w:val="21"/>
                <w:sz w:val="24"/>
                <w:szCs w:val="24"/>
                <w:u w:val="none"/>
              </w:rPr>
              <w:t>物</w:t>
            </w:r>
            <w:r>
              <w:rPr>
                <w:rFonts w:ascii="黑体" w:hAnsi="黑体" w:eastAsia="黑体"/>
                <w:snapToGrid w:val="0"/>
                <w:color w:val="000000"/>
                <w:kern w:val="21"/>
                <w:sz w:val="24"/>
                <w:szCs w:val="24"/>
                <w:u w:val="none"/>
              </w:rPr>
              <w:t>产生量）</w:t>
            </w:r>
            <w:r>
              <w:rPr>
                <w:rFonts w:ascii="黑体" w:hAnsi="黑体" w:eastAsia="黑体"/>
                <w:snapToGrid w:val="0"/>
                <w:color w:val="000000"/>
                <w:kern w:val="21"/>
                <w:sz w:val="24"/>
                <w:szCs w:val="24"/>
                <w:u w:val="none"/>
              </w:rPr>
              <w:fldChar w:fldCharType="begin"/>
            </w:r>
            <w:r>
              <w:rPr>
                <w:rFonts w:ascii="黑体" w:hAnsi="黑体" w:eastAsia="黑体"/>
                <w:snapToGrid w:val="0"/>
                <w:color w:val="000000"/>
                <w:kern w:val="21"/>
                <w:sz w:val="24"/>
                <w:szCs w:val="24"/>
                <w:u w:val="none"/>
              </w:rPr>
              <w:instrText xml:space="preserve"> = 3 \* GB3 \* MERGEFORMAT </w:instrText>
            </w:r>
            <w:r>
              <w:rPr>
                <w:rFonts w:ascii="黑体" w:hAnsi="黑体" w:eastAsia="黑体"/>
                <w:snapToGrid w:val="0"/>
                <w:color w:val="000000"/>
                <w:kern w:val="21"/>
                <w:sz w:val="24"/>
                <w:szCs w:val="24"/>
                <w:u w:val="none"/>
              </w:rPr>
              <w:fldChar w:fldCharType="separate"/>
            </w:r>
            <w:r>
              <w:rPr>
                <w:rFonts w:hint="eastAsia" w:ascii="黑体" w:hAnsi="黑体" w:eastAsia="黑体" w:cs="宋体"/>
                <w:color w:val="000000"/>
                <w:kern w:val="2"/>
                <w:sz w:val="24"/>
                <w:szCs w:val="24"/>
                <w:u w:val="none"/>
              </w:rPr>
              <w:t>③</w:t>
            </w:r>
            <w:r>
              <w:rPr>
                <w:rFonts w:ascii="黑体" w:hAnsi="黑体" w:eastAsia="黑体"/>
                <w:snapToGrid w:val="0"/>
                <w:color w:val="000000"/>
                <w:kern w:val="21"/>
                <w:sz w:val="24"/>
                <w:szCs w:val="24"/>
                <w:u w:val="none"/>
              </w:rPr>
              <w:fldChar w:fldCharType="end"/>
            </w:r>
          </w:p>
        </w:tc>
        <w:tc>
          <w:tcPr>
            <w:tcW w:w="1501" w:type="dxa"/>
            <w:noWrap w:val="0"/>
            <w:vAlign w:val="center"/>
          </w:tcPr>
          <w:p w14:paraId="6008C6FD">
            <w:pPr>
              <w:pStyle w:val="38"/>
              <w:keepNext w:val="0"/>
              <w:keepLines w:val="0"/>
              <w:pageBreakBefore w:val="0"/>
              <w:kinsoku/>
              <w:wordWrap/>
              <w:overflowPunct/>
              <w:topLinePunct w:val="0"/>
              <w:autoSpaceDE/>
              <w:autoSpaceDN/>
              <w:bidi w:val="0"/>
              <w:snapToGrid/>
              <w:spacing w:beforeLines="0" w:afterLines="0" w:line="257" w:lineRule="auto"/>
              <w:rPr>
                <w:rFonts w:ascii="黑体" w:hAnsi="黑体" w:eastAsia="黑体"/>
                <w:snapToGrid w:val="0"/>
                <w:color w:val="000000"/>
                <w:kern w:val="21"/>
                <w:sz w:val="24"/>
                <w:szCs w:val="24"/>
                <w:u w:val="none"/>
              </w:rPr>
            </w:pPr>
            <w:r>
              <w:rPr>
                <w:rFonts w:ascii="黑体" w:hAnsi="黑体" w:eastAsia="黑体"/>
                <w:snapToGrid w:val="0"/>
                <w:color w:val="000000"/>
                <w:kern w:val="21"/>
                <w:sz w:val="24"/>
                <w:szCs w:val="24"/>
                <w:u w:val="none"/>
              </w:rPr>
              <w:t>本项目排放量（固</w:t>
            </w:r>
            <w:r>
              <w:rPr>
                <w:rFonts w:hint="eastAsia" w:ascii="黑体" w:hAnsi="黑体" w:eastAsia="黑体"/>
                <w:snapToGrid w:val="0"/>
                <w:color w:val="000000"/>
                <w:kern w:val="21"/>
                <w:sz w:val="24"/>
                <w:szCs w:val="24"/>
                <w:u w:val="none"/>
              </w:rPr>
              <w:t>体</w:t>
            </w:r>
            <w:r>
              <w:rPr>
                <w:rFonts w:ascii="黑体" w:hAnsi="黑体" w:eastAsia="黑体"/>
                <w:snapToGrid w:val="0"/>
                <w:color w:val="000000"/>
                <w:kern w:val="21"/>
                <w:sz w:val="24"/>
                <w:szCs w:val="24"/>
                <w:u w:val="none"/>
              </w:rPr>
              <w:t>废</w:t>
            </w:r>
            <w:r>
              <w:rPr>
                <w:rFonts w:hint="eastAsia" w:ascii="黑体" w:hAnsi="黑体" w:eastAsia="黑体"/>
                <w:snapToGrid w:val="0"/>
                <w:color w:val="000000"/>
                <w:kern w:val="21"/>
                <w:sz w:val="24"/>
                <w:szCs w:val="24"/>
                <w:u w:val="none"/>
              </w:rPr>
              <w:t>物</w:t>
            </w:r>
            <w:r>
              <w:rPr>
                <w:rFonts w:ascii="黑体" w:hAnsi="黑体" w:eastAsia="黑体"/>
                <w:snapToGrid w:val="0"/>
                <w:color w:val="000000"/>
                <w:kern w:val="21"/>
                <w:sz w:val="24"/>
                <w:szCs w:val="24"/>
                <w:u w:val="none"/>
              </w:rPr>
              <w:t>产生量）</w:t>
            </w:r>
            <w:r>
              <w:rPr>
                <w:rFonts w:ascii="黑体" w:hAnsi="黑体" w:eastAsia="黑体"/>
                <w:snapToGrid w:val="0"/>
                <w:color w:val="000000"/>
                <w:kern w:val="21"/>
                <w:sz w:val="24"/>
                <w:szCs w:val="24"/>
                <w:u w:val="none"/>
              </w:rPr>
              <w:fldChar w:fldCharType="begin"/>
            </w:r>
            <w:r>
              <w:rPr>
                <w:rFonts w:ascii="黑体" w:hAnsi="黑体" w:eastAsia="黑体"/>
                <w:snapToGrid w:val="0"/>
                <w:color w:val="000000"/>
                <w:kern w:val="21"/>
                <w:sz w:val="24"/>
                <w:szCs w:val="24"/>
                <w:u w:val="none"/>
              </w:rPr>
              <w:instrText xml:space="preserve"> = 4 \* GB3 \* MERGEFORMAT </w:instrText>
            </w:r>
            <w:r>
              <w:rPr>
                <w:rFonts w:ascii="黑体" w:hAnsi="黑体" w:eastAsia="黑体"/>
                <w:snapToGrid w:val="0"/>
                <w:color w:val="000000"/>
                <w:kern w:val="21"/>
                <w:sz w:val="24"/>
                <w:szCs w:val="24"/>
                <w:u w:val="none"/>
              </w:rPr>
              <w:fldChar w:fldCharType="separate"/>
            </w:r>
            <w:r>
              <w:rPr>
                <w:rFonts w:hint="eastAsia" w:ascii="黑体" w:hAnsi="黑体" w:eastAsia="黑体" w:cs="宋体"/>
                <w:color w:val="000000"/>
                <w:kern w:val="2"/>
                <w:sz w:val="24"/>
                <w:szCs w:val="24"/>
                <w:u w:val="none"/>
              </w:rPr>
              <w:t>④</w:t>
            </w:r>
            <w:r>
              <w:rPr>
                <w:rFonts w:ascii="黑体" w:hAnsi="黑体" w:eastAsia="黑体"/>
                <w:snapToGrid w:val="0"/>
                <w:color w:val="000000"/>
                <w:kern w:val="21"/>
                <w:sz w:val="24"/>
                <w:szCs w:val="24"/>
                <w:u w:val="none"/>
              </w:rPr>
              <w:fldChar w:fldCharType="end"/>
            </w:r>
          </w:p>
        </w:tc>
        <w:tc>
          <w:tcPr>
            <w:tcW w:w="1491" w:type="dxa"/>
            <w:noWrap w:val="0"/>
            <w:vAlign w:val="center"/>
          </w:tcPr>
          <w:p w14:paraId="221395C5">
            <w:pPr>
              <w:pStyle w:val="38"/>
              <w:keepNext w:val="0"/>
              <w:keepLines w:val="0"/>
              <w:pageBreakBefore w:val="0"/>
              <w:kinsoku/>
              <w:wordWrap/>
              <w:overflowPunct/>
              <w:topLinePunct w:val="0"/>
              <w:autoSpaceDE/>
              <w:autoSpaceDN/>
              <w:bidi w:val="0"/>
              <w:snapToGrid/>
              <w:spacing w:beforeLines="0" w:afterLines="0" w:line="257" w:lineRule="auto"/>
              <w:rPr>
                <w:rFonts w:ascii="黑体" w:hAnsi="黑体" w:eastAsia="黑体"/>
                <w:snapToGrid w:val="0"/>
                <w:color w:val="000000"/>
                <w:kern w:val="21"/>
                <w:sz w:val="24"/>
                <w:szCs w:val="24"/>
                <w:u w:val="none"/>
              </w:rPr>
            </w:pPr>
            <w:r>
              <w:rPr>
                <w:rFonts w:ascii="黑体" w:hAnsi="黑体" w:eastAsia="黑体"/>
                <w:snapToGrid w:val="0"/>
                <w:color w:val="000000"/>
                <w:kern w:val="21"/>
                <w:sz w:val="24"/>
                <w:szCs w:val="24"/>
                <w:u w:val="none"/>
              </w:rPr>
              <w:t>以新带老削减量（新建项目不填）</w:t>
            </w:r>
            <w:r>
              <w:rPr>
                <w:rFonts w:ascii="黑体" w:hAnsi="黑体" w:eastAsia="黑体"/>
                <w:snapToGrid w:val="0"/>
                <w:color w:val="000000"/>
                <w:kern w:val="21"/>
                <w:sz w:val="24"/>
                <w:szCs w:val="24"/>
                <w:u w:val="none"/>
              </w:rPr>
              <w:fldChar w:fldCharType="begin"/>
            </w:r>
            <w:r>
              <w:rPr>
                <w:rFonts w:ascii="黑体" w:hAnsi="黑体" w:eastAsia="黑体"/>
                <w:snapToGrid w:val="0"/>
                <w:color w:val="000000"/>
                <w:kern w:val="21"/>
                <w:sz w:val="24"/>
                <w:szCs w:val="24"/>
                <w:u w:val="none"/>
              </w:rPr>
              <w:instrText xml:space="preserve"> = 5 \* GB3 \* MERGEFORMAT </w:instrText>
            </w:r>
            <w:r>
              <w:rPr>
                <w:rFonts w:ascii="黑体" w:hAnsi="黑体" w:eastAsia="黑体"/>
                <w:snapToGrid w:val="0"/>
                <w:color w:val="000000"/>
                <w:kern w:val="21"/>
                <w:sz w:val="24"/>
                <w:szCs w:val="24"/>
                <w:u w:val="none"/>
              </w:rPr>
              <w:fldChar w:fldCharType="separate"/>
            </w:r>
            <w:r>
              <w:rPr>
                <w:rFonts w:hint="eastAsia" w:ascii="黑体" w:hAnsi="黑体" w:eastAsia="黑体" w:cs="宋体"/>
                <w:color w:val="000000"/>
                <w:kern w:val="2"/>
                <w:sz w:val="24"/>
                <w:szCs w:val="24"/>
                <w:u w:val="none"/>
              </w:rPr>
              <w:t>⑤</w:t>
            </w:r>
            <w:r>
              <w:rPr>
                <w:rFonts w:ascii="黑体" w:hAnsi="黑体" w:eastAsia="黑体"/>
                <w:snapToGrid w:val="0"/>
                <w:color w:val="000000"/>
                <w:kern w:val="21"/>
                <w:sz w:val="24"/>
                <w:szCs w:val="24"/>
                <w:u w:val="none"/>
              </w:rPr>
              <w:fldChar w:fldCharType="end"/>
            </w:r>
          </w:p>
        </w:tc>
        <w:tc>
          <w:tcPr>
            <w:tcW w:w="1842" w:type="dxa"/>
            <w:noWrap w:val="0"/>
            <w:vAlign w:val="center"/>
          </w:tcPr>
          <w:p w14:paraId="084AE081">
            <w:pPr>
              <w:pStyle w:val="38"/>
              <w:keepNext w:val="0"/>
              <w:keepLines w:val="0"/>
              <w:pageBreakBefore w:val="0"/>
              <w:kinsoku/>
              <w:wordWrap/>
              <w:overflowPunct/>
              <w:topLinePunct w:val="0"/>
              <w:autoSpaceDE/>
              <w:autoSpaceDN/>
              <w:bidi w:val="0"/>
              <w:snapToGrid/>
              <w:spacing w:beforeLines="0" w:afterLines="0" w:line="257" w:lineRule="auto"/>
              <w:rPr>
                <w:rFonts w:ascii="黑体" w:hAnsi="黑体" w:eastAsia="黑体"/>
                <w:snapToGrid w:val="0"/>
                <w:color w:val="000000"/>
                <w:kern w:val="21"/>
                <w:sz w:val="24"/>
                <w:szCs w:val="24"/>
                <w:u w:val="none"/>
              </w:rPr>
            </w:pPr>
            <w:r>
              <w:rPr>
                <w:rFonts w:ascii="黑体" w:hAnsi="黑体" w:eastAsia="黑体"/>
                <w:snapToGrid w:val="0"/>
                <w:color w:val="000000"/>
                <w:kern w:val="21"/>
                <w:sz w:val="24"/>
                <w:szCs w:val="24"/>
                <w:u w:val="none"/>
              </w:rPr>
              <w:t>本项目建成后</w:t>
            </w:r>
            <w:r>
              <w:rPr>
                <w:rFonts w:hint="eastAsia" w:ascii="黑体" w:hAnsi="黑体" w:eastAsia="黑体"/>
                <w:snapToGrid w:val="0"/>
                <w:color w:val="000000"/>
                <w:kern w:val="21"/>
                <w:sz w:val="24"/>
                <w:szCs w:val="24"/>
                <w:u w:val="none"/>
              </w:rPr>
              <w:t>全厂</w:t>
            </w:r>
            <w:r>
              <w:rPr>
                <w:rFonts w:ascii="黑体" w:hAnsi="黑体" w:eastAsia="黑体"/>
                <w:snapToGrid w:val="0"/>
                <w:color w:val="000000"/>
                <w:kern w:val="21"/>
                <w:sz w:val="24"/>
                <w:szCs w:val="24"/>
                <w:u w:val="none"/>
              </w:rPr>
              <w:t>排放量（固</w:t>
            </w:r>
            <w:r>
              <w:rPr>
                <w:rFonts w:hint="eastAsia" w:ascii="黑体" w:hAnsi="黑体" w:eastAsia="黑体"/>
                <w:snapToGrid w:val="0"/>
                <w:color w:val="000000"/>
                <w:kern w:val="21"/>
                <w:sz w:val="24"/>
                <w:szCs w:val="24"/>
                <w:u w:val="none"/>
              </w:rPr>
              <w:t>体</w:t>
            </w:r>
            <w:r>
              <w:rPr>
                <w:rFonts w:ascii="黑体" w:hAnsi="黑体" w:eastAsia="黑体"/>
                <w:snapToGrid w:val="0"/>
                <w:color w:val="000000"/>
                <w:kern w:val="21"/>
                <w:sz w:val="24"/>
                <w:szCs w:val="24"/>
                <w:u w:val="none"/>
              </w:rPr>
              <w:t>废</w:t>
            </w:r>
            <w:r>
              <w:rPr>
                <w:rFonts w:hint="eastAsia" w:ascii="黑体" w:hAnsi="黑体" w:eastAsia="黑体"/>
                <w:snapToGrid w:val="0"/>
                <w:color w:val="000000"/>
                <w:kern w:val="21"/>
                <w:sz w:val="24"/>
                <w:szCs w:val="24"/>
                <w:u w:val="none"/>
              </w:rPr>
              <w:t>物</w:t>
            </w:r>
            <w:r>
              <w:rPr>
                <w:rFonts w:ascii="黑体" w:hAnsi="黑体" w:eastAsia="黑体"/>
                <w:snapToGrid w:val="0"/>
                <w:color w:val="000000"/>
                <w:kern w:val="21"/>
                <w:sz w:val="24"/>
                <w:szCs w:val="24"/>
                <w:u w:val="none"/>
              </w:rPr>
              <w:t>产生量）</w:t>
            </w:r>
            <w:r>
              <w:rPr>
                <w:rFonts w:ascii="黑体" w:hAnsi="黑体" w:eastAsia="黑体"/>
                <w:snapToGrid w:val="0"/>
                <w:color w:val="000000"/>
                <w:kern w:val="21"/>
                <w:sz w:val="24"/>
                <w:szCs w:val="24"/>
                <w:u w:val="none"/>
              </w:rPr>
              <w:fldChar w:fldCharType="begin"/>
            </w:r>
            <w:r>
              <w:rPr>
                <w:rFonts w:ascii="黑体" w:hAnsi="黑体" w:eastAsia="黑体"/>
                <w:snapToGrid w:val="0"/>
                <w:color w:val="000000"/>
                <w:kern w:val="21"/>
                <w:sz w:val="24"/>
                <w:szCs w:val="24"/>
                <w:u w:val="none"/>
              </w:rPr>
              <w:instrText xml:space="preserve"> = 6 \* GB3 \* MERGEFORMAT </w:instrText>
            </w:r>
            <w:r>
              <w:rPr>
                <w:rFonts w:ascii="黑体" w:hAnsi="黑体" w:eastAsia="黑体"/>
                <w:snapToGrid w:val="0"/>
                <w:color w:val="000000"/>
                <w:kern w:val="21"/>
                <w:sz w:val="24"/>
                <w:szCs w:val="24"/>
                <w:u w:val="none"/>
              </w:rPr>
              <w:fldChar w:fldCharType="separate"/>
            </w:r>
            <w:r>
              <w:rPr>
                <w:rFonts w:hint="eastAsia" w:ascii="黑体" w:hAnsi="黑体" w:eastAsia="黑体" w:cs="宋体"/>
                <w:color w:val="000000"/>
                <w:kern w:val="2"/>
                <w:sz w:val="24"/>
                <w:szCs w:val="24"/>
                <w:u w:val="none"/>
              </w:rPr>
              <w:t>⑥</w:t>
            </w:r>
            <w:r>
              <w:rPr>
                <w:rFonts w:ascii="黑体" w:hAnsi="黑体" w:eastAsia="黑体"/>
                <w:snapToGrid w:val="0"/>
                <w:color w:val="000000"/>
                <w:kern w:val="21"/>
                <w:sz w:val="24"/>
                <w:szCs w:val="24"/>
                <w:u w:val="none"/>
              </w:rPr>
              <w:fldChar w:fldCharType="end"/>
            </w:r>
          </w:p>
        </w:tc>
        <w:tc>
          <w:tcPr>
            <w:tcW w:w="1273" w:type="dxa"/>
            <w:noWrap w:val="0"/>
            <w:vAlign w:val="center"/>
          </w:tcPr>
          <w:p w14:paraId="6E662B43">
            <w:pPr>
              <w:pStyle w:val="38"/>
              <w:keepNext w:val="0"/>
              <w:keepLines w:val="0"/>
              <w:pageBreakBefore w:val="0"/>
              <w:kinsoku/>
              <w:wordWrap/>
              <w:overflowPunct/>
              <w:topLinePunct w:val="0"/>
              <w:autoSpaceDE/>
              <w:autoSpaceDN/>
              <w:bidi w:val="0"/>
              <w:snapToGrid/>
              <w:spacing w:beforeLines="0" w:afterLines="0" w:line="257" w:lineRule="auto"/>
              <w:rPr>
                <w:rFonts w:ascii="黑体" w:hAnsi="黑体" w:eastAsia="黑体"/>
                <w:snapToGrid w:val="0"/>
                <w:color w:val="000000"/>
                <w:kern w:val="21"/>
                <w:sz w:val="24"/>
                <w:szCs w:val="24"/>
                <w:u w:val="none"/>
              </w:rPr>
            </w:pPr>
            <w:r>
              <w:rPr>
                <w:rFonts w:ascii="黑体" w:hAnsi="黑体" w:eastAsia="黑体"/>
                <w:snapToGrid w:val="0"/>
                <w:color w:val="000000"/>
                <w:kern w:val="21"/>
                <w:sz w:val="24"/>
                <w:szCs w:val="24"/>
                <w:u w:val="none"/>
              </w:rPr>
              <w:t>变化量</w:t>
            </w:r>
            <w:r>
              <w:rPr>
                <w:rFonts w:ascii="黑体" w:hAnsi="黑体" w:eastAsia="黑体"/>
                <w:snapToGrid w:val="0"/>
                <w:color w:val="000000"/>
                <w:kern w:val="21"/>
                <w:sz w:val="24"/>
                <w:szCs w:val="24"/>
                <w:u w:val="none"/>
              </w:rPr>
              <w:fldChar w:fldCharType="begin"/>
            </w:r>
            <w:r>
              <w:rPr>
                <w:rFonts w:ascii="黑体" w:hAnsi="黑体" w:eastAsia="黑体"/>
                <w:snapToGrid w:val="0"/>
                <w:color w:val="000000"/>
                <w:kern w:val="21"/>
                <w:sz w:val="24"/>
                <w:szCs w:val="24"/>
                <w:u w:val="none"/>
              </w:rPr>
              <w:instrText xml:space="preserve"> = 7 \* GB3 \* MERGEFORMAT </w:instrText>
            </w:r>
            <w:r>
              <w:rPr>
                <w:rFonts w:ascii="黑体" w:hAnsi="黑体" w:eastAsia="黑体"/>
                <w:snapToGrid w:val="0"/>
                <w:color w:val="000000"/>
                <w:kern w:val="21"/>
                <w:sz w:val="24"/>
                <w:szCs w:val="24"/>
                <w:u w:val="none"/>
              </w:rPr>
              <w:fldChar w:fldCharType="separate"/>
            </w:r>
            <w:r>
              <w:rPr>
                <w:rFonts w:hint="eastAsia" w:ascii="黑体" w:hAnsi="黑体" w:eastAsia="黑体" w:cs="宋体"/>
                <w:color w:val="000000"/>
                <w:kern w:val="2"/>
                <w:sz w:val="24"/>
                <w:szCs w:val="24"/>
                <w:u w:val="none"/>
              </w:rPr>
              <w:t>⑦</w:t>
            </w:r>
            <w:r>
              <w:rPr>
                <w:rFonts w:ascii="黑体" w:hAnsi="黑体" w:eastAsia="黑体"/>
                <w:snapToGrid w:val="0"/>
                <w:color w:val="000000"/>
                <w:kern w:val="21"/>
                <w:sz w:val="24"/>
                <w:szCs w:val="24"/>
                <w:u w:val="none"/>
              </w:rPr>
              <w:fldChar w:fldCharType="end"/>
            </w:r>
          </w:p>
        </w:tc>
      </w:tr>
      <w:tr w14:paraId="5E54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338" w:type="dxa"/>
            <w:vMerge w:val="restart"/>
            <w:noWrap w:val="0"/>
            <w:vAlign w:val="center"/>
          </w:tcPr>
          <w:p w14:paraId="62FD7B0E">
            <w:pPr>
              <w:keepNext w:val="0"/>
              <w:keepLines w:val="0"/>
              <w:pageBreakBefore w:val="0"/>
              <w:kinsoku/>
              <w:wordWrap/>
              <w:overflowPunct/>
              <w:topLinePunct w:val="0"/>
              <w:autoSpaceDE/>
              <w:autoSpaceDN/>
              <w:bidi w:val="0"/>
              <w:snapToGrid/>
              <w:spacing w:line="360" w:lineRule="auto"/>
              <w:jc w:val="center"/>
              <w:rPr>
                <w:rFonts w:hint="eastAsia"/>
                <w:color w:val="000000"/>
                <w:sz w:val="24"/>
                <w:szCs w:val="24"/>
                <w:u w:val="none"/>
              </w:rPr>
            </w:pPr>
            <w:r>
              <w:rPr>
                <w:rFonts w:hint="eastAsia"/>
                <w:color w:val="000000"/>
                <w:sz w:val="24"/>
                <w:szCs w:val="24"/>
                <w:u w:val="none"/>
              </w:rPr>
              <w:t>废气</w:t>
            </w:r>
          </w:p>
        </w:tc>
        <w:tc>
          <w:tcPr>
            <w:tcW w:w="1638" w:type="dxa"/>
            <w:noWrap w:val="0"/>
            <w:vAlign w:val="center"/>
          </w:tcPr>
          <w:p w14:paraId="46A71B14">
            <w:pPr>
              <w:keepNext w:val="0"/>
              <w:keepLines w:val="0"/>
              <w:pageBreakBefore w:val="0"/>
              <w:kinsoku/>
              <w:wordWrap/>
              <w:overflowPunct/>
              <w:topLinePunct w:val="0"/>
              <w:autoSpaceDE/>
              <w:autoSpaceDN/>
              <w:bidi w:val="0"/>
              <w:snapToGrid/>
              <w:spacing w:line="360" w:lineRule="auto"/>
              <w:jc w:val="center"/>
              <w:rPr>
                <w:color w:val="000000" w:themeColor="text1"/>
                <w:sz w:val="24"/>
                <w:szCs w:val="24"/>
                <w:u w:val="none"/>
                <w14:textFill>
                  <w14:solidFill>
                    <w14:schemeClr w14:val="tx1"/>
                  </w14:solidFill>
                </w14:textFill>
              </w:rPr>
            </w:pPr>
            <w:r>
              <w:rPr>
                <w:color w:val="000000" w:themeColor="text1"/>
                <w:sz w:val="24"/>
                <w:szCs w:val="24"/>
                <w:u w:val="none"/>
                <w14:textFill>
                  <w14:solidFill>
                    <w14:schemeClr w14:val="tx1"/>
                  </w14:solidFill>
                </w14:textFill>
              </w:rPr>
              <w:t>非甲烷总烃</w:t>
            </w:r>
          </w:p>
        </w:tc>
        <w:tc>
          <w:tcPr>
            <w:tcW w:w="1491" w:type="dxa"/>
            <w:noWrap w:val="0"/>
            <w:vAlign w:val="center"/>
          </w:tcPr>
          <w:p w14:paraId="12E140ED">
            <w:pPr>
              <w:keepNext w:val="0"/>
              <w:keepLines w:val="0"/>
              <w:pageBreakBefore w:val="0"/>
              <w:kinsoku/>
              <w:wordWrap/>
              <w:overflowPunct/>
              <w:topLinePunct w:val="0"/>
              <w:autoSpaceDE/>
              <w:autoSpaceDN/>
              <w:bidi w:val="0"/>
              <w:snapToGrid/>
              <w:spacing w:line="360" w:lineRule="auto"/>
              <w:jc w:val="center"/>
              <w:rPr>
                <w:color w:val="000000" w:themeColor="text1"/>
                <w:sz w:val="24"/>
                <w:szCs w:val="24"/>
                <w:u w:val="none"/>
                <w14:textFill>
                  <w14:solidFill>
                    <w14:schemeClr w14:val="tx1"/>
                  </w14:solidFill>
                </w14:textFill>
              </w:rPr>
            </w:pPr>
            <w:r>
              <w:rPr>
                <w:rFonts w:ascii="Times New Roman"/>
                <w:snapToGrid w:val="0"/>
                <w:color w:val="000000" w:themeColor="text1"/>
                <w:kern w:val="21"/>
                <w:sz w:val="24"/>
                <w:szCs w:val="24"/>
                <w:u w:val="none"/>
                <w14:textFill>
                  <w14:solidFill>
                    <w14:schemeClr w14:val="tx1"/>
                  </w14:solidFill>
                </w14:textFill>
              </w:rPr>
              <w:t>/</w:t>
            </w:r>
          </w:p>
        </w:tc>
        <w:tc>
          <w:tcPr>
            <w:tcW w:w="1485" w:type="dxa"/>
            <w:noWrap w:val="0"/>
            <w:vAlign w:val="center"/>
          </w:tcPr>
          <w:p w14:paraId="0E6904F7">
            <w:pPr>
              <w:keepNext w:val="0"/>
              <w:keepLines w:val="0"/>
              <w:pageBreakBefore w:val="0"/>
              <w:kinsoku/>
              <w:wordWrap/>
              <w:overflowPunct/>
              <w:topLinePunct w:val="0"/>
              <w:autoSpaceDE/>
              <w:autoSpaceDN/>
              <w:bidi w:val="0"/>
              <w:snapToGrid/>
              <w:spacing w:line="360" w:lineRule="auto"/>
              <w:jc w:val="center"/>
              <w:rPr>
                <w:color w:val="000000" w:themeColor="text1"/>
                <w:sz w:val="24"/>
                <w:szCs w:val="24"/>
                <w:u w:val="none"/>
                <w14:textFill>
                  <w14:solidFill>
                    <w14:schemeClr w14:val="tx1"/>
                  </w14:solidFill>
                </w14:textFill>
              </w:rPr>
            </w:pPr>
            <w:r>
              <w:rPr>
                <w:rFonts w:ascii="Times New Roman"/>
                <w:snapToGrid w:val="0"/>
                <w:color w:val="000000" w:themeColor="text1"/>
                <w:kern w:val="21"/>
                <w:sz w:val="24"/>
                <w:szCs w:val="24"/>
                <w:u w:val="none"/>
                <w14:textFill>
                  <w14:solidFill>
                    <w14:schemeClr w14:val="tx1"/>
                  </w14:solidFill>
                </w14:textFill>
              </w:rPr>
              <w:t>/</w:t>
            </w:r>
          </w:p>
        </w:tc>
        <w:tc>
          <w:tcPr>
            <w:tcW w:w="1491" w:type="dxa"/>
            <w:noWrap w:val="0"/>
            <w:vAlign w:val="center"/>
          </w:tcPr>
          <w:p w14:paraId="347B9C41">
            <w:pPr>
              <w:keepNext w:val="0"/>
              <w:keepLines w:val="0"/>
              <w:pageBreakBefore w:val="0"/>
              <w:kinsoku/>
              <w:wordWrap/>
              <w:overflowPunct/>
              <w:topLinePunct w:val="0"/>
              <w:autoSpaceDE/>
              <w:autoSpaceDN/>
              <w:bidi w:val="0"/>
              <w:snapToGrid/>
              <w:spacing w:line="360" w:lineRule="auto"/>
              <w:jc w:val="center"/>
              <w:rPr>
                <w:rFonts w:ascii="Times New Roman"/>
                <w:snapToGrid w:val="0"/>
                <w:color w:val="000000" w:themeColor="text1"/>
                <w:kern w:val="21"/>
                <w:sz w:val="24"/>
                <w:szCs w:val="24"/>
                <w:u w:val="none"/>
                <w14:textFill>
                  <w14:solidFill>
                    <w14:schemeClr w14:val="tx1"/>
                  </w14:solidFill>
                </w14:textFill>
              </w:rPr>
            </w:pPr>
            <w:r>
              <w:rPr>
                <w:rFonts w:ascii="Times New Roman"/>
                <w:snapToGrid w:val="0"/>
                <w:color w:val="000000" w:themeColor="text1"/>
                <w:kern w:val="21"/>
                <w:sz w:val="24"/>
                <w:szCs w:val="24"/>
                <w:u w:val="none"/>
                <w14:textFill>
                  <w14:solidFill>
                    <w14:schemeClr w14:val="tx1"/>
                  </w14:solidFill>
                </w14:textFill>
              </w:rPr>
              <w:t>/</w:t>
            </w:r>
          </w:p>
        </w:tc>
        <w:tc>
          <w:tcPr>
            <w:tcW w:w="1501" w:type="dxa"/>
            <w:noWrap w:val="0"/>
            <w:vAlign w:val="center"/>
          </w:tcPr>
          <w:p w14:paraId="1F0E52C8">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Times New Roman" w:hAnsi="Times New Roman" w:eastAsia="宋体" w:cs="Times New Roman"/>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0.0</w:t>
            </w: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524t/a</w:t>
            </w:r>
          </w:p>
        </w:tc>
        <w:tc>
          <w:tcPr>
            <w:tcW w:w="1491" w:type="dxa"/>
            <w:noWrap w:val="0"/>
            <w:vAlign w:val="center"/>
          </w:tcPr>
          <w:p w14:paraId="2DE5A0CF">
            <w:pPr>
              <w:keepNext w:val="0"/>
              <w:keepLines w:val="0"/>
              <w:pageBreakBefore w:val="0"/>
              <w:kinsoku/>
              <w:wordWrap/>
              <w:overflowPunct/>
              <w:topLinePunct w:val="0"/>
              <w:autoSpaceDE/>
              <w:autoSpaceDN/>
              <w:bidi w:val="0"/>
              <w:snapToGrid/>
              <w:spacing w:line="360" w:lineRule="auto"/>
              <w:jc w:val="center"/>
              <w:rPr>
                <w:rFonts w:cs="宋体"/>
                <w:color w:val="000000" w:themeColor="text1"/>
                <w:sz w:val="24"/>
                <w:szCs w:val="24"/>
                <w:u w:val="none"/>
                <w14:textFill>
                  <w14:solidFill>
                    <w14:schemeClr w14:val="tx1"/>
                  </w14:solidFill>
                </w14:textFill>
              </w:rPr>
            </w:pPr>
            <w:r>
              <w:rPr>
                <w:rFonts w:ascii="Times New Roman"/>
                <w:snapToGrid w:val="0"/>
                <w:color w:val="000000" w:themeColor="text1"/>
                <w:kern w:val="21"/>
                <w:sz w:val="24"/>
                <w:szCs w:val="24"/>
                <w:u w:val="none"/>
                <w14:textFill>
                  <w14:solidFill>
                    <w14:schemeClr w14:val="tx1"/>
                  </w14:solidFill>
                </w14:textFill>
              </w:rPr>
              <w:t>/</w:t>
            </w:r>
          </w:p>
        </w:tc>
        <w:tc>
          <w:tcPr>
            <w:tcW w:w="1842" w:type="dxa"/>
            <w:noWrap w:val="0"/>
            <w:vAlign w:val="center"/>
          </w:tcPr>
          <w:p w14:paraId="00570DC2">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color w:val="000000" w:themeColor="text1"/>
                <w:sz w:val="24"/>
                <w:szCs w:val="24"/>
                <w:u w:val="none"/>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0.0524t/a</w:t>
            </w:r>
          </w:p>
        </w:tc>
        <w:tc>
          <w:tcPr>
            <w:tcW w:w="1273" w:type="dxa"/>
            <w:noWrap w:val="0"/>
            <w:vAlign w:val="center"/>
          </w:tcPr>
          <w:p w14:paraId="55DCE5C5">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default" w:ascii="Times New Roman" w:hAnsi="Times New Roman" w:eastAsia="宋体" w:cs="Times New Roman"/>
                <w:color w:val="000000" w:themeColor="text1"/>
                <w:kern w:val="0"/>
                <w:sz w:val="24"/>
                <w:szCs w:val="24"/>
                <w:u w:val="none"/>
                <w:lang w:val="en-US" w:eastAsia="zh-CN" w:bidi="ar"/>
                <w14:textFill>
                  <w14:solidFill>
                    <w14:schemeClr w14:val="tx1"/>
                  </w14:solidFill>
                </w14:textFill>
              </w:rPr>
            </w:pPr>
            <w:r>
              <w:rPr>
                <w:rFonts w:hint="eastAsia" w:cs="Times New Roman"/>
                <w:i w:val="0"/>
                <w:iCs w:val="0"/>
                <w:color w:val="000000" w:themeColor="text1"/>
                <w:kern w:val="0"/>
                <w:sz w:val="24"/>
                <w:szCs w:val="24"/>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0.0524t/a</w:t>
            </w:r>
          </w:p>
        </w:tc>
      </w:tr>
      <w:tr w14:paraId="34C6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338" w:type="dxa"/>
            <w:vMerge w:val="continue"/>
            <w:noWrap w:val="0"/>
            <w:vAlign w:val="center"/>
          </w:tcPr>
          <w:p w14:paraId="541AE1FE">
            <w:pPr>
              <w:keepNext w:val="0"/>
              <w:keepLines w:val="0"/>
              <w:pageBreakBefore w:val="0"/>
              <w:kinsoku/>
              <w:wordWrap/>
              <w:overflowPunct/>
              <w:topLinePunct w:val="0"/>
              <w:autoSpaceDE/>
              <w:autoSpaceDN/>
              <w:bidi w:val="0"/>
              <w:snapToGrid/>
              <w:spacing w:line="360" w:lineRule="auto"/>
              <w:jc w:val="center"/>
              <w:rPr>
                <w:rFonts w:hint="eastAsia"/>
                <w:color w:val="000000"/>
                <w:sz w:val="24"/>
                <w:szCs w:val="24"/>
                <w:u w:val="none"/>
              </w:rPr>
            </w:pPr>
          </w:p>
        </w:tc>
        <w:tc>
          <w:tcPr>
            <w:tcW w:w="1638" w:type="dxa"/>
            <w:noWrap w:val="0"/>
            <w:vAlign w:val="center"/>
          </w:tcPr>
          <w:p w14:paraId="155531F3">
            <w:pPr>
              <w:keepNext w:val="0"/>
              <w:keepLines w:val="0"/>
              <w:pageBreakBefore w:val="0"/>
              <w:kinsoku/>
              <w:wordWrap/>
              <w:overflowPunct/>
              <w:topLinePunct w:val="0"/>
              <w:autoSpaceDE/>
              <w:autoSpaceDN/>
              <w:bidi w:val="0"/>
              <w:snapToGrid/>
              <w:spacing w:line="360" w:lineRule="auto"/>
              <w:jc w:val="center"/>
              <w:rPr>
                <w:rFonts w:hint="eastAsia" w:eastAsia="宋体"/>
                <w:color w:val="000000" w:themeColor="text1"/>
                <w:sz w:val="24"/>
                <w:szCs w:val="24"/>
                <w:u w:val="none"/>
                <w:lang w:val="en-US" w:eastAsia="zh-CN"/>
                <w14:textFill>
                  <w14:solidFill>
                    <w14:schemeClr w14:val="tx1"/>
                  </w14:solidFill>
                </w14:textFill>
              </w:rPr>
            </w:pPr>
            <w:r>
              <w:rPr>
                <w:rFonts w:hint="eastAsia"/>
                <w:color w:val="000000" w:themeColor="text1"/>
                <w:sz w:val="24"/>
                <w:szCs w:val="24"/>
                <w:u w:val="none"/>
                <w:lang w:val="en-US" w:eastAsia="zh-CN"/>
                <w14:textFill>
                  <w14:solidFill>
                    <w14:schemeClr w14:val="tx1"/>
                  </w14:solidFill>
                </w14:textFill>
              </w:rPr>
              <w:t>颗粒物</w:t>
            </w:r>
          </w:p>
        </w:tc>
        <w:tc>
          <w:tcPr>
            <w:tcW w:w="1491" w:type="dxa"/>
            <w:noWrap w:val="0"/>
            <w:vAlign w:val="center"/>
          </w:tcPr>
          <w:p w14:paraId="0396F4E9">
            <w:pPr>
              <w:keepNext w:val="0"/>
              <w:keepLines w:val="0"/>
              <w:pageBreakBefore w:val="0"/>
              <w:kinsoku/>
              <w:wordWrap/>
              <w:overflowPunct/>
              <w:topLinePunct w:val="0"/>
              <w:autoSpaceDE/>
              <w:autoSpaceDN/>
              <w:bidi w:val="0"/>
              <w:snapToGrid/>
              <w:spacing w:line="360" w:lineRule="auto"/>
              <w:jc w:val="center"/>
              <w:rPr>
                <w:rFonts w:hint="default"/>
                <w:color w:val="000000" w:themeColor="text1"/>
                <w:kern w:val="1"/>
                <w:sz w:val="24"/>
                <w:szCs w:val="24"/>
                <w:u w:val="none"/>
                <w:lang w:val="en-US" w:eastAsia="zh-CN"/>
                <w14:textFill>
                  <w14:solidFill>
                    <w14:schemeClr w14:val="tx1"/>
                  </w14:solidFill>
                </w14:textFill>
              </w:rPr>
            </w:pPr>
            <w:r>
              <w:rPr>
                <w:rFonts w:hint="eastAsia"/>
                <w:color w:val="000000" w:themeColor="text1"/>
                <w:kern w:val="1"/>
                <w:sz w:val="24"/>
                <w:szCs w:val="24"/>
                <w:u w:val="none"/>
                <w:lang w:val="en-US" w:eastAsia="zh-CN"/>
                <w14:textFill>
                  <w14:solidFill>
                    <w14:schemeClr w14:val="tx1"/>
                  </w14:solidFill>
                </w14:textFill>
              </w:rPr>
              <w:t>/</w:t>
            </w:r>
          </w:p>
        </w:tc>
        <w:tc>
          <w:tcPr>
            <w:tcW w:w="1485" w:type="dxa"/>
            <w:noWrap w:val="0"/>
            <w:vAlign w:val="center"/>
          </w:tcPr>
          <w:p w14:paraId="204767FE">
            <w:pPr>
              <w:keepNext w:val="0"/>
              <w:keepLines w:val="0"/>
              <w:pageBreakBefore w:val="0"/>
              <w:kinsoku/>
              <w:wordWrap/>
              <w:overflowPunct/>
              <w:topLinePunct w:val="0"/>
              <w:autoSpaceDE/>
              <w:autoSpaceDN/>
              <w:bidi w:val="0"/>
              <w:snapToGrid/>
              <w:spacing w:line="360" w:lineRule="auto"/>
              <w:jc w:val="center"/>
              <w:rPr>
                <w:rFonts w:hint="eastAsia" w:eastAsia="宋体"/>
                <w:color w:val="000000" w:themeColor="text1"/>
                <w:kern w:val="1"/>
                <w:sz w:val="24"/>
                <w:szCs w:val="24"/>
                <w:u w:val="none"/>
                <w:lang w:val="en-US" w:eastAsia="zh-CN"/>
                <w14:textFill>
                  <w14:solidFill>
                    <w14:schemeClr w14:val="tx1"/>
                  </w14:solidFill>
                </w14:textFill>
              </w:rPr>
            </w:pPr>
            <w:r>
              <w:rPr>
                <w:rFonts w:hint="eastAsia"/>
                <w:color w:val="000000" w:themeColor="text1"/>
                <w:kern w:val="1"/>
                <w:sz w:val="24"/>
                <w:szCs w:val="24"/>
                <w:u w:val="none"/>
                <w:lang w:val="en-US" w:eastAsia="zh-CN"/>
                <w14:textFill>
                  <w14:solidFill>
                    <w14:schemeClr w14:val="tx1"/>
                  </w14:solidFill>
                </w14:textFill>
              </w:rPr>
              <w:t>/</w:t>
            </w:r>
          </w:p>
        </w:tc>
        <w:tc>
          <w:tcPr>
            <w:tcW w:w="1491" w:type="dxa"/>
            <w:noWrap w:val="0"/>
            <w:vAlign w:val="center"/>
          </w:tcPr>
          <w:p w14:paraId="3F6B9294">
            <w:pPr>
              <w:keepNext w:val="0"/>
              <w:keepLines w:val="0"/>
              <w:pageBreakBefore w:val="0"/>
              <w:kinsoku/>
              <w:wordWrap/>
              <w:overflowPunct/>
              <w:topLinePunct w:val="0"/>
              <w:autoSpaceDE/>
              <w:autoSpaceDN/>
              <w:bidi w:val="0"/>
              <w:snapToGrid/>
              <w:spacing w:line="360" w:lineRule="auto"/>
              <w:jc w:val="center"/>
              <w:rPr>
                <w:rFonts w:ascii="Times New Roman"/>
                <w:snapToGrid w:val="0"/>
                <w:color w:val="000000" w:themeColor="text1"/>
                <w:kern w:val="21"/>
                <w:sz w:val="24"/>
                <w:szCs w:val="24"/>
                <w:u w:val="none"/>
                <w14:textFill>
                  <w14:solidFill>
                    <w14:schemeClr w14:val="tx1"/>
                  </w14:solidFill>
                </w14:textFill>
              </w:rPr>
            </w:pPr>
            <w:r>
              <w:rPr>
                <w:rFonts w:hint="eastAsia"/>
                <w:color w:val="000000" w:themeColor="text1"/>
                <w:kern w:val="1"/>
                <w:sz w:val="24"/>
                <w:szCs w:val="24"/>
                <w:u w:val="none"/>
                <w:lang w:val="en-US" w:eastAsia="zh-CN"/>
                <w14:textFill>
                  <w14:solidFill>
                    <w14:schemeClr w14:val="tx1"/>
                  </w14:solidFill>
                </w14:textFill>
              </w:rPr>
              <w:t>/</w:t>
            </w:r>
          </w:p>
        </w:tc>
        <w:tc>
          <w:tcPr>
            <w:tcW w:w="1501" w:type="dxa"/>
            <w:noWrap w:val="0"/>
            <w:vAlign w:val="center"/>
          </w:tcPr>
          <w:p w14:paraId="278F1BEB">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default" w:ascii="Times New Roman" w:hAnsi="Times New Roman" w:eastAsia="宋体" w:cs="Times New Roman"/>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0.0655t/a</w:t>
            </w:r>
          </w:p>
        </w:tc>
        <w:tc>
          <w:tcPr>
            <w:tcW w:w="1491" w:type="dxa"/>
            <w:noWrap w:val="0"/>
            <w:vAlign w:val="center"/>
          </w:tcPr>
          <w:p w14:paraId="2170CDF9">
            <w:pPr>
              <w:keepNext w:val="0"/>
              <w:keepLines w:val="0"/>
              <w:pageBreakBefore w:val="0"/>
              <w:kinsoku/>
              <w:wordWrap/>
              <w:overflowPunct/>
              <w:topLinePunct w:val="0"/>
              <w:autoSpaceDE/>
              <w:autoSpaceDN/>
              <w:bidi w:val="0"/>
              <w:snapToGrid/>
              <w:spacing w:line="360" w:lineRule="auto"/>
              <w:jc w:val="center"/>
              <w:rPr>
                <w:color w:val="000000" w:themeColor="text1"/>
                <w:kern w:val="0"/>
                <w:sz w:val="24"/>
                <w:szCs w:val="24"/>
                <w:u w:val="none"/>
                <w:lang w:bidi="ar"/>
                <w14:textFill>
                  <w14:solidFill>
                    <w14:schemeClr w14:val="tx1"/>
                  </w14:solidFill>
                </w14:textFill>
              </w:rPr>
            </w:pPr>
            <w:r>
              <w:rPr>
                <w:rFonts w:hint="eastAsia"/>
                <w:color w:val="000000" w:themeColor="text1"/>
                <w:kern w:val="1"/>
                <w:sz w:val="24"/>
                <w:szCs w:val="24"/>
                <w:u w:val="none"/>
                <w:lang w:val="en-US" w:eastAsia="zh-CN"/>
                <w14:textFill>
                  <w14:solidFill>
                    <w14:schemeClr w14:val="tx1"/>
                  </w14:solidFill>
                </w14:textFill>
              </w:rPr>
              <w:t>/</w:t>
            </w:r>
          </w:p>
        </w:tc>
        <w:tc>
          <w:tcPr>
            <w:tcW w:w="1842" w:type="dxa"/>
            <w:noWrap w:val="0"/>
            <w:vAlign w:val="center"/>
          </w:tcPr>
          <w:p w14:paraId="5BAE5AC0">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color w:val="000000" w:themeColor="text1"/>
                <w:kern w:val="0"/>
                <w:sz w:val="24"/>
                <w:szCs w:val="24"/>
                <w:u w:val="none"/>
                <w:lang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0.0655t/a</w:t>
            </w:r>
          </w:p>
        </w:tc>
        <w:tc>
          <w:tcPr>
            <w:tcW w:w="1273" w:type="dxa"/>
            <w:noWrap w:val="0"/>
            <w:vAlign w:val="center"/>
          </w:tcPr>
          <w:p w14:paraId="31DB83DE">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Times New Roman" w:hAnsi="Times New Roman" w:eastAsia="宋体" w:cs="Times New Roman"/>
                <w:color w:val="000000" w:themeColor="text1"/>
                <w:kern w:val="0"/>
                <w:sz w:val="24"/>
                <w:szCs w:val="24"/>
                <w:u w:val="none"/>
                <w:lang w:val="en-US" w:eastAsia="zh-CN" w:bidi="ar"/>
                <w14:textFill>
                  <w14:solidFill>
                    <w14:schemeClr w14:val="tx1"/>
                  </w14:solidFill>
                </w14:textFill>
              </w:rPr>
            </w:pPr>
            <w:r>
              <w:rPr>
                <w:rFonts w:hint="eastAsia" w:cs="Times New Roman"/>
                <w:i w:val="0"/>
                <w:iCs w:val="0"/>
                <w:color w:val="000000" w:themeColor="text1"/>
                <w:kern w:val="0"/>
                <w:sz w:val="24"/>
                <w:szCs w:val="24"/>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0.0655t/a</w:t>
            </w:r>
          </w:p>
        </w:tc>
      </w:tr>
      <w:tr w14:paraId="04F2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338" w:type="dxa"/>
            <w:vMerge w:val="restart"/>
            <w:noWrap w:val="0"/>
            <w:vAlign w:val="center"/>
          </w:tcPr>
          <w:p w14:paraId="12DE8AB5">
            <w:pPr>
              <w:keepNext w:val="0"/>
              <w:keepLines w:val="0"/>
              <w:pageBreakBefore w:val="0"/>
              <w:kinsoku/>
              <w:wordWrap/>
              <w:overflowPunct/>
              <w:topLinePunct w:val="0"/>
              <w:autoSpaceDE/>
              <w:autoSpaceDN/>
              <w:bidi w:val="0"/>
              <w:snapToGrid/>
              <w:spacing w:line="360" w:lineRule="auto"/>
              <w:jc w:val="center"/>
              <w:rPr>
                <w:rFonts w:hint="eastAsia"/>
                <w:color w:val="000000"/>
                <w:sz w:val="24"/>
                <w:szCs w:val="24"/>
                <w:u w:val="none"/>
              </w:rPr>
            </w:pPr>
            <w:r>
              <w:rPr>
                <w:rFonts w:hint="eastAsia"/>
                <w:color w:val="000000"/>
                <w:sz w:val="24"/>
                <w:szCs w:val="24"/>
                <w:u w:val="none"/>
              </w:rPr>
              <w:t>废水</w:t>
            </w:r>
          </w:p>
        </w:tc>
        <w:tc>
          <w:tcPr>
            <w:tcW w:w="1638" w:type="dxa"/>
            <w:noWrap w:val="0"/>
            <w:vAlign w:val="center"/>
          </w:tcPr>
          <w:p w14:paraId="2F7047B1">
            <w:pPr>
              <w:pStyle w:val="38"/>
              <w:keepNext w:val="0"/>
              <w:keepLines w:val="0"/>
              <w:pageBreakBefore w:val="0"/>
              <w:kinsoku/>
              <w:wordWrap/>
              <w:overflowPunct/>
              <w:topLinePunct w:val="0"/>
              <w:autoSpaceDE/>
              <w:autoSpaceDN/>
              <w:bidi w:val="0"/>
              <w:snapToGrid/>
              <w:spacing w:beforeLines="0" w:afterLines="0" w:line="360" w:lineRule="auto"/>
              <w:jc w:val="center"/>
              <w:rPr>
                <w:rFonts w:ascii="Times New Roman"/>
                <w:snapToGrid w:val="0"/>
                <w:color w:val="000000" w:themeColor="text1"/>
                <w:kern w:val="21"/>
                <w:sz w:val="24"/>
                <w:szCs w:val="24"/>
                <w:u w:val="none"/>
                <w14:textFill>
                  <w14:solidFill>
                    <w14:schemeClr w14:val="tx1"/>
                  </w14:solidFill>
                </w14:textFill>
              </w:rPr>
            </w:pPr>
            <w:r>
              <w:rPr>
                <w:rFonts w:ascii="Times New Roman"/>
                <w:snapToGrid w:val="0"/>
                <w:color w:val="000000" w:themeColor="text1"/>
                <w:kern w:val="21"/>
                <w:sz w:val="24"/>
                <w:szCs w:val="24"/>
                <w:u w:val="none"/>
                <w14:textFill>
                  <w14:solidFill>
                    <w14:schemeClr w14:val="tx1"/>
                  </w14:solidFill>
                </w14:textFill>
              </w:rPr>
              <w:t>COD</w:t>
            </w:r>
          </w:p>
        </w:tc>
        <w:tc>
          <w:tcPr>
            <w:tcW w:w="1491" w:type="dxa"/>
            <w:noWrap w:val="0"/>
            <w:vAlign w:val="center"/>
          </w:tcPr>
          <w:p w14:paraId="4D35225D">
            <w:pPr>
              <w:keepNext w:val="0"/>
              <w:keepLines w:val="0"/>
              <w:pageBreakBefore w:val="0"/>
              <w:kinsoku/>
              <w:wordWrap/>
              <w:overflowPunct/>
              <w:topLinePunct w:val="0"/>
              <w:autoSpaceDE/>
              <w:autoSpaceDN/>
              <w:bidi w:val="0"/>
              <w:snapToGrid/>
              <w:spacing w:line="360" w:lineRule="auto"/>
              <w:jc w:val="center"/>
              <w:rPr>
                <w:color w:val="000000" w:themeColor="text1"/>
                <w:sz w:val="24"/>
                <w:szCs w:val="24"/>
                <w:u w:val="none"/>
                <w14:textFill>
                  <w14:solidFill>
                    <w14:schemeClr w14:val="tx1"/>
                  </w14:solidFill>
                </w14:textFill>
              </w:rPr>
            </w:pPr>
            <w:r>
              <w:rPr>
                <w:rFonts w:ascii="Times New Roman"/>
                <w:snapToGrid w:val="0"/>
                <w:color w:val="000000" w:themeColor="text1"/>
                <w:kern w:val="21"/>
                <w:sz w:val="24"/>
                <w:szCs w:val="24"/>
                <w:u w:val="none"/>
                <w14:textFill>
                  <w14:solidFill>
                    <w14:schemeClr w14:val="tx1"/>
                  </w14:solidFill>
                </w14:textFill>
              </w:rPr>
              <w:t>/</w:t>
            </w:r>
          </w:p>
        </w:tc>
        <w:tc>
          <w:tcPr>
            <w:tcW w:w="1485" w:type="dxa"/>
            <w:noWrap w:val="0"/>
            <w:vAlign w:val="center"/>
          </w:tcPr>
          <w:p w14:paraId="1F782D8F">
            <w:pPr>
              <w:keepNext w:val="0"/>
              <w:keepLines w:val="0"/>
              <w:pageBreakBefore w:val="0"/>
              <w:kinsoku/>
              <w:wordWrap/>
              <w:overflowPunct/>
              <w:topLinePunct w:val="0"/>
              <w:autoSpaceDE/>
              <w:autoSpaceDN/>
              <w:bidi w:val="0"/>
              <w:snapToGrid/>
              <w:spacing w:line="360" w:lineRule="auto"/>
              <w:jc w:val="center"/>
              <w:rPr>
                <w:rFonts w:ascii="Times New Roman"/>
                <w:snapToGrid w:val="0"/>
                <w:color w:val="000000" w:themeColor="text1"/>
                <w:kern w:val="21"/>
                <w:sz w:val="24"/>
                <w:szCs w:val="24"/>
                <w:u w:val="none"/>
                <w14:textFill>
                  <w14:solidFill>
                    <w14:schemeClr w14:val="tx1"/>
                  </w14:solidFill>
                </w14:textFill>
              </w:rPr>
            </w:pPr>
            <w:r>
              <w:rPr>
                <w:rFonts w:ascii="Times New Roman"/>
                <w:snapToGrid w:val="0"/>
                <w:color w:val="000000" w:themeColor="text1"/>
                <w:kern w:val="21"/>
                <w:sz w:val="24"/>
                <w:szCs w:val="24"/>
                <w:u w:val="none"/>
                <w14:textFill>
                  <w14:solidFill>
                    <w14:schemeClr w14:val="tx1"/>
                  </w14:solidFill>
                </w14:textFill>
              </w:rPr>
              <w:t>/</w:t>
            </w:r>
          </w:p>
        </w:tc>
        <w:tc>
          <w:tcPr>
            <w:tcW w:w="1491" w:type="dxa"/>
            <w:noWrap w:val="0"/>
            <w:vAlign w:val="center"/>
          </w:tcPr>
          <w:p w14:paraId="457B665A">
            <w:pPr>
              <w:keepNext w:val="0"/>
              <w:keepLines w:val="0"/>
              <w:pageBreakBefore w:val="0"/>
              <w:kinsoku/>
              <w:wordWrap/>
              <w:overflowPunct/>
              <w:topLinePunct w:val="0"/>
              <w:autoSpaceDE/>
              <w:autoSpaceDN/>
              <w:bidi w:val="0"/>
              <w:snapToGrid/>
              <w:spacing w:line="360" w:lineRule="auto"/>
              <w:jc w:val="center"/>
              <w:rPr>
                <w:rFonts w:ascii="Times New Roman"/>
                <w:snapToGrid w:val="0"/>
                <w:color w:val="000000" w:themeColor="text1"/>
                <w:kern w:val="21"/>
                <w:sz w:val="24"/>
                <w:szCs w:val="24"/>
                <w:u w:val="none"/>
                <w14:textFill>
                  <w14:solidFill>
                    <w14:schemeClr w14:val="tx1"/>
                  </w14:solidFill>
                </w14:textFill>
              </w:rPr>
            </w:pPr>
            <w:r>
              <w:rPr>
                <w:rFonts w:ascii="Times New Roman"/>
                <w:snapToGrid w:val="0"/>
                <w:color w:val="000000" w:themeColor="text1"/>
                <w:kern w:val="21"/>
                <w:sz w:val="24"/>
                <w:szCs w:val="24"/>
                <w:u w:val="none"/>
                <w14:textFill>
                  <w14:solidFill>
                    <w14:schemeClr w14:val="tx1"/>
                  </w14:solidFill>
                </w14:textFill>
              </w:rPr>
              <w:t>/</w:t>
            </w:r>
          </w:p>
        </w:tc>
        <w:tc>
          <w:tcPr>
            <w:tcW w:w="1501" w:type="dxa"/>
            <w:noWrap w:val="0"/>
            <w:vAlign w:val="center"/>
          </w:tcPr>
          <w:p w14:paraId="0A3CFF92">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Times New Roman" w:hAnsi="Times New Roman" w:eastAsia="宋体" w:cs="Times New Roman"/>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0.0069t/a</w:t>
            </w:r>
          </w:p>
        </w:tc>
        <w:tc>
          <w:tcPr>
            <w:tcW w:w="1491" w:type="dxa"/>
            <w:noWrap w:val="0"/>
            <w:vAlign w:val="center"/>
          </w:tcPr>
          <w:p w14:paraId="2C60F750">
            <w:pPr>
              <w:keepNext w:val="0"/>
              <w:keepLines w:val="0"/>
              <w:pageBreakBefore w:val="0"/>
              <w:kinsoku/>
              <w:wordWrap/>
              <w:overflowPunct/>
              <w:topLinePunct w:val="0"/>
              <w:autoSpaceDE/>
              <w:autoSpaceDN/>
              <w:bidi w:val="0"/>
              <w:snapToGrid/>
              <w:spacing w:line="360" w:lineRule="auto"/>
              <w:jc w:val="center"/>
              <w:rPr>
                <w:rFonts w:cs="宋体"/>
                <w:color w:val="000000" w:themeColor="text1"/>
                <w:sz w:val="24"/>
                <w:szCs w:val="24"/>
                <w:u w:val="none"/>
                <w14:textFill>
                  <w14:solidFill>
                    <w14:schemeClr w14:val="tx1"/>
                  </w14:solidFill>
                </w14:textFill>
              </w:rPr>
            </w:pPr>
            <w:r>
              <w:rPr>
                <w:rFonts w:ascii="Times New Roman"/>
                <w:snapToGrid w:val="0"/>
                <w:color w:val="000000" w:themeColor="text1"/>
                <w:kern w:val="21"/>
                <w:sz w:val="24"/>
                <w:szCs w:val="24"/>
                <w:u w:val="none"/>
                <w14:textFill>
                  <w14:solidFill>
                    <w14:schemeClr w14:val="tx1"/>
                  </w14:solidFill>
                </w14:textFill>
              </w:rPr>
              <w:t>/</w:t>
            </w:r>
          </w:p>
        </w:tc>
        <w:tc>
          <w:tcPr>
            <w:tcW w:w="1842" w:type="dxa"/>
            <w:noWrap w:val="0"/>
            <w:vAlign w:val="center"/>
          </w:tcPr>
          <w:p w14:paraId="05F0D5BD">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color w:val="000000" w:themeColor="text1"/>
                <w:sz w:val="24"/>
                <w:szCs w:val="24"/>
                <w:u w:val="none"/>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0.0069t/a</w:t>
            </w:r>
          </w:p>
        </w:tc>
        <w:tc>
          <w:tcPr>
            <w:tcW w:w="1273" w:type="dxa"/>
            <w:noWrap w:val="0"/>
            <w:vAlign w:val="center"/>
          </w:tcPr>
          <w:p w14:paraId="3B502444">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Times New Roman" w:hAnsi="Times New Roman" w:eastAsia="宋体" w:cs="Times New Roman"/>
                <w:color w:val="000000" w:themeColor="text1"/>
                <w:kern w:val="0"/>
                <w:sz w:val="24"/>
                <w:szCs w:val="24"/>
                <w:u w:val="none"/>
                <w:lang w:val="en-US" w:eastAsia="zh-CN" w:bidi="ar"/>
                <w14:textFill>
                  <w14:solidFill>
                    <w14:schemeClr w14:val="tx1"/>
                  </w14:solidFill>
                </w14:textFill>
              </w:rPr>
            </w:pPr>
            <w:r>
              <w:rPr>
                <w:rFonts w:hint="eastAsia" w:cs="Times New Roman"/>
                <w:i w:val="0"/>
                <w:iCs w:val="0"/>
                <w:color w:val="000000" w:themeColor="text1"/>
                <w:kern w:val="0"/>
                <w:sz w:val="24"/>
                <w:szCs w:val="24"/>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0.0069t/a</w:t>
            </w:r>
          </w:p>
        </w:tc>
      </w:tr>
      <w:tr w14:paraId="4355C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338" w:type="dxa"/>
            <w:vMerge w:val="continue"/>
            <w:noWrap w:val="0"/>
            <w:vAlign w:val="center"/>
          </w:tcPr>
          <w:p w14:paraId="2D6CBB41">
            <w:pPr>
              <w:keepNext w:val="0"/>
              <w:keepLines w:val="0"/>
              <w:pageBreakBefore w:val="0"/>
              <w:kinsoku/>
              <w:wordWrap/>
              <w:overflowPunct/>
              <w:topLinePunct w:val="0"/>
              <w:autoSpaceDE/>
              <w:autoSpaceDN/>
              <w:bidi w:val="0"/>
              <w:snapToGrid/>
              <w:spacing w:line="360" w:lineRule="auto"/>
              <w:jc w:val="center"/>
              <w:rPr>
                <w:rFonts w:hint="eastAsia"/>
                <w:color w:val="000000"/>
                <w:sz w:val="24"/>
                <w:szCs w:val="24"/>
                <w:u w:val="none"/>
              </w:rPr>
            </w:pPr>
          </w:p>
        </w:tc>
        <w:tc>
          <w:tcPr>
            <w:tcW w:w="1638" w:type="dxa"/>
            <w:noWrap w:val="0"/>
            <w:vAlign w:val="center"/>
          </w:tcPr>
          <w:p w14:paraId="2666B3B7">
            <w:pPr>
              <w:pStyle w:val="38"/>
              <w:keepNext w:val="0"/>
              <w:keepLines w:val="0"/>
              <w:pageBreakBefore w:val="0"/>
              <w:kinsoku/>
              <w:wordWrap/>
              <w:overflowPunct/>
              <w:topLinePunct w:val="0"/>
              <w:autoSpaceDE/>
              <w:autoSpaceDN/>
              <w:bidi w:val="0"/>
              <w:snapToGrid/>
              <w:spacing w:beforeLines="0" w:afterLines="0" w:line="360" w:lineRule="auto"/>
              <w:jc w:val="center"/>
              <w:rPr>
                <w:rFonts w:ascii="Times New Roman"/>
                <w:snapToGrid w:val="0"/>
                <w:color w:val="000000" w:themeColor="text1"/>
                <w:kern w:val="21"/>
                <w:sz w:val="24"/>
                <w:szCs w:val="24"/>
                <w:u w:val="none"/>
                <w14:textFill>
                  <w14:solidFill>
                    <w14:schemeClr w14:val="tx1"/>
                  </w14:solidFill>
                </w14:textFill>
              </w:rPr>
            </w:pPr>
            <w:r>
              <w:rPr>
                <w:rFonts w:ascii="Times New Roman"/>
                <w:snapToGrid w:val="0"/>
                <w:color w:val="000000" w:themeColor="text1"/>
                <w:kern w:val="21"/>
                <w:sz w:val="24"/>
                <w:szCs w:val="24"/>
                <w:u w:val="none"/>
                <w14:textFill>
                  <w14:solidFill>
                    <w14:schemeClr w14:val="tx1"/>
                  </w14:solidFill>
                </w14:textFill>
              </w:rPr>
              <w:t>氨氮</w:t>
            </w:r>
          </w:p>
        </w:tc>
        <w:tc>
          <w:tcPr>
            <w:tcW w:w="1491" w:type="dxa"/>
            <w:noWrap w:val="0"/>
            <w:vAlign w:val="center"/>
          </w:tcPr>
          <w:p w14:paraId="0C783150">
            <w:pPr>
              <w:keepNext w:val="0"/>
              <w:keepLines w:val="0"/>
              <w:pageBreakBefore w:val="0"/>
              <w:kinsoku/>
              <w:wordWrap/>
              <w:overflowPunct/>
              <w:topLinePunct w:val="0"/>
              <w:autoSpaceDE/>
              <w:autoSpaceDN/>
              <w:bidi w:val="0"/>
              <w:snapToGrid/>
              <w:spacing w:line="360" w:lineRule="auto"/>
              <w:jc w:val="center"/>
              <w:rPr>
                <w:color w:val="000000" w:themeColor="text1"/>
                <w:sz w:val="24"/>
                <w:szCs w:val="24"/>
                <w:u w:val="none"/>
                <w14:textFill>
                  <w14:solidFill>
                    <w14:schemeClr w14:val="tx1"/>
                  </w14:solidFill>
                </w14:textFill>
              </w:rPr>
            </w:pPr>
            <w:r>
              <w:rPr>
                <w:rFonts w:hint="eastAsia"/>
                <w:color w:val="000000" w:themeColor="text1"/>
                <w:kern w:val="1"/>
                <w:sz w:val="24"/>
                <w:szCs w:val="24"/>
                <w:u w:val="none"/>
                <w:lang w:val="en-US" w:eastAsia="zh-CN"/>
                <w14:textFill>
                  <w14:solidFill>
                    <w14:schemeClr w14:val="tx1"/>
                  </w14:solidFill>
                </w14:textFill>
              </w:rPr>
              <w:t>/</w:t>
            </w:r>
          </w:p>
        </w:tc>
        <w:tc>
          <w:tcPr>
            <w:tcW w:w="1485" w:type="dxa"/>
            <w:noWrap w:val="0"/>
            <w:vAlign w:val="center"/>
          </w:tcPr>
          <w:p w14:paraId="56959B8B">
            <w:pPr>
              <w:keepNext w:val="0"/>
              <w:keepLines w:val="0"/>
              <w:pageBreakBefore w:val="0"/>
              <w:kinsoku/>
              <w:wordWrap/>
              <w:overflowPunct/>
              <w:topLinePunct w:val="0"/>
              <w:autoSpaceDE/>
              <w:autoSpaceDN/>
              <w:bidi w:val="0"/>
              <w:snapToGrid/>
              <w:spacing w:line="360" w:lineRule="auto"/>
              <w:jc w:val="center"/>
              <w:rPr>
                <w:rFonts w:ascii="Times New Roman"/>
                <w:snapToGrid w:val="0"/>
                <w:color w:val="000000" w:themeColor="text1"/>
                <w:kern w:val="21"/>
                <w:sz w:val="24"/>
                <w:szCs w:val="24"/>
                <w:u w:val="none"/>
                <w14:textFill>
                  <w14:solidFill>
                    <w14:schemeClr w14:val="tx1"/>
                  </w14:solidFill>
                </w14:textFill>
              </w:rPr>
            </w:pPr>
            <w:r>
              <w:rPr>
                <w:rFonts w:hint="eastAsia"/>
                <w:color w:val="000000" w:themeColor="text1"/>
                <w:kern w:val="1"/>
                <w:sz w:val="24"/>
                <w:szCs w:val="24"/>
                <w:u w:val="none"/>
                <w:lang w:val="en-US" w:eastAsia="zh-CN"/>
                <w14:textFill>
                  <w14:solidFill>
                    <w14:schemeClr w14:val="tx1"/>
                  </w14:solidFill>
                </w14:textFill>
              </w:rPr>
              <w:t>/</w:t>
            </w:r>
          </w:p>
        </w:tc>
        <w:tc>
          <w:tcPr>
            <w:tcW w:w="1491" w:type="dxa"/>
            <w:noWrap w:val="0"/>
            <w:vAlign w:val="center"/>
          </w:tcPr>
          <w:p w14:paraId="45BB93D3">
            <w:pPr>
              <w:keepNext w:val="0"/>
              <w:keepLines w:val="0"/>
              <w:pageBreakBefore w:val="0"/>
              <w:kinsoku/>
              <w:wordWrap/>
              <w:overflowPunct/>
              <w:topLinePunct w:val="0"/>
              <w:autoSpaceDE/>
              <w:autoSpaceDN/>
              <w:bidi w:val="0"/>
              <w:snapToGrid/>
              <w:spacing w:line="360" w:lineRule="auto"/>
              <w:jc w:val="center"/>
              <w:rPr>
                <w:rFonts w:ascii="Times New Roman"/>
                <w:snapToGrid w:val="0"/>
                <w:color w:val="000000" w:themeColor="text1"/>
                <w:kern w:val="21"/>
                <w:sz w:val="24"/>
                <w:szCs w:val="24"/>
                <w:u w:val="none"/>
                <w14:textFill>
                  <w14:solidFill>
                    <w14:schemeClr w14:val="tx1"/>
                  </w14:solidFill>
                </w14:textFill>
              </w:rPr>
            </w:pPr>
            <w:r>
              <w:rPr>
                <w:rFonts w:hint="eastAsia"/>
                <w:color w:val="000000" w:themeColor="text1"/>
                <w:kern w:val="1"/>
                <w:sz w:val="24"/>
                <w:szCs w:val="24"/>
                <w:u w:val="none"/>
                <w:lang w:val="en-US" w:eastAsia="zh-CN"/>
                <w14:textFill>
                  <w14:solidFill>
                    <w14:schemeClr w14:val="tx1"/>
                  </w14:solidFill>
                </w14:textFill>
              </w:rPr>
              <w:t>/</w:t>
            </w:r>
          </w:p>
        </w:tc>
        <w:tc>
          <w:tcPr>
            <w:tcW w:w="1501" w:type="dxa"/>
            <w:noWrap w:val="0"/>
            <w:vAlign w:val="center"/>
          </w:tcPr>
          <w:p w14:paraId="7F161E6C">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Times New Roman" w:hAnsi="Times New Roman" w:eastAsia="宋体" w:cs="Times New Roman"/>
                <w:color w:val="000000" w:themeColor="text1"/>
                <w:kern w:val="0"/>
                <w:sz w:val="24"/>
                <w:szCs w:val="24"/>
                <w:u w:val="none"/>
                <w:lang w:val="en-US" w:eastAsia="zh-CN" w:bidi="ar"/>
                <w14:textFill>
                  <w14:solidFill>
                    <w14:schemeClr w14:val="tx1"/>
                  </w14:solidFill>
                </w14:textFill>
              </w:rPr>
            </w:pPr>
            <w:r>
              <w:rPr>
                <w:rFonts w:hint="eastAsia"/>
                <w:color w:val="000000" w:themeColor="text1"/>
                <w:sz w:val="24"/>
                <w:szCs w:val="24"/>
                <w:u w:val="none"/>
                <w:lang w:val="en-US" w:eastAsia="zh-CN"/>
                <w14:textFill>
                  <w14:solidFill>
                    <w14:schemeClr w14:val="tx1"/>
                  </w14:solidFill>
                </w14:textFill>
              </w:rPr>
              <w:t>0.0269</w:t>
            </w: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t/a</w:t>
            </w:r>
          </w:p>
        </w:tc>
        <w:tc>
          <w:tcPr>
            <w:tcW w:w="1491" w:type="dxa"/>
            <w:noWrap w:val="0"/>
            <w:vAlign w:val="center"/>
          </w:tcPr>
          <w:p w14:paraId="015CA336">
            <w:pPr>
              <w:keepNext w:val="0"/>
              <w:keepLines w:val="0"/>
              <w:pageBreakBefore w:val="0"/>
              <w:kinsoku/>
              <w:wordWrap/>
              <w:overflowPunct/>
              <w:topLinePunct w:val="0"/>
              <w:autoSpaceDE/>
              <w:autoSpaceDN/>
              <w:bidi w:val="0"/>
              <w:snapToGrid/>
              <w:spacing w:line="360" w:lineRule="auto"/>
              <w:jc w:val="center"/>
              <w:rPr>
                <w:rFonts w:cs="宋体"/>
                <w:color w:val="000000" w:themeColor="text1"/>
                <w:sz w:val="24"/>
                <w:szCs w:val="24"/>
                <w:u w:val="none"/>
                <w14:textFill>
                  <w14:solidFill>
                    <w14:schemeClr w14:val="tx1"/>
                  </w14:solidFill>
                </w14:textFill>
              </w:rPr>
            </w:pPr>
            <w:r>
              <w:rPr>
                <w:rFonts w:hint="eastAsia"/>
                <w:color w:val="000000" w:themeColor="text1"/>
                <w:kern w:val="1"/>
                <w:sz w:val="24"/>
                <w:szCs w:val="24"/>
                <w:u w:val="none"/>
                <w:lang w:val="en-US" w:eastAsia="zh-CN"/>
                <w14:textFill>
                  <w14:solidFill>
                    <w14:schemeClr w14:val="tx1"/>
                  </w14:solidFill>
                </w14:textFill>
              </w:rPr>
              <w:t>/</w:t>
            </w:r>
          </w:p>
        </w:tc>
        <w:tc>
          <w:tcPr>
            <w:tcW w:w="1842" w:type="dxa"/>
            <w:noWrap w:val="0"/>
            <w:vAlign w:val="center"/>
          </w:tcPr>
          <w:p w14:paraId="04A15899">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color w:val="000000" w:themeColor="text1"/>
                <w:sz w:val="24"/>
                <w:szCs w:val="24"/>
                <w:u w:val="none"/>
                <w14:textFill>
                  <w14:solidFill>
                    <w14:schemeClr w14:val="tx1"/>
                  </w14:solidFill>
                </w14:textFill>
              </w:rPr>
            </w:pPr>
            <w:r>
              <w:rPr>
                <w:rFonts w:hint="eastAsia"/>
                <w:color w:val="000000" w:themeColor="text1"/>
                <w:sz w:val="24"/>
                <w:szCs w:val="24"/>
                <w:u w:val="none"/>
                <w:lang w:val="en-US" w:eastAsia="zh-CN"/>
                <w14:textFill>
                  <w14:solidFill>
                    <w14:schemeClr w14:val="tx1"/>
                  </w14:solidFill>
                </w14:textFill>
              </w:rPr>
              <w:t>0.0269</w:t>
            </w: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t/a</w:t>
            </w:r>
          </w:p>
        </w:tc>
        <w:tc>
          <w:tcPr>
            <w:tcW w:w="1273" w:type="dxa"/>
            <w:noWrap w:val="0"/>
            <w:vAlign w:val="center"/>
          </w:tcPr>
          <w:p w14:paraId="712A4F03">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Times New Roman" w:hAnsi="Times New Roman" w:eastAsia="宋体" w:cs="Times New Roman"/>
                <w:color w:val="000000" w:themeColor="text1"/>
                <w:kern w:val="0"/>
                <w:sz w:val="24"/>
                <w:szCs w:val="24"/>
                <w:u w:val="none"/>
                <w:lang w:val="en-US" w:eastAsia="zh-CN" w:bidi="ar"/>
                <w14:textFill>
                  <w14:solidFill>
                    <w14:schemeClr w14:val="tx1"/>
                  </w14:solidFill>
                </w14:textFill>
              </w:rPr>
            </w:pPr>
            <w:r>
              <w:rPr>
                <w:rFonts w:hint="eastAsia"/>
                <w:color w:val="000000" w:themeColor="text1"/>
                <w:sz w:val="24"/>
                <w:szCs w:val="24"/>
                <w:u w:val="none"/>
                <w:lang w:val="en-US" w:eastAsia="zh-CN"/>
                <w14:textFill>
                  <w14:solidFill>
                    <w14:schemeClr w14:val="tx1"/>
                  </w14:solidFill>
                </w14:textFill>
              </w:rPr>
              <w:t>+0.0269</w:t>
            </w: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t/a</w:t>
            </w:r>
          </w:p>
        </w:tc>
      </w:tr>
      <w:tr w14:paraId="75E7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338" w:type="dxa"/>
            <w:vMerge w:val="restart"/>
            <w:noWrap w:val="0"/>
            <w:vAlign w:val="center"/>
          </w:tcPr>
          <w:p w14:paraId="054FD763">
            <w:pPr>
              <w:keepNext w:val="0"/>
              <w:keepLines w:val="0"/>
              <w:pageBreakBefore w:val="0"/>
              <w:kinsoku/>
              <w:wordWrap/>
              <w:overflowPunct/>
              <w:topLinePunct w:val="0"/>
              <w:autoSpaceDE/>
              <w:autoSpaceDN/>
              <w:bidi w:val="0"/>
              <w:snapToGrid/>
              <w:spacing w:line="360" w:lineRule="auto"/>
              <w:jc w:val="center"/>
              <w:rPr>
                <w:color w:val="000000"/>
                <w:sz w:val="24"/>
                <w:szCs w:val="24"/>
                <w:u w:val="none"/>
              </w:rPr>
            </w:pPr>
            <w:r>
              <w:rPr>
                <w:rFonts w:hint="eastAsia"/>
                <w:color w:val="000000"/>
                <w:sz w:val="24"/>
                <w:szCs w:val="24"/>
                <w:u w:val="none"/>
              </w:rPr>
              <w:t>一般工业</w:t>
            </w:r>
          </w:p>
          <w:p w14:paraId="5C0CFB81">
            <w:pPr>
              <w:keepNext w:val="0"/>
              <w:keepLines w:val="0"/>
              <w:pageBreakBefore w:val="0"/>
              <w:kinsoku/>
              <w:wordWrap/>
              <w:overflowPunct/>
              <w:topLinePunct w:val="0"/>
              <w:autoSpaceDE/>
              <w:autoSpaceDN/>
              <w:bidi w:val="0"/>
              <w:snapToGrid/>
              <w:spacing w:line="360" w:lineRule="auto"/>
              <w:jc w:val="center"/>
              <w:rPr>
                <w:rFonts w:hint="eastAsia"/>
                <w:color w:val="000000"/>
                <w:sz w:val="24"/>
                <w:szCs w:val="24"/>
                <w:u w:val="none"/>
              </w:rPr>
            </w:pPr>
            <w:r>
              <w:rPr>
                <w:rFonts w:hint="eastAsia"/>
                <w:color w:val="000000"/>
                <w:sz w:val="24"/>
                <w:szCs w:val="24"/>
                <w:u w:val="none"/>
              </w:rPr>
              <w:t>固体废物</w:t>
            </w:r>
          </w:p>
        </w:tc>
        <w:tc>
          <w:tcPr>
            <w:tcW w:w="1638" w:type="dxa"/>
            <w:noWrap w:val="0"/>
            <w:vAlign w:val="center"/>
          </w:tcPr>
          <w:p w14:paraId="0233561A">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废边角料、不合格品</w:t>
            </w:r>
          </w:p>
        </w:tc>
        <w:tc>
          <w:tcPr>
            <w:tcW w:w="1491" w:type="dxa"/>
            <w:noWrap w:val="0"/>
            <w:vAlign w:val="center"/>
          </w:tcPr>
          <w:p w14:paraId="17F3E962">
            <w:pPr>
              <w:keepNext w:val="0"/>
              <w:keepLines w:val="0"/>
              <w:pageBreakBefore w:val="0"/>
              <w:kinsoku/>
              <w:wordWrap/>
              <w:overflowPunct/>
              <w:topLinePunct w:val="0"/>
              <w:autoSpaceDE/>
              <w:autoSpaceDN/>
              <w:bidi w:val="0"/>
              <w:snapToGrid/>
              <w:spacing w:line="360" w:lineRule="auto"/>
              <w:jc w:val="center"/>
              <w:rPr>
                <w:color w:val="000000" w:themeColor="text1"/>
                <w:sz w:val="24"/>
                <w:szCs w:val="24"/>
                <w:u w:val="none"/>
                <w14:textFill>
                  <w14:solidFill>
                    <w14:schemeClr w14:val="tx1"/>
                  </w14:solidFill>
                </w14:textFill>
              </w:rPr>
            </w:pPr>
            <w:r>
              <w:rPr>
                <w:rFonts w:ascii="Times New Roman"/>
                <w:snapToGrid w:val="0"/>
                <w:color w:val="000000" w:themeColor="text1"/>
                <w:kern w:val="21"/>
                <w:sz w:val="24"/>
                <w:szCs w:val="24"/>
                <w:u w:val="none"/>
                <w14:textFill>
                  <w14:solidFill>
                    <w14:schemeClr w14:val="tx1"/>
                  </w14:solidFill>
                </w14:textFill>
              </w:rPr>
              <w:t>/</w:t>
            </w:r>
          </w:p>
        </w:tc>
        <w:tc>
          <w:tcPr>
            <w:tcW w:w="1485" w:type="dxa"/>
            <w:noWrap w:val="0"/>
            <w:vAlign w:val="center"/>
          </w:tcPr>
          <w:p w14:paraId="24BD1834">
            <w:pPr>
              <w:keepNext w:val="0"/>
              <w:keepLines w:val="0"/>
              <w:pageBreakBefore w:val="0"/>
              <w:kinsoku/>
              <w:wordWrap/>
              <w:overflowPunct/>
              <w:topLinePunct w:val="0"/>
              <w:autoSpaceDE/>
              <w:autoSpaceDN/>
              <w:bidi w:val="0"/>
              <w:snapToGrid/>
              <w:spacing w:line="360" w:lineRule="auto"/>
              <w:jc w:val="center"/>
              <w:rPr>
                <w:rFonts w:ascii="Times New Roman"/>
                <w:snapToGrid w:val="0"/>
                <w:color w:val="000000" w:themeColor="text1"/>
                <w:kern w:val="21"/>
                <w:sz w:val="24"/>
                <w:szCs w:val="24"/>
                <w:u w:val="none"/>
                <w14:textFill>
                  <w14:solidFill>
                    <w14:schemeClr w14:val="tx1"/>
                  </w14:solidFill>
                </w14:textFill>
              </w:rPr>
            </w:pPr>
            <w:r>
              <w:rPr>
                <w:rFonts w:ascii="Times New Roman"/>
                <w:snapToGrid w:val="0"/>
                <w:color w:val="000000" w:themeColor="text1"/>
                <w:kern w:val="21"/>
                <w:sz w:val="24"/>
                <w:szCs w:val="24"/>
                <w:u w:val="none"/>
                <w14:textFill>
                  <w14:solidFill>
                    <w14:schemeClr w14:val="tx1"/>
                  </w14:solidFill>
                </w14:textFill>
              </w:rPr>
              <w:t>/</w:t>
            </w:r>
          </w:p>
        </w:tc>
        <w:tc>
          <w:tcPr>
            <w:tcW w:w="1491" w:type="dxa"/>
            <w:noWrap w:val="0"/>
            <w:vAlign w:val="center"/>
          </w:tcPr>
          <w:p w14:paraId="4FA3E705">
            <w:pPr>
              <w:keepNext w:val="0"/>
              <w:keepLines w:val="0"/>
              <w:pageBreakBefore w:val="0"/>
              <w:kinsoku/>
              <w:wordWrap/>
              <w:overflowPunct/>
              <w:topLinePunct w:val="0"/>
              <w:autoSpaceDE/>
              <w:autoSpaceDN/>
              <w:bidi w:val="0"/>
              <w:snapToGrid/>
              <w:spacing w:line="360" w:lineRule="auto"/>
              <w:jc w:val="center"/>
              <w:rPr>
                <w:rFonts w:ascii="Times New Roman"/>
                <w:snapToGrid w:val="0"/>
                <w:color w:val="000000" w:themeColor="text1"/>
                <w:kern w:val="21"/>
                <w:sz w:val="24"/>
                <w:szCs w:val="24"/>
                <w:u w:val="none"/>
                <w14:textFill>
                  <w14:solidFill>
                    <w14:schemeClr w14:val="tx1"/>
                  </w14:solidFill>
                </w14:textFill>
              </w:rPr>
            </w:pPr>
            <w:r>
              <w:rPr>
                <w:rFonts w:ascii="Times New Roman"/>
                <w:snapToGrid w:val="0"/>
                <w:color w:val="000000" w:themeColor="text1"/>
                <w:kern w:val="21"/>
                <w:sz w:val="24"/>
                <w:szCs w:val="24"/>
                <w:u w:val="none"/>
                <w14:textFill>
                  <w14:solidFill>
                    <w14:schemeClr w14:val="tx1"/>
                  </w14:solidFill>
                </w14:textFill>
              </w:rPr>
              <w:t>/</w:t>
            </w:r>
          </w:p>
        </w:tc>
        <w:tc>
          <w:tcPr>
            <w:tcW w:w="1501" w:type="dxa"/>
            <w:noWrap w:val="0"/>
            <w:vAlign w:val="center"/>
          </w:tcPr>
          <w:p w14:paraId="5EB5ED5B">
            <w:pPr>
              <w:keepNext w:val="0"/>
              <w:keepLines w:val="0"/>
              <w:widowControl/>
              <w:suppressLineNumbers w:val="0"/>
              <w:jc w:val="center"/>
              <w:textAlignment w:val="center"/>
              <w:rPr>
                <w:rFonts w:hint="default" w:ascii="Times New Roman" w:hAnsi="Times New Roman" w:eastAsia="宋体" w:cs="Times New Roman"/>
                <w:color w:val="000000" w:themeColor="text1"/>
                <w:kern w:val="0"/>
                <w:sz w:val="24"/>
                <w:szCs w:val="24"/>
                <w:u w:val="none"/>
                <w:lang w:val="en-US" w:eastAsia="zh-CN" w:bidi="ar"/>
                <w14:textFill>
                  <w14:solidFill>
                    <w14:schemeClr w14:val="tx1"/>
                  </w14:solidFill>
                </w14:textFill>
              </w:rPr>
            </w:pPr>
            <w:r>
              <w:rPr>
                <w:rFonts w:hint="eastAsia"/>
                <w:color w:val="000000" w:themeColor="text1"/>
                <w:sz w:val="24"/>
                <w:szCs w:val="24"/>
                <w:u w:val="none"/>
                <w:lang w:val="en-US" w:eastAsia="zh-CN"/>
                <w14:textFill>
                  <w14:solidFill>
                    <w14:schemeClr w14:val="tx1"/>
                  </w14:solidFill>
                </w14:textFill>
              </w:rPr>
              <w:t>3.3</w:t>
            </w: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t/a</w:t>
            </w:r>
          </w:p>
        </w:tc>
        <w:tc>
          <w:tcPr>
            <w:tcW w:w="1491" w:type="dxa"/>
            <w:noWrap w:val="0"/>
            <w:vAlign w:val="center"/>
          </w:tcPr>
          <w:p w14:paraId="337F89ED">
            <w:pPr>
              <w:keepNext w:val="0"/>
              <w:keepLines w:val="0"/>
              <w:pageBreakBefore w:val="0"/>
              <w:kinsoku/>
              <w:wordWrap/>
              <w:overflowPunct/>
              <w:topLinePunct w:val="0"/>
              <w:autoSpaceDE/>
              <w:autoSpaceDN/>
              <w:bidi w:val="0"/>
              <w:snapToGrid/>
              <w:spacing w:line="360" w:lineRule="auto"/>
              <w:jc w:val="center"/>
              <w:rPr>
                <w:rFonts w:cs="宋体"/>
                <w:color w:val="000000" w:themeColor="text1"/>
                <w:sz w:val="24"/>
                <w:szCs w:val="24"/>
                <w:u w:val="none"/>
                <w14:textFill>
                  <w14:solidFill>
                    <w14:schemeClr w14:val="tx1"/>
                  </w14:solidFill>
                </w14:textFill>
              </w:rPr>
            </w:pPr>
            <w:r>
              <w:rPr>
                <w:rFonts w:ascii="Times New Roman"/>
                <w:snapToGrid w:val="0"/>
                <w:color w:val="000000" w:themeColor="text1"/>
                <w:kern w:val="21"/>
                <w:sz w:val="24"/>
                <w:szCs w:val="24"/>
                <w:u w:val="none"/>
                <w14:textFill>
                  <w14:solidFill>
                    <w14:schemeClr w14:val="tx1"/>
                  </w14:solidFill>
                </w14:textFill>
              </w:rPr>
              <w:t>/</w:t>
            </w:r>
          </w:p>
        </w:tc>
        <w:tc>
          <w:tcPr>
            <w:tcW w:w="1842" w:type="dxa"/>
            <w:noWrap w:val="0"/>
            <w:vAlign w:val="center"/>
          </w:tcPr>
          <w:p w14:paraId="77B5F760">
            <w:pPr>
              <w:keepNext w:val="0"/>
              <w:keepLines w:val="0"/>
              <w:widowControl/>
              <w:suppressLineNumbers w:val="0"/>
              <w:jc w:val="center"/>
              <w:textAlignment w:val="center"/>
              <w:rPr>
                <w:color w:val="000000" w:themeColor="text1"/>
                <w:sz w:val="24"/>
                <w:szCs w:val="24"/>
                <w:u w:val="none"/>
                <w14:textFill>
                  <w14:solidFill>
                    <w14:schemeClr w14:val="tx1"/>
                  </w14:solidFill>
                </w14:textFill>
              </w:rPr>
            </w:pPr>
            <w:r>
              <w:rPr>
                <w:rFonts w:hint="eastAsia"/>
                <w:color w:val="000000" w:themeColor="text1"/>
                <w:sz w:val="24"/>
                <w:szCs w:val="24"/>
                <w:u w:val="none"/>
                <w:lang w:val="en-US" w:eastAsia="zh-CN"/>
                <w14:textFill>
                  <w14:solidFill>
                    <w14:schemeClr w14:val="tx1"/>
                  </w14:solidFill>
                </w14:textFill>
              </w:rPr>
              <w:t>3.3</w:t>
            </w: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t/a</w:t>
            </w:r>
          </w:p>
        </w:tc>
        <w:tc>
          <w:tcPr>
            <w:tcW w:w="1273" w:type="dxa"/>
            <w:noWrap w:val="0"/>
            <w:vAlign w:val="center"/>
          </w:tcPr>
          <w:p w14:paraId="2ED4DC6D">
            <w:pPr>
              <w:keepNext w:val="0"/>
              <w:keepLines w:val="0"/>
              <w:widowControl/>
              <w:suppressLineNumbers w:val="0"/>
              <w:jc w:val="center"/>
              <w:textAlignment w:val="center"/>
              <w:rPr>
                <w:rFonts w:hint="eastAsia" w:ascii="Times New Roman" w:hAnsi="Times New Roman" w:eastAsia="宋体" w:cs="Times New Roman"/>
                <w:color w:val="000000" w:themeColor="text1"/>
                <w:kern w:val="0"/>
                <w:sz w:val="24"/>
                <w:szCs w:val="24"/>
                <w:u w:val="none"/>
                <w:lang w:val="en-US" w:eastAsia="zh-CN" w:bidi="ar"/>
                <w14:textFill>
                  <w14:solidFill>
                    <w14:schemeClr w14:val="tx1"/>
                  </w14:solidFill>
                </w14:textFill>
              </w:rPr>
            </w:pPr>
            <w:r>
              <w:rPr>
                <w:rFonts w:hint="eastAsia"/>
                <w:color w:val="000000" w:themeColor="text1"/>
                <w:sz w:val="24"/>
                <w:szCs w:val="24"/>
                <w:u w:val="none"/>
                <w:lang w:val="en-US" w:eastAsia="zh-CN"/>
                <w14:textFill>
                  <w14:solidFill>
                    <w14:schemeClr w14:val="tx1"/>
                  </w14:solidFill>
                </w14:textFill>
              </w:rPr>
              <w:t>+3.3</w:t>
            </w: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t/a</w:t>
            </w:r>
          </w:p>
        </w:tc>
      </w:tr>
      <w:tr w14:paraId="5E5D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338" w:type="dxa"/>
            <w:vMerge w:val="continue"/>
            <w:noWrap w:val="0"/>
            <w:vAlign w:val="center"/>
          </w:tcPr>
          <w:p w14:paraId="545EE202">
            <w:pPr>
              <w:keepNext w:val="0"/>
              <w:keepLines w:val="0"/>
              <w:pageBreakBefore w:val="0"/>
              <w:kinsoku/>
              <w:wordWrap/>
              <w:overflowPunct/>
              <w:topLinePunct w:val="0"/>
              <w:autoSpaceDE/>
              <w:autoSpaceDN/>
              <w:bidi w:val="0"/>
              <w:snapToGrid/>
              <w:spacing w:line="360" w:lineRule="auto"/>
              <w:jc w:val="center"/>
              <w:rPr>
                <w:rFonts w:hint="eastAsia"/>
                <w:color w:val="000000"/>
                <w:sz w:val="24"/>
                <w:szCs w:val="24"/>
                <w:u w:val="none"/>
              </w:rPr>
            </w:pPr>
          </w:p>
        </w:tc>
        <w:tc>
          <w:tcPr>
            <w:tcW w:w="1638" w:type="dxa"/>
            <w:noWrap w:val="0"/>
            <w:vAlign w:val="center"/>
          </w:tcPr>
          <w:p w14:paraId="5B7FDCE1">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废包装袋</w:t>
            </w:r>
          </w:p>
        </w:tc>
        <w:tc>
          <w:tcPr>
            <w:tcW w:w="1491" w:type="dxa"/>
            <w:noWrap w:val="0"/>
            <w:vAlign w:val="center"/>
          </w:tcPr>
          <w:p w14:paraId="479F3798">
            <w:pPr>
              <w:keepNext w:val="0"/>
              <w:keepLines w:val="0"/>
              <w:pageBreakBefore w:val="0"/>
              <w:kinsoku/>
              <w:wordWrap/>
              <w:overflowPunct/>
              <w:topLinePunct w:val="0"/>
              <w:autoSpaceDE/>
              <w:autoSpaceDN/>
              <w:bidi w:val="0"/>
              <w:snapToGrid/>
              <w:spacing w:line="360" w:lineRule="auto"/>
              <w:jc w:val="center"/>
              <w:rPr>
                <w:rFonts w:hint="eastAsia"/>
                <w:color w:val="000000" w:themeColor="text1"/>
                <w:sz w:val="24"/>
                <w:szCs w:val="24"/>
                <w:u w:val="none"/>
                <w14:textFill>
                  <w14:solidFill>
                    <w14:schemeClr w14:val="tx1"/>
                  </w14:solidFill>
                </w14:textFill>
              </w:rPr>
            </w:pPr>
            <w:r>
              <w:rPr>
                <w:rFonts w:hint="eastAsia"/>
                <w:color w:val="000000" w:themeColor="text1"/>
                <w:kern w:val="1"/>
                <w:sz w:val="24"/>
                <w:szCs w:val="24"/>
                <w:u w:val="none"/>
                <w:lang w:val="en-US" w:eastAsia="zh-CN"/>
                <w14:textFill>
                  <w14:solidFill>
                    <w14:schemeClr w14:val="tx1"/>
                  </w14:solidFill>
                </w14:textFill>
              </w:rPr>
              <w:t>/</w:t>
            </w:r>
          </w:p>
        </w:tc>
        <w:tc>
          <w:tcPr>
            <w:tcW w:w="1485" w:type="dxa"/>
            <w:noWrap w:val="0"/>
            <w:vAlign w:val="center"/>
          </w:tcPr>
          <w:p w14:paraId="44A1DB7E">
            <w:pPr>
              <w:keepNext w:val="0"/>
              <w:keepLines w:val="0"/>
              <w:pageBreakBefore w:val="0"/>
              <w:kinsoku/>
              <w:wordWrap/>
              <w:overflowPunct/>
              <w:topLinePunct w:val="0"/>
              <w:autoSpaceDE/>
              <w:autoSpaceDN/>
              <w:bidi w:val="0"/>
              <w:snapToGrid/>
              <w:spacing w:line="360" w:lineRule="auto"/>
              <w:jc w:val="center"/>
              <w:rPr>
                <w:rFonts w:ascii="Times New Roman"/>
                <w:snapToGrid w:val="0"/>
                <w:color w:val="000000" w:themeColor="text1"/>
                <w:kern w:val="21"/>
                <w:sz w:val="24"/>
                <w:szCs w:val="24"/>
                <w:u w:val="none"/>
                <w14:textFill>
                  <w14:solidFill>
                    <w14:schemeClr w14:val="tx1"/>
                  </w14:solidFill>
                </w14:textFill>
              </w:rPr>
            </w:pPr>
            <w:r>
              <w:rPr>
                <w:rFonts w:hint="eastAsia"/>
                <w:color w:val="000000" w:themeColor="text1"/>
                <w:kern w:val="1"/>
                <w:sz w:val="24"/>
                <w:szCs w:val="24"/>
                <w:u w:val="none"/>
                <w:lang w:val="en-US" w:eastAsia="zh-CN"/>
                <w14:textFill>
                  <w14:solidFill>
                    <w14:schemeClr w14:val="tx1"/>
                  </w14:solidFill>
                </w14:textFill>
              </w:rPr>
              <w:t>/</w:t>
            </w:r>
          </w:p>
        </w:tc>
        <w:tc>
          <w:tcPr>
            <w:tcW w:w="1491" w:type="dxa"/>
            <w:noWrap w:val="0"/>
            <w:vAlign w:val="center"/>
          </w:tcPr>
          <w:p w14:paraId="67793D23">
            <w:pPr>
              <w:keepNext w:val="0"/>
              <w:keepLines w:val="0"/>
              <w:pageBreakBefore w:val="0"/>
              <w:kinsoku/>
              <w:wordWrap/>
              <w:overflowPunct/>
              <w:topLinePunct w:val="0"/>
              <w:autoSpaceDE/>
              <w:autoSpaceDN/>
              <w:bidi w:val="0"/>
              <w:snapToGrid/>
              <w:spacing w:line="360" w:lineRule="auto"/>
              <w:jc w:val="center"/>
              <w:rPr>
                <w:rFonts w:ascii="Times New Roman"/>
                <w:snapToGrid w:val="0"/>
                <w:color w:val="000000" w:themeColor="text1"/>
                <w:kern w:val="21"/>
                <w:sz w:val="24"/>
                <w:szCs w:val="24"/>
                <w:u w:val="none"/>
                <w14:textFill>
                  <w14:solidFill>
                    <w14:schemeClr w14:val="tx1"/>
                  </w14:solidFill>
                </w14:textFill>
              </w:rPr>
            </w:pPr>
            <w:r>
              <w:rPr>
                <w:rFonts w:hint="eastAsia"/>
                <w:color w:val="000000" w:themeColor="text1"/>
                <w:kern w:val="1"/>
                <w:sz w:val="24"/>
                <w:szCs w:val="24"/>
                <w:u w:val="none"/>
                <w:lang w:val="en-US" w:eastAsia="zh-CN"/>
                <w14:textFill>
                  <w14:solidFill>
                    <w14:schemeClr w14:val="tx1"/>
                  </w14:solidFill>
                </w14:textFill>
              </w:rPr>
              <w:t>/</w:t>
            </w:r>
          </w:p>
        </w:tc>
        <w:tc>
          <w:tcPr>
            <w:tcW w:w="1501" w:type="dxa"/>
            <w:noWrap w:val="0"/>
            <w:vAlign w:val="center"/>
          </w:tcPr>
          <w:p w14:paraId="2B2EFFE6">
            <w:pPr>
              <w:keepNext w:val="0"/>
              <w:keepLines w:val="0"/>
              <w:widowControl/>
              <w:suppressLineNumbers w:val="0"/>
              <w:jc w:val="center"/>
              <w:textAlignment w:val="center"/>
              <w:rPr>
                <w:rFonts w:hint="eastAsia" w:ascii="Times New Roman" w:hAnsi="Times New Roman" w:eastAsia="宋体" w:cs="Times New Roman"/>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5.18t/a</w:t>
            </w:r>
          </w:p>
        </w:tc>
        <w:tc>
          <w:tcPr>
            <w:tcW w:w="1491" w:type="dxa"/>
            <w:noWrap w:val="0"/>
            <w:vAlign w:val="center"/>
          </w:tcPr>
          <w:p w14:paraId="34452280">
            <w:pPr>
              <w:keepNext w:val="0"/>
              <w:keepLines w:val="0"/>
              <w:pageBreakBefore w:val="0"/>
              <w:kinsoku/>
              <w:wordWrap/>
              <w:overflowPunct/>
              <w:topLinePunct w:val="0"/>
              <w:autoSpaceDE/>
              <w:autoSpaceDN/>
              <w:bidi w:val="0"/>
              <w:snapToGrid/>
              <w:spacing w:line="360" w:lineRule="auto"/>
              <w:jc w:val="center"/>
              <w:rPr>
                <w:rFonts w:cs="宋体"/>
                <w:color w:val="000000" w:themeColor="text1"/>
                <w:sz w:val="24"/>
                <w:szCs w:val="24"/>
                <w:u w:val="none"/>
                <w14:textFill>
                  <w14:solidFill>
                    <w14:schemeClr w14:val="tx1"/>
                  </w14:solidFill>
                </w14:textFill>
              </w:rPr>
            </w:pPr>
            <w:r>
              <w:rPr>
                <w:rFonts w:hint="eastAsia"/>
                <w:color w:val="000000" w:themeColor="text1"/>
                <w:kern w:val="1"/>
                <w:sz w:val="24"/>
                <w:szCs w:val="24"/>
                <w:u w:val="none"/>
                <w:lang w:val="en-US" w:eastAsia="zh-CN"/>
                <w14:textFill>
                  <w14:solidFill>
                    <w14:schemeClr w14:val="tx1"/>
                  </w14:solidFill>
                </w14:textFill>
              </w:rPr>
              <w:t>/</w:t>
            </w:r>
          </w:p>
        </w:tc>
        <w:tc>
          <w:tcPr>
            <w:tcW w:w="1842" w:type="dxa"/>
            <w:noWrap w:val="0"/>
            <w:vAlign w:val="center"/>
          </w:tcPr>
          <w:p w14:paraId="00F227D3">
            <w:pPr>
              <w:keepNext w:val="0"/>
              <w:keepLines w:val="0"/>
              <w:widowControl/>
              <w:suppressLineNumbers w:val="0"/>
              <w:jc w:val="center"/>
              <w:textAlignment w:val="center"/>
              <w:rPr>
                <w:color w:val="000000" w:themeColor="text1"/>
                <w:sz w:val="24"/>
                <w:szCs w:val="24"/>
                <w:u w:val="none"/>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5.18t/a</w:t>
            </w:r>
          </w:p>
        </w:tc>
        <w:tc>
          <w:tcPr>
            <w:tcW w:w="1273" w:type="dxa"/>
            <w:noWrap w:val="0"/>
            <w:vAlign w:val="center"/>
          </w:tcPr>
          <w:p w14:paraId="50F64EFF">
            <w:pPr>
              <w:keepNext w:val="0"/>
              <w:keepLines w:val="0"/>
              <w:widowControl/>
              <w:suppressLineNumbers w:val="0"/>
              <w:jc w:val="center"/>
              <w:textAlignment w:val="center"/>
              <w:rPr>
                <w:rFonts w:hint="eastAsia" w:ascii="Times New Roman" w:hAnsi="Times New Roman" w:eastAsia="宋体" w:cs="Times New Roman"/>
                <w:color w:val="000000" w:themeColor="text1"/>
                <w:kern w:val="0"/>
                <w:sz w:val="24"/>
                <w:szCs w:val="24"/>
                <w:u w:val="none"/>
                <w:lang w:val="en-US" w:eastAsia="zh-CN" w:bidi="ar"/>
                <w14:textFill>
                  <w14:solidFill>
                    <w14:schemeClr w14:val="tx1"/>
                  </w14:solidFill>
                </w14:textFill>
              </w:rPr>
            </w:pPr>
            <w:r>
              <w:rPr>
                <w:rFonts w:hint="eastAsia" w:cs="Times New Roman"/>
                <w:i w:val="0"/>
                <w:iCs w:val="0"/>
                <w:color w:val="000000" w:themeColor="text1"/>
                <w:kern w:val="0"/>
                <w:sz w:val="24"/>
                <w:szCs w:val="24"/>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5.18t/a</w:t>
            </w:r>
          </w:p>
        </w:tc>
      </w:tr>
      <w:tr w14:paraId="0E85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338" w:type="dxa"/>
            <w:vMerge w:val="continue"/>
            <w:noWrap w:val="0"/>
            <w:vAlign w:val="center"/>
          </w:tcPr>
          <w:p w14:paraId="477C3018">
            <w:pPr>
              <w:keepNext w:val="0"/>
              <w:keepLines w:val="0"/>
              <w:pageBreakBefore w:val="0"/>
              <w:kinsoku/>
              <w:wordWrap/>
              <w:overflowPunct/>
              <w:topLinePunct w:val="0"/>
              <w:autoSpaceDE/>
              <w:autoSpaceDN/>
              <w:bidi w:val="0"/>
              <w:snapToGrid/>
              <w:spacing w:line="360" w:lineRule="auto"/>
              <w:jc w:val="center"/>
              <w:rPr>
                <w:rFonts w:hint="eastAsia"/>
                <w:color w:val="000000"/>
                <w:sz w:val="24"/>
                <w:szCs w:val="24"/>
                <w:u w:val="none"/>
              </w:rPr>
            </w:pPr>
          </w:p>
        </w:tc>
        <w:tc>
          <w:tcPr>
            <w:tcW w:w="1638" w:type="dxa"/>
            <w:noWrap w:val="0"/>
            <w:vAlign w:val="center"/>
          </w:tcPr>
          <w:p w14:paraId="3E50267A">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除尘器收集的粉尘</w:t>
            </w:r>
          </w:p>
        </w:tc>
        <w:tc>
          <w:tcPr>
            <w:tcW w:w="1491" w:type="dxa"/>
            <w:noWrap w:val="0"/>
            <w:vAlign w:val="center"/>
          </w:tcPr>
          <w:p w14:paraId="241E818C">
            <w:pPr>
              <w:keepNext w:val="0"/>
              <w:keepLines w:val="0"/>
              <w:pageBreakBefore w:val="0"/>
              <w:kinsoku/>
              <w:wordWrap/>
              <w:overflowPunct/>
              <w:topLinePunct w:val="0"/>
              <w:autoSpaceDE/>
              <w:autoSpaceDN/>
              <w:bidi w:val="0"/>
              <w:snapToGrid/>
              <w:spacing w:line="360" w:lineRule="auto"/>
              <w:jc w:val="center"/>
              <w:rPr>
                <w:color w:val="000000" w:themeColor="text1"/>
                <w:sz w:val="24"/>
                <w:szCs w:val="24"/>
                <w:u w:val="none"/>
                <w14:textFill>
                  <w14:solidFill>
                    <w14:schemeClr w14:val="tx1"/>
                  </w14:solidFill>
                </w14:textFill>
              </w:rPr>
            </w:pPr>
            <w:r>
              <w:rPr>
                <w:rFonts w:ascii="Times New Roman"/>
                <w:snapToGrid w:val="0"/>
                <w:color w:val="000000" w:themeColor="text1"/>
                <w:kern w:val="21"/>
                <w:sz w:val="24"/>
                <w:szCs w:val="24"/>
                <w:u w:val="none"/>
                <w14:textFill>
                  <w14:solidFill>
                    <w14:schemeClr w14:val="tx1"/>
                  </w14:solidFill>
                </w14:textFill>
              </w:rPr>
              <w:t>/</w:t>
            </w:r>
          </w:p>
        </w:tc>
        <w:tc>
          <w:tcPr>
            <w:tcW w:w="1485" w:type="dxa"/>
            <w:noWrap w:val="0"/>
            <w:vAlign w:val="center"/>
          </w:tcPr>
          <w:p w14:paraId="448439DA">
            <w:pPr>
              <w:keepNext w:val="0"/>
              <w:keepLines w:val="0"/>
              <w:pageBreakBefore w:val="0"/>
              <w:kinsoku/>
              <w:wordWrap/>
              <w:overflowPunct/>
              <w:topLinePunct w:val="0"/>
              <w:autoSpaceDE/>
              <w:autoSpaceDN/>
              <w:bidi w:val="0"/>
              <w:snapToGrid/>
              <w:spacing w:line="360" w:lineRule="auto"/>
              <w:jc w:val="center"/>
              <w:rPr>
                <w:rFonts w:ascii="Times New Roman"/>
                <w:snapToGrid w:val="0"/>
                <w:color w:val="000000" w:themeColor="text1"/>
                <w:kern w:val="21"/>
                <w:sz w:val="24"/>
                <w:szCs w:val="24"/>
                <w:u w:val="none"/>
                <w14:textFill>
                  <w14:solidFill>
                    <w14:schemeClr w14:val="tx1"/>
                  </w14:solidFill>
                </w14:textFill>
              </w:rPr>
            </w:pPr>
            <w:r>
              <w:rPr>
                <w:rFonts w:ascii="Times New Roman"/>
                <w:snapToGrid w:val="0"/>
                <w:color w:val="000000" w:themeColor="text1"/>
                <w:kern w:val="21"/>
                <w:sz w:val="24"/>
                <w:szCs w:val="24"/>
                <w:u w:val="none"/>
                <w14:textFill>
                  <w14:solidFill>
                    <w14:schemeClr w14:val="tx1"/>
                  </w14:solidFill>
                </w14:textFill>
              </w:rPr>
              <w:t>/</w:t>
            </w:r>
          </w:p>
        </w:tc>
        <w:tc>
          <w:tcPr>
            <w:tcW w:w="1491" w:type="dxa"/>
            <w:noWrap w:val="0"/>
            <w:vAlign w:val="center"/>
          </w:tcPr>
          <w:p w14:paraId="7D761FA8">
            <w:pPr>
              <w:keepNext w:val="0"/>
              <w:keepLines w:val="0"/>
              <w:pageBreakBefore w:val="0"/>
              <w:kinsoku/>
              <w:wordWrap/>
              <w:overflowPunct/>
              <w:topLinePunct w:val="0"/>
              <w:autoSpaceDE/>
              <w:autoSpaceDN/>
              <w:bidi w:val="0"/>
              <w:snapToGrid/>
              <w:spacing w:line="360" w:lineRule="auto"/>
              <w:jc w:val="center"/>
              <w:rPr>
                <w:rFonts w:ascii="Times New Roman"/>
                <w:snapToGrid w:val="0"/>
                <w:color w:val="000000" w:themeColor="text1"/>
                <w:kern w:val="21"/>
                <w:sz w:val="24"/>
                <w:szCs w:val="24"/>
                <w:u w:val="none"/>
                <w14:textFill>
                  <w14:solidFill>
                    <w14:schemeClr w14:val="tx1"/>
                  </w14:solidFill>
                </w14:textFill>
              </w:rPr>
            </w:pPr>
            <w:r>
              <w:rPr>
                <w:rFonts w:ascii="Times New Roman"/>
                <w:snapToGrid w:val="0"/>
                <w:color w:val="000000" w:themeColor="text1"/>
                <w:kern w:val="21"/>
                <w:sz w:val="24"/>
                <w:szCs w:val="24"/>
                <w:u w:val="none"/>
                <w14:textFill>
                  <w14:solidFill>
                    <w14:schemeClr w14:val="tx1"/>
                  </w14:solidFill>
                </w14:textFill>
              </w:rPr>
              <w:t>/</w:t>
            </w:r>
          </w:p>
        </w:tc>
        <w:tc>
          <w:tcPr>
            <w:tcW w:w="1501" w:type="dxa"/>
            <w:noWrap w:val="0"/>
            <w:vAlign w:val="center"/>
          </w:tcPr>
          <w:p w14:paraId="3AAC0B53">
            <w:pPr>
              <w:keepNext w:val="0"/>
              <w:keepLines w:val="0"/>
              <w:widowControl/>
              <w:suppressLineNumbers w:val="0"/>
              <w:jc w:val="center"/>
              <w:textAlignment w:val="center"/>
              <w:rPr>
                <w:rFonts w:hint="eastAsia" w:ascii="Times New Roman" w:hAnsi="Times New Roman" w:eastAsia="宋体" w:cs="Times New Roman"/>
                <w:color w:val="000000" w:themeColor="text1"/>
                <w:kern w:val="0"/>
                <w:sz w:val="24"/>
                <w:szCs w:val="24"/>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0.4312t/a</w:t>
            </w:r>
          </w:p>
        </w:tc>
        <w:tc>
          <w:tcPr>
            <w:tcW w:w="1491" w:type="dxa"/>
            <w:noWrap w:val="0"/>
            <w:vAlign w:val="center"/>
          </w:tcPr>
          <w:p w14:paraId="18ED844C">
            <w:pPr>
              <w:keepNext w:val="0"/>
              <w:keepLines w:val="0"/>
              <w:pageBreakBefore w:val="0"/>
              <w:kinsoku/>
              <w:wordWrap/>
              <w:overflowPunct/>
              <w:topLinePunct w:val="0"/>
              <w:autoSpaceDE/>
              <w:autoSpaceDN/>
              <w:bidi w:val="0"/>
              <w:snapToGrid/>
              <w:spacing w:line="360" w:lineRule="auto"/>
              <w:jc w:val="center"/>
              <w:rPr>
                <w:rFonts w:hint="eastAsia" w:eastAsia="宋体" w:cs="宋体"/>
                <w:color w:val="000000" w:themeColor="text1"/>
                <w:sz w:val="24"/>
                <w:szCs w:val="24"/>
                <w:u w:val="none"/>
                <w:lang w:val="en-US" w:eastAsia="zh-CN"/>
                <w14:textFill>
                  <w14:solidFill>
                    <w14:schemeClr w14:val="tx1"/>
                  </w14:solidFill>
                </w14:textFill>
              </w:rPr>
            </w:pPr>
            <w:r>
              <w:rPr>
                <w:rFonts w:ascii="Times New Roman"/>
                <w:snapToGrid w:val="0"/>
                <w:color w:val="000000" w:themeColor="text1"/>
                <w:kern w:val="21"/>
                <w:sz w:val="24"/>
                <w:szCs w:val="24"/>
                <w:u w:val="none"/>
                <w14:textFill>
                  <w14:solidFill>
                    <w14:schemeClr w14:val="tx1"/>
                  </w14:solidFill>
                </w14:textFill>
              </w:rPr>
              <w:t>/</w:t>
            </w:r>
          </w:p>
        </w:tc>
        <w:tc>
          <w:tcPr>
            <w:tcW w:w="1842" w:type="dxa"/>
            <w:noWrap w:val="0"/>
            <w:vAlign w:val="center"/>
          </w:tcPr>
          <w:p w14:paraId="112033C3">
            <w:pPr>
              <w:keepNext w:val="0"/>
              <w:keepLines w:val="0"/>
              <w:widowControl/>
              <w:suppressLineNumbers w:val="0"/>
              <w:jc w:val="center"/>
              <w:textAlignment w:val="center"/>
              <w:rPr>
                <w:color w:val="000000" w:themeColor="text1"/>
                <w:sz w:val="24"/>
                <w:szCs w:val="24"/>
                <w:u w:val="none"/>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0.4312t/a</w:t>
            </w:r>
          </w:p>
        </w:tc>
        <w:tc>
          <w:tcPr>
            <w:tcW w:w="1273" w:type="dxa"/>
            <w:noWrap w:val="0"/>
            <w:vAlign w:val="center"/>
          </w:tcPr>
          <w:p w14:paraId="50B9B6B9">
            <w:pPr>
              <w:keepNext w:val="0"/>
              <w:keepLines w:val="0"/>
              <w:widowControl/>
              <w:suppressLineNumbers w:val="0"/>
              <w:jc w:val="center"/>
              <w:textAlignment w:val="center"/>
              <w:rPr>
                <w:rFonts w:hint="eastAsia" w:ascii="Times New Roman" w:hAnsi="Times New Roman" w:eastAsia="宋体" w:cs="Times New Roman"/>
                <w:color w:val="000000" w:themeColor="text1"/>
                <w:kern w:val="0"/>
                <w:sz w:val="24"/>
                <w:szCs w:val="24"/>
                <w:u w:val="none"/>
                <w:lang w:val="en-US" w:eastAsia="zh-CN" w:bidi="ar"/>
                <w14:textFill>
                  <w14:solidFill>
                    <w14:schemeClr w14:val="tx1"/>
                  </w14:solidFill>
                </w14:textFill>
              </w:rPr>
            </w:pPr>
            <w:r>
              <w:rPr>
                <w:rFonts w:hint="eastAsia" w:cs="Times New Roman"/>
                <w:i w:val="0"/>
                <w:iCs w:val="0"/>
                <w:color w:val="000000" w:themeColor="text1"/>
                <w:kern w:val="0"/>
                <w:sz w:val="24"/>
                <w:szCs w:val="24"/>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0.4312t/a</w:t>
            </w:r>
          </w:p>
        </w:tc>
      </w:tr>
      <w:tr w14:paraId="7BE6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338" w:type="dxa"/>
            <w:vMerge w:val="restart"/>
            <w:noWrap w:val="0"/>
            <w:vAlign w:val="center"/>
          </w:tcPr>
          <w:p w14:paraId="2FFC7E72">
            <w:pPr>
              <w:keepNext w:val="0"/>
              <w:keepLines w:val="0"/>
              <w:pageBreakBefore w:val="0"/>
              <w:kinsoku/>
              <w:wordWrap/>
              <w:overflowPunct/>
              <w:topLinePunct w:val="0"/>
              <w:autoSpaceDE/>
              <w:autoSpaceDN/>
              <w:bidi w:val="0"/>
              <w:snapToGrid/>
              <w:spacing w:line="360" w:lineRule="auto"/>
              <w:jc w:val="center"/>
              <w:rPr>
                <w:rFonts w:hint="eastAsia"/>
                <w:color w:val="000000"/>
                <w:sz w:val="24"/>
                <w:szCs w:val="24"/>
                <w:u w:val="none"/>
              </w:rPr>
            </w:pPr>
            <w:r>
              <w:rPr>
                <w:rFonts w:hint="eastAsia"/>
                <w:color w:val="000000"/>
                <w:sz w:val="24"/>
                <w:szCs w:val="24"/>
                <w:u w:val="none"/>
              </w:rPr>
              <w:t>危险废物</w:t>
            </w:r>
          </w:p>
        </w:tc>
        <w:tc>
          <w:tcPr>
            <w:tcW w:w="1638" w:type="dxa"/>
            <w:noWrap w:val="0"/>
            <w:vAlign w:val="center"/>
          </w:tcPr>
          <w:p w14:paraId="5D49B89E">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废活性炭</w:t>
            </w:r>
          </w:p>
        </w:tc>
        <w:tc>
          <w:tcPr>
            <w:tcW w:w="1491" w:type="dxa"/>
            <w:noWrap w:val="0"/>
            <w:vAlign w:val="center"/>
          </w:tcPr>
          <w:p w14:paraId="5EA3994E">
            <w:pPr>
              <w:keepNext w:val="0"/>
              <w:keepLines w:val="0"/>
              <w:pageBreakBefore w:val="0"/>
              <w:kinsoku/>
              <w:wordWrap/>
              <w:overflowPunct/>
              <w:topLinePunct w:val="0"/>
              <w:autoSpaceDE/>
              <w:autoSpaceDN/>
              <w:bidi w:val="0"/>
              <w:snapToGrid/>
              <w:spacing w:line="360" w:lineRule="auto"/>
              <w:jc w:val="center"/>
              <w:rPr>
                <w:rFonts w:hint="eastAsia"/>
                <w:color w:val="000000" w:themeColor="text1"/>
                <w:sz w:val="24"/>
                <w:szCs w:val="24"/>
                <w:u w:val="none"/>
                <w14:textFill>
                  <w14:solidFill>
                    <w14:schemeClr w14:val="tx1"/>
                  </w14:solidFill>
                </w14:textFill>
              </w:rPr>
            </w:pPr>
            <w:r>
              <w:rPr>
                <w:rFonts w:hint="eastAsia"/>
                <w:color w:val="000000" w:themeColor="text1"/>
                <w:kern w:val="1"/>
                <w:sz w:val="24"/>
                <w:szCs w:val="24"/>
                <w:u w:val="none"/>
                <w:lang w:val="en-US" w:eastAsia="zh-CN"/>
                <w14:textFill>
                  <w14:solidFill>
                    <w14:schemeClr w14:val="tx1"/>
                  </w14:solidFill>
                </w14:textFill>
              </w:rPr>
              <w:t>/</w:t>
            </w:r>
          </w:p>
        </w:tc>
        <w:tc>
          <w:tcPr>
            <w:tcW w:w="1485" w:type="dxa"/>
            <w:noWrap w:val="0"/>
            <w:vAlign w:val="center"/>
          </w:tcPr>
          <w:p w14:paraId="4B31D0AE">
            <w:pPr>
              <w:keepNext w:val="0"/>
              <w:keepLines w:val="0"/>
              <w:pageBreakBefore w:val="0"/>
              <w:kinsoku/>
              <w:wordWrap/>
              <w:overflowPunct/>
              <w:topLinePunct w:val="0"/>
              <w:autoSpaceDE/>
              <w:autoSpaceDN/>
              <w:bidi w:val="0"/>
              <w:snapToGrid/>
              <w:spacing w:line="360" w:lineRule="auto"/>
              <w:jc w:val="center"/>
              <w:rPr>
                <w:rFonts w:ascii="Times New Roman"/>
                <w:snapToGrid w:val="0"/>
                <w:color w:val="000000" w:themeColor="text1"/>
                <w:kern w:val="21"/>
                <w:sz w:val="24"/>
                <w:szCs w:val="24"/>
                <w:u w:val="none"/>
                <w14:textFill>
                  <w14:solidFill>
                    <w14:schemeClr w14:val="tx1"/>
                  </w14:solidFill>
                </w14:textFill>
              </w:rPr>
            </w:pPr>
            <w:r>
              <w:rPr>
                <w:rFonts w:hint="eastAsia"/>
                <w:color w:val="000000" w:themeColor="text1"/>
                <w:kern w:val="1"/>
                <w:sz w:val="24"/>
                <w:szCs w:val="24"/>
                <w:u w:val="none"/>
                <w:lang w:val="en-US" w:eastAsia="zh-CN"/>
                <w14:textFill>
                  <w14:solidFill>
                    <w14:schemeClr w14:val="tx1"/>
                  </w14:solidFill>
                </w14:textFill>
              </w:rPr>
              <w:t>/</w:t>
            </w:r>
          </w:p>
        </w:tc>
        <w:tc>
          <w:tcPr>
            <w:tcW w:w="1491" w:type="dxa"/>
            <w:noWrap w:val="0"/>
            <w:vAlign w:val="center"/>
          </w:tcPr>
          <w:p w14:paraId="17157357">
            <w:pPr>
              <w:keepNext w:val="0"/>
              <w:keepLines w:val="0"/>
              <w:pageBreakBefore w:val="0"/>
              <w:kinsoku/>
              <w:wordWrap/>
              <w:overflowPunct/>
              <w:topLinePunct w:val="0"/>
              <w:autoSpaceDE/>
              <w:autoSpaceDN/>
              <w:bidi w:val="0"/>
              <w:snapToGrid/>
              <w:spacing w:line="360" w:lineRule="auto"/>
              <w:jc w:val="center"/>
              <w:rPr>
                <w:rFonts w:ascii="Times New Roman"/>
                <w:snapToGrid w:val="0"/>
                <w:color w:val="000000" w:themeColor="text1"/>
                <w:kern w:val="21"/>
                <w:sz w:val="24"/>
                <w:szCs w:val="24"/>
                <w:u w:val="none"/>
                <w14:textFill>
                  <w14:solidFill>
                    <w14:schemeClr w14:val="tx1"/>
                  </w14:solidFill>
                </w14:textFill>
              </w:rPr>
            </w:pPr>
            <w:r>
              <w:rPr>
                <w:rFonts w:hint="eastAsia"/>
                <w:color w:val="000000" w:themeColor="text1"/>
                <w:kern w:val="1"/>
                <w:sz w:val="24"/>
                <w:szCs w:val="24"/>
                <w:u w:val="none"/>
                <w:lang w:val="en-US" w:eastAsia="zh-CN"/>
                <w14:textFill>
                  <w14:solidFill>
                    <w14:schemeClr w14:val="tx1"/>
                  </w14:solidFill>
                </w14:textFill>
              </w:rPr>
              <w:t>/</w:t>
            </w:r>
          </w:p>
        </w:tc>
        <w:tc>
          <w:tcPr>
            <w:tcW w:w="1501" w:type="dxa"/>
            <w:noWrap w:val="0"/>
            <w:vAlign w:val="center"/>
          </w:tcPr>
          <w:p w14:paraId="4D5954CE">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Times New Roman" w:hAnsi="Times New Roman" w:eastAsia="宋体" w:cs="Times New Roman"/>
                <w:color w:val="000000" w:themeColor="text1"/>
                <w:kern w:val="0"/>
                <w:sz w:val="24"/>
                <w:szCs w:val="24"/>
                <w:u w:val="none"/>
                <w:lang w:val="en-US" w:eastAsia="zh-CN" w:bidi="ar"/>
                <w14:textFill>
                  <w14:solidFill>
                    <w14:schemeClr w14:val="tx1"/>
                  </w14:solidFill>
                </w14:textFill>
              </w:rPr>
            </w:pPr>
            <w:r>
              <w:rPr>
                <w:rFonts w:hint="eastAsia" w:cs="Times New Roman"/>
                <w:i w:val="0"/>
                <w:iCs w:val="0"/>
                <w:color w:val="000000" w:themeColor="text1"/>
                <w:kern w:val="0"/>
                <w:sz w:val="24"/>
                <w:szCs w:val="24"/>
                <w:u w:val="none"/>
                <w:lang w:val="en-US" w:eastAsia="zh-CN" w:bidi="ar"/>
                <w14:textFill>
                  <w14:solidFill>
                    <w14:schemeClr w14:val="tx1"/>
                  </w14:solidFill>
                </w14:textFill>
              </w:rPr>
              <w:t>1.67</w:t>
            </w: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t/a</w:t>
            </w:r>
          </w:p>
        </w:tc>
        <w:tc>
          <w:tcPr>
            <w:tcW w:w="1491" w:type="dxa"/>
            <w:noWrap w:val="0"/>
            <w:vAlign w:val="center"/>
          </w:tcPr>
          <w:p w14:paraId="428C4043">
            <w:pPr>
              <w:keepNext w:val="0"/>
              <w:keepLines w:val="0"/>
              <w:pageBreakBefore w:val="0"/>
              <w:kinsoku/>
              <w:wordWrap/>
              <w:overflowPunct/>
              <w:topLinePunct w:val="0"/>
              <w:autoSpaceDE/>
              <w:autoSpaceDN/>
              <w:bidi w:val="0"/>
              <w:snapToGrid/>
              <w:spacing w:line="360" w:lineRule="auto"/>
              <w:jc w:val="center"/>
              <w:rPr>
                <w:rFonts w:cs="宋体"/>
                <w:color w:val="000000" w:themeColor="text1"/>
                <w:sz w:val="24"/>
                <w:szCs w:val="24"/>
                <w:u w:val="none"/>
                <w14:textFill>
                  <w14:solidFill>
                    <w14:schemeClr w14:val="tx1"/>
                  </w14:solidFill>
                </w14:textFill>
              </w:rPr>
            </w:pPr>
            <w:r>
              <w:rPr>
                <w:rFonts w:hint="eastAsia"/>
                <w:color w:val="000000" w:themeColor="text1"/>
                <w:kern w:val="1"/>
                <w:sz w:val="24"/>
                <w:szCs w:val="24"/>
                <w:u w:val="none"/>
                <w:lang w:val="en-US" w:eastAsia="zh-CN"/>
                <w14:textFill>
                  <w14:solidFill>
                    <w14:schemeClr w14:val="tx1"/>
                  </w14:solidFill>
                </w14:textFill>
              </w:rPr>
              <w:t>/</w:t>
            </w:r>
          </w:p>
        </w:tc>
        <w:tc>
          <w:tcPr>
            <w:tcW w:w="1842" w:type="dxa"/>
            <w:noWrap w:val="0"/>
            <w:vAlign w:val="center"/>
          </w:tcPr>
          <w:p w14:paraId="74B42D9E">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color w:val="000000" w:themeColor="text1"/>
                <w:sz w:val="24"/>
                <w:szCs w:val="24"/>
                <w:u w:val="none"/>
                <w14:textFill>
                  <w14:solidFill>
                    <w14:schemeClr w14:val="tx1"/>
                  </w14:solidFill>
                </w14:textFill>
              </w:rPr>
            </w:pPr>
            <w:r>
              <w:rPr>
                <w:rFonts w:hint="eastAsia" w:cs="Times New Roman"/>
                <w:i w:val="0"/>
                <w:iCs w:val="0"/>
                <w:color w:val="000000" w:themeColor="text1"/>
                <w:kern w:val="0"/>
                <w:sz w:val="24"/>
                <w:szCs w:val="24"/>
                <w:u w:val="none"/>
                <w:lang w:val="en-US" w:eastAsia="zh-CN" w:bidi="ar"/>
                <w14:textFill>
                  <w14:solidFill>
                    <w14:schemeClr w14:val="tx1"/>
                  </w14:solidFill>
                </w14:textFill>
              </w:rPr>
              <w:t>1.67</w:t>
            </w: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t/a</w:t>
            </w:r>
          </w:p>
        </w:tc>
        <w:tc>
          <w:tcPr>
            <w:tcW w:w="1273" w:type="dxa"/>
            <w:noWrap w:val="0"/>
            <w:vAlign w:val="center"/>
          </w:tcPr>
          <w:p w14:paraId="4BD7AE9F">
            <w:pPr>
              <w:keepNext w:val="0"/>
              <w:keepLines w:val="0"/>
              <w:pageBreakBefore w:val="0"/>
              <w:widowControl/>
              <w:suppressLineNumbers w:val="0"/>
              <w:kinsoku/>
              <w:wordWrap/>
              <w:overflowPunct/>
              <w:topLinePunct w:val="0"/>
              <w:autoSpaceDE/>
              <w:autoSpaceDN/>
              <w:bidi w:val="0"/>
              <w:snapToGrid/>
              <w:spacing w:line="360" w:lineRule="auto"/>
              <w:jc w:val="center"/>
              <w:textAlignment w:val="center"/>
              <w:rPr>
                <w:rFonts w:hint="eastAsia" w:ascii="Times New Roman" w:hAnsi="Times New Roman" w:eastAsia="宋体" w:cs="Times New Roman"/>
                <w:color w:val="000000" w:themeColor="text1"/>
                <w:kern w:val="0"/>
                <w:sz w:val="24"/>
                <w:szCs w:val="24"/>
                <w:u w:val="none"/>
                <w:lang w:val="en-US" w:eastAsia="zh-CN" w:bidi="ar"/>
                <w14:textFill>
                  <w14:solidFill>
                    <w14:schemeClr w14:val="tx1"/>
                  </w14:solidFill>
                </w14:textFill>
              </w:rPr>
            </w:pPr>
            <w:r>
              <w:rPr>
                <w:rFonts w:hint="eastAsia" w:cs="Times New Roman"/>
                <w:i w:val="0"/>
                <w:iCs w:val="0"/>
                <w:color w:val="000000" w:themeColor="text1"/>
                <w:kern w:val="0"/>
                <w:sz w:val="24"/>
                <w:szCs w:val="24"/>
                <w:u w:val="none"/>
                <w:lang w:val="en-US" w:eastAsia="zh-CN" w:bidi="ar"/>
                <w14:textFill>
                  <w14:solidFill>
                    <w14:schemeClr w14:val="tx1"/>
                  </w14:solidFill>
                </w14:textFill>
              </w:rPr>
              <w:t>+1.67</w:t>
            </w: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t/a</w:t>
            </w:r>
          </w:p>
        </w:tc>
      </w:tr>
      <w:tr w14:paraId="6E80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338" w:type="dxa"/>
            <w:vMerge w:val="continue"/>
            <w:noWrap w:val="0"/>
            <w:vAlign w:val="center"/>
          </w:tcPr>
          <w:p w14:paraId="640FA884">
            <w:pPr>
              <w:keepNext w:val="0"/>
              <w:keepLines w:val="0"/>
              <w:pageBreakBefore w:val="0"/>
              <w:kinsoku/>
              <w:wordWrap/>
              <w:overflowPunct/>
              <w:topLinePunct w:val="0"/>
              <w:autoSpaceDE/>
              <w:autoSpaceDN/>
              <w:bidi w:val="0"/>
              <w:snapToGrid/>
              <w:spacing w:line="360" w:lineRule="auto"/>
              <w:jc w:val="center"/>
              <w:rPr>
                <w:rFonts w:hint="eastAsia"/>
                <w:color w:val="000000"/>
                <w:sz w:val="24"/>
                <w:szCs w:val="24"/>
                <w:u w:val="none"/>
              </w:rPr>
            </w:pPr>
          </w:p>
        </w:tc>
        <w:tc>
          <w:tcPr>
            <w:tcW w:w="1638" w:type="dxa"/>
            <w:noWrap w:val="0"/>
            <w:vAlign w:val="center"/>
          </w:tcPr>
          <w:p w14:paraId="320B9CE9">
            <w:pPr>
              <w:keepNext w:val="0"/>
              <w:keepLines w:val="0"/>
              <w:pageBreakBefore w:val="0"/>
              <w:kinsoku/>
              <w:wordWrap/>
              <w:overflowPunct/>
              <w:topLinePunct w:val="0"/>
              <w:autoSpaceDE/>
              <w:autoSpaceDN/>
              <w:bidi w:val="0"/>
              <w:snapToGrid/>
              <w:spacing w:line="360" w:lineRule="auto"/>
              <w:jc w:val="center"/>
              <w:rPr>
                <w:color w:val="000000" w:themeColor="text1"/>
                <w:kern w:val="0"/>
                <w:sz w:val="24"/>
                <w:szCs w:val="24"/>
                <w:u w:val="none"/>
                <w14:textFill>
                  <w14:solidFill>
                    <w14:schemeClr w14:val="tx1"/>
                  </w14:solidFill>
                </w14:textFill>
              </w:rPr>
            </w:pPr>
            <w:r>
              <w:rPr>
                <w:rFonts w:hint="eastAsia"/>
                <w:color w:val="000000" w:themeColor="text1"/>
                <w:sz w:val="24"/>
                <w:szCs w:val="24"/>
                <w:u w:val="none"/>
                <w:lang w:val="en-US" w:eastAsia="zh-CN"/>
                <w14:textFill>
                  <w14:solidFill>
                    <w14:schemeClr w14:val="tx1"/>
                  </w14:solidFill>
                </w14:textFill>
              </w:rPr>
              <w:t>废机油</w:t>
            </w:r>
          </w:p>
        </w:tc>
        <w:tc>
          <w:tcPr>
            <w:tcW w:w="1491" w:type="dxa"/>
            <w:noWrap w:val="0"/>
            <w:vAlign w:val="center"/>
          </w:tcPr>
          <w:p w14:paraId="70A9C934">
            <w:pPr>
              <w:keepNext w:val="0"/>
              <w:keepLines w:val="0"/>
              <w:pageBreakBefore w:val="0"/>
              <w:kinsoku/>
              <w:wordWrap/>
              <w:overflowPunct/>
              <w:topLinePunct w:val="0"/>
              <w:autoSpaceDE/>
              <w:autoSpaceDN/>
              <w:bidi w:val="0"/>
              <w:snapToGrid/>
              <w:spacing w:line="360" w:lineRule="auto"/>
              <w:jc w:val="center"/>
              <w:rPr>
                <w:rFonts w:hint="eastAsia"/>
                <w:color w:val="000000" w:themeColor="text1"/>
                <w:sz w:val="24"/>
                <w:szCs w:val="24"/>
                <w:u w:val="none"/>
                <w14:textFill>
                  <w14:solidFill>
                    <w14:schemeClr w14:val="tx1"/>
                  </w14:solidFill>
                </w14:textFill>
              </w:rPr>
            </w:pPr>
            <w:r>
              <w:rPr>
                <w:rFonts w:ascii="Times New Roman"/>
                <w:snapToGrid w:val="0"/>
                <w:color w:val="000000" w:themeColor="text1"/>
                <w:kern w:val="21"/>
                <w:sz w:val="24"/>
                <w:szCs w:val="24"/>
                <w:u w:val="none"/>
                <w14:textFill>
                  <w14:solidFill>
                    <w14:schemeClr w14:val="tx1"/>
                  </w14:solidFill>
                </w14:textFill>
              </w:rPr>
              <w:t>/</w:t>
            </w:r>
          </w:p>
        </w:tc>
        <w:tc>
          <w:tcPr>
            <w:tcW w:w="1485" w:type="dxa"/>
            <w:noWrap w:val="0"/>
            <w:vAlign w:val="center"/>
          </w:tcPr>
          <w:p w14:paraId="6D74DDA7">
            <w:pPr>
              <w:keepNext w:val="0"/>
              <w:keepLines w:val="0"/>
              <w:pageBreakBefore w:val="0"/>
              <w:kinsoku/>
              <w:wordWrap/>
              <w:overflowPunct/>
              <w:topLinePunct w:val="0"/>
              <w:autoSpaceDE/>
              <w:autoSpaceDN/>
              <w:bidi w:val="0"/>
              <w:snapToGrid/>
              <w:spacing w:line="360" w:lineRule="auto"/>
              <w:jc w:val="center"/>
              <w:rPr>
                <w:rFonts w:ascii="Times New Roman"/>
                <w:snapToGrid w:val="0"/>
                <w:color w:val="000000" w:themeColor="text1"/>
                <w:kern w:val="21"/>
                <w:sz w:val="24"/>
                <w:szCs w:val="24"/>
                <w:u w:val="none"/>
                <w14:textFill>
                  <w14:solidFill>
                    <w14:schemeClr w14:val="tx1"/>
                  </w14:solidFill>
                </w14:textFill>
              </w:rPr>
            </w:pPr>
            <w:r>
              <w:rPr>
                <w:rFonts w:ascii="Times New Roman"/>
                <w:snapToGrid w:val="0"/>
                <w:color w:val="000000" w:themeColor="text1"/>
                <w:kern w:val="21"/>
                <w:sz w:val="24"/>
                <w:szCs w:val="24"/>
                <w:u w:val="none"/>
                <w14:textFill>
                  <w14:solidFill>
                    <w14:schemeClr w14:val="tx1"/>
                  </w14:solidFill>
                </w14:textFill>
              </w:rPr>
              <w:t>/</w:t>
            </w:r>
          </w:p>
        </w:tc>
        <w:tc>
          <w:tcPr>
            <w:tcW w:w="1491" w:type="dxa"/>
            <w:noWrap w:val="0"/>
            <w:vAlign w:val="center"/>
          </w:tcPr>
          <w:p w14:paraId="77BC3108">
            <w:pPr>
              <w:keepNext w:val="0"/>
              <w:keepLines w:val="0"/>
              <w:pageBreakBefore w:val="0"/>
              <w:kinsoku/>
              <w:wordWrap/>
              <w:overflowPunct/>
              <w:topLinePunct w:val="0"/>
              <w:autoSpaceDE/>
              <w:autoSpaceDN/>
              <w:bidi w:val="0"/>
              <w:snapToGrid/>
              <w:spacing w:line="360" w:lineRule="auto"/>
              <w:jc w:val="center"/>
              <w:rPr>
                <w:rFonts w:ascii="Times New Roman"/>
                <w:snapToGrid w:val="0"/>
                <w:color w:val="000000" w:themeColor="text1"/>
                <w:kern w:val="21"/>
                <w:sz w:val="24"/>
                <w:szCs w:val="24"/>
                <w:u w:val="none"/>
                <w14:textFill>
                  <w14:solidFill>
                    <w14:schemeClr w14:val="tx1"/>
                  </w14:solidFill>
                </w14:textFill>
              </w:rPr>
            </w:pPr>
            <w:r>
              <w:rPr>
                <w:rFonts w:ascii="Times New Roman"/>
                <w:snapToGrid w:val="0"/>
                <w:color w:val="000000" w:themeColor="text1"/>
                <w:kern w:val="21"/>
                <w:sz w:val="24"/>
                <w:szCs w:val="24"/>
                <w:u w:val="none"/>
                <w14:textFill>
                  <w14:solidFill>
                    <w14:schemeClr w14:val="tx1"/>
                  </w14:solidFill>
                </w14:textFill>
              </w:rPr>
              <w:t>/</w:t>
            </w:r>
          </w:p>
        </w:tc>
        <w:tc>
          <w:tcPr>
            <w:tcW w:w="1501" w:type="dxa"/>
            <w:noWrap w:val="0"/>
            <w:vAlign w:val="center"/>
          </w:tcPr>
          <w:p w14:paraId="1D1B67EC">
            <w:pPr>
              <w:keepNext w:val="0"/>
              <w:keepLines w:val="0"/>
              <w:pageBreakBefore w:val="0"/>
              <w:kinsoku/>
              <w:wordWrap/>
              <w:overflowPunct/>
              <w:topLinePunct w:val="0"/>
              <w:autoSpaceDE/>
              <w:autoSpaceDN/>
              <w:bidi w:val="0"/>
              <w:snapToGrid/>
              <w:spacing w:line="360" w:lineRule="auto"/>
              <w:jc w:val="center"/>
              <w:rPr>
                <w:rFonts w:hint="eastAsia" w:ascii="Times New Roman" w:hAnsi="Times New Roman" w:eastAsia="宋体" w:cs="Times New Roman"/>
                <w:color w:val="000000" w:themeColor="text1"/>
                <w:kern w:val="0"/>
                <w:sz w:val="24"/>
                <w:szCs w:val="24"/>
                <w:u w:val="none"/>
                <w:lang w:val="en-US" w:eastAsia="zh-CN" w:bidi="ar"/>
                <w14:textFill>
                  <w14:solidFill>
                    <w14:schemeClr w14:val="tx1"/>
                  </w14:solidFill>
                </w14:textFill>
              </w:rPr>
            </w:pPr>
            <w:r>
              <w:rPr>
                <w:rFonts w:hint="eastAsia"/>
                <w:color w:val="000000" w:themeColor="text1"/>
                <w:sz w:val="24"/>
                <w:szCs w:val="24"/>
                <w:u w:val="none"/>
                <w14:textFill>
                  <w14:solidFill>
                    <w14:schemeClr w14:val="tx1"/>
                  </w14:solidFill>
                </w14:textFill>
              </w:rPr>
              <w:t>0.0</w:t>
            </w:r>
            <w:r>
              <w:rPr>
                <w:rFonts w:hint="eastAsia"/>
                <w:color w:val="000000" w:themeColor="text1"/>
                <w:sz w:val="24"/>
                <w:szCs w:val="24"/>
                <w:u w:val="none"/>
                <w:lang w:val="en-US" w:eastAsia="zh-CN"/>
                <w14:textFill>
                  <w14:solidFill>
                    <w14:schemeClr w14:val="tx1"/>
                  </w14:solidFill>
                </w14:textFill>
              </w:rPr>
              <w:t>1</w:t>
            </w: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t/a</w:t>
            </w:r>
          </w:p>
        </w:tc>
        <w:tc>
          <w:tcPr>
            <w:tcW w:w="1491" w:type="dxa"/>
            <w:noWrap w:val="0"/>
            <w:vAlign w:val="center"/>
          </w:tcPr>
          <w:p w14:paraId="55C4298D">
            <w:pPr>
              <w:keepNext w:val="0"/>
              <w:keepLines w:val="0"/>
              <w:pageBreakBefore w:val="0"/>
              <w:kinsoku/>
              <w:wordWrap/>
              <w:overflowPunct/>
              <w:topLinePunct w:val="0"/>
              <w:autoSpaceDE/>
              <w:autoSpaceDN/>
              <w:bidi w:val="0"/>
              <w:snapToGrid/>
              <w:spacing w:line="360" w:lineRule="auto"/>
              <w:jc w:val="center"/>
              <w:rPr>
                <w:rFonts w:cs="宋体"/>
                <w:color w:val="000000" w:themeColor="text1"/>
                <w:sz w:val="24"/>
                <w:szCs w:val="24"/>
                <w:u w:val="none"/>
                <w14:textFill>
                  <w14:solidFill>
                    <w14:schemeClr w14:val="tx1"/>
                  </w14:solidFill>
                </w14:textFill>
              </w:rPr>
            </w:pPr>
            <w:r>
              <w:rPr>
                <w:rFonts w:ascii="Times New Roman"/>
                <w:snapToGrid w:val="0"/>
                <w:color w:val="000000" w:themeColor="text1"/>
                <w:kern w:val="21"/>
                <w:sz w:val="24"/>
                <w:szCs w:val="24"/>
                <w:u w:val="none"/>
                <w14:textFill>
                  <w14:solidFill>
                    <w14:schemeClr w14:val="tx1"/>
                  </w14:solidFill>
                </w14:textFill>
              </w:rPr>
              <w:t>/</w:t>
            </w:r>
          </w:p>
        </w:tc>
        <w:tc>
          <w:tcPr>
            <w:tcW w:w="1842" w:type="dxa"/>
            <w:noWrap w:val="0"/>
            <w:vAlign w:val="center"/>
          </w:tcPr>
          <w:p w14:paraId="09385800">
            <w:pPr>
              <w:keepNext w:val="0"/>
              <w:keepLines w:val="0"/>
              <w:pageBreakBefore w:val="0"/>
              <w:kinsoku/>
              <w:wordWrap/>
              <w:overflowPunct/>
              <w:topLinePunct w:val="0"/>
              <w:autoSpaceDE/>
              <w:autoSpaceDN/>
              <w:bidi w:val="0"/>
              <w:snapToGrid/>
              <w:spacing w:line="360" w:lineRule="auto"/>
              <w:jc w:val="center"/>
              <w:rPr>
                <w:rFonts w:hint="eastAsia"/>
                <w:color w:val="000000" w:themeColor="text1"/>
                <w:sz w:val="24"/>
                <w:szCs w:val="24"/>
                <w:u w:val="none"/>
                <w14:textFill>
                  <w14:solidFill>
                    <w14:schemeClr w14:val="tx1"/>
                  </w14:solidFill>
                </w14:textFill>
              </w:rPr>
            </w:pPr>
            <w:r>
              <w:rPr>
                <w:rFonts w:hint="eastAsia"/>
                <w:color w:val="000000" w:themeColor="text1"/>
                <w:sz w:val="24"/>
                <w:szCs w:val="24"/>
                <w:u w:val="none"/>
                <w14:textFill>
                  <w14:solidFill>
                    <w14:schemeClr w14:val="tx1"/>
                  </w14:solidFill>
                </w14:textFill>
              </w:rPr>
              <w:t>0.0</w:t>
            </w:r>
            <w:r>
              <w:rPr>
                <w:rFonts w:hint="eastAsia"/>
                <w:color w:val="000000" w:themeColor="text1"/>
                <w:sz w:val="24"/>
                <w:szCs w:val="24"/>
                <w:u w:val="none"/>
                <w:lang w:val="en-US" w:eastAsia="zh-CN"/>
                <w14:textFill>
                  <w14:solidFill>
                    <w14:schemeClr w14:val="tx1"/>
                  </w14:solidFill>
                </w14:textFill>
              </w:rPr>
              <w:t>1</w:t>
            </w: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t/a</w:t>
            </w:r>
          </w:p>
        </w:tc>
        <w:tc>
          <w:tcPr>
            <w:tcW w:w="1273" w:type="dxa"/>
            <w:noWrap w:val="0"/>
            <w:vAlign w:val="center"/>
          </w:tcPr>
          <w:p w14:paraId="68179486">
            <w:pPr>
              <w:keepNext w:val="0"/>
              <w:keepLines w:val="0"/>
              <w:pageBreakBefore w:val="0"/>
              <w:kinsoku/>
              <w:wordWrap/>
              <w:overflowPunct/>
              <w:topLinePunct w:val="0"/>
              <w:autoSpaceDE/>
              <w:autoSpaceDN/>
              <w:bidi w:val="0"/>
              <w:snapToGrid/>
              <w:spacing w:line="360" w:lineRule="auto"/>
              <w:jc w:val="center"/>
              <w:rPr>
                <w:rFonts w:hint="eastAsia" w:ascii="Times New Roman" w:hAnsi="Times New Roman" w:eastAsia="宋体" w:cs="Times New Roman"/>
                <w:color w:val="000000" w:themeColor="text1"/>
                <w:kern w:val="0"/>
                <w:sz w:val="24"/>
                <w:szCs w:val="24"/>
                <w:u w:val="none"/>
                <w:lang w:val="en-US" w:eastAsia="zh-CN" w:bidi="ar"/>
                <w14:textFill>
                  <w14:solidFill>
                    <w14:schemeClr w14:val="tx1"/>
                  </w14:solidFill>
                </w14:textFill>
              </w:rPr>
            </w:pPr>
            <w:r>
              <w:rPr>
                <w:rFonts w:hint="eastAsia"/>
                <w:color w:val="000000" w:themeColor="text1"/>
                <w:sz w:val="24"/>
                <w:szCs w:val="24"/>
                <w:u w:val="none"/>
                <w:lang w:val="en-US" w:eastAsia="zh-CN"/>
                <w14:textFill>
                  <w14:solidFill>
                    <w14:schemeClr w14:val="tx1"/>
                  </w14:solidFill>
                </w14:textFill>
              </w:rPr>
              <w:t>+</w:t>
            </w:r>
            <w:r>
              <w:rPr>
                <w:rFonts w:hint="eastAsia"/>
                <w:color w:val="000000" w:themeColor="text1"/>
                <w:sz w:val="24"/>
                <w:szCs w:val="24"/>
                <w:u w:val="none"/>
                <w14:textFill>
                  <w14:solidFill>
                    <w14:schemeClr w14:val="tx1"/>
                  </w14:solidFill>
                </w14:textFill>
              </w:rPr>
              <w:t>0.0</w:t>
            </w:r>
            <w:r>
              <w:rPr>
                <w:rFonts w:hint="eastAsia"/>
                <w:color w:val="000000" w:themeColor="text1"/>
                <w:sz w:val="24"/>
                <w:szCs w:val="24"/>
                <w:u w:val="none"/>
                <w:lang w:val="en-US" w:eastAsia="zh-CN"/>
                <w14:textFill>
                  <w14:solidFill>
                    <w14:schemeClr w14:val="tx1"/>
                  </w14:solidFill>
                </w14:textFill>
              </w:rPr>
              <w:t>1</w:t>
            </w: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t/a</w:t>
            </w:r>
          </w:p>
        </w:tc>
      </w:tr>
      <w:tr w14:paraId="5B29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338" w:type="dxa"/>
            <w:vMerge w:val="continue"/>
            <w:noWrap w:val="0"/>
            <w:vAlign w:val="center"/>
          </w:tcPr>
          <w:p w14:paraId="237EF85D">
            <w:pPr>
              <w:keepNext w:val="0"/>
              <w:keepLines w:val="0"/>
              <w:pageBreakBefore w:val="0"/>
              <w:kinsoku/>
              <w:wordWrap/>
              <w:overflowPunct/>
              <w:topLinePunct w:val="0"/>
              <w:autoSpaceDE/>
              <w:autoSpaceDN/>
              <w:bidi w:val="0"/>
              <w:snapToGrid/>
              <w:spacing w:line="360" w:lineRule="auto"/>
              <w:jc w:val="center"/>
              <w:rPr>
                <w:rFonts w:hint="eastAsia"/>
                <w:color w:val="000000"/>
                <w:sz w:val="24"/>
                <w:szCs w:val="24"/>
                <w:u w:val="none"/>
              </w:rPr>
            </w:pPr>
          </w:p>
        </w:tc>
        <w:tc>
          <w:tcPr>
            <w:tcW w:w="1638" w:type="dxa"/>
            <w:noWrap w:val="0"/>
            <w:vAlign w:val="center"/>
          </w:tcPr>
          <w:p w14:paraId="1BD90522">
            <w:pPr>
              <w:keepNext w:val="0"/>
              <w:keepLines w:val="0"/>
              <w:pageBreakBefore w:val="0"/>
              <w:kinsoku/>
              <w:wordWrap/>
              <w:overflowPunct/>
              <w:topLinePunct w:val="0"/>
              <w:autoSpaceDE/>
              <w:autoSpaceDN/>
              <w:bidi w:val="0"/>
              <w:snapToGrid/>
              <w:spacing w:line="360" w:lineRule="auto"/>
              <w:jc w:val="center"/>
              <w:rPr>
                <w:color w:val="000000" w:themeColor="text1"/>
                <w:kern w:val="0"/>
                <w:sz w:val="24"/>
                <w:szCs w:val="24"/>
                <w:u w:val="none"/>
                <w14:textFill>
                  <w14:solidFill>
                    <w14:schemeClr w14:val="tx1"/>
                  </w14:solidFill>
                </w14:textFill>
              </w:rPr>
            </w:pPr>
            <w:r>
              <w:rPr>
                <w:rFonts w:hint="eastAsia"/>
                <w:color w:val="000000" w:themeColor="text1"/>
                <w:sz w:val="24"/>
                <w:szCs w:val="24"/>
                <w:u w:val="none"/>
                <w:lang w:val="en-US" w:eastAsia="zh-CN"/>
                <w14:textFill>
                  <w14:solidFill>
                    <w14:schemeClr w14:val="tx1"/>
                  </w14:solidFill>
                </w14:textFill>
              </w:rPr>
              <w:t>废液压油</w:t>
            </w:r>
          </w:p>
        </w:tc>
        <w:tc>
          <w:tcPr>
            <w:tcW w:w="1491" w:type="dxa"/>
            <w:noWrap w:val="0"/>
            <w:vAlign w:val="center"/>
          </w:tcPr>
          <w:p w14:paraId="4D40A303">
            <w:pPr>
              <w:keepNext w:val="0"/>
              <w:keepLines w:val="0"/>
              <w:pageBreakBefore w:val="0"/>
              <w:kinsoku/>
              <w:wordWrap/>
              <w:overflowPunct/>
              <w:topLinePunct w:val="0"/>
              <w:autoSpaceDE/>
              <w:autoSpaceDN/>
              <w:bidi w:val="0"/>
              <w:snapToGrid/>
              <w:spacing w:line="360" w:lineRule="auto"/>
              <w:jc w:val="center"/>
              <w:rPr>
                <w:rFonts w:hint="eastAsia"/>
                <w:color w:val="000000" w:themeColor="text1"/>
                <w:sz w:val="24"/>
                <w:szCs w:val="24"/>
                <w:u w:val="none"/>
                <w14:textFill>
                  <w14:solidFill>
                    <w14:schemeClr w14:val="tx1"/>
                  </w14:solidFill>
                </w14:textFill>
              </w:rPr>
            </w:pPr>
            <w:r>
              <w:rPr>
                <w:rFonts w:hint="eastAsia"/>
                <w:color w:val="000000" w:themeColor="text1"/>
                <w:kern w:val="1"/>
                <w:sz w:val="24"/>
                <w:szCs w:val="24"/>
                <w:u w:val="none"/>
                <w:lang w:val="en-US" w:eastAsia="zh-CN"/>
                <w14:textFill>
                  <w14:solidFill>
                    <w14:schemeClr w14:val="tx1"/>
                  </w14:solidFill>
                </w14:textFill>
              </w:rPr>
              <w:t>/</w:t>
            </w:r>
          </w:p>
        </w:tc>
        <w:tc>
          <w:tcPr>
            <w:tcW w:w="1485" w:type="dxa"/>
            <w:noWrap w:val="0"/>
            <w:vAlign w:val="center"/>
          </w:tcPr>
          <w:p w14:paraId="708A27DE">
            <w:pPr>
              <w:keepNext w:val="0"/>
              <w:keepLines w:val="0"/>
              <w:pageBreakBefore w:val="0"/>
              <w:kinsoku/>
              <w:wordWrap/>
              <w:overflowPunct/>
              <w:topLinePunct w:val="0"/>
              <w:autoSpaceDE/>
              <w:autoSpaceDN/>
              <w:bidi w:val="0"/>
              <w:snapToGrid/>
              <w:spacing w:line="360" w:lineRule="auto"/>
              <w:jc w:val="center"/>
              <w:rPr>
                <w:rFonts w:ascii="Times New Roman"/>
                <w:snapToGrid w:val="0"/>
                <w:color w:val="000000" w:themeColor="text1"/>
                <w:kern w:val="21"/>
                <w:sz w:val="24"/>
                <w:szCs w:val="24"/>
                <w:u w:val="none"/>
                <w14:textFill>
                  <w14:solidFill>
                    <w14:schemeClr w14:val="tx1"/>
                  </w14:solidFill>
                </w14:textFill>
              </w:rPr>
            </w:pPr>
            <w:r>
              <w:rPr>
                <w:rFonts w:hint="eastAsia"/>
                <w:color w:val="000000" w:themeColor="text1"/>
                <w:kern w:val="1"/>
                <w:sz w:val="24"/>
                <w:szCs w:val="24"/>
                <w:u w:val="none"/>
                <w:lang w:val="en-US" w:eastAsia="zh-CN"/>
                <w14:textFill>
                  <w14:solidFill>
                    <w14:schemeClr w14:val="tx1"/>
                  </w14:solidFill>
                </w14:textFill>
              </w:rPr>
              <w:t>/</w:t>
            </w:r>
          </w:p>
        </w:tc>
        <w:tc>
          <w:tcPr>
            <w:tcW w:w="1491" w:type="dxa"/>
            <w:noWrap w:val="0"/>
            <w:vAlign w:val="center"/>
          </w:tcPr>
          <w:p w14:paraId="5A712D90">
            <w:pPr>
              <w:keepNext w:val="0"/>
              <w:keepLines w:val="0"/>
              <w:pageBreakBefore w:val="0"/>
              <w:kinsoku/>
              <w:wordWrap/>
              <w:overflowPunct/>
              <w:topLinePunct w:val="0"/>
              <w:autoSpaceDE/>
              <w:autoSpaceDN/>
              <w:bidi w:val="0"/>
              <w:snapToGrid/>
              <w:spacing w:line="360" w:lineRule="auto"/>
              <w:jc w:val="center"/>
              <w:rPr>
                <w:rFonts w:ascii="Times New Roman"/>
                <w:snapToGrid w:val="0"/>
                <w:color w:val="000000" w:themeColor="text1"/>
                <w:kern w:val="21"/>
                <w:sz w:val="24"/>
                <w:szCs w:val="24"/>
                <w:u w:val="none"/>
                <w14:textFill>
                  <w14:solidFill>
                    <w14:schemeClr w14:val="tx1"/>
                  </w14:solidFill>
                </w14:textFill>
              </w:rPr>
            </w:pPr>
            <w:r>
              <w:rPr>
                <w:rFonts w:hint="eastAsia"/>
                <w:color w:val="000000" w:themeColor="text1"/>
                <w:kern w:val="1"/>
                <w:sz w:val="24"/>
                <w:szCs w:val="24"/>
                <w:u w:val="none"/>
                <w:lang w:val="en-US" w:eastAsia="zh-CN"/>
                <w14:textFill>
                  <w14:solidFill>
                    <w14:schemeClr w14:val="tx1"/>
                  </w14:solidFill>
                </w14:textFill>
              </w:rPr>
              <w:t>/</w:t>
            </w:r>
          </w:p>
        </w:tc>
        <w:tc>
          <w:tcPr>
            <w:tcW w:w="1501" w:type="dxa"/>
            <w:noWrap w:val="0"/>
            <w:vAlign w:val="center"/>
          </w:tcPr>
          <w:p w14:paraId="1417A841">
            <w:pPr>
              <w:keepNext w:val="0"/>
              <w:keepLines w:val="0"/>
              <w:pageBreakBefore w:val="0"/>
              <w:kinsoku/>
              <w:wordWrap/>
              <w:overflowPunct/>
              <w:topLinePunct w:val="0"/>
              <w:autoSpaceDE/>
              <w:autoSpaceDN/>
              <w:bidi w:val="0"/>
              <w:snapToGrid/>
              <w:spacing w:line="360" w:lineRule="auto"/>
              <w:jc w:val="center"/>
              <w:rPr>
                <w:rFonts w:hint="eastAsia" w:ascii="Times New Roman" w:hAnsi="Times New Roman" w:eastAsia="宋体" w:cs="Times New Roman"/>
                <w:color w:val="000000" w:themeColor="text1"/>
                <w:kern w:val="0"/>
                <w:sz w:val="24"/>
                <w:szCs w:val="24"/>
                <w:u w:val="none"/>
                <w:lang w:val="en-US" w:eastAsia="zh-CN" w:bidi="ar"/>
                <w14:textFill>
                  <w14:solidFill>
                    <w14:schemeClr w14:val="tx1"/>
                  </w14:solidFill>
                </w14:textFill>
              </w:rPr>
            </w:pPr>
            <w:r>
              <w:rPr>
                <w:rFonts w:hint="eastAsia"/>
                <w:color w:val="000000" w:themeColor="text1"/>
                <w:sz w:val="24"/>
                <w:szCs w:val="24"/>
                <w:u w:val="none"/>
                <w:lang w:val="en-US" w:eastAsia="zh-CN"/>
                <w14:textFill>
                  <w14:solidFill>
                    <w14:schemeClr w14:val="tx1"/>
                  </w14:solidFill>
                </w14:textFill>
              </w:rPr>
              <w:t>0</w:t>
            </w: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t/a</w:t>
            </w:r>
          </w:p>
        </w:tc>
        <w:tc>
          <w:tcPr>
            <w:tcW w:w="1491" w:type="dxa"/>
            <w:noWrap w:val="0"/>
            <w:vAlign w:val="center"/>
          </w:tcPr>
          <w:p w14:paraId="3442C1CA">
            <w:pPr>
              <w:keepNext w:val="0"/>
              <w:keepLines w:val="0"/>
              <w:pageBreakBefore w:val="0"/>
              <w:kinsoku/>
              <w:wordWrap/>
              <w:overflowPunct/>
              <w:topLinePunct w:val="0"/>
              <w:autoSpaceDE/>
              <w:autoSpaceDN/>
              <w:bidi w:val="0"/>
              <w:snapToGrid/>
              <w:spacing w:line="360" w:lineRule="auto"/>
              <w:jc w:val="center"/>
              <w:rPr>
                <w:rFonts w:cs="宋体"/>
                <w:color w:val="000000" w:themeColor="text1"/>
                <w:sz w:val="24"/>
                <w:szCs w:val="24"/>
                <w:u w:val="none"/>
                <w14:textFill>
                  <w14:solidFill>
                    <w14:schemeClr w14:val="tx1"/>
                  </w14:solidFill>
                </w14:textFill>
              </w:rPr>
            </w:pPr>
            <w:r>
              <w:rPr>
                <w:rFonts w:hint="eastAsia"/>
                <w:color w:val="000000" w:themeColor="text1"/>
                <w:kern w:val="1"/>
                <w:sz w:val="24"/>
                <w:szCs w:val="24"/>
                <w:u w:val="none"/>
                <w:lang w:val="en-US" w:eastAsia="zh-CN"/>
                <w14:textFill>
                  <w14:solidFill>
                    <w14:schemeClr w14:val="tx1"/>
                  </w14:solidFill>
                </w14:textFill>
              </w:rPr>
              <w:t>/</w:t>
            </w:r>
          </w:p>
        </w:tc>
        <w:tc>
          <w:tcPr>
            <w:tcW w:w="1842" w:type="dxa"/>
            <w:noWrap w:val="0"/>
            <w:vAlign w:val="center"/>
          </w:tcPr>
          <w:p w14:paraId="59E1D7B3">
            <w:pPr>
              <w:keepNext w:val="0"/>
              <w:keepLines w:val="0"/>
              <w:pageBreakBefore w:val="0"/>
              <w:kinsoku/>
              <w:wordWrap/>
              <w:overflowPunct/>
              <w:topLinePunct w:val="0"/>
              <w:autoSpaceDE/>
              <w:autoSpaceDN/>
              <w:bidi w:val="0"/>
              <w:snapToGrid/>
              <w:spacing w:line="360" w:lineRule="auto"/>
              <w:jc w:val="center"/>
              <w:rPr>
                <w:color w:val="000000" w:themeColor="text1"/>
                <w:sz w:val="24"/>
                <w:szCs w:val="24"/>
                <w:u w:val="none"/>
                <w14:textFill>
                  <w14:solidFill>
                    <w14:schemeClr w14:val="tx1"/>
                  </w14:solidFill>
                </w14:textFill>
              </w:rPr>
            </w:pPr>
            <w:r>
              <w:rPr>
                <w:rFonts w:hint="eastAsia"/>
                <w:color w:val="000000" w:themeColor="text1"/>
                <w:sz w:val="24"/>
                <w:szCs w:val="24"/>
                <w:u w:val="none"/>
                <w:lang w:val="en-US" w:eastAsia="zh-CN"/>
                <w14:textFill>
                  <w14:solidFill>
                    <w14:schemeClr w14:val="tx1"/>
                  </w14:solidFill>
                </w14:textFill>
              </w:rPr>
              <w:t>0</w:t>
            </w: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t/a</w:t>
            </w:r>
          </w:p>
        </w:tc>
        <w:tc>
          <w:tcPr>
            <w:tcW w:w="1273" w:type="dxa"/>
            <w:noWrap w:val="0"/>
            <w:vAlign w:val="center"/>
          </w:tcPr>
          <w:p w14:paraId="1794A8CF">
            <w:pPr>
              <w:keepNext w:val="0"/>
              <w:keepLines w:val="0"/>
              <w:pageBreakBefore w:val="0"/>
              <w:kinsoku/>
              <w:wordWrap/>
              <w:overflowPunct/>
              <w:topLinePunct w:val="0"/>
              <w:autoSpaceDE/>
              <w:autoSpaceDN/>
              <w:bidi w:val="0"/>
              <w:snapToGrid/>
              <w:spacing w:line="360" w:lineRule="auto"/>
              <w:jc w:val="center"/>
              <w:rPr>
                <w:rFonts w:hint="default" w:ascii="Times New Roman" w:hAnsi="Times New Roman" w:eastAsia="宋体" w:cs="Times New Roman"/>
                <w:color w:val="000000" w:themeColor="text1"/>
                <w:kern w:val="0"/>
                <w:sz w:val="24"/>
                <w:szCs w:val="24"/>
                <w:u w:val="none"/>
                <w:lang w:val="en-US" w:eastAsia="zh-CN" w:bidi="ar"/>
                <w14:textFill>
                  <w14:solidFill>
                    <w14:schemeClr w14:val="tx1"/>
                  </w14:solidFill>
                </w14:textFill>
              </w:rPr>
            </w:pPr>
            <w:r>
              <w:rPr>
                <w:rFonts w:hint="eastAsia"/>
                <w:color w:val="000000" w:themeColor="text1"/>
                <w:sz w:val="24"/>
                <w:szCs w:val="24"/>
                <w:u w:val="none"/>
                <w:lang w:val="en-US" w:eastAsia="zh-CN"/>
                <w14:textFill>
                  <w14:solidFill>
                    <w14:schemeClr w14:val="tx1"/>
                  </w14:solidFill>
                </w14:textFill>
              </w:rPr>
              <w:t>+0</w:t>
            </w: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t/a</w:t>
            </w:r>
          </w:p>
        </w:tc>
      </w:tr>
      <w:tr w14:paraId="038C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338" w:type="dxa"/>
            <w:vMerge w:val="continue"/>
            <w:noWrap w:val="0"/>
            <w:vAlign w:val="center"/>
          </w:tcPr>
          <w:p w14:paraId="0D7F0A4B">
            <w:pPr>
              <w:keepNext w:val="0"/>
              <w:keepLines w:val="0"/>
              <w:pageBreakBefore w:val="0"/>
              <w:kinsoku/>
              <w:wordWrap/>
              <w:overflowPunct/>
              <w:topLinePunct w:val="0"/>
              <w:autoSpaceDE/>
              <w:autoSpaceDN/>
              <w:bidi w:val="0"/>
              <w:snapToGrid/>
              <w:spacing w:line="360" w:lineRule="auto"/>
              <w:jc w:val="center"/>
              <w:rPr>
                <w:rFonts w:hint="eastAsia"/>
                <w:color w:val="000000"/>
                <w:sz w:val="24"/>
                <w:szCs w:val="24"/>
                <w:u w:val="none"/>
              </w:rPr>
            </w:pPr>
          </w:p>
        </w:tc>
        <w:tc>
          <w:tcPr>
            <w:tcW w:w="1638" w:type="dxa"/>
            <w:noWrap w:val="0"/>
            <w:vAlign w:val="center"/>
          </w:tcPr>
          <w:p w14:paraId="55D2B315">
            <w:pPr>
              <w:keepNext w:val="0"/>
              <w:keepLines w:val="0"/>
              <w:pageBreakBefore w:val="0"/>
              <w:kinsoku/>
              <w:wordWrap/>
              <w:overflowPunct/>
              <w:topLinePunct w:val="0"/>
              <w:autoSpaceDE/>
              <w:autoSpaceDN/>
              <w:bidi w:val="0"/>
              <w:snapToGrid/>
              <w:spacing w:line="360" w:lineRule="auto"/>
              <w:jc w:val="center"/>
              <w:rPr>
                <w:color w:val="000000" w:themeColor="text1"/>
                <w:sz w:val="24"/>
                <w:szCs w:val="24"/>
                <w:u w:val="none"/>
                <w14:textFill>
                  <w14:solidFill>
                    <w14:schemeClr w14:val="tx1"/>
                  </w14:solidFill>
                </w14:textFill>
              </w:rPr>
            </w:pPr>
            <w:r>
              <w:rPr>
                <w:rFonts w:hint="eastAsia"/>
                <w:color w:val="000000" w:themeColor="text1"/>
                <w:sz w:val="24"/>
                <w:szCs w:val="24"/>
                <w:u w:val="none"/>
                <w:lang w:val="en-US" w:eastAsia="zh-CN"/>
                <w14:textFill>
                  <w14:solidFill>
                    <w14:schemeClr w14:val="tx1"/>
                  </w14:solidFill>
                </w14:textFill>
              </w:rPr>
              <w:t>含油废抹布</w:t>
            </w:r>
          </w:p>
        </w:tc>
        <w:tc>
          <w:tcPr>
            <w:tcW w:w="1491" w:type="dxa"/>
            <w:noWrap w:val="0"/>
            <w:vAlign w:val="center"/>
          </w:tcPr>
          <w:p w14:paraId="016E5145">
            <w:pPr>
              <w:keepNext w:val="0"/>
              <w:keepLines w:val="0"/>
              <w:pageBreakBefore w:val="0"/>
              <w:kinsoku/>
              <w:wordWrap/>
              <w:overflowPunct/>
              <w:topLinePunct w:val="0"/>
              <w:autoSpaceDE/>
              <w:autoSpaceDN/>
              <w:bidi w:val="0"/>
              <w:snapToGrid/>
              <w:spacing w:line="360" w:lineRule="auto"/>
              <w:jc w:val="center"/>
              <w:rPr>
                <w:color w:val="000000" w:themeColor="text1"/>
                <w:sz w:val="24"/>
                <w:szCs w:val="24"/>
                <w:u w:val="none"/>
                <w14:textFill>
                  <w14:solidFill>
                    <w14:schemeClr w14:val="tx1"/>
                  </w14:solidFill>
                </w14:textFill>
              </w:rPr>
            </w:pPr>
            <w:r>
              <w:rPr>
                <w:rFonts w:ascii="Times New Roman"/>
                <w:snapToGrid w:val="0"/>
                <w:color w:val="000000" w:themeColor="text1"/>
                <w:kern w:val="21"/>
                <w:sz w:val="24"/>
                <w:szCs w:val="24"/>
                <w:u w:val="none"/>
                <w14:textFill>
                  <w14:solidFill>
                    <w14:schemeClr w14:val="tx1"/>
                  </w14:solidFill>
                </w14:textFill>
              </w:rPr>
              <w:t>/</w:t>
            </w:r>
          </w:p>
        </w:tc>
        <w:tc>
          <w:tcPr>
            <w:tcW w:w="1485" w:type="dxa"/>
            <w:noWrap w:val="0"/>
            <w:vAlign w:val="center"/>
          </w:tcPr>
          <w:p w14:paraId="66083FCC">
            <w:pPr>
              <w:keepNext w:val="0"/>
              <w:keepLines w:val="0"/>
              <w:pageBreakBefore w:val="0"/>
              <w:kinsoku/>
              <w:wordWrap/>
              <w:overflowPunct/>
              <w:topLinePunct w:val="0"/>
              <w:autoSpaceDE/>
              <w:autoSpaceDN/>
              <w:bidi w:val="0"/>
              <w:snapToGrid/>
              <w:spacing w:line="360" w:lineRule="auto"/>
              <w:jc w:val="center"/>
              <w:rPr>
                <w:rFonts w:hint="eastAsia" w:ascii="Times New Roman"/>
                <w:snapToGrid w:val="0"/>
                <w:color w:val="000000" w:themeColor="text1"/>
                <w:kern w:val="21"/>
                <w:sz w:val="24"/>
                <w:szCs w:val="24"/>
                <w:u w:val="none"/>
                <w14:textFill>
                  <w14:solidFill>
                    <w14:schemeClr w14:val="tx1"/>
                  </w14:solidFill>
                </w14:textFill>
              </w:rPr>
            </w:pPr>
            <w:r>
              <w:rPr>
                <w:rFonts w:ascii="Times New Roman"/>
                <w:snapToGrid w:val="0"/>
                <w:color w:val="000000" w:themeColor="text1"/>
                <w:kern w:val="21"/>
                <w:sz w:val="24"/>
                <w:szCs w:val="24"/>
                <w:u w:val="none"/>
                <w14:textFill>
                  <w14:solidFill>
                    <w14:schemeClr w14:val="tx1"/>
                  </w14:solidFill>
                </w14:textFill>
              </w:rPr>
              <w:t>/</w:t>
            </w:r>
          </w:p>
        </w:tc>
        <w:tc>
          <w:tcPr>
            <w:tcW w:w="1491" w:type="dxa"/>
            <w:noWrap w:val="0"/>
            <w:vAlign w:val="center"/>
          </w:tcPr>
          <w:p w14:paraId="45DDF115">
            <w:pPr>
              <w:keepNext w:val="0"/>
              <w:keepLines w:val="0"/>
              <w:pageBreakBefore w:val="0"/>
              <w:kinsoku/>
              <w:wordWrap/>
              <w:overflowPunct/>
              <w:topLinePunct w:val="0"/>
              <w:autoSpaceDE/>
              <w:autoSpaceDN/>
              <w:bidi w:val="0"/>
              <w:snapToGrid/>
              <w:spacing w:line="360" w:lineRule="auto"/>
              <w:jc w:val="center"/>
              <w:rPr>
                <w:rFonts w:hint="eastAsia" w:ascii="Times New Roman"/>
                <w:snapToGrid w:val="0"/>
                <w:color w:val="000000" w:themeColor="text1"/>
                <w:kern w:val="21"/>
                <w:sz w:val="24"/>
                <w:szCs w:val="24"/>
                <w:u w:val="none"/>
                <w14:textFill>
                  <w14:solidFill>
                    <w14:schemeClr w14:val="tx1"/>
                  </w14:solidFill>
                </w14:textFill>
              </w:rPr>
            </w:pPr>
            <w:r>
              <w:rPr>
                <w:rFonts w:ascii="Times New Roman"/>
                <w:snapToGrid w:val="0"/>
                <w:color w:val="000000" w:themeColor="text1"/>
                <w:kern w:val="21"/>
                <w:sz w:val="24"/>
                <w:szCs w:val="24"/>
                <w:u w:val="none"/>
                <w14:textFill>
                  <w14:solidFill>
                    <w14:schemeClr w14:val="tx1"/>
                  </w14:solidFill>
                </w14:textFill>
              </w:rPr>
              <w:t>/</w:t>
            </w:r>
          </w:p>
        </w:tc>
        <w:tc>
          <w:tcPr>
            <w:tcW w:w="1501" w:type="dxa"/>
            <w:noWrap w:val="0"/>
            <w:vAlign w:val="center"/>
          </w:tcPr>
          <w:p w14:paraId="030BA0E4">
            <w:pPr>
              <w:keepNext w:val="0"/>
              <w:keepLines w:val="0"/>
              <w:pageBreakBefore w:val="0"/>
              <w:kinsoku/>
              <w:wordWrap/>
              <w:overflowPunct/>
              <w:topLinePunct w:val="0"/>
              <w:autoSpaceDE/>
              <w:autoSpaceDN/>
              <w:bidi w:val="0"/>
              <w:snapToGrid/>
              <w:spacing w:line="360" w:lineRule="auto"/>
              <w:jc w:val="center"/>
              <w:rPr>
                <w:rFonts w:hint="eastAsia" w:ascii="Times New Roman" w:hAnsi="Times New Roman" w:eastAsia="宋体" w:cs="Times New Roman"/>
                <w:color w:val="000000" w:themeColor="text1"/>
                <w:kern w:val="0"/>
                <w:sz w:val="24"/>
                <w:szCs w:val="24"/>
                <w:u w:val="none"/>
                <w:lang w:val="en-US" w:eastAsia="zh-CN" w:bidi="ar"/>
                <w14:textFill>
                  <w14:solidFill>
                    <w14:schemeClr w14:val="tx1"/>
                  </w14:solidFill>
                </w14:textFill>
              </w:rPr>
            </w:pPr>
            <w:r>
              <w:rPr>
                <w:rFonts w:hint="eastAsia"/>
                <w:color w:val="000000" w:themeColor="text1"/>
                <w:sz w:val="24"/>
                <w:szCs w:val="24"/>
                <w:u w:val="none"/>
                <w:lang w:val="en-US" w:eastAsia="zh-CN"/>
                <w14:textFill>
                  <w14:solidFill>
                    <w14:schemeClr w14:val="tx1"/>
                  </w14:solidFill>
                </w14:textFill>
              </w:rPr>
              <w:t>0</w:t>
            </w: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t/a</w:t>
            </w:r>
          </w:p>
        </w:tc>
        <w:tc>
          <w:tcPr>
            <w:tcW w:w="1491" w:type="dxa"/>
            <w:noWrap w:val="0"/>
            <w:vAlign w:val="center"/>
          </w:tcPr>
          <w:p w14:paraId="60D00307">
            <w:pPr>
              <w:keepNext w:val="0"/>
              <w:keepLines w:val="0"/>
              <w:pageBreakBefore w:val="0"/>
              <w:kinsoku/>
              <w:wordWrap/>
              <w:overflowPunct/>
              <w:topLinePunct w:val="0"/>
              <w:autoSpaceDE/>
              <w:autoSpaceDN/>
              <w:bidi w:val="0"/>
              <w:snapToGrid/>
              <w:spacing w:line="360" w:lineRule="auto"/>
              <w:jc w:val="center"/>
              <w:rPr>
                <w:rFonts w:cs="宋体"/>
                <w:color w:val="000000" w:themeColor="text1"/>
                <w:sz w:val="24"/>
                <w:szCs w:val="24"/>
                <w:u w:val="none"/>
                <w14:textFill>
                  <w14:solidFill>
                    <w14:schemeClr w14:val="tx1"/>
                  </w14:solidFill>
                </w14:textFill>
              </w:rPr>
            </w:pPr>
            <w:r>
              <w:rPr>
                <w:rFonts w:ascii="Times New Roman"/>
                <w:snapToGrid w:val="0"/>
                <w:color w:val="000000" w:themeColor="text1"/>
                <w:kern w:val="21"/>
                <w:sz w:val="24"/>
                <w:szCs w:val="24"/>
                <w:u w:val="none"/>
                <w14:textFill>
                  <w14:solidFill>
                    <w14:schemeClr w14:val="tx1"/>
                  </w14:solidFill>
                </w14:textFill>
              </w:rPr>
              <w:t>/</w:t>
            </w:r>
          </w:p>
        </w:tc>
        <w:tc>
          <w:tcPr>
            <w:tcW w:w="1842" w:type="dxa"/>
            <w:noWrap w:val="0"/>
            <w:vAlign w:val="center"/>
          </w:tcPr>
          <w:p w14:paraId="604FD8C9">
            <w:pPr>
              <w:keepNext w:val="0"/>
              <w:keepLines w:val="0"/>
              <w:pageBreakBefore w:val="0"/>
              <w:kinsoku/>
              <w:wordWrap/>
              <w:overflowPunct/>
              <w:topLinePunct w:val="0"/>
              <w:autoSpaceDE/>
              <w:autoSpaceDN/>
              <w:bidi w:val="0"/>
              <w:snapToGrid/>
              <w:spacing w:line="360" w:lineRule="auto"/>
              <w:jc w:val="center"/>
              <w:rPr>
                <w:color w:val="000000" w:themeColor="text1"/>
                <w:sz w:val="24"/>
                <w:szCs w:val="24"/>
                <w:u w:val="none"/>
                <w14:textFill>
                  <w14:solidFill>
                    <w14:schemeClr w14:val="tx1"/>
                  </w14:solidFill>
                </w14:textFill>
              </w:rPr>
            </w:pPr>
            <w:r>
              <w:rPr>
                <w:rFonts w:hint="eastAsia"/>
                <w:color w:val="000000" w:themeColor="text1"/>
                <w:sz w:val="24"/>
                <w:szCs w:val="24"/>
                <w:u w:val="none"/>
                <w:lang w:val="en-US" w:eastAsia="zh-CN"/>
                <w14:textFill>
                  <w14:solidFill>
                    <w14:schemeClr w14:val="tx1"/>
                  </w14:solidFill>
                </w14:textFill>
              </w:rPr>
              <w:t>0</w:t>
            </w: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t/a</w:t>
            </w:r>
          </w:p>
        </w:tc>
        <w:tc>
          <w:tcPr>
            <w:tcW w:w="1273" w:type="dxa"/>
            <w:noWrap w:val="0"/>
            <w:vAlign w:val="center"/>
          </w:tcPr>
          <w:p w14:paraId="7028FE52">
            <w:pPr>
              <w:keepNext w:val="0"/>
              <w:keepLines w:val="0"/>
              <w:pageBreakBefore w:val="0"/>
              <w:kinsoku/>
              <w:wordWrap/>
              <w:overflowPunct/>
              <w:topLinePunct w:val="0"/>
              <w:autoSpaceDE/>
              <w:autoSpaceDN/>
              <w:bidi w:val="0"/>
              <w:snapToGrid/>
              <w:spacing w:line="360" w:lineRule="auto"/>
              <w:jc w:val="center"/>
              <w:rPr>
                <w:rFonts w:hint="default" w:ascii="Times New Roman" w:hAnsi="Times New Roman" w:eastAsia="宋体" w:cs="Times New Roman"/>
                <w:color w:val="000000" w:themeColor="text1"/>
                <w:kern w:val="0"/>
                <w:sz w:val="24"/>
                <w:szCs w:val="24"/>
                <w:u w:val="none"/>
                <w:lang w:val="en-US" w:eastAsia="zh-CN" w:bidi="ar"/>
                <w14:textFill>
                  <w14:solidFill>
                    <w14:schemeClr w14:val="tx1"/>
                  </w14:solidFill>
                </w14:textFill>
              </w:rPr>
            </w:pPr>
            <w:r>
              <w:rPr>
                <w:rFonts w:hint="eastAsia"/>
                <w:color w:val="000000" w:themeColor="text1"/>
                <w:sz w:val="24"/>
                <w:szCs w:val="24"/>
                <w:u w:val="none"/>
                <w:lang w:val="en-US" w:eastAsia="zh-CN"/>
                <w14:textFill>
                  <w14:solidFill>
                    <w14:schemeClr w14:val="tx1"/>
                  </w14:solidFill>
                </w14:textFill>
              </w:rPr>
              <w:t>+0</w:t>
            </w:r>
            <w:r>
              <w:rPr>
                <w:rFonts w:hint="eastAsia" w:ascii="Times New Roman" w:hAnsi="Times New Roman" w:eastAsia="宋体" w:cs="Times New Roman"/>
                <w:i w:val="0"/>
                <w:iCs w:val="0"/>
                <w:color w:val="000000" w:themeColor="text1"/>
                <w:kern w:val="0"/>
                <w:sz w:val="24"/>
                <w:szCs w:val="24"/>
                <w:u w:val="none"/>
                <w:lang w:val="en-US" w:eastAsia="zh-CN" w:bidi="ar"/>
                <w14:textFill>
                  <w14:solidFill>
                    <w14:schemeClr w14:val="tx1"/>
                  </w14:solidFill>
                </w14:textFill>
              </w:rPr>
              <w:t>t/a</w:t>
            </w:r>
          </w:p>
        </w:tc>
      </w:tr>
    </w:tbl>
    <w:p w14:paraId="3BE27E01">
      <w:pPr>
        <w:snapToGrid w:val="0"/>
        <w:rPr>
          <w:rFonts w:hint="eastAsia"/>
          <w:color w:val="000000"/>
          <w:sz w:val="24"/>
          <w:szCs w:val="24"/>
        </w:rPr>
      </w:pPr>
      <w:r>
        <w:rPr>
          <w:rFonts w:hAnsi="宋体"/>
          <w:snapToGrid w:val="0"/>
          <w:color w:val="000000"/>
          <w:kern w:val="21"/>
          <w:szCs w:val="21"/>
        </w:rPr>
        <w:t>注：</w:t>
      </w:r>
      <w:r>
        <w:rPr>
          <w:rFonts w:hAnsi="宋体"/>
          <w:snapToGrid w:val="0"/>
          <w:color w:val="000000"/>
          <w:kern w:val="21"/>
          <w:szCs w:val="21"/>
        </w:rPr>
        <w:fldChar w:fldCharType="begin"/>
      </w:r>
      <w:r>
        <w:rPr>
          <w:rFonts w:hAnsi="宋体"/>
          <w:snapToGrid w:val="0"/>
          <w:color w:val="000000"/>
          <w:kern w:val="21"/>
          <w:szCs w:val="21"/>
        </w:rPr>
        <w:instrText xml:space="preserve"> = 6 \* GB3 \* MERGEFORMAT </w:instrText>
      </w:r>
      <w:r>
        <w:rPr>
          <w:rFonts w:hAnsi="宋体"/>
          <w:snapToGrid w:val="0"/>
          <w:color w:val="000000"/>
          <w:kern w:val="21"/>
          <w:szCs w:val="21"/>
        </w:rPr>
        <w:fldChar w:fldCharType="separate"/>
      </w:r>
      <w:r>
        <w:rPr>
          <w:rFonts w:hint="eastAsia" w:hAnsi="宋体"/>
          <w:color w:val="000000"/>
          <w:szCs w:val="21"/>
        </w:rPr>
        <w:t>⑥</w:t>
      </w:r>
      <w:r>
        <w:rPr>
          <w:rFonts w:hAnsi="宋体"/>
          <w:snapToGrid w:val="0"/>
          <w:color w:val="000000"/>
          <w:kern w:val="21"/>
          <w:szCs w:val="21"/>
        </w:rPr>
        <w:fldChar w:fldCharType="end"/>
      </w:r>
      <w:r>
        <w:rPr>
          <w:rFonts w:hAnsi="宋体"/>
          <w:snapToGrid w:val="0"/>
          <w:color w:val="000000"/>
          <w:kern w:val="21"/>
          <w:szCs w:val="21"/>
        </w:rPr>
        <w:t>=</w:t>
      </w:r>
      <w:r>
        <w:rPr>
          <w:rFonts w:hAnsi="宋体"/>
          <w:snapToGrid w:val="0"/>
          <w:color w:val="000000"/>
          <w:kern w:val="21"/>
          <w:szCs w:val="21"/>
        </w:rPr>
        <w:fldChar w:fldCharType="begin"/>
      </w:r>
      <w:r>
        <w:rPr>
          <w:rFonts w:hAnsi="宋体"/>
          <w:snapToGrid w:val="0"/>
          <w:color w:val="000000"/>
          <w:kern w:val="21"/>
          <w:szCs w:val="21"/>
        </w:rPr>
        <w:instrText xml:space="preserve"> = 1 \* GB3 \* MERGEFORMAT </w:instrText>
      </w:r>
      <w:r>
        <w:rPr>
          <w:rFonts w:hAnsi="宋体"/>
          <w:snapToGrid w:val="0"/>
          <w:color w:val="000000"/>
          <w:kern w:val="21"/>
          <w:szCs w:val="21"/>
        </w:rPr>
        <w:fldChar w:fldCharType="separate"/>
      </w:r>
      <w:r>
        <w:rPr>
          <w:rFonts w:hint="eastAsia" w:hAnsi="宋体"/>
          <w:color w:val="000000"/>
          <w:szCs w:val="21"/>
        </w:rPr>
        <w:t>①</w:t>
      </w:r>
      <w:r>
        <w:rPr>
          <w:rFonts w:hAnsi="宋体"/>
          <w:snapToGrid w:val="0"/>
          <w:color w:val="000000"/>
          <w:kern w:val="21"/>
          <w:szCs w:val="21"/>
        </w:rPr>
        <w:fldChar w:fldCharType="end"/>
      </w:r>
      <w:r>
        <w:rPr>
          <w:rFonts w:hAnsi="宋体"/>
          <w:snapToGrid w:val="0"/>
          <w:color w:val="000000"/>
          <w:kern w:val="21"/>
          <w:szCs w:val="21"/>
        </w:rPr>
        <w:t>+</w:t>
      </w:r>
      <w:r>
        <w:rPr>
          <w:rFonts w:hAnsi="宋体"/>
          <w:snapToGrid w:val="0"/>
          <w:color w:val="000000"/>
          <w:kern w:val="21"/>
          <w:szCs w:val="21"/>
        </w:rPr>
        <w:fldChar w:fldCharType="begin"/>
      </w:r>
      <w:r>
        <w:rPr>
          <w:rFonts w:hAnsi="宋体"/>
          <w:snapToGrid w:val="0"/>
          <w:color w:val="000000"/>
          <w:kern w:val="21"/>
          <w:szCs w:val="21"/>
        </w:rPr>
        <w:instrText xml:space="preserve"> = 3 \* GB3 \* MERGEFORMAT </w:instrText>
      </w:r>
      <w:r>
        <w:rPr>
          <w:rFonts w:hAnsi="宋体"/>
          <w:snapToGrid w:val="0"/>
          <w:color w:val="000000"/>
          <w:kern w:val="21"/>
          <w:szCs w:val="21"/>
        </w:rPr>
        <w:fldChar w:fldCharType="separate"/>
      </w:r>
      <w:r>
        <w:rPr>
          <w:rFonts w:hint="eastAsia" w:hAnsi="宋体"/>
          <w:color w:val="000000"/>
          <w:szCs w:val="21"/>
        </w:rPr>
        <w:t>③</w:t>
      </w:r>
      <w:r>
        <w:rPr>
          <w:rFonts w:hAnsi="宋体"/>
          <w:snapToGrid w:val="0"/>
          <w:color w:val="000000"/>
          <w:kern w:val="21"/>
          <w:szCs w:val="21"/>
        </w:rPr>
        <w:fldChar w:fldCharType="end"/>
      </w:r>
      <w:r>
        <w:rPr>
          <w:rFonts w:hAnsi="宋体"/>
          <w:snapToGrid w:val="0"/>
          <w:color w:val="000000"/>
          <w:kern w:val="21"/>
          <w:szCs w:val="21"/>
        </w:rPr>
        <w:t>+</w:t>
      </w:r>
      <w:r>
        <w:rPr>
          <w:rFonts w:hAnsi="宋体"/>
          <w:snapToGrid w:val="0"/>
          <w:color w:val="000000"/>
          <w:kern w:val="21"/>
          <w:szCs w:val="21"/>
        </w:rPr>
        <w:fldChar w:fldCharType="begin"/>
      </w:r>
      <w:r>
        <w:rPr>
          <w:rFonts w:hAnsi="宋体"/>
          <w:snapToGrid w:val="0"/>
          <w:color w:val="000000"/>
          <w:kern w:val="21"/>
          <w:szCs w:val="21"/>
        </w:rPr>
        <w:instrText xml:space="preserve"> = 4 \* GB3 \* MERGEFORMAT </w:instrText>
      </w:r>
      <w:r>
        <w:rPr>
          <w:rFonts w:hAnsi="宋体"/>
          <w:snapToGrid w:val="0"/>
          <w:color w:val="000000"/>
          <w:kern w:val="21"/>
          <w:szCs w:val="21"/>
        </w:rPr>
        <w:fldChar w:fldCharType="separate"/>
      </w:r>
      <w:r>
        <w:rPr>
          <w:rFonts w:hint="eastAsia" w:hAnsi="宋体"/>
          <w:color w:val="000000"/>
          <w:szCs w:val="21"/>
        </w:rPr>
        <w:t>④</w:t>
      </w:r>
      <w:r>
        <w:rPr>
          <w:rFonts w:hAnsi="宋体"/>
          <w:snapToGrid w:val="0"/>
          <w:color w:val="000000"/>
          <w:kern w:val="21"/>
          <w:szCs w:val="21"/>
        </w:rPr>
        <w:fldChar w:fldCharType="end"/>
      </w:r>
      <w:r>
        <w:rPr>
          <w:rFonts w:hAnsi="宋体"/>
          <w:snapToGrid w:val="0"/>
          <w:color w:val="000000"/>
          <w:kern w:val="21"/>
          <w:szCs w:val="21"/>
        </w:rPr>
        <w:t>-</w:t>
      </w:r>
      <w:r>
        <w:rPr>
          <w:rFonts w:hAnsi="宋体"/>
          <w:snapToGrid w:val="0"/>
          <w:color w:val="000000"/>
          <w:kern w:val="21"/>
          <w:szCs w:val="21"/>
        </w:rPr>
        <w:fldChar w:fldCharType="begin"/>
      </w:r>
      <w:r>
        <w:rPr>
          <w:rFonts w:hAnsi="宋体"/>
          <w:snapToGrid w:val="0"/>
          <w:color w:val="000000"/>
          <w:kern w:val="21"/>
          <w:szCs w:val="21"/>
        </w:rPr>
        <w:instrText xml:space="preserve"> = 5 \* GB3 \* MERGEFORMAT </w:instrText>
      </w:r>
      <w:r>
        <w:rPr>
          <w:rFonts w:hAnsi="宋体"/>
          <w:snapToGrid w:val="0"/>
          <w:color w:val="000000"/>
          <w:kern w:val="21"/>
          <w:szCs w:val="21"/>
        </w:rPr>
        <w:fldChar w:fldCharType="separate"/>
      </w:r>
      <w:r>
        <w:rPr>
          <w:rFonts w:hint="eastAsia" w:hAnsi="宋体"/>
          <w:color w:val="000000"/>
          <w:szCs w:val="21"/>
        </w:rPr>
        <w:t>⑤</w:t>
      </w:r>
      <w:r>
        <w:rPr>
          <w:rFonts w:hAnsi="宋体"/>
          <w:snapToGrid w:val="0"/>
          <w:color w:val="000000"/>
          <w:kern w:val="21"/>
          <w:szCs w:val="21"/>
        </w:rPr>
        <w:fldChar w:fldCharType="end"/>
      </w:r>
      <w:r>
        <w:rPr>
          <w:rFonts w:hAnsi="宋体"/>
          <w:snapToGrid w:val="0"/>
          <w:color w:val="000000"/>
          <w:kern w:val="21"/>
          <w:szCs w:val="21"/>
        </w:rPr>
        <w:t>；</w:t>
      </w:r>
      <w:r>
        <w:rPr>
          <w:rFonts w:hAnsi="宋体"/>
          <w:snapToGrid w:val="0"/>
          <w:color w:val="000000"/>
          <w:kern w:val="21"/>
          <w:szCs w:val="21"/>
        </w:rPr>
        <w:fldChar w:fldCharType="begin"/>
      </w:r>
      <w:r>
        <w:rPr>
          <w:rFonts w:hAnsi="宋体"/>
          <w:snapToGrid w:val="0"/>
          <w:color w:val="000000"/>
          <w:kern w:val="21"/>
          <w:szCs w:val="21"/>
        </w:rPr>
        <w:instrText xml:space="preserve"> = 7 \* GB3 \* MERGEFORMAT </w:instrText>
      </w:r>
      <w:r>
        <w:rPr>
          <w:rFonts w:hAnsi="宋体"/>
          <w:snapToGrid w:val="0"/>
          <w:color w:val="000000"/>
          <w:kern w:val="21"/>
          <w:szCs w:val="21"/>
        </w:rPr>
        <w:fldChar w:fldCharType="separate"/>
      </w:r>
      <w:r>
        <w:rPr>
          <w:rFonts w:hint="eastAsia" w:hAnsi="宋体"/>
          <w:color w:val="000000"/>
          <w:szCs w:val="21"/>
        </w:rPr>
        <w:t>⑦</w:t>
      </w:r>
      <w:r>
        <w:rPr>
          <w:rFonts w:hAnsi="宋体"/>
          <w:snapToGrid w:val="0"/>
          <w:color w:val="000000"/>
          <w:kern w:val="21"/>
          <w:szCs w:val="21"/>
        </w:rPr>
        <w:fldChar w:fldCharType="end"/>
      </w:r>
      <w:r>
        <w:rPr>
          <w:rFonts w:hAnsi="宋体"/>
          <w:snapToGrid w:val="0"/>
          <w:color w:val="000000"/>
          <w:kern w:val="21"/>
          <w:szCs w:val="21"/>
        </w:rPr>
        <w:t>=</w:t>
      </w:r>
      <w:r>
        <w:rPr>
          <w:rFonts w:hAnsi="宋体"/>
          <w:snapToGrid w:val="0"/>
          <w:color w:val="000000"/>
          <w:kern w:val="21"/>
          <w:szCs w:val="21"/>
        </w:rPr>
        <w:fldChar w:fldCharType="begin"/>
      </w:r>
      <w:r>
        <w:rPr>
          <w:rFonts w:hAnsi="宋体"/>
          <w:snapToGrid w:val="0"/>
          <w:color w:val="000000"/>
          <w:kern w:val="21"/>
          <w:szCs w:val="21"/>
        </w:rPr>
        <w:instrText xml:space="preserve"> = 6 \* GB3 \* MERGEFORMAT </w:instrText>
      </w:r>
      <w:r>
        <w:rPr>
          <w:rFonts w:hAnsi="宋体"/>
          <w:snapToGrid w:val="0"/>
          <w:color w:val="000000"/>
          <w:kern w:val="21"/>
          <w:szCs w:val="21"/>
        </w:rPr>
        <w:fldChar w:fldCharType="separate"/>
      </w:r>
      <w:r>
        <w:rPr>
          <w:rFonts w:hint="eastAsia" w:hAnsi="宋体"/>
          <w:color w:val="000000"/>
          <w:szCs w:val="21"/>
        </w:rPr>
        <w:t>⑥</w:t>
      </w:r>
      <w:r>
        <w:rPr>
          <w:rFonts w:hAnsi="宋体"/>
          <w:snapToGrid w:val="0"/>
          <w:color w:val="000000"/>
          <w:kern w:val="21"/>
          <w:szCs w:val="21"/>
        </w:rPr>
        <w:fldChar w:fldCharType="end"/>
      </w:r>
      <w:r>
        <w:rPr>
          <w:rFonts w:hAnsi="宋体"/>
          <w:snapToGrid w:val="0"/>
          <w:color w:val="000000"/>
          <w:kern w:val="21"/>
          <w:szCs w:val="21"/>
        </w:rPr>
        <w:t>-</w:t>
      </w:r>
      <w:r>
        <w:rPr>
          <w:rFonts w:hAnsi="宋体"/>
          <w:snapToGrid w:val="0"/>
          <w:color w:val="000000"/>
          <w:kern w:val="21"/>
          <w:szCs w:val="21"/>
        </w:rPr>
        <w:fldChar w:fldCharType="begin"/>
      </w:r>
      <w:r>
        <w:rPr>
          <w:rFonts w:hAnsi="宋体"/>
          <w:snapToGrid w:val="0"/>
          <w:color w:val="000000"/>
          <w:kern w:val="21"/>
          <w:szCs w:val="21"/>
        </w:rPr>
        <w:instrText xml:space="preserve"> = 1 \* GB3 \* MERGEFORMAT </w:instrText>
      </w:r>
      <w:r>
        <w:rPr>
          <w:rFonts w:hAnsi="宋体"/>
          <w:snapToGrid w:val="0"/>
          <w:color w:val="000000"/>
          <w:kern w:val="21"/>
          <w:szCs w:val="21"/>
        </w:rPr>
        <w:fldChar w:fldCharType="separate"/>
      </w:r>
      <w:r>
        <w:rPr>
          <w:rFonts w:hint="eastAsia" w:hAnsi="宋体"/>
          <w:color w:val="000000"/>
          <w:szCs w:val="21"/>
        </w:rPr>
        <w:t>①</w:t>
      </w:r>
      <w:r>
        <w:rPr>
          <w:rFonts w:hAnsi="宋体"/>
          <w:snapToGrid w:val="0"/>
          <w:color w:val="000000"/>
          <w:kern w:val="21"/>
          <w:szCs w:val="21"/>
        </w:rPr>
        <w:fldChar w:fldCharType="end"/>
      </w:r>
    </w:p>
    <w:sectPr>
      <w:footerReference r:id="rId4" w:type="default"/>
      <w:pgSz w:w="16838" w:h="11906" w:orient="landscape"/>
      <w:pgMar w:top="1531" w:right="1701" w:bottom="1531" w:left="1701" w:header="851" w:footer="992" w:gutter="0"/>
      <w:pgBorders>
        <w:top w:val="none" w:sz="0" w:space="0"/>
        <w:left w:val="none" w:sz="0" w:space="0"/>
        <w:bottom w:val="none" w:sz="0" w:space="0"/>
        <w:right w:val="none" w:sz="0" w:space="0"/>
      </w:pgBorders>
      <w:cols w:space="720" w:num="1"/>
      <w:docGrid w:type="linesAndChars" w:linePitch="312"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21A776-32B4-4DF0-8AC0-168AA2C9C82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embedRegular r:id="rId2" w:fontKey="{69ED969F-1771-40FB-B7B0-2078BC44A42B}"/>
  </w:font>
  <w:font w:name="方正小标宋_GBK">
    <w:panose1 w:val="03000509000000000000"/>
    <w:charset w:val="86"/>
    <w:family w:val="script"/>
    <w:pitch w:val="default"/>
    <w:sig w:usb0="00000001" w:usb1="080E0000" w:usb2="00000000" w:usb3="00000000" w:csb0="00040000" w:csb1="00000000"/>
    <w:embedRegular r:id="rId3" w:fontKey="{7F97A620-85C6-4316-910C-C8F29D2CAED4}"/>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13D5C">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-82550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9E5D03">
                          <w:pPr>
                            <w:pStyle w:val="12"/>
                          </w:pPr>
                          <w:r>
                            <w:rPr>
                              <w:sz w:val="21"/>
                              <w:szCs w:val="21"/>
                            </w:rPr>
                            <w:fldChar w:fldCharType="begin"/>
                          </w:r>
                          <w:r>
                            <w:rPr>
                              <w:sz w:val="21"/>
                              <w:szCs w:val="21"/>
                            </w:rPr>
                            <w:instrText xml:space="preserve"> PAGE  \* MERGEFORMAT </w:instrText>
                          </w:r>
                          <w:r>
                            <w:rPr>
                              <w:sz w:val="21"/>
                              <w:szCs w:val="21"/>
                            </w:rPr>
                            <w:fldChar w:fldCharType="separate"/>
                          </w:r>
                          <w:r>
                            <w:rPr>
                              <w:sz w:val="21"/>
                              <w:szCs w:val="21"/>
                            </w:rPr>
                            <w:t>54</w:t>
                          </w:r>
                          <w:r>
                            <w:rPr>
                              <w:sz w:val="21"/>
                              <w:szCs w:val="21"/>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6.5pt;height:144pt;width:144pt;mso-position-horizontal:center;mso-position-horizontal-relative:margin;mso-wrap-style:none;z-index:251660288;mso-width-relative:page;mso-height-relative:page;" filled="f" stroked="f" coordsize="21600,21600" o:gfxdata="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VkEJ41AAAAAgBAAAPAAAAAAAAAAEAIAAAACIAAABkcnMvZG93&#10;bnJldi54bWxQSwECFAAUAAAACACHTuJAtBg9qMsBAACcAwAADgAAAAAAAAABACAAAAAjAQAAZHJz&#10;L2Uyb0RvYy54bWxQSwUGAAAAAAYABgBZAQAAYAUAAAAA&#10;">
              <v:fill on="f" focussize="0,0"/>
              <v:stroke on="f"/>
              <v:imagedata o:title=""/>
              <o:lock v:ext="edit" aspectratio="f"/>
              <v:textbox inset="0mm,0mm,0mm,0mm" style="mso-fit-shape-to-text:t;">
                <w:txbxContent>
                  <w:p w14:paraId="409E5D03">
                    <w:pPr>
                      <w:pStyle w:val="12"/>
                    </w:pPr>
                    <w:r>
                      <w:rPr>
                        <w:sz w:val="21"/>
                        <w:szCs w:val="21"/>
                      </w:rPr>
                      <w:fldChar w:fldCharType="begin"/>
                    </w:r>
                    <w:r>
                      <w:rPr>
                        <w:sz w:val="21"/>
                        <w:szCs w:val="21"/>
                      </w:rPr>
                      <w:instrText xml:space="preserve"> PAGE  \* MERGEFORMAT </w:instrText>
                    </w:r>
                    <w:r>
                      <w:rPr>
                        <w:sz w:val="21"/>
                        <w:szCs w:val="21"/>
                      </w:rPr>
                      <w:fldChar w:fldCharType="separate"/>
                    </w:r>
                    <w:r>
                      <w:rPr>
                        <w:sz w:val="21"/>
                        <w:szCs w:val="21"/>
                      </w:rPr>
                      <w:t>54</w:t>
                    </w:r>
                    <w:r>
                      <w:rPr>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325E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-82550</wp:posOffset>
              </wp:positionV>
              <wp:extent cx="1828800" cy="1828800"/>
              <wp:effectExtent l="0" t="0" r="0" b="0"/>
              <wp:wrapNone/>
              <wp:docPr id="5"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97D528">
                          <w:pPr>
                            <w:pStyle w:val="12"/>
                          </w:pPr>
                          <w:r>
                            <w:rPr>
                              <w:sz w:val="21"/>
                              <w:szCs w:val="21"/>
                            </w:rPr>
                            <w:fldChar w:fldCharType="begin"/>
                          </w:r>
                          <w:r>
                            <w:rPr>
                              <w:sz w:val="21"/>
                              <w:szCs w:val="21"/>
                            </w:rPr>
                            <w:instrText xml:space="preserve"> PAGE  \* MERGEFORMAT </w:instrText>
                          </w:r>
                          <w:r>
                            <w:rPr>
                              <w:sz w:val="21"/>
                              <w:szCs w:val="21"/>
                            </w:rPr>
                            <w:fldChar w:fldCharType="separate"/>
                          </w:r>
                          <w:r>
                            <w:rPr>
                              <w:sz w:val="21"/>
                              <w:szCs w:val="21"/>
                            </w:rPr>
                            <w:t>55</w:t>
                          </w:r>
                          <w:r>
                            <w:rPr>
                              <w:sz w:val="21"/>
                              <w:szCs w:val="21"/>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6.5pt;height:144pt;width:144pt;mso-position-horizontal:center;mso-position-horizontal-relative:margin;mso-wrap-style:none;z-index:251659264;mso-width-relative:page;mso-height-relative:page;" filled="f" stroked="f" coordsize="21600,21600" o:gfxdata="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VkEJ41AAAAAgBAAAPAAAAAAAAAAEAIAAAACIAAABkcnMvZG93&#10;bnJldi54bWxQSwECFAAUAAAACACHTuJApnFlBMsBAACcAwAADgAAAAAAAAABACAAAAAjAQAAZHJz&#10;L2Uyb0RvYy54bWxQSwUGAAAAAAYABgBZAQAAYAUAAAAA&#10;">
              <v:fill on="f" focussize="0,0"/>
              <v:stroke on="f"/>
              <v:imagedata o:title=""/>
              <o:lock v:ext="edit" aspectratio="f"/>
              <v:textbox inset="0mm,0mm,0mm,0mm" style="mso-fit-shape-to-text:t;">
                <w:txbxContent>
                  <w:p w14:paraId="7D97D528">
                    <w:pPr>
                      <w:pStyle w:val="12"/>
                    </w:pPr>
                    <w:r>
                      <w:rPr>
                        <w:sz w:val="21"/>
                        <w:szCs w:val="21"/>
                      </w:rPr>
                      <w:fldChar w:fldCharType="begin"/>
                    </w:r>
                    <w:r>
                      <w:rPr>
                        <w:sz w:val="21"/>
                        <w:szCs w:val="21"/>
                      </w:rPr>
                      <w:instrText xml:space="preserve"> PAGE  \* MERGEFORMAT </w:instrText>
                    </w:r>
                    <w:r>
                      <w:rPr>
                        <w:sz w:val="21"/>
                        <w:szCs w:val="21"/>
                      </w:rPr>
                      <w:fldChar w:fldCharType="separate"/>
                    </w:r>
                    <w:r>
                      <w:rPr>
                        <w:sz w:val="21"/>
                        <w:szCs w:val="21"/>
                      </w:rPr>
                      <w:t>55</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ED5B4"/>
    <w:multiLevelType w:val="singleLevel"/>
    <w:tmpl w:val="946ED5B4"/>
    <w:lvl w:ilvl="0" w:tentative="0">
      <w:start w:val="1"/>
      <w:numFmt w:val="bullet"/>
      <w:pStyle w:val="8"/>
      <w:lvlText w:val=""/>
      <w:lvlJc w:val="left"/>
      <w:pPr>
        <w:tabs>
          <w:tab w:val="left" w:pos="2040"/>
        </w:tabs>
        <w:ind w:left="2040" w:hanging="360"/>
      </w:pPr>
      <w:rPr>
        <w:rFonts w:hint="default" w:ascii="Wingdings" w:hAnsi="Wingdings"/>
      </w:rPr>
    </w:lvl>
  </w:abstractNum>
  <w:abstractNum w:abstractNumId="1">
    <w:nsid w:val="205A4F56"/>
    <w:multiLevelType w:val="multilevel"/>
    <w:tmpl w:val="205A4F56"/>
    <w:lvl w:ilvl="0" w:tentative="0">
      <w:start w:val="0"/>
      <w:numFmt w:val="decimal"/>
      <w:suff w:val="space"/>
      <w:lvlText w:val="%1"/>
      <w:lvlJc w:val="left"/>
      <w:pPr>
        <w:ind w:left="0" w:firstLine="0"/>
      </w:pPr>
      <w:rPr>
        <w:rFonts w:hint="default" w:ascii="Times New Roman" w:hAnsi="Times New Roman"/>
        <w:b/>
        <w:i w:val="0"/>
        <w:sz w:val="24"/>
        <w:szCs w:val="24"/>
      </w:rPr>
    </w:lvl>
    <w:lvl w:ilvl="1" w:tentative="0">
      <w:start w:val="1"/>
      <w:numFmt w:val="decimal"/>
      <w:suff w:val="space"/>
      <w:lvlText w:val="%1.%2"/>
      <w:lvlJc w:val="left"/>
      <w:pPr>
        <w:ind w:left="0" w:firstLine="0"/>
      </w:pPr>
      <w:rPr>
        <w:rFonts w:hint="default" w:ascii="Times New Roman" w:hAnsi="Times New Roman"/>
        <w:b/>
        <w:i w:val="0"/>
        <w:sz w:val="24"/>
        <w:szCs w:val="24"/>
      </w:rPr>
    </w:lvl>
    <w:lvl w:ilvl="2" w:tentative="0">
      <w:start w:val="1"/>
      <w:numFmt w:val="decimal"/>
      <w:suff w:val="space"/>
      <w:lvlText w:val="%1.%2.%3"/>
      <w:lvlJc w:val="left"/>
      <w:pPr>
        <w:ind w:left="0" w:firstLine="0"/>
      </w:pPr>
      <w:rPr>
        <w:rFonts w:hint="default" w:ascii="Times New Roman" w:hAnsi="Times New Roman" w:eastAsia="宋体"/>
        <w:b w:val="0"/>
        <w:i w:val="0"/>
        <w:caps w:val="0"/>
        <w:strike w:val="0"/>
        <w:dstrike w:val="0"/>
        <w:outline w:val="0"/>
        <w:shadow w:val="0"/>
        <w:emboss w:val="0"/>
        <w:imprint w:val="0"/>
        <w:snapToGrid w:val="0"/>
        <w:vanish w:val="0"/>
        <w:color w:val="auto"/>
        <w:kern w:val="0"/>
        <w:sz w:val="24"/>
        <w:szCs w:val="24"/>
        <w:u w:val="none"/>
        <w:vertAlign w:val="baseline"/>
      </w:rPr>
    </w:lvl>
    <w:lvl w:ilvl="3" w:tentative="0">
      <w:start w:val="1"/>
      <w:numFmt w:val="decimal"/>
      <w:pStyle w:val="4"/>
      <w:lvlText w:val="%1.%2.%3.%4"/>
      <w:lvlJc w:val="left"/>
      <w:pPr>
        <w:tabs>
          <w:tab w:val="left" w:pos="851"/>
        </w:tabs>
        <w:ind w:left="851" w:hanging="851"/>
      </w:pPr>
      <w:rPr>
        <w:rFonts w:hint="default" w:ascii="Times New Roman" w:hAnsi="Times New Roman"/>
        <w:b w:val="0"/>
        <w:i w:val="0"/>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6FD3308D"/>
    <w:multiLevelType w:val="singleLevel"/>
    <w:tmpl w:val="6FD3308D"/>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HorizontalSpacing w:val="21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NGIxNmM1MGM5ZDFmNjkxZjQ5OGMyZTVhYWYyM2EifQ=="/>
  </w:docVars>
  <w:rsids>
    <w:rsidRoot w:val="00172A27"/>
    <w:rsid w:val="0000336A"/>
    <w:rsid w:val="00003BD0"/>
    <w:rsid w:val="00003DC7"/>
    <w:rsid w:val="000077BF"/>
    <w:rsid w:val="00012018"/>
    <w:rsid w:val="00013479"/>
    <w:rsid w:val="00015199"/>
    <w:rsid w:val="00015604"/>
    <w:rsid w:val="00015A84"/>
    <w:rsid w:val="00020646"/>
    <w:rsid w:val="00021ACE"/>
    <w:rsid w:val="00021B1D"/>
    <w:rsid w:val="00022336"/>
    <w:rsid w:val="00022E05"/>
    <w:rsid w:val="000235AB"/>
    <w:rsid w:val="000235C2"/>
    <w:rsid w:val="00026B7C"/>
    <w:rsid w:val="0003032C"/>
    <w:rsid w:val="0003174E"/>
    <w:rsid w:val="000334FC"/>
    <w:rsid w:val="00034591"/>
    <w:rsid w:val="000349F7"/>
    <w:rsid w:val="00040687"/>
    <w:rsid w:val="00044C85"/>
    <w:rsid w:val="00044D65"/>
    <w:rsid w:val="000622CA"/>
    <w:rsid w:val="00062FFF"/>
    <w:rsid w:val="00064FF2"/>
    <w:rsid w:val="00067220"/>
    <w:rsid w:val="00067636"/>
    <w:rsid w:val="00073349"/>
    <w:rsid w:val="000733D5"/>
    <w:rsid w:val="00075FF4"/>
    <w:rsid w:val="00076B84"/>
    <w:rsid w:val="00080373"/>
    <w:rsid w:val="000813C4"/>
    <w:rsid w:val="00081E8E"/>
    <w:rsid w:val="0008232E"/>
    <w:rsid w:val="000829A0"/>
    <w:rsid w:val="00083F0E"/>
    <w:rsid w:val="00086A52"/>
    <w:rsid w:val="00086D3E"/>
    <w:rsid w:val="00087405"/>
    <w:rsid w:val="00091B5F"/>
    <w:rsid w:val="000921BF"/>
    <w:rsid w:val="00095B55"/>
    <w:rsid w:val="00095D48"/>
    <w:rsid w:val="0009758C"/>
    <w:rsid w:val="000A4A40"/>
    <w:rsid w:val="000B03E1"/>
    <w:rsid w:val="000B0C16"/>
    <w:rsid w:val="000B117E"/>
    <w:rsid w:val="000B186F"/>
    <w:rsid w:val="000B35D2"/>
    <w:rsid w:val="000B5BC0"/>
    <w:rsid w:val="000B725C"/>
    <w:rsid w:val="000C3169"/>
    <w:rsid w:val="000C3A6F"/>
    <w:rsid w:val="000C4A35"/>
    <w:rsid w:val="000D5DE4"/>
    <w:rsid w:val="000D66CF"/>
    <w:rsid w:val="000E0B22"/>
    <w:rsid w:val="000E260C"/>
    <w:rsid w:val="000E3024"/>
    <w:rsid w:val="000E5D26"/>
    <w:rsid w:val="000F3140"/>
    <w:rsid w:val="000F3F04"/>
    <w:rsid w:val="000F440F"/>
    <w:rsid w:val="000F5186"/>
    <w:rsid w:val="000F7322"/>
    <w:rsid w:val="00100DDA"/>
    <w:rsid w:val="00101864"/>
    <w:rsid w:val="00103DD6"/>
    <w:rsid w:val="00103F51"/>
    <w:rsid w:val="0010403D"/>
    <w:rsid w:val="001048A7"/>
    <w:rsid w:val="001049BD"/>
    <w:rsid w:val="00105C86"/>
    <w:rsid w:val="001129BA"/>
    <w:rsid w:val="0011304A"/>
    <w:rsid w:val="00121B94"/>
    <w:rsid w:val="00123AFA"/>
    <w:rsid w:val="00123BE7"/>
    <w:rsid w:val="0013192B"/>
    <w:rsid w:val="00134393"/>
    <w:rsid w:val="00136BD5"/>
    <w:rsid w:val="00136E77"/>
    <w:rsid w:val="00140B75"/>
    <w:rsid w:val="00140BBA"/>
    <w:rsid w:val="00144F7B"/>
    <w:rsid w:val="00146DA2"/>
    <w:rsid w:val="00153B20"/>
    <w:rsid w:val="00155289"/>
    <w:rsid w:val="00155E75"/>
    <w:rsid w:val="0015695E"/>
    <w:rsid w:val="001576D7"/>
    <w:rsid w:val="00161D7F"/>
    <w:rsid w:val="00162E5B"/>
    <w:rsid w:val="00176AC1"/>
    <w:rsid w:val="00176E69"/>
    <w:rsid w:val="001777CD"/>
    <w:rsid w:val="00177C6A"/>
    <w:rsid w:val="00177DE4"/>
    <w:rsid w:val="0018021C"/>
    <w:rsid w:val="00180734"/>
    <w:rsid w:val="00183D89"/>
    <w:rsid w:val="00184882"/>
    <w:rsid w:val="00184F42"/>
    <w:rsid w:val="001856AE"/>
    <w:rsid w:val="001861EF"/>
    <w:rsid w:val="00186D55"/>
    <w:rsid w:val="001873B3"/>
    <w:rsid w:val="0019126E"/>
    <w:rsid w:val="001918F1"/>
    <w:rsid w:val="00192F2F"/>
    <w:rsid w:val="00193C1E"/>
    <w:rsid w:val="00194C13"/>
    <w:rsid w:val="00195E91"/>
    <w:rsid w:val="001A622C"/>
    <w:rsid w:val="001A66C1"/>
    <w:rsid w:val="001A7F0F"/>
    <w:rsid w:val="001B116F"/>
    <w:rsid w:val="001B1E25"/>
    <w:rsid w:val="001B3B67"/>
    <w:rsid w:val="001B40FA"/>
    <w:rsid w:val="001B4630"/>
    <w:rsid w:val="001B531A"/>
    <w:rsid w:val="001B5B1C"/>
    <w:rsid w:val="001B76C4"/>
    <w:rsid w:val="001C0089"/>
    <w:rsid w:val="001C0C13"/>
    <w:rsid w:val="001D05A3"/>
    <w:rsid w:val="001D0858"/>
    <w:rsid w:val="001D4AA4"/>
    <w:rsid w:val="001D5598"/>
    <w:rsid w:val="001D6932"/>
    <w:rsid w:val="001E29C9"/>
    <w:rsid w:val="001E3C57"/>
    <w:rsid w:val="001E3D31"/>
    <w:rsid w:val="001E64C4"/>
    <w:rsid w:val="001F39B3"/>
    <w:rsid w:val="001F7BE6"/>
    <w:rsid w:val="00201FC5"/>
    <w:rsid w:val="00203A5D"/>
    <w:rsid w:val="0020578F"/>
    <w:rsid w:val="0020783D"/>
    <w:rsid w:val="002108AF"/>
    <w:rsid w:val="002111AA"/>
    <w:rsid w:val="0021629E"/>
    <w:rsid w:val="00222951"/>
    <w:rsid w:val="00223E44"/>
    <w:rsid w:val="00226EEC"/>
    <w:rsid w:val="00226F76"/>
    <w:rsid w:val="00227A4F"/>
    <w:rsid w:val="002310D2"/>
    <w:rsid w:val="00231831"/>
    <w:rsid w:val="002323E7"/>
    <w:rsid w:val="00243F11"/>
    <w:rsid w:val="00244BFA"/>
    <w:rsid w:val="002451EB"/>
    <w:rsid w:val="002509B6"/>
    <w:rsid w:val="00254997"/>
    <w:rsid w:val="00257DE2"/>
    <w:rsid w:val="0026087E"/>
    <w:rsid w:val="00261C84"/>
    <w:rsid w:val="0026594F"/>
    <w:rsid w:val="00267661"/>
    <w:rsid w:val="00267735"/>
    <w:rsid w:val="002720B3"/>
    <w:rsid w:val="00272616"/>
    <w:rsid w:val="002805A6"/>
    <w:rsid w:val="00282890"/>
    <w:rsid w:val="0028378A"/>
    <w:rsid w:val="00283A6F"/>
    <w:rsid w:val="00285978"/>
    <w:rsid w:val="00287E3F"/>
    <w:rsid w:val="002909B2"/>
    <w:rsid w:val="00291589"/>
    <w:rsid w:val="0029208E"/>
    <w:rsid w:val="00292192"/>
    <w:rsid w:val="00293465"/>
    <w:rsid w:val="0029444A"/>
    <w:rsid w:val="002A0E6D"/>
    <w:rsid w:val="002A370F"/>
    <w:rsid w:val="002A3728"/>
    <w:rsid w:val="002A5030"/>
    <w:rsid w:val="002A59F4"/>
    <w:rsid w:val="002A7D03"/>
    <w:rsid w:val="002B0B29"/>
    <w:rsid w:val="002B3B39"/>
    <w:rsid w:val="002B73C7"/>
    <w:rsid w:val="002B780F"/>
    <w:rsid w:val="002C14E6"/>
    <w:rsid w:val="002C21B4"/>
    <w:rsid w:val="002D4563"/>
    <w:rsid w:val="002D5320"/>
    <w:rsid w:val="002D772A"/>
    <w:rsid w:val="002D7AC0"/>
    <w:rsid w:val="002D7DF0"/>
    <w:rsid w:val="002E167C"/>
    <w:rsid w:val="002E1976"/>
    <w:rsid w:val="002E328B"/>
    <w:rsid w:val="002E4F0D"/>
    <w:rsid w:val="002E70CD"/>
    <w:rsid w:val="002F04FF"/>
    <w:rsid w:val="002F0FDE"/>
    <w:rsid w:val="002F62EE"/>
    <w:rsid w:val="002F7C4F"/>
    <w:rsid w:val="00300153"/>
    <w:rsid w:val="003031BC"/>
    <w:rsid w:val="00304763"/>
    <w:rsid w:val="00306EE8"/>
    <w:rsid w:val="0031242C"/>
    <w:rsid w:val="00315502"/>
    <w:rsid w:val="00315793"/>
    <w:rsid w:val="003159B7"/>
    <w:rsid w:val="00320EBB"/>
    <w:rsid w:val="0032542F"/>
    <w:rsid w:val="00325B6F"/>
    <w:rsid w:val="00326EF6"/>
    <w:rsid w:val="00327C34"/>
    <w:rsid w:val="00331B4D"/>
    <w:rsid w:val="003333A1"/>
    <w:rsid w:val="00334C1C"/>
    <w:rsid w:val="0033563E"/>
    <w:rsid w:val="00336F3C"/>
    <w:rsid w:val="00337CCE"/>
    <w:rsid w:val="003405C2"/>
    <w:rsid w:val="00340B23"/>
    <w:rsid w:val="00342036"/>
    <w:rsid w:val="003439E3"/>
    <w:rsid w:val="003442D7"/>
    <w:rsid w:val="00345D55"/>
    <w:rsid w:val="00361A49"/>
    <w:rsid w:val="00361D82"/>
    <w:rsid w:val="0036302D"/>
    <w:rsid w:val="00371FD1"/>
    <w:rsid w:val="00372AC4"/>
    <w:rsid w:val="0037397A"/>
    <w:rsid w:val="00373DFB"/>
    <w:rsid w:val="00374703"/>
    <w:rsid w:val="0037628F"/>
    <w:rsid w:val="0038387B"/>
    <w:rsid w:val="003842A9"/>
    <w:rsid w:val="00384D2D"/>
    <w:rsid w:val="00387EE2"/>
    <w:rsid w:val="00393375"/>
    <w:rsid w:val="003958D4"/>
    <w:rsid w:val="00395CFD"/>
    <w:rsid w:val="0039610C"/>
    <w:rsid w:val="003961EC"/>
    <w:rsid w:val="0039765E"/>
    <w:rsid w:val="003A15AF"/>
    <w:rsid w:val="003A2109"/>
    <w:rsid w:val="003A2148"/>
    <w:rsid w:val="003A3666"/>
    <w:rsid w:val="003A4552"/>
    <w:rsid w:val="003A48C6"/>
    <w:rsid w:val="003A4CC8"/>
    <w:rsid w:val="003A723B"/>
    <w:rsid w:val="003B0427"/>
    <w:rsid w:val="003B25BB"/>
    <w:rsid w:val="003B3B28"/>
    <w:rsid w:val="003B4800"/>
    <w:rsid w:val="003B67EE"/>
    <w:rsid w:val="003B7631"/>
    <w:rsid w:val="003C5231"/>
    <w:rsid w:val="003D1425"/>
    <w:rsid w:val="003D330F"/>
    <w:rsid w:val="003D4DCD"/>
    <w:rsid w:val="003D5668"/>
    <w:rsid w:val="003D57A9"/>
    <w:rsid w:val="003D67D2"/>
    <w:rsid w:val="003E09BC"/>
    <w:rsid w:val="003E1638"/>
    <w:rsid w:val="003E24A3"/>
    <w:rsid w:val="003E2DF0"/>
    <w:rsid w:val="003E4104"/>
    <w:rsid w:val="003E6BBE"/>
    <w:rsid w:val="003F1C03"/>
    <w:rsid w:val="003F1F8B"/>
    <w:rsid w:val="003F2B8F"/>
    <w:rsid w:val="003F7224"/>
    <w:rsid w:val="00401CC5"/>
    <w:rsid w:val="004038CD"/>
    <w:rsid w:val="00406E37"/>
    <w:rsid w:val="00407462"/>
    <w:rsid w:val="0041066B"/>
    <w:rsid w:val="00412C75"/>
    <w:rsid w:val="00416146"/>
    <w:rsid w:val="00422A2E"/>
    <w:rsid w:val="00424FF3"/>
    <w:rsid w:val="004251D5"/>
    <w:rsid w:val="00432801"/>
    <w:rsid w:val="0043374B"/>
    <w:rsid w:val="00433CA6"/>
    <w:rsid w:val="00435FEC"/>
    <w:rsid w:val="00441F18"/>
    <w:rsid w:val="00442C5C"/>
    <w:rsid w:val="004438C3"/>
    <w:rsid w:val="00445FA0"/>
    <w:rsid w:val="00446140"/>
    <w:rsid w:val="004469C7"/>
    <w:rsid w:val="004479C3"/>
    <w:rsid w:val="0045201A"/>
    <w:rsid w:val="004524FC"/>
    <w:rsid w:val="00454364"/>
    <w:rsid w:val="0045759B"/>
    <w:rsid w:val="00460041"/>
    <w:rsid w:val="00461376"/>
    <w:rsid w:val="00467338"/>
    <w:rsid w:val="0047254B"/>
    <w:rsid w:val="00473462"/>
    <w:rsid w:val="00473D56"/>
    <w:rsid w:val="00475ADE"/>
    <w:rsid w:val="004769F4"/>
    <w:rsid w:val="004779B3"/>
    <w:rsid w:val="00480C32"/>
    <w:rsid w:val="00482828"/>
    <w:rsid w:val="00482D89"/>
    <w:rsid w:val="00484556"/>
    <w:rsid w:val="00486F7B"/>
    <w:rsid w:val="00490DE9"/>
    <w:rsid w:val="0049470D"/>
    <w:rsid w:val="004949A6"/>
    <w:rsid w:val="00496A36"/>
    <w:rsid w:val="00497C87"/>
    <w:rsid w:val="004A2D38"/>
    <w:rsid w:val="004A3440"/>
    <w:rsid w:val="004A3B8A"/>
    <w:rsid w:val="004A5F3E"/>
    <w:rsid w:val="004B0C13"/>
    <w:rsid w:val="004B5C96"/>
    <w:rsid w:val="004B5F20"/>
    <w:rsid w:val="004C2FE9"/>
    <w:rsid w:val="004C3168"/>
    <w:rsid w:val="004C3DBC"/>
    <w:rsid w:val="004C5C9E"/>
    <w:rsid w:val="004C77ED"/>
    <w:rsid w:val="004C7FB9"/>
    <w:rsid w:val="004D0586"/>
    <w:rsid w:val="004D125E"/>
    <w:rsid w:val="004D1787"/>
    <w:rsid w:val="004D1F10"/>
    <w:rsid w:val="004D2418"/>
    <w:rsid w:val="004D2C3F"/>
    <w:rsid w:val="004D2D06"/>
    <w:rsid w:val="004D32C4"/>
    <w:rsid w:val="004D3D9F"/>
    <w:rsid w:val="004D64E0"/>
    <w:rsid w:val="004E0082"/>
    <w:rsid w:val="004E4669"/>
    <w:rsid w:val="004E75EF"/>
    <w:rsid w:val="004F0151"/>
    <w:rsid w:val="004F019C"/>
    <w:rsid w:val="004F1F0C"/>
    <w:rsid w:val="004F64AF"/>
    <w:rsid w:val="0050316C"/>
    <w:rsid w:val="005031E2"/>
    <w:rsid w:val="0050387E"/>
    <w:rsid w:val="005114DC"/>
    <w:rsid w:val="00513E78"/>
    <w:rsid w:val="005148A9"/>
    <w:rsid w:val="00515450"/>
    <w:rsid w:val="00517E7C"/>
    <w:rsid w:val="00522FEA"/>
    <w:rsid w:val="00525C8D"/>
    <w:rsid w:val="005261B3"/>
    <w:rsid w:val="005269CD"/>
    <w:rsid w:val="00526C95"/>
    <w:rsid w:val="00527C67"/>
    <w:rsid w:val="00531BAD"/>
    <w:rsid w:val="0053251E"/>
    <w:rsid w:val="00533883"/>
    <w:rsid w:val="005355D6"/>
    <w:rsid w:val="005363B1"/>
    <w:rsid w:val="00536BE5"/>
    <w:rsid w:val="00540DD7"/>
    <w:rsid w:val="00544900"/>
    <w:rsid w:val="00545FF0"/>
    <w:rsid w:val="00547D23"/>
    <w:rsid w:val="005539AB"/>
    <w:rsid w:val="005578C7"/>
    <w:rsid w:val="00560BDF"/>
    <w:rsid w:val="0056576E"/>
    <w:rsid w:val="00571815"/>
    <w:rsid w:val="00575B1A"/>
    <w:rsid w:val="0057651A"/>
    <w:rsid w:val="00577F02"/>
    <w:rsid w:val="00581CB1"/>
    <w:rsid w:val="00581EB7"/>
    <w:rsid w:val="0058726F"/>
    <w:rsid w:val="0059078B"/>
    <w:rsid w:val="0059237B"/>
    <w:rsid w:val="00593828"/>
    <w:rsid w:val="00595EE0"/>
    <w:rsid w:val="00596E4F"/>
    <w:rsid w:val="005A433F"/>
    <w:rsid w:val="005A7A6C"/>
    <w:rsid w:val="005B540E"/>
    <w:rsid w:val="005C230F"/>
    <w:rsid w:val="005C4566"/>
    <w:rsid w:val="005C45F4"/>
    <w:rsid w:val="005D02E4"/>
    <w:rsid w:val="005D0AB6"/>
    <w:rsid w:val="005D3FAD"/>
    <w:rsid w:val="005D5311"/>
    <w:rsid w:val="005D7B30"/>
    <w:rsid w:val="005E0716"/>
    <w:rsid w:val="005E2F60"/>
    <w:rsid w:val="005E68CA"/>
    <w:rsid w:val="005F1136"/>
    <w:rsid w:val="005F1B35"/>
    <w:rsid w:val="005F557A"/>
    <w:rsid w:val="005F618A"/>
    <w:rsid w:val="0060053D"/>
    <w:rsid w:val="0060361C"/>
    <w:rsid w:val="006057B5"/>
    <w:rsid w:val="00606FA9"/>
    <w:rsid w:val="00611B15"/>
    <w:rsid w:val="006139D3"/>
    <w:rsid w:val="006165AD"/>
    <w:rsid w:val="00622564"/>
    <w:rsid w:val="0062437E"/>
    <w:rsid w:val="006248E2"/>
    <w:rsid w:val="00625430"/>
    <w:rsid w:val="00625866"/>
    <w:rsid w:val="00631671"/>
    <w:rsid w:val="006333F5"/>
    <w:rsid w:val="00635F59"/>
    <w:rsid w:val="0063787E"/>
    <w:rsid w:val="00637FE1"/>
    <w:rsid w:val="006475C0"/>
    <w:rsid w:val="00651D07"/>
    <w:rsid w:val="0065497A"/>
    <w:rsid w:val="00654CBF"/>
    <w:rsid w:val="00656CDE"/>
    <w:rsid w:val="0066272F"/>
    <w:rsid w:val="00667E0D"/>
    <w:rsid w:val="00670137"/>
    <w:rsid w:val="00673BC3"/>
    <w:rsid w:val="006747AD"/>
    <w:rsid w:val="00675232"/>
    <w:rsid w:val="00675FF7"/>
    <w:rsid w:val="00676D41"/>
    <w:rsid w:val="00677FF4"/>
    <w:rsid w:val="00680C6D"/>
    <w:rsid w:val="00682395"/>
    <w:rsid w:val="00682CAF"/>
    <w:rsid w:val="0068302D"/>
    <w:rsid w:val="0068312A"/>
    <w:rsid w:val="00687AA5"/>
    <w:rsid w:val="006910EB"/>
    <w:rsid w:val="00691D62"/>
    <w:rsid w:val="00692D43"/>
    <w:rsid w:val="006941F0"/>
    <w:rsid w:val="00694E24"/>
    <w:rsid w:val="0069673C"/>
    <w:rsid w:val="006A09E6"/>
    <w:rsid w:val="006A2D34"/>
    <w:rsid w:val="006A391E"/>
    <w:rsid w:val="006A49DF"/>
    <w:rsid w:val="006A5137"/>
    <w:rsid w:val="006A5D8A"/>
    <w:rsid w:val="006B0220"/>
    <w:rsid w:val="006B106F"/>
    <w:rsid w:val="006B186E"/>
    <w:rsid w:val="006B3852"/>
    <w:rsid w:val="006B3F1C"/>
    <w:rsid w:val="006B62A9"/>
    <w:rsid w:val="006B655C"/>
    <w:rsid w:val="006B6C13"/>
    <w:rsid w:val="006C202D"/>
    <w:rsid w:val="006C22D8"/>
    <w:rsid w:val="006C2A7C"/>
    <w:rsid w:val="006C5A55"/>
    <w:rsid w:val="006D3AAB"/>
    <w:rsid w:val="006D494B"/>
    <w:rsid w:val="006D4C35"/>
    <w:rsid w:val="006D7068"/>
    <w:rsid w:val="006E000C"/>
    <w:rsid w:val="006E0959"/>
    <w:rsid w:val="006E1991"/>
    <w:rsid w:val="006E25EA"/>
    <w:rsid w:val="006E7169"/>
    <w:rsid w:val="006F4490"/>
    <w:rsid w:val="006F5746"/>
    <w:rsid w:val="006F5FE2"/>
    <w:rsid w:val="006F729E"/>
    <w:rsid w:val="0070175C"/>
    <w:rsid w:val="00701E4B"/>
    <w:rsid w:val="00704489"/>
    <w:rsid w:val="007048F4"/>
    <w:rsid w:val="00706343"/>
    <w:rsid w:val="007068B4"/>
    <w:rsid w:val="007123D0"/>
    <w:rsid w:val="00712AC4"/>
    <w:rsid w:val="00715376"/>
    <w:rsid w:val="007200F0"/>
    <w:rsid w:val="0072014B"/>
    <w:rsid w:val="0072190F"/>
    <w:rsid w:val="007233B2"/>
    <w:rsid w:val="00725435"/>
    <w:rsid w:val="00727993"/>
    <w:rsid w:val="007347E4"/>
    <w:rsid w:val="00735103"/>
    <w:rsid w:val="00735E59"/>
    <w:rsid w:val="00737240"/>
    <w:rsid w:val="007373D8"/>
    <w:rsid w:val="007400FD"/>
    <w:rsid w:val="007413D2"/>
    <w:rsid w:val="00752168"/>
    <w:rsid w:val="00752FEE"/>
    <w:rsid w:val="007541CF"/>
    <w:rsid w:val="00757693"/>
    <w:rsid w:val="00763B48"/>
    <w:rsid w:val="00763CB0"/>
    <w:rsid w:val="00765429"/>
    <w:rsid w:val="00765D88"/>
    <w:rsid w:val="007660B1"/>
    <w:rsid w:val="00767188"/>
    <w:rsid w:val="0077026B"/>
    <w:rsid w:val="0077127C"/>
    <w:rsid w:val="00771C80"/>
    <w:rsid w:val="0077486A"/>
    <w:rsid w:val="00780B79"/>
    <w:rsid w:val="0078128D"/>
    <w:rsid w:val="0078237D"/>
    <w:rsid w:val="007826FE"/>
    <w:rsid w:val="0078483E"/>
    <w:rsid w:val="00785F1D"/>
    <w:rsid w:val="00790281"/>
    <w:rsid w:val="00791461"/>
    <w:rsid w:val="007936E0"/>
    <w:rsid w:val="00795DCD"/>
    <w:rsid w:val="007A1504"/>
    <w:rsid w:val="007A2588"/>
    <w:rsid w:val="007A2D5A"/>
    <w:rsid w:val="007A318A"/>
    <w:rsid w:val="007A46A2"/>
    <w:rsid w:val="007A4932"/>
    <w:rsid w:val="007A61F4"/>
    <w:rsid w:val="007B4690"/>
    <w:rsid w:val="007B4A8A"/>
    <w:rsid w:val="007B53F3"/>
    <w:rsid w:val="007B632B"/>
    <w:rsid w:val="007C1095"/>
    <w:rsid w:val="007C1B53"/>
    <w:rsid w:val="007C4871"/>
    <w:rsid w:val="007C56D2"/>
    <w:rsid w:val="007D0441"/>
    <w:rsid w:val="007D1FA0"/>
    <w:rsid w:val="007D254B"/>
    <w:rsid w:val="007D4F1B"/>
    <w:rsid w:val="007D5BCF"/>
    <w:rsid w:val="007D6D35"/>
    <w:rsid w:val="007E1AC7"/>
    <w:rsid w:val="007E7E17"/>
    <w:rsid w:val="007F0A5F"/>
    <w:rsid w:val="007F0D0E"/>
    <w:rsid w:val="007F12A3"/>
    <w:rsid w:val="007F4DF8"/>
    <w:rsid w:val="007F5953"/>
    <w:rsid w:val="007F5DF0"/>
    <w:rsid w:val="007F5F24"/>
    <w:rsid w:val="007F7947"/>
    <w:rsid w:val="0080255E"/>
    <w:rsid w:val="00803018"/>
    <w:rsid w:val="00811865"/>
    <w:rsid w:val="00813C89"/>
    <w:rsid w:val="00814ADD"/>
    <w:rsid w:val="008159AE"/>
    <w:rsid w:val="00816C92"/>
    <w:rsid w:val="00820A9A"/>
    <w:rsid w:val="00822874"/>
    <w:rsid w:val="00822BA0"/>
    <w:rsid w:val="008234C4"/>
    <w:rsid w:val="0082471A"/>
    <w:rsid w:val="008259BF"/>
    <w:rsid w:val="00827858"/>
    <w:rsid w:val="00827B88"/>
    <w:rsid w:val="008306EA"/>
    <w:rsid w:val="00831B38"/>
    <w:rsid w:val="00833BFC"/>
    <w:rsid w:val="008343F5"/>
    <w:rsid w:val="0083496D"/>
    <w:rsid w:val="0084033E"/>
    <w:rsid w:val="008430E5"/>
    <w:rsid w:val="0084324A"/>
    <w:rsid w:val="00843B4B"/>
    <w:rsid w:val="008445D5"/>
    <w:rsid w:val="008465E2"/>
    <w:rsid w:val="008512BF"/>
    <w:rsid w:val="0085674A"/>
    <w:rsid w:val="00857A01"/>
    <w:rsid w:val="00860F8E"/>
    <w:rsid w:val="008629AB"/>
    <w:rsid w:val="008635E1"/>
    <w:rsid w:val="00865A6C"/>
    <w:rsid w:val="008702C2"/>
    <w:rsid w:val="008707F7"/>
    <w:rsid w:val="0087244C"/>
    <w:rsid w:val="00872797"/>
    <w:rsid w:val="008734D5"/>
    <w:rsid w:val="00873779"/>
    <w:rsid w:val="008742B6"/>
    <w:rsid w:val="0087708A"/>
    <w:rsid w:val="008819AE"/>
    <w:rsid w:val="00881BE3"/>
    <w:rsid w:val="00882232"/>
    <w:rsid w:val="00884E07"/>
    <w:rsid w:val="0088729F"/>
    <w:rsid w:val="008911C0"/>
    <w:rsid w:val="00893597"/>
    <w:rsid w:val="00896DE4"/>
    <w:rsid w:val="008975EB"/>
    <w:rsid w:val="008A010A"/>
    <w:rsid w:val="008A12CE"/>
    <w:rsid w:val="008A1D3C"/>
    <w:rsid w:val="008A2791"/>
    <w:rsid w:val="008A3334"/>
    <w:rsid w:val="008A46A7"/>
    <w:rsid w:val="008A7BD0"/>
    <w:rsid w:val="008A7ECE"/>
    <w:rsid w:val="008C480E"/>
    <w:rsid w:val="008C53CE"/>
    <w:rsid w:val="008C5AAE"/>
    <w:rsid w:val="008D3B70"/>
    <w:rsid w:val="008D404A"/>
    <w:rsid w:val="008D4FAE"/>
    <w:rsid w:val="008D7262"/>
    <w:rsid w:val="008E05BA"/>
    <w:rsid w:val="008E1C96"/>
    <w:rsid w:val="008E40BC"/>
    <w:rsid w:val="008E4D62"/>
    <w:rsid w:val="008E70A5"/>
    <w:rsid w:val="008F1FF4"/>
    <w:rsid w:val="008F2F5B"/>
    <w:rsid w:val="008F5F39"/>
    <w:rsid w:val="00900410"/>
    <w:rsid w:val="00901470"/>
    <w:rsid w:val="00902F69"/>
    <w:rsid w:val="00903527"/>
    <w:rsid w:val="00903CA4"/>
    <w:rsid w:val="00903F8D"/>
    <w:rsid w:val="00907825"/>
    <w:rsid w:val="00907A50"/>
    <w:rsid w:val="00907D92"/>
    <w:rsid w:val="00907F0A"/>
    <w:rsid w:val="009113DF"/>
    <w:rsid w:val="00911D2A"/>
    <w:rsid w:val="00912669"/>
    <w:rsid w:val="00916295"/>
    <w:rsid w:val="00917C17"/>
    <w:rsid w:val="00922D99"/>
    <w:rsid w:val="0092444C"/>
    <w:rsid w:val="00926891"/>
    <w:rsid w:val="00943009"/>
    <w:rsid w:val="0094347F"/>
    <w:rsid w:val="00954250"/>
    <w:rsid w:val="00954524"/>
    <w:rsid w:val="00955EF1"/>
    <w:rsid w:val="00955FAB"/>
    <w:rsid w:val="009606D1"/>
    <w:rsid w:val="009641EB"/>
    <w:rsid w:val="0096653F"/>
    <w:rsid w:val="00967C6A"/>
    <w:rsid w:val="00970579"/>
    <w:rsid w:val="00972359"/>
    <w:rsid w:val="0097279E"/>
    <w:rsid w:val="00975602"/>
    <w:rsid w:val="009769D3"/>
    <w:rsid w:val="0097725B"/>
    <w:rsid w:val="009812AB"/>
    <w:rsid w:val="00984C75"/>
    <w:rsid w:val="00986004"/>
    <w:rsid w:val="009875F1"/>
    <w:rsid w:val="0099260C"/>
    <w:rsid w:val="00993C45"/>
    <w:rsid w:val="009977B5"/>
    <w:rsid w:val="009A21AF"/>
    <w:rsid w:val="009A7887"/>
    <w:rsid w:val="009B0695"/>
    <w:rsid w:val="009C163A"/>
    <w:rsid w:val="009C19FB"/>
    <w:rsid w:val="009C4855"/>
    <w:rsid w:val="009D223C"/>
    <w:rsid w:val="009D57F2"/>
    <w:rsid w:val="009D69E3"/>
    <w:rsid w:val="009D7EA0"/>
    <w:rsid w:val="009E02C6"/>
    <w:rsid w:val="009E0CA4"/>
    <w:rsid w:val="009E3101"/>
    <w:rsid w:val="009E61D5"/>
    <w:rsid w:val="009E6236"/>
    <w:rsid w:val="009E6A6F"/>
    <w:rsid w:val="009F01AC"/>
    <w:rsid w:val="009F31AF"/>
    <w:rsid w:val="009F3774"/>
    <w:rsid w:val="009F5762"/>
    <w:rsid w:val="009F5901"/>
    <w:rsid w:val="009F7963"/>
    <w:rsid w:val="00A03D20"/>
    <w:rsid w:val="00A05401"/>
    <w:rsid w:val="00A057E1"/>
    <w:rsid w:val="00A05B5A"/>
    <w:rsid w:val="00A066D5"/>
    <w:rsid w:val="00A06F55"/>
    <w:rsid w:val="00A0725E"/>
    <w:rsid w:val="00A10BF4"/>
    <w:rsid w:val="00A10CDD"/>
    <w:rsid w:val="00A10FF1"/>
    <w:rsid w:val="00A11A2A"/>
    <w:rsid w:val="00A11C1C"/>
    <w:rsid w:val="00A12433"/>
    <w:rsid w:val="00A12E97"/>
    <w:rsid w:val="00A1670D"/>
    <w:rsid w:val="00A16C7A"/>
    <w:rsid w:val="00A215E0"/>
    <w:rsid w:val="00A22A71"/>
    <w:rsid w:val="00A26450"/>
    <w:rsid w:val="00A26DCB"/>
    <w:rsid w:val="00A362F4"/>
    <w:rsid w:val="00A3654A"/>
    <w:rsid w:val="00A41A67"/>
    <w:rsid w:val="00A41CDD"/>
    <w:rsid w:val="00A42401"/>
    <w:rsid w:val="00A47657"/>
    <w:rsid w:val="00A477AF"/>
    <w:rsid w:val="00A479D6"/>
    <w:rsid w:val="00A47AB0"/>
    <w:rsid w:val="00A51435"/>
    <w:rsid w:val="00A547B0"/>
    <w:rsid w:val="00A57B98"/>
    <w:rsid w:val="00A613C9"/>
    <w:rsid w:val="00A62A59"/>
    <w:rsid w:val="00A6464B"/>
    <w:rsid w:val="00A64C5C"/>
    <w:rsid w:val="00A66867"/>
    <w:rsid w:val="00A66EC6"/>
    <w:rsid w:val="00A7592F"/>
    <w:rsid w:val="00A8108C"/>
    <w:rsid w:val="00A874F7"/>
    <w:rsid w:val="00A90650"/>
    <w:rsid w:val="00A92960"/>
    <w:rsid w:val="00A96BE3"/>
    <w:rsid w:val="00A97FE6"/>
    <w:rsid w:val="00AA23E2"/>
    <w:rsid w:val="00AA2D2B"/>
    <w:rsid w:val="00AA2EE0"/>
    <w:rsid w:val="00AA5072"/>
    <w:rsid w:val="00AA5EAA"/>
    <w:rsid w:val="00AA6CFC"/>
    <w:rsid w:val="00AA706D"/>
    <w:rsid w:val="00AB0902"/>
    <w:rsid w:val="00AB1043"/>
    <w:rsid w:val="00AB3641"/>
    <w:rsid w:val="00AB4171"/>
    <w:rsid w:val="00AB4D7D"/>
    <w:rsid w:val="00AB5913"/>
    <w:rsid w:val="00AB6C3E"/>
    <w:rsid w:val="00AC15EE"/>
    <w:rsid w:val="00AC4DCD"/>
    <w:rsid w:val="00AC63D1"/>
    <w:rsid w:val="00AC7A3F"/>
    <w:rsid w:val="00AD162B"/>
    <w:rsid w:val="00AD7EDA"/>
    <w:rsid w:val="00AE11AB"/>
    <w:rsid w:val="00AE1C06"/>
    <w:rsid w:val="00AE1E83"/>
    <w:rsid w:val="00AE4425"/>
    <w:rsid w:val="00AE4C99"/>
    <w:rsid w:val="00AE67CE"/>
    <w:rsid w:val="00AE77B3"/>
    <w:rsid w:val="00AF067F"/>
    <w:rsid w:val="00AF0C5C"/>
    <w:rsid w:val="00AF6B01"/>
    <w:rsid w:val="00B02B33"/>
    <w:rsid w:val="00B038AA"/>
    <w:rsid w:val="00B06C16"/>
    <w:rsid w:val="00B10F3E"/>
    <w:rsid w:val="00B154EA"/>
    <w:rsid w:val="00B15C10"/>
    <w:rsid w:val="00B17BE8"/>
    <w:rsid w:val="00B20A0C"/>
    <w:rsid w:val="00B21350"/>
    <w:rsid w:val="00B24356"/>
    <w:rsid w:val="00B26AC6"/>
    <w:rsid w:val="00B3025F"/>
    <w:rsid w:val="00B3275C"/>
    <w:rsid w:val="00B32C37"/>
    <w:rsid w:val="00B33439"/>
    <w:rsid w:val="00B33EFE"/>
    <w:rsid w:val="00B3470B"/>
    <w:rsid w:val="00B4471A"/>
    <w:rsid w:val="00B47A54"/>
    <w:rsid w:val="00B5283B"/>
    <w:rsid w:val="00B530C1"/>
    <w:rsid w:val="00B53373"/>
    <w:rsid w:val="00B54925"/>
    <w:rsid w:val="00B55145"/>
    <w:rsid w:val="00B62363"/>
    <w:rsid w:val="00B626B3"/>
    <w:rsid w:val="00B63474"/>
    <w:rsid w:val="00B66A09"/>
    <w:rsid w:val="00B67B85"/>
    <w:rsid w:val="00B705B9"/>
    <w:rsid w:val="00B70C0A"/>
    <w:rsid w:val="00B70D18"/>
    <w:rsid w:val="00B71C81"/>
    <w:rsid w:val="00B721F8"/>
    <w:rsid w:val="00B727C1"/>
    <w:rsid w:val="00B750F2"/>
    <w:rsid w:val="00B76279"/>
    <w:rsid w:val="00B769BD"/>
    <w:rsid w:val="00B81CAC"/>
    <w:rsid w:val="00B8387C"/>
    <w:rsid w:val="00B86291"/>
    <w:rsid w:val="00B8744F"/>
    <w:rsid w:val="00B909EE"/>
    <w:rsid w:val="00B9229E"/>
    <w:rsid w:val="00B94ED4"/>
    <w:rsid w:val="00B96CA0"/>
    <w:rsid w:val="00BA203B"/>
    <w:rsid w:val="00BA6D88"/>
    <w:rsid w:val="00BB1536"/>
    <w:rsid w:val="00BB42BA"/>
    <w:rsid w:val="00BB6B2F"/>
    <w:rsid w:val="00BB7453"/>
    <w:rsid w:val="00BC2071"/>
    <w:rsid w:val="00BC2B1A"/>
    <w:rsid w:val="00BC3E30"/>
    <w:rsid w:val="00BC5245"/>
    <w:rsid w:val="00BC6C04"/>
    <w:rsid w:val="00BC74D8"/>
    <w:rsid w:val="00BC752B"/>
    <w:rsid w:val="00BC780A"/>
    <w:rsid w:val="00BD05D9"/>
    <w:rsid w:val="00BD22C6"/>
    <w:rsid w:val="00BD2671"/>
    <w:rsid w:val="00BD3798"/>
    <w:rsid w:val="00BD7685"/>
    <w:rsid w:val="00BD7AB5"/>
    <w:rsid w:val="00BE0822"/>
    <w:rsid w:val="00BE3E00"/>
    <w:rsid w:val="00BE4CCC"/>
    <w:rsid w:val="00BE5F29"/>
    <w:rsid w:val="00BE64B2"/>
    <w:rsid w:val="00BE74E6"/>
    <w:rsid w:val="00BF3A3A"/>
    <w:rsid w:val="00BF3BF2"/>
    <w:rsid w:val="00C01050"/>
    <w:rsid w:val="00C04D7E"/>
    <w:rsid w:val="00C077C8"/>
    <w:rsid w:val="00C1272A"/>
    <w:rsid w:val="00C24413"/>
    <w:rsid w:val="00C25045"/>
    <w:rsid w:val="00C27AA3"/>
    <w:rsid w:val="00C312B7"/>
    <w:rsid w:val="00C31ABF"/>
    <w:rsid w:val="00C32BB6"/>
    <w:rsid w:val="00C34F0C"/>
    <w:rsid w:val="00C379C1"/>
    <w:rsid w:val="00C404E5"/>
    <w:rsid w:val="00C42A1E"/>
    <w:rsid w:val="00C4681D"/>
    <w:rsid w:val="00C50596"/>
    <w:rsid w:val="00C513BB"/>
    <w:rsid w:val="00C55D0B"/>
    <w:rsid w:val="00C61FB0"/>
    <w:rsid w:val="00C65419"/>
    <w:rsid w:val="00C6566C"/>
    <w:rsid w:val="00C66047"/>
    <w:rsid w:val="00C67157"/>
    <w:rsid w:val="00C67793"/>
    <w:rsid w:val="00C70A56"/>
    <w:rsid w:val="00C722F8"/>
    <w:rsid w:val="00C738E5"/>
    <w:rsid w:val="00C7590A"/>
    <w:rsid w:val="00C76F6B"/>
    <w:rsid w:val="00C80F35"/>
    <w:rsid w:val="00C81EBE"/>
    <w:rsid w:val="00C842BB"/>
    <w:rsid w:val="00C86728"/>
    <w:rsid w:val="00C90CB0"/>
    <w:rsid w:val="00C93087"/>
    <w:rsid w:val="00C93185"/>
    <w:rsid w:val="00C933E3"/>
    <w:rsid w:val="00C93FF4"/>
    <w:rsid w:val="00C951B1"/>
    <w:rsid w:val="00C96AAF"/>
    <w:rsid w:val="00CA1064"/>
    <w:rsid w:val="00CA405B"/>
    <w:rsid w:val="00CA4552"/>
    <w:rsid w:val="00CA5E72"/>
    <w:rsid w:val="00CB3213"/>
    <w:rsid w:val="00CB4261"/>
    <w:rsid w:val="00CB51D3"/>
    <w:rsid w:val="00CB75A8"/>
    <w:rsid w:val="00CC144A"/>
    <w:rsid w:val="00CC156C"/>
    <w:rsid w:val="00CC33EE"/>
    <w:rsid w:val="00CC4F98"/>
    <w:rsid w:val="00CC5623"/>
    <w:rsid w:val="00CD15CD"/>
    <w:rsid w:val="00CD20B5"/>
    <w:rsid w:val="00CD254B"/>
    <w:rsid w:val="00CD2C64"/>
    <w:rsid w:val="00CE36DD"/>
    <w:rsid w:val="00CE3FD7"/>
    <w:rsid w:val="00CE4473"/>
    <w:rsid w:val="00CE47F1"/>
    <w:rsid w:val="00CF02CA"/>
    <w:rsid w:val="00CF0725"/>
    <w:rsid w:val="00CF21CE"/>
    <w:rsid w:val="00D0004E"/>
    <w:rsid w:val="00D0083D"/>
    <w:rsid w:val="00D01B5C"/>
    <w:rsid w:val="00D1666B"/>
    <w:rsid w:val="00D17E5B"/>
    <w:rsid w:val="00D20429"/>
    <w:rsid w:val="00D21FC6"/>
    <w:rsid w:val="00D33704"/>
    <w:rsid w:val="00D33747"/>
    <w:rsid w:val="00D337DE"/>
    <w:rsid w:val="00D41CC0"/>
    <w:rsid w:val="00D4420D"/>
    <w:rsid w:val="00D46168"/>
    <w:rsid w:val="00D50F5B"/>
    <w:rsid w:val="00D51D1E"/>
    <w:rsid w:val="00D51FBB"/>
    <w:rsid w:val="00D54C5A"/>
    <w:rsid w:val="00D5779A"/>
    <w:rsid w:val="00D64CEB"/>
    <w:rsid w:val="00D652E0"/>
    <w:rsid w:val="00D655B9"/>
    <w:rsid w:val="00D706FC"/>
    <w:rsid w:val="00D7381D"/>
    <w:rsid w:val="00D73EB9"/>
    <w:rsid w:val="00D74CC4"/>
    <w:rsid w:val="00D75CC5"/>
    <w:rsid w:val="00D76DCD"/>
    <w:rsid w:val="00D778F7"/>
    <w:rsid w:val="00D834FB"/>
    <w:rsid w:val="00D84EA2"/>
    <w:rsid w:val="00D8726A"/>
    <w:rsid w:val="00D9030D"/>
    <w:rsid w:val="00D936EE"/>
    <w:rsid w:val="00D95CCE"/>
    <w:rsid w:val="00D96832"/>
    <w:rsid w:val="00D96DDA"/>
    <w:rsid w:val="00DA0B27"/>
    <w:rsid w:val="00DA4ED1"/>
    <w:rsid w:val="00DA6D1C"/>
    <w:rsid w:val="00DB0A10"/>
    <w:rsid w:val="00DB3257"/>
    <w:rsid w:val="00DB4A33"/>
    <w:rsid w:val="00DB7743"/>
    <w:rsid w:val="00DB7D28"/>
    <w:rsid w:val="00DC26CF"/>
    <w:rsid w:val="00DC3067"/>
    <w:rsid w:val="00DC3D1B"/>
    <w:rsid w:val="00DC5EBE"/>
    <w:rsid w:val="00DC61D2"/>
    <w:rsid w:val="00DD2E75"/>
    <w:rsid w:val="00DD32CA"/>
    <w:rsid w:val="00DD61DF"/>
    <w:rsid w:val="00DE18BC"/>
    <w:rsid w:val="00DE36CE"/>
    <w:rsid w:val="00DE4D0E"/>
    <w:rsid w:val="00DE64F2"/>
    <w:rsid w:val="00DF229E"/>
    <w:rsid w:val="00DF23F3"/>
    <w:rsid w:val="00DF5D51"/>
    <w:rsid w:val="00DF6602"/>
    <w:rsid w:val="00DF6A49"/>
    <w:rsid w:val="00DF6EF5"/>
    <w:rsid w:val="00DF7792"/>
    <w:rsid w:val="00DF7BBE"/>
    <w:rsid w:val="00DF7F1E"/>
    <w:rsid w:val="00E00783"/>
    <w:rsid w:val="00E01413"/>
    <w:rsid w:val="00E062C2"/>
    <w:rsid w:val="00E10B5E"/>
    <w:rsid w:val="00E1351C"/>
    <w:rsid w:val="00E13881"/>
    <w:rsid w:val="00E15A7D"/>
    <w:rsid w:val="00E278EF"/>
    <w:rsid w:val="00E27A4B"/>
    <w:rsid w:val="00E27AE3"/>
    <w:rsid w:val="00E323F2"/>
    <w:rsid w:val="00E337A2"/>
    <w:rsid w:val="00E367AA"/>
    <w:rsid w:val="00E371B7"/>
    <w:rsid w:val="00E37C14"/>
    <w:rsid w:val="00E42400"/>
    <w:rsid w:val="00E43BB7"/>
    <w:rsid w:val="00E4400F"/>
    <w:rsid w:val="00E470BE"/>
    <w:rsid w:val="00E47DE3"/>
    <w:rsid w:val="00E5211D"/>
    <w:rsid w:val="00E52615"/>
    <w:rsid w:val="00E52DD0"/>
    <w:rsid w:val="00E53046"/>
    <w:rsid w:val="00E575C0"/>
    <w:rsid w:val="00E6127A"/>
    <w:rsid w:val="00E70281"/>
    <w:rsid w:val="00E70913"/>
    <w:rsid w:val="00E7163B"/>
    <w:rsid w:val="00E721F1"/>
    <w:rsid w:val="00E733E2"/>
    <w:rsid w:val="00E73B4A"/>
    <w:rsid w:val="00E73E3C"/>
    <w:rsid w:val="00E76F39"/>
    <w:rsid w:val="00E775AD"/>
    <w:rsid w:val="00E817A9"/>
    <w:rsid w:val="00E8240F"/>
    <w:rsid w:val="00E85494"/>
    <w:rsid w:val="00E85670"/>
    <w:rsid w:val="00E86AF4"/>
    <w:rsid w:val="00E91614"/>
    <w:rsid w:val="00E917D2"/>
    <w:rsid w:val="00E9231A"/>
    <w:rsid w:val="00E9368A"/>
    <w:rsid w:val="00E94198"/>
    <w:rsid w:val="00E944F8"/>
    <w:rsid w:val="00E95428"/>
    <w:rsid w:val="00EA20E1"/>
    <w:rsid w:val="00EA2AC0"/>
    <w:rsid w:val="00EA5E22"/>
    <w:rsid w:val="00EB0434"/>
    <w:rsid w:val="00EB044F"/>
    <w:rsid w:val="00EB2450"/>
    <w:rsid w:val="00EB284F"/>
    <w:rsid w:val="00EB70AC"/>
    <w:rsid w:val="00EB7343"/>
    <w:rsid w:val="00EC02AA"/>
    <w:rsid w:val="00EC18B9"/>
    <w:rsid w:val="00EC244C"/>
    <w:rsid w:val="00EC3DAD"/>
    <w:rsid w:val="00EC4A4B"/>
    <w:rsid w:val="00EC4AD5"/>
    <w:rsid w:val="00EC66BE"/>
    <w:rsid w:val="00ED1056"/>
    <w:rsid w:val="00ED49DC"/>
    <w:rsid w:val="00ED5123"/>
    <w:rsid w:val="00EE08C5"/>
    <w:rsid w:val="00EE16D2"/>
    <w:rsid w:val="00EE463D"/>
    <w:rsid w:val="00EE5B6E"/>
    <w:rsid w:val="00EE6702"/>
    <w:rsid w:val="00EE6D58"/>
    <w:rsid w:val="00EE72D7"/>
    <w:rsid w:val="00EE7D3D"/>
    <w:rsid w:val="00EF2BF4"/>
    <w:rsid w:val="00EF41E5"/>
    <w:rsid w:val="00EF4209"/>
    <w:rsid w:val="00EF4B57"/>
    <w:rsid w:val="00EF7212"/>
    <w:rsid w:val="00F01D58"/>
    <w:rsid w:val="00F06E20"/>
    <w:rsid w:val="00F1501E"/>
    <w:rsid w:val="00F151DA"/>
    <w:rsid w:val="00F153D3"/>
    <w:rsid w:val="00F17097"/>
    <w:rsid w:val="00F20D80"/>
    <w:rsid w:val="00F2711B"/>
    <w:rsid w:val="00F33D92"/>
    <w:rsid w:val="00F369DC"/>
    <w:rsid w:val="00F44D45"/>
    <w:rsid w:val="00F44D75"/>
    <w:rsid w:val="00F451B4"/>
    <w:rsid w:val="00F46CBD"/>
    <w:rsid w:val="00F47B8B"/>
    <w:rsid w:val="00F509FF"/>
    <w:rsid w:val="00F51863"/>
    <w:rsid w:val="00F51EF1"/>
    <w:rsid w:val="00F52F7B"/>
    <w:rsid w:val="00F534BB"/>
    <w:rsid w:val="00F53E54"/>
    <w:rsid w:val="00F57DEA"/>
    <w:rsid w:val="00F62AEF"/>
    <w:rsid w:val="00F62E0D"/>
    <w:rsid w:val="00F62E2A"/>
    <w:rsid w:val="00F632C3"/>
    <w:rsid w:val="00F64003"/>
    <w:rsid w:val="00F640A0"/>
    <w:rsid w:val="00F657F7"/>
    <w:rsid w:val="00F673DC"/>
    <w:rsid w:val="00F71724"/>
    <w:rsid w:val="00F71F4D"/>
    <w:rsid w:val="00F749D3"/>
    <w:rsid w:val="00F74FF6"/>
    <w:rsid w:val="00F753D7"/>
    <w:rsid w:val="00F75E72"/>
    <w:rsid w:val="00F76351"/>
    <w:rsid w:val="00F76490"/>
    <w:rsid w:val="00F77326"/>
    <w:rsid w:val="00F779E9"/>
    <w:rsid w:val="00F831A0"/>
    <w:rsid w:val="00F851F5"/>
    <w:rsid w:val="00F86B20"/>
    <w:rsid w:val="00F9028D"/>
    <w:rsid w:val="00F90758"/>
    <w:rsid w:val="00F93278"/>
    <w:rsid w:val="00F94483"/>
    <w:rsid w:val="00F97039"/>
    <w:rsid w:val="00FA10B5"/>
    <w:rsid w:val="00FA2164"/>
    <w:rsid w:val="00FA6C8B"/>
    <w:rsid w:val="00FB287F"/>
    <w:rsid w:val="00FB4826"/>
    <w:rsid w:val="00FB6380"/>
    <w:rsid w:val="00FB6EC4"/>
    <w:rsid w:val="00FB7B37"/>
    <w:rsid w:val="00FC0863"/>
    <w:rsid w:val="00FC0FC8"/>
    <w:rsid w:val="00FC1000"/>
    <w:rsid w:val="00FC3FBB"/>
    <w:rsid w:val="00FC4CCA"/>
    <w:rsid w:val="00FC7649"/>
    <w:rsid w:val="00FD1FFC"/>
    <w:rsid w:val="00FD28AC"/>
    <w:rsid w:val="00FD49D0"/>
    <w:rsid w:val="00FD5054"/>
    <w:rsid w:val="00FD60D2"/>
    <w:rsid w:val="00FD7A94"/>
    <w:rsid w:val="00FE20E5"/>
    <w:rsid w:val="00FE6C49"/>
    <w:rsid w:val="00FE6DDC"/>
    <w:rsid w:val="00FE6DE0"/>
    <w:rsid w:val="00FF1BA8"/>
    <w:rsid w:val="00FF370F"/>
    <w:rsid w:val="00FF3C7E"/>
    <w:rsid w:val="011377AF"/>
    <w:rsid w:val="01FE305E"/>
    <w:rsid w:val="024E1DFD"/>
    <w:rsid w:val="030F6941"/>
    <w:rsid w:val="041A195B"/>
    <w:rsid w:val="04B77AD0"/>
    <w:rsid w:val="05300538"/>
    <w:rsid w:val="0542643B"/>
    <w:rsid w:val="05540DF4"/>
    <w:rsid w:val="05BF08FF"/>
    <w:rsid w:val="0620235A"/>
    <w:rsid w:val="064A7D15"/>
    <w:rsid w:val="06BC02D5"/>
    <w:rsid w:val="06F363F4"/>
    <w:rsid w:val="07897AFE"/>
    <w:rsid w:val="07D71CEE"/>
    <w:rsid w:val="08D0591E"/>
    <w:rsid w:val="08F87BB3"/>
    <w:rsid w:val="09237AD4"/>
    <w:rsid w:val="09B90300"/>
    <w:rsid w:val="0A782765"/>
    <w:rsid w:val="0A7B568B"/>
    <w:rsid w:val="0B1C57E6"/>
    <w:rsid w:val="0BFD6DE4"/>
    <w:rsid w:val="0C0E068E"/>
    <w:rsid w:val="101A4B8D"/>
    <w:rsid w:val="10795489"/>
    <w:rsid w:val="10CE42F6"/>
    <w:rsid w:val="10E153E7"/>
    <w:rsid w:val="11177283"/>
    <w:rsid w:val="118F3AD9"/>
    <w:rsid w:val="11A155D0"/>
    <w:rsid w:val="12D26850"/>
    <w:rsid w:val="15347BD0"/>
    <w:rsid w:val="15565D98"/>
    <w:rsid w:val="169A1CB5"/>
    <w:rsid w:val="17001068"/>
    <w:rsid w:val="17916002"/>
    <w:rsid w:val="17B94394"/>
    <w:rsid w:val="1839691D"/>
    <w:rsid w:val="18B21538"/>
    <w:rsid w:val="19650839"/>
    <w:rsid w:val="19B32973"/>
    <w:rsid w:val="19DD6333"/>
    <w:rsid w:val="1A443160"/>
    <w:rsid w:val="1AE40E33"/>
    <w:rsid w:val="1BDF7612"/>
    <w:rsid w:val="1CA42FA8"/>
    <w:rsid w:val="1D91367A"/>
    <w:rsid w:val="1DA274F3"/>
    <w:rsid w:val="206C4558"/>
    <w:rsid w:val="20DB35F6"/>
    <w:rsid w:val="2205092A"/>
    <w:rsid w:val="24BD373E"/>
    <w:rsid w:val="25B14925"/>
    <w:rsid w:val="25CE4500"/>
    <w:rsid w:val="25F907AD"/>
    <w:rsid w:val="264618BB"/>
    <w:rsid w:val="27C60B5C"/>
    <w:rsid w:val="27DB7877"/>
    <w:rsid w:val="28213FE4"/>
    <w:rsid w:val="28230553"/>
    <w:rsid w:val="29CD3F66"/>
    <w:rsid w:val="2A3750D0"/>
    <w:rsid w:val="2A856BE0"/>
    <w:rsid w:val="2ADE1003"/>
    <w:rsid w:val="2AED63FF"/>
    <w:rsid w:val="2B437B8F"/>
    <w:rsid w:val="2B4B3365"/>
    <w:rsid w:val="2C1D0F66"/>
    <w:rsid w:val="2C1F287E"/>
    <w:rsid w:val="2C5D1363"/>
    <w:rsid w:val="2CE11F94"/>
    <w:rsid w:val="2D643F6E"/>
    <w:rsid w:val="2D8170CD"/>
    <w:rsid w:val="2F364819"/>
    <w:rsid w:val="30D43636"/>
    <w:rsid w:val="31D365BF"/>
    <w:rsid w:val="32523D18"/>
    <w:rsid w:val="32C43166"/>
    <w:rsid w:val="32DE62F0"/>
    <w:rsid w:val="330B7ABF"/>
    <w:rsid w:val="34B42699"/>
    <w:rsid w:val="34B8581C"/>
    <w:rsid w:val="356F17C1"/>
    <w:rsid w:val="35A84F5F"/>
    <w:rsid w:val="35D85563"/>
    <w:rsid w:val="35F40F8A"/>
    <w:rsid w:val="387C790E"/>
    <w:rsid w:val="393535AB"/>
    <w:rsid w:val="39F20325"/>
    <w:rsid w:val="3BAE263C"/>
    <w:rsid w:val="3BCC0CBE"/>
    <w:rsid w:val="3BD01B51"/>
    <w:rsid w:val="3C8D6B5A"/>
    <w:rsid w:val="3D0715A3"/>
    <w:rsid w:val="3D637F78"/>
    <w:rsid w:val="3DDE4EBA"/>
    <w:rsid w:val="3EAC297B"/>
    <w:rsid w:val="3EDE08D9"/>
    <w:rsid w:val="3F8C0169"/>
    <w:rsid w:val="403703F1"/>
    <w:rsid w:val="41BF54E4"/>
    <w:rsid w:val="41D15C79"/>
    <w:rsid w:val="41DE4724"/>
    <w:rsid w:val="41F145CF"/>
    <w:rsid w:val="42372358"/>
    <w:rsid w:val="427474D9"/>
    <w:rsid w:val="42AB3DBC"/>
    <w:rsid w:val="42C52ADC"/>
    <w:rsid w:val="42FC147E"/>
    <w:rsid w:val="43413334"/>
    <w:rsid w:val="43660E8B"/>
    <w:rsid w:val="44536725"/>
    <w:rsid w:val="44DB7036"/>
    <w:rsid w:val="453C7530"/>
    <w:rsid w:val="45967968"/>
    <w:rsid w:val="45E5674E"/>
    <w:rsid w:val="46772CB4"/>
    <w:rsid w:val="467B090B"/>
    <w:rsid w:val="4748788B"/>
    <w:rsid w:val="47760EB6"/>
    <w:rsid w:val="484B3679"/>
    <w:rsid w:val="48A9587B"/>
    <w:rsid w:val="49CE3DC0"/>
    <w:rsid w:val="4A0A52C4"/>
    <w:rsid w:val="4A1E2A29"/>
    <w:rsid w:val="4A6F7A87"/>
    <w:rsid w:val="4A7D4C52"/>
    <w:rsid w:val="4B272E10"/>
    <w:rsid w:val="4BCE2302"/>
    <w:rsid w:val="4C4B0D80"/>
    <w:rsid w:val="4D3416FB"/>
    <w:rsid w:val="4D913ADD"/>
    <w:rsid w:val="4DB3116A"/>
    <w:rsid w:val="4F7A5B51"/>
    <w:rsid w:val="4F7F146C"/>
    <w:rsid w:val="5006393C"/>
    <w:rsid w:val="50B11AF9"/>
    <w:rsid w:val="527726BF"/>
    <w:rsid w:val="53087E82"/>
    <w:rsid w:val="531A4F99"/>
    <w:rsid w:val="5346679D"/>
    <w:rsid w:val="54735390"/>
    <w:rsid w:val="554D7915"/>
    <w:rsid w:val="56B246D4"/>
    <w:rsid w:val="570B522B"/>
    <w:rsid w:val="57A9505C"/>
    <w:rsid w:val="57DB7132"/>
    <w:rsid w:val="580D38AF"/>
    <w:rsid w:val="58607353"/>
    <w:rsid w:val="58D8052C"/>
    <w:rsid w:val="59201FD4"/>
    <w:rsid w:val="595C45CC"/>
    <w:rsid w:val="59DC230A"/>
    <w:rsid w:val="5A2A2262"/>
    <w:rsid w:val="5A9939DD"/>
    <w:rsid w:val="5AA61295"/>
    <w:rsid w:val="5BB4249E"/>
    <w:rsid w:val="5C940764"/>
    <w:rsid w:val="5CD76D96"/>
    <w:rsid w:val="5CEC51D4"/>
    <w:rsid w:val="5D4B0BE0"/>
    <w:rsid w:val="5E42291D"/>
    <w:rsid w:val="5EFA2684"/>
    <w:rsid w:val="5EFA466C"/>
    <w:rsid w:val="5F596C7F"/>
    <w:rsid w:val="607C48B4"/>
    <w:rsid w:val="61554794"/>
    <w:rsid w:val="62440242"/>
    <w:rsid w:val="634361CC"/>
    <w:rsid w:val="644D7933"/>
    <w:rsid w:val="64783276"/>
    <w:rsid w:val="64D559E0"/>
    <w:rsid w:val="658551CD"/>
    <w:rsid w:val="663C37BC"/>
    <w:rsid w:val="66A35E9F"/>
    <w:rsid w:val="66AA00F2"/>
    <w:rsid w:val="66B15F58"/>
    <w:rsid w:val="67A4786A"/>
    <w:rsid w:val="67EB2FEE"/>
    <w:rsid w:val="681C5653"/>
    <w:rsid w:val="693370F8"/>
    <w:rsid w:val="6A372C18"/>
    <w:rsid w:val="6A5075DE"/>
    <w:rsid w:val="6CEE5300"/>
    <w:rsid w:val="6D0420FA"/>
    <w:rsid w:val="6D4C3D35"/>
    <w:rsid w:val="6F423E46"/>
    <w:rsid w:val="6F4F24D2"/>
    <w:rsid w:val="70CC354D"/>
    <w:rsid w:val="71D34B49"/>
    <w:rsid w:val="747C5AFE"/>
    <w:rsid w:val="749D3FBF"/>
    <w:rsid w:val="74C45B99"/>
    <w:rsid w:val="74EB44B8"/>
    <w:rsid w:val="754E0EA9"/>
    <w:rsid w:val="7669653D"/>
    <w:rsid w:val="76793C95"/>
    <w:rsid w:val="767945B8"/>
    <w:rsid w:val="76C85756"/>
    <w:rsid w:val="76C91036"/>
    <w:rsid w:val="78627D45"/>
    <w:rsid w:val="78850FF2"/>
    <w:rsid w:val="78D327D8"/>
    <w:rsid w:val="7A684940"/>
    <w:rsid w:val="7AD677CD"/>
    <w:rsid w:val="7B212B22"/>
    <w:rsid w:val="7BAE042E"/>
    <w:rsid w:val="7C7C095E"/>
    <w:rsid w:val="7CDA258C"/>
    <w:rsid w:val="7D7A30EF"/>
    <w:rsid w:val="7DF65AFC"/>
    <w:rsid w:val="7DF804B8"/>
    <w:rsid w:val="7F130784"/>
    <w:rsid w:val="7F3E01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semiHidden="0"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4"/>
    <w:qFormat/>
    <w:uiPriority w:val="0"/>
    <w:pPr>
      <w:keepNext/>
      <w:jc w:val="center"/>
      <w:outlineLvl w:val="0"/>
    </w:pPr>
    <w:rPr>
      <w:rFonts w:ascii="Times New Roman" w:hAnsi="Times New Roman"/>
      <w:sz w:val="32"/>
      <w:szCs w:val="20"/>
    </w:rPr>
  </w:style>
  <w:style w:type="paragraph" w:styleId="3">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5"/>
    <w:qFormat/>
    <w:uiPriority w:val="0"/>
    <w:pPr>
      <w:numPr>
        <w:ilvl w:val="3"/>
        <w:numId w:val="1"/>
      </w:numPr>
      <w:ind w:firstLineChars="0"/>
      <w:jc w:val="left"/>
      <w:outlineLvl w:val="3"/>
    </w:pPr>
    <w:rPr>
      <w:bCs/>
      <w:kern w:val="0"/>
      <w:sz w:val="20"/>
      <w:szCs w:val="26"/>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5">
    <w:name w:val="Normal Indent"/>
    <w:basedOn w:val="1"/>
    <w:next w:val="1"/>
    <w:link w:val="25"/>
    <w:qFormat/>
    <w:uiPriority w:val="99"/>
    <w:pPr>
      <w:spacing w:line="520" w:lineRule="exact"/>
      <w:ind w:firstLine="200" w:firstLineChars="200"/>
    </w:pPr>
    <w:rPr>
      <w:rFonts w:ascii="Times New Roman" w:hAnsi="Times New Roman"/>
      <w:sz w:val="28"/>
      <w:szCs w:val="28"/>
    </w:rPr>
  </w:style>
  <w:style w:type="paragraph" w:styleId="6">
    <w:name w:val="annotation text"/>
    <w:basedOn w:val="1"/>
    <w:link w:val="26"/>
    <w:semiHidden/>
    <w:qFormat/>
    <w:uiPriority w:val="0"/>
    <w:pPr>
      <w:jc w:val="left"/>
    </w:pPr>
    <w:rPr>
      <w:rFonts w:ascii="Times New Roman" w:hAnsi="Times New Roman"/>
      <w:kern w:val="0"/>
      <w:sz w:val="24"/>
      <w:szCs w:val="20"/>
    </w:rPr>
  </w:style>
  <w:style w:type="paragraph" w:styleId="7">
    <w:name w:val="Body Text"/>
    <w:basedOn w:val="1"/>
    <w:next w:val="8"/>
    <w:link w:val="27"/>
    <w:unhideWhenUsed/>
    <w:qFormat/>
    <w:uiPriority w:val="99"/>
    <w:pPr>
      <w:spacing w:after="120"/>
    </w:pPr>
  </w:style>
  <w:style w:type="paragraph" w:styleId="8">
    <w:name w:val="List Bullet 5"/>
    <w:basedOn w:val="1"/>
    <w:unhideWhenUsed/>
    <w:qFormat/>
    <w:uiPriority w:val="99"/>
    <w:pPr>
      <w:numPr>
        <w:ilvl w:val="0"/>
        <w:numId w:val="2"/>
      </w:numPr>
    </w:pPr>
  </w:style>
  <w:style w:type="paragraph" w:styleId="9">
    <w:name w:val="Body Text Indent"/>
    <w:basedOn w:val="1"/>
    <w:link w:val="28"/>
    <w:qFormat/>
    <w:uiPriority w:val="0"/>
    <w:pPr>
      <w:spacing w:after="120"/>
      <w:ind w:left="420" w:leftChars="200"/>
    </w:pPr>
    <w:rPr>
      <w:rFonts w:ascii="Times New Roman" w:hAnsi="Times New Roman"/>
      <w:kern w:val="0"/>
      <w:sz w:val="24"/>
      <w:szCs w:val="20"/>
    </w:rPr>
  </w:style>
  <w:style w:type="paragraph" w:styleId="10">
    <w:name w:val="Block Text"/>
    <w:basedOn w:val="1"/>
    <w:next w:val="1"/>
    <w:unhideWhenUsed/>
    <w:qFormat/>
    <w:uiPriority w:val="99"/>
    <w:pPr>
      <w:snapToGrid w:val="0"/>
      <w:spacing w:before="100" w:beforeAutospacing="1" w:after="100" w:afterAutospacing="1"/>
      <w:ind w:left="-108" w:right="-30"/>
      <w:jc w:val="center"/>
    </w:pPr>
    <w:rPr>
      <w:rFonts w:ascii="宋体" w:hAnsi="宋体" w:eastAsia="宋体" w:cs="宋体"/>
      <w:sz w:val="24"/>
      <w:szCs w:val="24"/>
    </w:rPr>
  </w:style>
  <w:style w:type="paragraph" w:styleId="11">
    <w:name w:val="Balloon Text"/>
    <w:basedOn w:val="1"/>
    <w:link w:val="29"/>
    <w:unhideWhenUsed/>
    <w:qFormat/>
    <w:uiPriority w:val="99"/>
    <w:rPr>
      <w:kern w:val="0"/>
      <w:sz w:val="18"/>
      <w:szCs w:val="18"/>
    </w:rPr>
  </w:style>
  <w:style w:type="paragraph" w:styleId="12">
    <w:name w:val="footer"/>
    <w:basedOn w:val="1"/>
    <w:link w:val="30"/>
    <w:unhideWhenUsed/>
    <w:qFormat/>
    <w:uiPriority w:val="0"/>
    <w:pPr>
      <w:tabs>
        <w:tab w:val="center" w:pos="4153"/>
        <w:tab w:val="right" w:pos="8306"/>
      </w:tabs>
      <w:snapToGrid w:val="0"/>
      <w:jc w:val="left"/>
    </w:pPr>
    <w:rPr>
      <w:kern w:val="0"/>
      <w:sz w:val="18"/>
      <w:szCs w:val="18"/>
    </w:rPr>
  </w:style>
  <w:style w:type="paragraph" w:styleId="13">
    <w:name w:val="header"/>
    <w:basedOn w:val="1"/>
    <w:link w:val="3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Normal (Web)"/>
    <w:basedOn w:val="1"/>
    <w:link w:val="32"/>
    <w:qFormat/>
    <w:uiPriority w:val="0"/>
    <w:pPr>
      <w:widowControl/>
      <w:spacing w:before="100" w:beforeAutospacing="1" w:after="100" w:afterAutospacing="1"/>
      <w:jc w:val="left"/>
    </w:pPr>
    <w:rPr>
      <w:rFonts w:ascii="宋体" w:hAnsi="宋体"/>
      <w:kern w:val="0"/>
      <w:sz w:val="24"/>
      <w:szCs w:val="20"/>
    </w:rPr>
  </w:style>
  <w:style w:type="paragraph" w:styleId="15">
    <w:name w:val="annotation subject"/>
    <w:basedOn w:val="6"/>
    <w:next w:val="6"/>
    <w:link w:val="33"/>
    <w:unhideWhenUsed/>
    <w:qFormat/>
    <w:uiPriority w:val="99"/>
    <w:rPr>
      <w:rFonts w:ascii="Calibri" w:hAnsi="Calibri"/>
      <w:b/>
      <w:bCs/>
      <w:kern w:val="2"/>
      <w:sz w:val="21"/>
      <w:szCs w:val="22"/>
    </w:rPr>
  </w:style>
  <w:style w:type="paragraph" w:styleId="16">
    <w:name w:val="Body Text First Indent"/>
    <w:basedOn w:val="7"/>
    <w:link w:val="34"/>
    <w:unhideWhenUsed/>
    <w:qFormat/>
    <w:uiPriority w:val="99"/>
    <w:pPr>
      <w:ind w:firstLine="420" w:firstLineChars="100"/>
    </w:pPr>
  </w:style>
  <w:style w:type="paragraph" w:styleId="17">
    <w:name w:val="Body Text First Indent 2"/>
    <w:basedOn w:val="9"/>
    <w:qFormat/>
    <w:uiPriority w:val="0"/>
    <w:pPr>
      <w:ind w:firstLine="420" w:firstLineChars="200"/>
    </w:p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rPr>
  </w:style>
  <w:style w:type="character" w:styleId="22">
    <w:name w:val="Hyperlink"/>
    <w:qFormat/>
    <w:uiPriority w:val="0"/>
    <w:rPr>
      <w:color w:val="0000FF"/>
      <w:u w:val="single"/>
    </w:rPr>
  </w:style>
  <w:style w:type="character" w:styleId="23">
    <w:name w:val="annotation reference"/>
    <w:qFormat/>
    <w:uiPriority w:val="0"/>
    <w:rPr>
      <w:sz w:val="21"/>
    </w:rPr>
  </w:style>
  <w:style w:type="character" w:customStyle="1" w:styleId="24">
    <w:name w:val="标题 1 Char"/>
    <w:link w:val="2"/>
    <w:qFormat/>
    <w:uiPriority w:val="0"/>
    <w:rPr>
      <w:rFonts w:ascii="Times New Roman" w:hAnsi="Times New Roman"/>
      <w:kern w:val="2"/>
      <w:sz w:val="32"/>
    </w:rPr>
  </w:style>
  <w:style w:type="character" w:customStyle="1" w:styleId="25">
    <w:name w:val="正文缩进 Char"/>
    <w:link w:val="5"/>
    <w:qFormat/>
    <w:uiPriority w:val="0"/>
    <w:rPr>
      <w:rFonts w:ascii="Times New Roman" w:hAnsi="Times New Roman"/>
      <w:kern w:val="2"/>
      <w:sz w:val="28"/>
      <w:szCs w:val="28"/>
    </w:rPr>
  </w:style>
  <w:style w:type="character" w:customStyle="1" w:styleId="26">
    <w:name w:val="批注文字 Char"/>
    <w:link w:val="6"/>
    <w:semiHidden/>
    <w:qFormat/>
    <w:uiPriority w:val="0"/>
    <w:rPr>
      <w:rFonts w:ascii="Times New Roman" w:hAnsi="Times New Roman"/>
      <w:sz w:val="24"/>
    </w:rPr>
  </w:style>
  <w:style w:type="character" w:customStyle="1" w:styleId="27">
    <w:name w:val="正文文本 Char"/>
    <w:link w:val="7"/>
    <w:qFormat/>
    <w:uiPriority w:val="99"/>
    <w:rPr>
      <w:kern w:val="2"/>
      <w:sz w:val="21"/>
      <w:szCs w:val="22"/>
    </w:rPr>
  </w:style>
  <w:style w:type="character" w:customStyle="1" w:styleId="28">
    <w:name w:val="正文文本缩进 Char"/>
    <w:link w:val="9"/>
    <w:qFormat/>
    <w:locked/>
    <w:uiPriority w:val="0"/>
    <w:rPr>
      <w:rFonts w:ascii="Times New Roman" w:hAnsi="Times New Roman" w:eastAsia="宋体"/>
      <w:sz w:val="24"/>
    </w:rPr>
  </w:style>
  <w:style w:type="character" w:customStyle="1" w:styleId="29">
    <w:name w:val="批注框文本 Char"/>
    <w:link w:val="11"/>
    <w:semiHidden/>
    <w:qFormat/>
    <w:uiPriority w:val="99"/>
    <w:rPr>
      <w:sz w:val="18"/>
      <w:szCs w:val="18"/>
    </w:rPr>
  </w:style>
  <w:style w:type="character" w:customStyle="1" w:styleId="30">
    <w:name w:val="页脚 Char"/>
    <w:link w:val="12"/>
    <w:qFormat/>
    <w:uiPriority w:val="0"/>
    <w:rPr>
      <w:sz w:val="18"/>
      <w:szCs w:val="18"/>
    </w:rPr>
  </w:style>
  <w:style w:type="character" w:customStyle="1" w:styleId="31">
    <w:name w:val="页眉 Char"/>
    <w:link w:val="13"/>
    <w:qFormat/>
    <w:uiPriority w:val="99"/>
    <w:rPr>
      <w:sz w:val="18"/>
      <w:szCs w:val="18"/>
    </w:rPr>
  </w:style>
  <w:style w:type="character" w:customStyle="1" w:styleId="32">
    <w:name w:val="普通(网站) Char"/>
    <w:link w:val="14"/>
    <w:qFormat/>
    <w:locked/>
    <w:uiPriority w:val="0"/>
    <w:rPr>
      <w:rFonts w:ascii="宋体" w:hAnsi="宋体" w:eastAsia="宋体"/>
      <w:sz w:val="24"/>
    </w:rPr>
  </w:style>
  <w:style w:type="character" w:customStyle="1" w:styleId="33">
    <w:name w:val="批注主题 Char"/>
    <w:link w:val="15"/>
    <w:semiHidden/>
    <w:qFormat/>
    <w:uiPriority w:val="99"/>
    <w:rPr>
      <w:rFonts w:ascii="Times New Roman" w:hAnsi="Times New Roman"/>
      <w:b/>
      <w:bCs/>
      <w:kern w:val="2"/>
      <w:sz w:val="21"/>
      <w:szCs w:val="22"/>
    </w:rPr>
  </w:style>
  <w:style w:type="character" w:customStyle="1" w:styleId="34">
    <w:name w:val="正文首行缩进 Char"/>
    <w:link w:val="16"/>
    <w:semiHidden/>
    <w:qFormat/>
    <w:uiPriority w:val="99"/>
  </w:style>
  <w:style w:type="character" w:customStyle="1" w:styleId="35">
    <w:name w:val="正文文本缩进 Char1"/>
    <w:semiHidden/>
    <w:qFormat/>
    <w:uiPriority w:val="99"/>
  </w:style>
  <w:style w:type="character" w:customStyle="1" w:styleId="36">
    <w:name w:val="15"/>
    <w:qFormat/>
    <w:uiPriority w:val="0"/>
    <w:rPr>
      <w:rFonts w:hint="default" w:ascii="Times New Roman" w:hAnsi="Times New Roman" w:cs="Times New Roman"/>
    </w:rPr>
  </w:style>
  <w:style w:type="character" w:customStyle="1" w:styleId="37">
    <w:name w:val="表格 Char"/>
    <w:link w:val="38"/>
    <w:qFormat/>
    <w:locked/>
    <w:uiPriority w:val="0"/>
    <w:rPr>
      <w:rFonts w:ascii="宋体"/>
      <w:sz w:val="21"/>
    </w:rPr>
  </w:style>
  <w:style w:type="paragraph" w:customStyle="1" w:styleId="38">
    <w:name w:val="表格"/>
    <w:basedOn w:val="1"/>
    <w:next w:val="1"/>
    <w:link w:val="37"/>
    <w:qFormat/>
    <w:uiPriority w:val="0"/>
    <w:pPr>
      <w:adjustRightInd w:val="0"/>
      <w:snapToGrid w:val="0"/>
      <w:spacing w:beforeLines="10" w:afterLines="10" w:line="259" w:lineRule="auto"/>
      <w:jc w:val="center"/>
    </w:pPr>
    <w:rPr>
      <w:rFonts w:ascii="宋体"/>
      <w:kern w:val="0"/>
      <w:szCs w:val="20"/>
    </w:rPr>
  </w:style>
  <w:style w:type="paragraph" w:customStyle="1" w:styleId="39">
    <w:name w:val="表内字"/>
    <w:basedOn w:val="1"/>
    <w:qFormat/>
    <w:uiPriority w:val="0"/>
    <w:pPr>
      <w:spacing w:line="320" w:lineRule="exact"/>
      <w:jc w:val="center"/>
    </w:pPr>
    <w:rPr>
      <w:rFonts w:ascii="Times New Roman" w:hAnsi="Times New Roman"/>
      <w:szCs w:val="20"/>
    </w:rPr>
  </w:style>
  <w:style w:type="paragraph" w:customStyle="1" w:styleId="40">
    <w:name w:val="一级标题"/>
    <w:qFormat/>
    <w:uiPriority w:val="0"/>
    <w:pPr>
      <w:snapToGrid w:val="0"/>
      <w:spacing w:line="360" w:lineRule="auto"/>
      <w:outlineLvl w:val="0"/>
    </w:pPr>
    <w:rPr>
      <w:rFonts w:hint="eastAsia" w:ascii="Times New Roman" w:hAnsi="Times New Roman" w:eastAsia="黑体" w:cs="Times New Roman"/>
      <w:sz w:val="30"/>
      <w:lang w:val="en-US" w:eastAsia="zh-CN" w:bidi="ar-SA"/>
    </w:rPr>
  </w:style>
  <w:style w:type="paragraph" w:customStyle="1" w:styleId="41">
    <w:name w:val="表格内容"/>
    <w:basedOn w:val="1"/>
    <w:qFormat/>
    <w:uiPriority w:val="0"/>
    <w:pPr>
      <w:spacing w:line="360" w:lineRule="exact"/>
      <w:jc w:val="center"/>
    </w:pPr>
    <w:rPr>
      <w:rFonts w:ascii="Times New Roman" w:hAnsi="Times New Roman"/>
      <w:szCs w:val="21"/>
    </w:rPr>
  </w:style>
  <w:style w:type="paragraph" w:customStyle="1" w:styleId="42">
    <w:name w:val="表格文字"/>
    <w:basedOn w:val="1"/>
    <w:next w:val="1"/>
    <w:qFormat/>
    <w:uiPriority w:val="0"/>
    <w:pPr>
      <w:adjustRightInd w:val="0"/>
      <w:snapToGrid w:val="0"/>
      <w:jc w:val="center"/>
    </w:pPr>
    <w:rPr>
      <w:rFonts w:ascii="Times New Roman" w:hAnsi="Times New Roman"/>
      <w:szCs w:val="20"/>
    </w:rPr>
  </w:style>
  <w:style w:type="paragraph" w:customStyle="1" w:styleId="43">
    <w:name w:val="表内 定"/>
    <w:basedOn w:val="1"/>
    <w:link w:val="44"/>
    <w:qFormat/>
    <w:uiPriority w:val="0"/>
    <w:pPr>
      <w:jc w:val="left"/>
    </w:pPr>
    <w:rPr>
      <w:rFonts w:ascii="Times New Roman" w:hAnsi="Times New Roman" w:eastAsia="仿宋"/>
      <w:color w:val="000000"/>
      <w:kern w:val="0"/>
      <w:sz w:val="20"/>
    </w:rPr>
  </w:style>
  <w:style w:type="character" w:customStyle="1" w:styleId="44">
    <w:name w:val="表内 定 Char"/>
    <w:link w:val="43"/>
    <w:qFormat/>
    <w:uiPriority w:val="0"/>
    <w:rPr>
      <w:rFonts w:ascii="Times New Roman" w:hAnsi="Times New Roman" w:eastAsia="仿宋"/>
      <w:snapToGrid/>
      <w:color w:val="000000"/>
      <w:szCs w:val="22"/>
    </w:rPr>
  </w:style>
  <w:style w:type="paragraph" w:customStyle="1" w:styleId="45">
    <w:name w:val="表头"/>
    <w:basedOn w:val="1"/>
    <w:qFormat/>
    <w:uiPriority w:val="0"/>
    <w:pPr>
      <w:spacing w:line="520" w:lineRule="exact"/>
      <w:ind w:firstLine="200" w:firstLineChars="200"/>
    </w:pPr>
    <w:rPr>
      <w:rFonts w:ascii="Times New Roman" w:hAnsi="Times New Roman"/>
      <w:b/>
      <w:bCs/>
      <w:sz w:val="24"/>
      <w:szCs w:val="24"/>
    </w:rPr>
  </w:style>
  <w:style w:type="character" w:customStyle="1" w:styleId="46">
    <w:name w:val="font01"/>
    <w:qFormat/>
    <w:uiPriority w:val="0"/>
    <w:rPr>
      <w:rFonts w:hint="eastAsia" w:ascii="宋体" w:hAnsi="宋体" w:eastAsia="宋体"/>
      <w:color w:val="000000"/>
      <w:sz w:val="22"/>
      <w:szCs w:val="22"/>
      <w:u w:val="none"/>
    </w:rPr>
  </w:style>
  <w:style w:type="paragraph" w:customStyle="1" w:styleId="47">
    <w:name w:val="表格标题"/>
    <w:basedOn w:val="1"/>
    <w:qFormat/>
    <w:uiPriority w:val="0"/>
    <w:pPr>
      <w:snapToGrid w:val="0"/>
      <w:spacing w:before="30" w:beforeLines="30" w:line="240" w:lineRule="auto"/>
      <w:ind w:left="0" w:leftChars="0"/>
      <w:jc w:val="center"/>
    </w:pPr>
    <w:rPr>
      <w:rFonts w:ascii="黑体" w:hAnsi="黑体" w:eastAsia="黑体"/>
    </w:rPr>
  </w:style>
  <w:style w:type="paragraph" w:customStyle="1" w:styleId="48">
    <w:name w:val="表格内文字"/>
    <w:basedOn w:val="1"/>
    <w:next w:val="1"/>
    <w:qFormat/>
    <w:uiPriority w:val="0"/>
    <w:pPr>
      <w:adjustRightInd w:val="0"/>
      <w:snapToGrid/>
      <w:spacing w:line="240" w:lineRule="auto"/>
      <w:jc w:val="center"/>
    </w:pPr>
    <w:rPr>
      <w:rFonts w:ascii="Times New Roman" w:hAnsi="Times New Roman"/>
      <w:sz w:val="21"/>
      <w:szCs w:val="20"/>
    </w:rPr>
  </w:style>
  <w:style w:type="paragraph" w:customStyle="1" w:styleId="49">
    <w:name w:val="表格内容5号"/>
    <w:qFormat/>
    <w:uiPriority w:val="0"/>
    <w:pPr>
      <w:widowControl w:val="0"/>
      <w:snapToGrid w:val="0"/>
      <w:spacing w:line="240" w:lineRule="atLeast"/>
      <w:jc w:val="center"/>
    </w:pPr>
    <w:rPr>
      <w:rFonts w:ascii="Times New Roman" w:hAnsi="Times New Roman" w:eastAsia="宋体" w:cs="Times New Roman"/>
      <w:kern w:val="2"/>
      <w:sz w:val="21"/>
      <w:szCs w:val="24"/>
      <w:lang w:val="en-US" w:eastAsia="zh-CN" w:bidi="ar-SA"/>
    </w:rPr>
  </w:style>
  <w:style w:type="paragraph" w:customStyle="1" w:styleId="50">
    <w:name w:val="表格内容居中"/>
    <w:basedOn w:val="1"/>
    <w:qFormat/>
    <w:uiPriority w:val="0"/>
    <w:pPr>
      <w:adjustRightInd w:val="0"/>
      <w:snapToGrid w:val="0"/>
      <w:spacing w:line="360" w:lineRule="exact"/>
      <w:jc w:val="center"/>
    </w:pPr>
    <w:rPr>
      <w:rFonts w:ascii="Times New Roman" w:hAnsi="Times New Roman" w:eastAsia="Times New Roman" w:cs="宋体"/>
    </w:rPr>
  </w:style>
  <w:style w:type="paragraph" w:customStyle="1" w:styleId="51">
    <w:name w:val="表格1"/>
    <w:basedOn w:val="10"/>
    <w:qFormat/>
    <w:uiPriority w:val="0"/>
    <w:pPr>
      <w:adjustRightInd w:val="0"/>
      <w:spacing w:line="240" w:lineRule="exact"/>
      <w:ind w:left="402" w:right="108" w:firstLine="450"/>
      <w:jc w:val="center"/>
    </w:pPr>
    <w:rPr>
      <w:rFonts w:eastAsia="宋体"/>
      <w:kern w:val="0"/>
      <w:sz w:val="21"/>
      <w:szCs w:val="24"/>
    </w:rPr>
  </w:style>
  <w:style w:type="character" w:customStyle="1" w:styleId="52">
    <w:name w:val="font51"/>
    <w:qFormat/>
    <w:uiPriority w:val="0"/>
    <w:rPr>
      <w:rFonts w:hint="default" w:ascii="Times New Roman" w:hAnsi="Times New Roman" w:cs="Times New Roman"/>
      <w:color w:val="FF0000"/>
      <w:sz w:val="21"/>
      <w:szCs w:val="21"/>
      <w:u w:val="none"/>
    </w:rPr>
  </w:style>
  <w:style w:type="character" w:customStyle="1" w:styleId="53">
    <w:name w:val="font61"/>
    <w:qFormat/>
    <w:uiPriority w:val="0"/>
    <w:rPr>
      <w:rFonts w:hint="eastAsia" w:ascii="宋体" w:hAnsi="宋体" w:eastAsia="宋体" w:cs="宋体"/>
      <w:color w:val="FF0000"/>
      <w:sz w:val="21"/>
      <w:szCs w:val="21"/>
      <w:u w:val="none"/>
    </w:rPr>
  </w:style>
  <w:style w:type="paragraph" w:customStyle="1" w:styleId="54">
    <w:name w:val="Table Text"/>
    <w:basedOn w:val="1"/>
    <w:semiHidden/>
    <w:qFormat/>
    <w:uiPriority w:val="0"/>
    <w:rPr>
      <w:rFonts w:ascii="宋体" w:hAnsi="宋体" w:eastAsia="宋体" w:cs="宋体"/>
      <w:sz w:val="24"/>
      <w:szCs w:val="24"/>
      <w:lang w:val="en-US" w:eastAsia="en-US" w:bidi="ar-SA"/>
    </w:rPr>
  </w:style>
  <w:style w:type="table" w:customStyle="1" w:styleId="55">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56">
    <w:name w:val="表格样式赵"/>
    <w:basedOn w:val="1"/>
    <w:qFormat/>
    <w:uiPriority w:val="0"/>
    <w:pPr>
      <w:spacing w:line="360" w:lineRule="exact"/>
      <w:jc w:val="center"/>
    </w:pPr>
    <w:rPr>
      <w:kern w:val="0"/>
      <w:szCs w:val="21"/>
    </w:rPr>
  </w:style>
  <w:style w:type="paragraph" w:customStyle="1" w:styleId="5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8">
    <w:name w:val="font11"/>
    <w:basedOn w:val="20"/>
    <w:qFormat/>
    <w:uiPriority w:val="0"/>
    <w:rPr>
      <w:rFonts w:hint="eastAsia" w:ascii="宋体" w:hAnsi="宋体" w:eastAsia="宋体" w:cs="宋体"/>
      <w:color w:val="000000"/>
      <w:sz w:val="24"/>
      <w:szCs w:val="24"/>
      <w:u w:val="none"/>
    </w:rPr>
  </w:style>
  <w:style w:type="character" w:customStyle="1" w:styleId="59">
    <w:name w:val="font21"/>
    <w:basedOn w:val="2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NDQ4MzcwMzQyNDMzIiwKCSJHcm91cElkIiA6ICIxNDk5NDU0MzEiLAoJIkltYWdlIiA6ICJpVkJPUncwS0dnb0FBQUFOU1VoRVVnQUFBNGNBQUFEMENBWUFBQUFvczFOa0FBQUFBWE5TUjBJQXJzNGM2UUFBSUFCSlJFRlVlSnpzM1hkWUZGZmJCdkI3ZHBjT0JnVUZBWFZ0VVl3RjdEMGFlNDFLTERHYUtCRTE5bWlVcUZGanNJdUtGUlVsc2ZmZWlDVVdZa1hGaUlwR282aUlJS2dvU04xbHZqOWVtSTkxRjF5a3cvMjdMcTh3WjlvWnNnODd6NXd6NXdC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"/>
    </extobj>
    <extobj name="ECB019B1-382A-4266-B25C-5B523AA43C14-2">
      <extobjdata type="ECB019B1-382A-4266-B25C-5B523AA43C14" data="ewoJIkZpbGVJZCIgOiAiNDQ4MzcwMzQyNDMzIiwKCSJHcm91cElkIiA6ICIxNDk5NDU0MzEiLAoJIkltYWdlIiA6ICJpVkJPUncwS0dnb0FBQUFOU1VoRVVnQUFBNGNBQUFEMENBWUFBQUFvczFOa0FBQUFBWE5TUjBJQXJzNGM2UUFBSUFCSlJFRlVlSnpzM1hkWUZGZmJCdkI3ZHBjT0JnVUZBWFZ0VVl3RjdEMGFlNDFLTERHYUtCRTE5bWlVcUZGanNJdUtGUlVsc2ZmZWlDVVdZa1hGaUlwR282aUlJS2dvU04xbHZqOWVtSTkxRjF5a3cvMjdMcTh3WjlvWnNnODd6NXd6NXdC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64</Pages>
  <Words>10879</Words>
  <Characters>11387</Characters>
  <Lines>309</Lines>
  <Paragraphs>87</Paragraphs>
  <TotalTime>1</TotalTime>
  <ScaleCrop>false</ScaleCrop>
  <LinksUpToDate>false</LinksUpToDate>
  <CharactersWithSpaces>11426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2023-02-17T13:36:00Z</dcterms:created>
  <dc:creator>Administrator</dc:creator>
  <cp:lastModifiedBy>烟雨任平生</cp:lastModifiedBy>
  <dcterms:modified xsi:type="dcterms:W3CDTF">2025-11-04T01:12:35Z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45D44C12712B4CABADD6DD2C566655CD_13</vt:lpwstr>
  </property>
  <property fmtid="{D5CDD505-2E9C-101B-9397-08002B2CF9AE}" pid="4" name="KSOTemplateDocerSaveRecord">
    <vt:lpwstr>eyJoZGlkIjoiMzRhMTgyNzM1ZjhjNzcwNjE3NDM5NDUxOWI5YTQzNDMiLCJ1c2VySWQiOiIzNTE1MTc0NjAifQ==</vt:lpwstr>
  </property>
</Properties>
</file>