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textAlignment w:val="baseline"/>
        <w:rPr>
          <w:rFonts w:ascii="宋体" w:hAnsi="宋体" w:cs="宋体"/>
          <w:b/>
          <w:sz w:val="44"/>
          <w:szCs w:val="44"/>
        </w:rPr>
      </w:pPr>
      <w:bookmarkStart w:id="0" w:name="_Toc27865"/>
      <w:bookmarkStart w:id="1" w:name="_Toc76683363"/>
      <w:r>
        <w:rPr>
          <w:rFonts w:hint="eastAsia" w:ascii="宋体" w:hAnsi="宋体" w:cs="宋体"/>
          <w:b/>
          <w:sz w:val="44"/>
          <w:szCs w:val="44"/>
        </w:rPr>
        <w:t>洛阳市偃师区市场监督管理局</w:t>
      </w:r>
      <w:bookmarkEnd w:id="0"/>
      <w:bookmarkEnd w:id="1"/>
    </w:p>
    <w:p>
      <w:pPr>
        <w:spacing w:line="600" w:lineRule="exact"/>
        <w:jc w:val="center"/>
        <w:textAlignment w:val="baseline"/>
        <w:rPr>
          <w:rFonts w:ascii="宋体" w:hAnsi="宋体" w:cs="宋体"/>
          <w:b/>
          <w:color w:val="000000"/>
          <w:sz w:val="44"/>
          <w:szCs w:val="44"/>
        </w:rPr>
      </w:pPr>
      <w:bookmarkStart w:id="2" w:name="_Toc76683364"/>
      <w:r>
        <w:rPr>
          <w:rFonts w:hint="eastAsia" w:ascii="宋体" w:hAnsi="宋体" w:cs="宋体"/>
          <w:b/>
          <w:color w:val="000000"/>
          <w:sz w:val="44"/>
          <w:szCs w:val="44"/>
        </w:rPr>
        <w:t>行政处罚决定书</w:t>
      </w:r>
      <w:bookmarkEnd w:id="2"/>
    </w:p>
    <w:p>
      <w:pPr>
        <w:widowControl/>
        <w:snapToGrid w:val="0"/>
        <w:spacing w:line="600" w:lineRule="exact"/>
        <w:jc w:val="center"/>
        <w:textAlignment w:val="baseline"/>
        <w:rPr>
          <w:rFonts w:ascii="仿宋" w:hAnsi="仿宋" w:eastAsia="仿宋" w:cs="仿宋"/>
          <w:bCs/>
          <w:color w:val="000000"/>
          <w:sz w:val="32"/>
          <w:szCs w:val="32"/>
        </w:rPr>
      </w:pPr>
      <w:r>
        <w:rPr>
          <w:rFonts w:hint="eastAsia" w:ascii="仿宋" w:hAnsi="仿宋" w:eastAsia="仿宋" w:cs="仿宋"/>
          <w:bCs/>
          <w:color w:val="000000"/>
          <w:sz w:val="32"/>
          <w:szCs w:val="32"/>
        </w:rPr>
        <w:t>偃市监处罚〔2023〕1号</w:t>
      </w:r>
      <w:r>
        <w:rPr>
          <w:rFonts w:ascii="仿宋" w:hAnsi="仿宋" w:eastAsia="仿宋" w:cs="仿宋"/>
          <w:color w:val="000000"/>
          <w:sz w:val="32"/>
          <w:szCs w:val="32"/>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txbx>
                        <w:txbxContent>
                          <w:p>
                            <w:pPr>
                              <w:wordWrap w:val="0"/>
                              <w:rPr>
                                <w:rFonts w:ascii="宋体" w:hAnsi="宋体"/>
                                <w:sz w:val="20"/>
                                <w:szCs w:val="20"/>
                              </w:rPr>
                            </w:pPr>
                          </w:p>
                        </w:txbxContent>
                      </wps:txbx>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rLW/1gAAAAwBAAAPAAAAAAAAAAEAIAAAACIAAABk&#10;cnMvZG93bnJldi54bWxQSwECFAAUAAAACACHTuJAwDcF1AgCAAAGBAAADgAAAAAAAAABACAAAAAl&#10;AQAAZHJzL2Uyb0RvYy54bWxQSwUGAAAAAAYABgBZAQAAnwUAAAAA&#10;">
                <v:fill on="f" focussize="0,0"/>
                <v:stroke weight="1.5pt" color="#000000" joinstyle="round"/>
                <v:imagedata o:title=""/>
                <o:lock v:ext="edit" aspectratio="f"/>
                <v:textbox>
                  <w:txbxContent>
                    <w:p>
                      <w:pPr>
                        <w:wordWrap w:val="0"/>
                        <w:rPr>
                          <w:rFonts w:ascii="宋体" w:hAnsi="宋体"/>
                          <w:sz w:val="20"/>
                          <w:szCs w:val="20"/>
                        </w:rPr>
                      </w:pPr>
                    </w:p>
                  </w:txbxContent>
                </v:textbox>
              </v:shape>
            </w:pict>
          </mc:Fallback>
        </mc:AlternateContent>
      </w:r>
    </w:p>
    <w:p>
      <w:pPr>
        <w:spacing w:line="600" w:lineRule="exact"/>
        <w:ind w:left="140" w:hanging="140"/>
        <w:textAlignment w:val="baseline"/>
        <w:rPr>
          <w:rFonts w:ascii="仿宋" w:hAnsi="仿宋" w:eastAsia="仿宋" w:cs="仿宋"/>
          <w:bCs/>
          <w:sz w:val="32"/>
          <w:szCs w:val="32"/>
        </w:rPr>
      </w:pPr>
      <w:r>
        <w:rPr>
          <w:rFonts w:hint="eastAsia" w:ascii="仿宋" w:hAnsi="仿宋" w:eastAsia="仿宋" w:cs="仿宋"/>
          <w:bCs/>
          <w:kern w:val="1"/>
          <w:sz w:val="32"/>
          <w:szCs w:val="32"/>
        </w:rPr>
        <w:t>当事人：张真真</w:t>
      </w:r>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pPr>
        <w:spacing w:line="600" w:lineRule="exact"/>
        <w:textAlignment w:val="baseline"/>
        <w:rPr>
          <w:rFonts w:ascii="仿宋" w:hAnsi="仿宋" w:eastAsia="仿宋" w:cs="仿宋"/>
          <w:kern w:val="1"/>
          <w:sz w:val="32"/>
          <w:szCs w:val="32"/>
        </w:rPr>
      </w:pPr>
      <w:r>
        <w:rPr>
          <w:rFonts w:hint="eastAsia" w:ascii="仿宋" w:hAnsi="仿宋" w:eastAsia="仿宋" w:cs="仿宋"/>
          <w:kern w:val="1"/>
          <w:sz w:val="32"/>
          <w:szCs w:val="32"/>
        </w:rPr>
        <w:t>住所：偃师市槐新街道办事处北关村</w:t>
      </w:r>
      <w:bookmarkStart w:id="4" w:name="_GoBack"/>
      <w:bookmarkEnd w:id="4"/>
      <w:r>
        <w:rPr>
          <w:rFonts w:hint="eastAsia" w:ascii="仿宋" w:hAnsi="仿宋" w:eastAsia="仿宋" w:cs="仿宋"/>
          <w:kern w:val="1"/>
          <w:sz w:val="32"/>
          <w:szCs w:val="32"/>
        </w:rPr>
        <w:t xml:space="preserve">                                                   </w:t>
      </w:r>
    </w:p>
    <w:p>
      <w:pPr>
        <w:spacing w:line="600" w:lineRule="exact"/>
        <w:ind w:left="140" w:hanging="140"/>
        <w:textAlignment w:val="baseline"/>
        <w:rPr>
          <w:rFonts w:ascii="仿宋" w:hAnsi="仿宋" w:eastAsia="仿宋" w:cs="仿宋"/>
          <w:kern w:val="1"/>
          <w:sz w:val="32"/>
          <w:szCs w:val="32"/>
          <w:u w:val="single"/>
        </w:rPr>
      </w:pPr>
      <w:r>
        <w:rPr>
          <w:rFonts w:hint="eastAsia" w:ascii="仿宋" w:hAnsi="仿宋" w:eastAsia="仿宋" w:cs="仿宋"/>
          <w:kern w:val="1"/>
          <w:sz w:val="32"/>
          <w:szCs w:val="32"/>
        </w:rPr>
        <w:t xml:space="preserve">                                                                                                                                                                                                                                                                                                                                                                                                                                                                                                                                                                                                                                                                                                                                                                                                                                                                                                                                                                                                                                                                                                                                                                                                                                                                                                                                                                                                                                                                                                                                                                                                                                                                                                                                                                                                                                                                                       </w:t>
      </w:r>
    </w:p>
    <w:p>
      <w:pPr>
        <w:pStyle w:val="2"/>
        <w:tabs>
          <w:tab w:val="left" w:pos="9060"/>
        </w:tabs>
        <w:spacing w:line="600" w:lineRule="exact"/>
        <w:ind w:firstLine="640" w:firstLineChars="200"/>
        <w:textAlignment w:val="baseline"/>
        <w:rPr>
          <w:rFonts w:ascii="仿宋" w:hAnsi="仿宋" w:eastAsia="仿宋" w:cs="仿宋"/>
          <w:color w:val="000000"/>
        </w:rPr>
      </w:pPr>
      <w:r>
        <w:rPr>
          <w:rFonts w:hint="eastAsia" w:ascii="仿宋" w:hAnsi="仿宋" w:eastAsia="仿宋" w:cs="仿宋"/>
          <w:color w:val="000000"/>
        </w:rPr>
        <w:t>2018年11月8日，偃师市工商行政管理局接举报对偃师市城关镇北关村佰富祥鞋厂进行检查，现场发现当事人在其生产的健步鞋及鞋盒上使用的“足立健”标识与北京孝夕阳科技发展有限公司经中华人民共和国国家工商行政管理总局商标局受让取得的第16173367号注册商标“足立健”相同，且与上述注册商标核定使用商品（第25类）鞋同类，涉嫌侵犯他人注册商标专用权。并对其涉嫌侵犯“足立健”注册商标健步鞋74箱（每箱30双）进行暂扣（60箱扣留，14箱封存于佰富祥鞋厂车间内）。因当事人行为涉嫌构成假冒注册商标罪，于2018年12月7日将该案移交至偃师市公安分局。2022年12月14日，我局收到洛阳市老城区人民检察院检察意见书（洛老检意〔2022〕20号）：“根据《中华人民共和国刑法》第三十七条、《中华人民共和国刑事诉讼法》第一百七十七条第二款的规定，决定对当事人相对不起诉，依据《中华人民共和国刑事诉讼法》第一百七十七条第三款和《人民检察院刑事诉讼规则》第三百七十三条的规定，对于当事人需要给予行政处罚。”，将该案件移送至我局依法处理，我局执法人员对案件进行了调查。</w:t>
      </w:r>
    </w:p>
    <w:p>
      <w:pPr>
        <w:pStyle w:val="2"/>
        <w:tabs>
          <w:tab w:val="left" w:pos="9060"/>
        </w:tabs>
        <w:spacing w:line="600" w:lineRule="exact"/>
        <w:ind w:firstLine="640" w:firstLineChars="200"/>
        <w:textAlignment w:val="baseline"/>
        <w:rPr>
          <w:rFonts w:ascii="仿宋" w:hAnsi="仿宋" w:eastAsia="仿宋" w:cs="仿宋"/>
          <w:color w:val="000000"/>
        </w:rPr>
      </w:pPr>
      <w:r>
        <w:rPr>
          <w:rFonts w:hint="eastAsia" w:ascii="仿宋" w:hAnsi="仿宋" w:eastAsia="仿宋" w:cs="仿宋"/>
          <w:color w:val="000000"/>
        </w:rPr>
        <w:t>经查，2018年6月份，当事人在未经“足立健”注册商标受让人北京孝夕阳科技发展有限公司授权许可的情况下按照张武星(检察院另案处理)的要求，开始生产“足立健”健步鞋。双方约定男款鞋每双 24元，女款鞋每双 23元，张武星向当事人交纳 5000 元定金，2018年7月份，张武星将当事人生产好的假冒“足立健”健步鞋拉走，又向当事人转账余款14400元。　　　　　　　　　　　　　　　　　　　　　　</w:t>
      </w:r>
    </w:p>
    <w:p>
      <w:pPr>
        <w:pStyle w:val="2"/>
        <w:tabs>
          <w:tab w:val="left" w:pos="9060"/>
        </w:tabs>
        <w:spacing w:line="600" w:lineRule="exact"/>
        <w:ind w:firstLine="640" w:firstLineChars="200"/>
        <w:textAlignment w:val="baseline"/>
        <w:rPr>
          <w:rFonts w:ascii="仿宋" w:hAnsi="仿宋" w:eastAsia="仿宋" w:cs="仿宋"/>
          <w:color w:val="000000"/>
        </w:rPr>
      </w:pPr>
      <w:r>
        <w:rPr>
          <w:rFonts w:hint="eastAsia" w:ascii="仿宋" w:hAnsi="仿宋" w:eastAsia="仿宋" w:cs="仿宋"/>
          <w:color w:val="000000"/>
        </w:rPr>
        <w:t>2018年11月8日，偃师市工商局执法人员接举报对偃师市城关镇北关村佰富祥鞋厂检查，在其车间内查扣当事人涉嫌侵权的“足立健”健步鞋 74箱(每箱 30 双，其中黑色20箱、灰色13箱、红色28 箱、紫色13箱，黑色灰色是男款，红色、紫色是女款)。上述被扣“足立健”健步鞋经“足立健”注册商标（第16173367号）受让人北京孝夕阳科技发展有限公司鉴定为假冒产品，侵犯了该公司商标专用权。依据上述价格，74箱“足立健”健步鞋价值52050元。当事人违法经营额共计 71450元。</w:t>
      </w:r>
    </w:p>
    <w:p>
      <w:pPr>
        <w:pStyle w:val="2"/>
        <w:tabs>
          <w:tab w:val="left" w:pos="9060"/>
        </w:tabs>
        <w:spacing w:line="600" w:lineRule="exact"/>
        <w:ind w:firstLine="640" w:firstLineChars="200"/>
        <w:textAlignment w:val="baseline"/>
        <w:rPr>
          <w:rFonts w:ascii="仿宋" w:hAnsi="仿宋" w:eastAsia="仿宋" w:cs="仿宋"/>
          <w:color w:val="000000"/>
        </w:rPr>
      </w:pPr>
      <w:r>
        <w:rPr>
          <w:rFonts w:hint="eastAsia" w:ascii="仿宋" w:hAnsi="仿宋" w:eastAsia="仿宋" w:cs="仿宋"/>
          <w:color w:val="000000"/>
        </w:rPr>
        <w:t>另，洛阳市老城区人民检察院检察意见书（洛老检意〔2022〕20号）显示，案发后当事人主动退缴已销售侵权产品的货款19400元。</w:t>
      </w:r>
    </w:p>
    <w:p>
      <w:pPr>
        <w:pStyle w:val="2"/>
        <w:tabs>
          <w:tab w:val="left" w:pos="8964"/>
        </w:tabs>
        <w:adjustRightInd/>
        <w:spacing w:line="600" w:lineRule="exact"/>
        <w:ind w:firstLine="640" w:firstLineChars="200"/>
        <w:jc w:val="both"/>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上述事实，主要有以下证据证明：</w:t>
      </w:r>
    </w:p>
    <w:p>
      <w:pPr>
        <w:pStyle w:val="2"/>
        <w:tabs>
          <w:tab w:val="left" w:pos="8964"/>
        </w:tabs>
        <w:adjustRightInd/>
        <w:spacing w:line="600" w:lineRule="exact"/>
        <w:ind w:left="596"/>
        <w:jc w:val="both"/>
        <w:rPr>
          <w:rFonts w:ascii="仿宋" w:hAnsi="仿宋" w:eastAsia="仿宋" w:cs="仿宋"/>
          <w:color w:val="221E1F"/>
          <w:spacing w:val="-11"/>
        </w:rPr>
      </w:pPr>
      <w:r>
        <w:rPr>
          <w:rFonts w:hint="eastAsia" w:ascii="仿宋" w:hAnsi="仿宋" w:eastAsia="仿宋" w:cs="仿宋"/>
          <w:color w:val="221E1F"/>
          <w:spacing w:val="-11"/>
        </w:rPr>
        <w:t>1</w:t>
      </w:r>
      <w:r>
        <w:rPr>
          <w:rFonts w:ascii="仿宋" w:hAnsi="仿宋" w:eastAsia="仿宋" w:cs="仿宋"/>
          <w:color w:val="221E1F"/>
          <w:spacing w:val="-11"/>
        </w:rPr>
        <w:t>.</w:t>
      </w:r>
      <w:r>
        <w:rPr>
          <w:rFonts w:hint="eastAsia" w:ascii="仿宋" w:hAnsi="仿宋" w:eastAsia="仿宋" w:cs="仿宋"/>
          <w:color w:val="221E1F"/>
          <w:spacing w:val="-11"/>
        </w:rPr>
        <w:t>身份证复印件，证明当事人的身份；</w:t>
      </w:r>
    </w:p>
    <w:p>
      <w:pPr>
        <w:widowControl/>
        <w:autoSpaceDE w:val="0"/>
        <w:autoSpaceDN w:val="0"/>
        <w:spacing w:line="600" w:lineRule="exact"/>
        <w:ind w:firstLine="596" w:firstLineChars="200"/>
        <w:rPr>
          <w:rFonts w:ascii="仿宋" w:hAnsi="仿宋" w:eastAsia="仿宋" w:cs="仿宋"/>
          <w:color w:val="221E1F"/>
          <w:spacing w:val="-11"/>
          <w:sz w:val="32"/>
          <w:szCs w:val="32"/>
        </w:rPr>
      </w:pPr>
      <w:r>
        <w:rPr>
          <w:rFonts w:ascii="仿宋" w:hAnsi="仿宋" w:eastAsia="仿宋" w:cs="仿宋"/>
          <w:color w:val="221E1F"/>
          <w:spacing w:val="-11"/>
          <w:sz w:val="32"/>
          <w:szCs w:val="32"/>
        </w:rPr>
        <w:t>2.</w:t>
      </w:r>
      <w:r>
        <w:rPr>
          <w:rFonts w:hint="eastAsia" w:ascii="仿宋" w:hAnsi="仿宋" w:eastAsia="仿宋" w:cs="仿宋"/>
          <w:color w:val="221E1F"/>
          <w:spacing w:val="-11"/>
          <w:sz w:val="32"/>
          <w:szCs w:val="32"/>
        </w:rPr>
        <w:t>偃师市公安局经侦大队刑事侦查卷宗，证明违法的事实；</w:t>
      </w:r>
    </w:p>
    <w:p>
      <w:pPr>
        <w:widowControl/>
        <w:autoSpaceDE w:val="0"/>
        <w:autoSpaceDN w:val="0"/>
        <w:spacing w:line="600" w:lineRule="exact"/>
        <w:ind w:firstLine="596" w:firstLineChars="200"/>
        <w:rPr>
          <w:rFonts w:ascii="仿宋" w:hAnsi="仿宋" w:eastAsia="仿宋" w:cs="仿宋"/>
          <w:color w:val="221E1F"/>
          <w:sz w:val="32"/>
          <w:szCs w:val="32"/>
        </w:rPr>
      </w:pPr>
      <w:r>
        <w:rPr>
          <w:rFonts w:ascii="仿宋" w:hAnsi="仿宋" w:eastAsia="仿宋" w:cs="仿宋"/>
          <w:color w:val="221E1F"/>
          <w:spacing w:val="-11"/>
          <w:sz w:val="32"/>
          <w:szCs w:val="32"/>
        </w:rPr>
        <w:t>3.</w:t>
      </w:r>
      <w:r>
        <w:rPr>
          <w:rFonts w:hint="eastAsia" w:ascii="仿宋" w:hAnsi="仿宋" w:eastAsia="仿宋" w:cs="仿宋"/>
          <w:color w:val="221E1F"/>
          <w:spacing w:val="-11"/>
          <w:sz w:val="32"/>
          <w:szCs w:val="32"/>
        </w:rPr>
        <w:t>洛阳市老城区人民检察院检察意见书（洛老检意〔2022〕20号）</w:t>
      </w:r>
      <w:r>
        <w:rPr>
          <w:rFonts w:hint="eastAsia" w:ascii="仿宋" w:hAnsi="仿宋" w:eastAsia="仿宋" w:cs="仿宋"/>
          <w:color w:val="221E1F"/>
          <w:sz w:val="32"/>
          <w:szCs w:val="32"/>
        </w:rPr>
        <w:t>，证明我局给予行政处罚的依据；</w:t>
      </w:r>
    </w:p>
    <w:p>
      <w:pPr>
        <w:widowControl/>
        <w:autoSpaceDE w:val="0"/>
        <w:autoSpaceDN w:val="0"/>
        <w:spacing w:line="600" w:lineRule="exact"/>
        <w:ind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4.询问笔录，证明当事人假冒注册商标健步鞋的情况。</w:t>
      </w:r>
    </w:p>
    <w:p>
      <w:pPr>
        <w:pStyle w:val="2"/>
        <w:tabs>
          <w:tab w:val="left" w:pos="9060"/>
        </w:tabs>
        <w:spacing w:line="600" w:lineRule="exact"/>
        <w:ind w:firstLine="640" w:firstLineChars="200"/>
        <w:textAlignment w:val="baseline"/>
        <w:rPr>
          <w:rFonts w:ascii="仿宋" w:hAnsi="仿宋" w:eastAsia="仿宋" w:cs="仿宋"/>
          <w:color w:val="000000"/>
        </w:rPr>
      </w:pPr>
      <w:r>
        <w:rPr>
          <w:rFonts w:hint="eastAsia" w:ascii="仿宋" w:hAnsi="仿宋" w:eastAsia="仿宋" w:cs="仿宋"/>
        </w:rPr>
        <w:t>我局于2023年3月23日向当事人送达偃市监罚告〔2023〕1号《行政处罚告知书》，依据《中华人民共和国行政处罚法》</w:t>
      </w:r>
      <w:r>
        <w:rPr>
          <w:rFonts w:hint="eastAsia" w:ascii="仿宋" w:hAnsi="仿宋" w:eastAsia="仿宋" w:cs="仿宋"/>
          <w:color w:val="000000"/>
        </w:rPr>
        <w:t>第四十四条、第四十五条、第六十三条和第六十四条的规定，告知当事人我局拟作出的行政处</w:t>
      </w:r>
      <w:r>
        <w:rPr>
          <w:rFonts w:hint="eastAsia" w:ascii="仿宋" w:hAnsi="仿宋" w:eastAsia="仿宋" w:cs="仿宋"/>
        </w:rPr>
        <w:t>罚内容及事实、理由、依据，并告知当事人依法享有的陈述、申辩、要求听证等权利。当事人在法定期限内未向我局提出陈述、申辩意见，也未要求听证。</w:t>
      </w:r>
    </w:p>
    <w:p>
      <w:pPr>
        <w:pStyle w:val="2"/>
        <w:tabs>
          <w:tab w:val="left" w:pos="8964"/>
        </w:tabs>
        <w:adjustRightInd/>
        <w:spacing w:line="600" w:lineRule="exact"/>
        <w:ind w:firstLine="640" w:firstLineChars="200"/>
        <w:jc w:val="both"/>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本局认为，当事人的行为属于</w:t>
      </w:r>
      <w:r>
        <w:rPr>
          <w:rFonts w:hint="eastAsia" w:ascii="仿宋" w:hAnsi="仿宋" w:eastAsia="仿宋" w:cs="仿宋"/>
          <w:color w:val="000000"/>
        </w:rPr>
        <w:t>《中华人民共和国商标法》第五十七条“有下列行为之一的,均属</w:t>
      </w:r>
      <w:bookmarkStart w:id="3" w:name="_Hlk131076113"/>
      <w:r>
        <w:rPr>
          <w:rFonts w:hint="eastAsia" w:ascii="仿宋" w:hAnsi="仿宋" w:eastAsia="仿宋" w:cs="仿宋"/>
          <w:color w:val="000000"/>
        </w:rPr>
        <w:t>侵犯商标专用权</w:t>
      </w:r>
      <w:bookmarkEnd w:id="3"/>
      <w:r>
        <w:rPr>
          <w:rFonts w:hint="eastAsia" w:ascii="仿宋" w:hAnsi="仿宋" w:eastAsia="仿宋" w:cs="仿宋"/>
          <w:color w:val="000000"/>
        </w:rPr>
        <w:t>:(一)未经商标注册人的许可,在同一种商品上用与其注册商标相同的商标的;”规定的侵犯商标专用权行为。</w:t>
      </w:r>
      <w:r>
        <w:rPr>
          <w:rFonts w:hint="eastAsia" w:ascii="仿宋" w:hAnsi="仿宋" w:eastAsia="仿宋" w:cs="仿宋_GB2312"/>
          <w:color w:val="000000" w:themeColor="text1"/>
          <w14:textFill>
            <w14:solidFill>
              <w14:schemeClr w14:val="tx1"/>
            </w14:solidFill>
          </w14:textFill>
        </w:rPr>
        <w:t>参照《河南省市场监督管理行政处罚裁量基准 》12.1《商标法》行政处罚裁量基准12.1.3；裁量等级：一般；违法情形：不具有从轻、从重处罚情形。裁量基准：责令立即停止侵权行为，没收、销毁侵权商品和主要用于制造侵权商品、伪造注册商标标识的工具，违法经营额5万元以上的，处违法经营额3.5倍以下的罚款，没有违法经营额或者违法经营额不足5万元的，处17.5万元以下的罚款。”之规定，根据当事人违法的事实、性质、情节，其行为属于一般违法，应给予一般处罚。</w:t>
      </w:r>
    </w:p>
    <w:p>
      <w:pPr>
        <w:spacing w:line="620" w:lineRule="exact"/>
        <w:ind w:firstLine="640" w:firstLineChars="200"/>
        <w:rPr>
          <w:rFonts w:ascii="仿宋" w:hAnsi="仿宋" w:eastAsia="仿宋" w:cs="仿宋_GB2312"/>
          <w:color w:val="231F20"/>
          <w:sz w:val="32"/>
          <w:szCs w:val="32"/>
        </w:rPr>
      </w:pPr>
      <w:r>
        <w:rPr>
          <w:rFonts w:hint="eastAsia" w:ascii="仿宋" w:hAnsi="仿宋" w:eastAsia="仿宋" w:cs="仿宋"/>
          <w:color w:val="000000"/>
          <w:sz w:val="32"/>
          <w:szCs w:val="32"/>
        </w:rPr>
        <w:t>依据《中华人民共和国商标法》第六十条第二款“工商行政管理部门处理时，认定侵权行为成立的，责令立即停止侵权行为，没收、销毁侵权商品和主要制造侵权商品、伪造注册商标标识的工具，违法经营额五万元以上的，可以处违法经营额五倍以下的罚款，没有违法经营额或者法经营额不足五万元的，可以处二十五万元以下的罚款。对五年内实施两次以上商标侵权行为或者有其他严重情节的，应当从重罚。销售不知道是侵犯注册商标专用权的商品，能证明该商品是自己合法取得并说明提供者的，由工商行政管理部门责令停止销售。”</w:t>
      </w:r>
      <w:r>
        <w:rPr>
          <w:rFonts w:hint="eastAsia" w:ascii="仿宋" w:hAnsi="仿宋" w:eastAsia="仿宋" w:cs="仿宋_GB2312"/>
          <w:color w:val="231F20"/>
          <w:sz w:val="32"/>
          <w:szCs w:val="32"/>
        </w:rPr>
        <w:t>之规定，责令</w:t>
      </w:r>
      <w:r>
        <w:rPr>
          <w:rFonts w:hint="eastAsia" w:ascii="仿宋" w:hAnsi="仿宋" w:eastAsia="仿宋" w:cs="仿宋_GB2312"/>
          <w:color w:val="000000" w:themeColor="text1"/>
          <w:sz w:val="32"/>
          <w:szCs w:val="32"/>
          <w14:textFill>
            <w14:solidFill>
              <w14:schemeClr w14:val="tx1"/>
            </w14:solidFill>
          </w14:textFill>
        </w:rPr>
        <w:t>当事人</w:t>
      </w:r>
      <w:r>
        <w:rPr>
          <w:rFonts w:hint="eastAsia" w:ascii="仿宋" w:hAnsi="仿宋" w:eastAsia="仿宋" w:cs="仿宋_GB2312"/>
          <w:color w:val="231F20"/>
          <w:sz w:val="32"/>
          <w:szCs w:val="32"/>
        </w:rPr>
        <w:t>停止侵权行为，没收侵权健步鞋74箱、合格证4</w:t>
      </w:r>
      <w:r>
        <w:rPr>
          <w:rFonts w:ascii="仿宋" w:hAnsi="仿宋" w:eastAsia="仿宋" w:cs="仿宋_GB2312"/>
          <w:color w:val="231F20"/>
          <w:sz w:val="32"/>
          <w:szCs w:val="32"/>
        </w:rPr>
        <w:t>400</w:t>
      </w:r>
      <w:r>
        <w:rPr>
          <w:rFonts w:hint="eastAsia" w:ascii="仿宋" w:hAnsi="仿宋" w:eastAsia="仿宋" w:cs="仿宋_GB2312"/>
          <w:color w:val="231F20"/>
          <w:sz w:val="32"/>
          <w:szCs w:val="32"/>
        </w:rPr>
        <w:t>个、底塑标4</w:t>
      </w:r>
      <w:r>
        <w:rPr>
          <w:rFonts w:ascii="仿宋" w:hAnsi="仿宋" w:eastAsia="仿宋" w:cs="仿宋_GB2312"/>
          <w:color w:val="231F20"/>
          <w:sz w:val="32"/>
          <w:szCs w:val="32"/>
        </w:rPr>
        <w:t>500</w:t>
      </w:r>
      <w:r>
        <w:rPr>
          <w:rFonts w:hint="eastAsia" w:ascii="仿宋" w:hAnsi="仿宋" w:eastAsia="仿宋" w:cs="仿宋_GB2312"/>
          <w:color w:val="231F20"/>
          <w:sz w:val="32"/>
          <w:szCs w:val="32"/>
        </w:rPr>
        <w:t xml:space="preserve">个，罚款54700元。         </w:t>
      </w:r>
    </w:p>
    <w:p>
      <w:pPr>
        <w:pStyle w:val="2"/>
        <w:tabs>
          <w:tab w:val="left" w:pos="6680"/>
          <w:tab w:val="left" w:pos="8920"/>
        </w:tabs>
        <w:spacing w:line="600" w:lineRule="exact"/>
        <w:ind w:left="120" w:firstLine="640" w:firstLineChars="200"/>
        <w:jc w:val="both"/>
        <w:textAlignment w:val="baseline"/>
        <w:rPr>
          <w:rFonts w:ascii="仿宋" w:hAnsi="仿宋" w:eastAsia="仿宋"/>
          <w:color w:val="000000"/>
          <w:kern w:val="2"/>
        </w:rPr>
      </w:pPr>
      <w:r>
        <w:rPr>
          <w:rFonts w:hint="eastAsia" w:ascii="仿宋" w:hAnsi="仿宋" w:eastAsia="仿宋"/>
          <w:color w:val="000000"/>
          <w:kern w:val="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pStyle w:val="2"/>
        <w:tabs>
          <w:tab w:val="left" w:pos="6680"/>
          <w:tab w:val="left" w:pos="8920"/>
        </w:tabs>
        <w:spacing w:line="600" w:lineRule="exact"/>
        <w:ind w:left="120" w:firstLine="640" w:firstLineChars="200"/>
        <w:jc w:val="both"/>
        <w:textAlignment w:val="baseline"/>
        <w:rPr>
          <w:rFonts w:ascii="仿宋" w:hAnsi="仿宋" w:eastAsia="仿宋"/>
          <w:color w:val="000000"/>
          <w:kern w:val="2"/>
        </w:rPr>
      </w:pPr>
      <w:r>
        <w:rPr>
          <w:rFonts w:hint="eastAsia" w:ascii="仿宋" w:hAnsi="仿宋" w:eastAsia="仿宋"/>
          <w:color w:val="000000"/>
          <w:kern w:val="2"/>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2"/>
        <w:tabs>
          <w:tab w:val="left" w:pos="6680"/>
          <w:tab w:val="left" w:pos="8920"/>
        </w:tabs>
        <w:spacing w:line="600" w:lineRule="exact"/>
        <w:ind w:left="120" w:firstLine="640" w:firstLineChars="200"/>
        <w:jc w:val="both"/>
        <w:textAlignment w:val="baseline"/>
        <w:rPr>
          <w:rFonts w:ascii="仿宋" w:hAnsi="仿宋" w:eastAsia="仿宋" w:cs="仿宋"/>
          <w:color w:val="231F20"/>
        </w:rPr>
      </w:pPr>
      <w:r>
        <w:rPr>
          <w:rFonts w:hint="eastAsia" w:ascii="仿宋" w:hAnsi="仿宋" w:eastAsia="仿宋"/>
          <w:color w:val="000000"/>
          <w:kern w:val="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r>
        <w:rPr>
          <w:rFonts w:hint="eastAsia" w:ascii="仿宋" w:hAnsi="仿宋" w:eastAsia="仿宋" w:cs="仿宋"/>
          <w:color w:val="231F20"/>
        </w:rPr>
        <w:t xml:space="preserve"> </w:t>
      </w:r>
    </w:p>
    <w:p>
      <w:pPr>
        <w:spacing w:line="600" w:lineRule="exact"/>
        <w:ind w:left="105" w:leftChars="50" w:firstLine="640" w:firstLineChars="200"/>
        <w:jc w:val="right"/>
        <w:textAlignment w:val="baseline"/>
        <w:rPr>
          <w:rFonts w:ascii="仿宋" w:hAnsi="仿宋" w:eastAsia="仿宋" w:cs="仿宋"/>
          <w:color w:val="000000"/>
          <w:sz w:val="32"/>
          <w:szCs w:val="32"/>
        </w:rPr>
      </w:pPr>
    </w:p>
    <w:p>
      <w:pPr>
        <w:spacing w:line="600" w:lineRule="exact"/>
        <w:ind w:left="105" w:leftChars="50" w:firstLine="640" w:firstLineChars="200"/>
        <w:jc w:val="right"/>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600" w:lineRule="exact"/>
        <w:ind w:left="105" w:leftChars="50" w:right="1280" w:firstLine="640" w:firstLineChars="200"/>
        <w:jc w:val="right"/>
        <w:textAlignment w:val="baseline"/>
        <w:rPr>
          <w:rFonts w:ascii="仿宋" w:hAnsi="仿宋" w:eastAsia="仿宋" w:cs="仿宋"/>
          <w:color w:val="000000"/>
          <w:sz w:val="32"/>
          <w:szCs w:val="32"/>
        </w:rPr>
      </w:pPr>
    </w:p>
    <w:p>
      <w:pPr>
        <w:spacing w:line="600" w:lineRule="exact"/>
        <w:ind w:left="105" w:leftChars="50" w:right="960" w:firstLine="640" w:firstLineChars="200"/>
        <w:jc w:val="right"/>
        <w:textAlignment w:val="baseline"/>
        <w:rPr>
          <w:rFonts w:ascii="仿宋" w:hAnsi="仿宋" w:eastAsia="仿宋" w:cs="仿宋"/>
          <w:color w:val="000000"/>
          <w:sz w:val="32"/>
          <w:szCs w:val="32"/>
        </w:rPr>
      </w:pPr>
      <w:r>
        <w:rPr>
          <w:rFonts w:hint="eastAsia" w:ascii="仿宋" w:hAnsi="仿宋" w:eastAsia="仿宋" w:cs="仿宋"/>
          <w:color w:val="000000"/>
          <w:sz w:val="32"/>
          <w:szCs w:val="32"/>
        </w:rPr>
        <w:t>洛阳市偃师区市场监督管理局</w:t>
      </w:r>
    </w:p>
    <w:p>
      <w:pPr>
        <w:spacing w:line="600" w:lineRule="exact"/>
        <w:ind w:left="105" w:leftChars="50" w:right="1280" w:firstLine="640" w:firstLineChars="200"/>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r>
        <w:rPr>
          <w:rFonts w:ascii="仿宋" w:hAnsi="仿宋" w:eastAsia="仿宋" w:cs="仿宋"/>
          <w:color w:val="000000"/>
          <w:sz w:val="32"/>
          <w:szCs w:val="32"/>
        </w:rPr>
        <w:t xml:space="preserve">                         </w:t>
      </w:r>
    </w:p>
    <w:p>
      <w:pPr>
        <w:spacing w:line="600" w:lineRule="exact"/>
        <w:ind w:left="105" w:leftChars="50" w:firstLine="640" w:firstLineChars="200"/>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r>
        <w:rPr>
          <w:rFonts w:ascii="仿宋" w:hAnsi="仿宋" w:eastAsia="仿宋" w:cs="仿宋"/>
          <w:color w:val="000000"/>
          <w:sz w:val="32"/>
          <w:szCs w:val="32"/>
        </w:rPr>
        <w:t xml:space="preserve">         2023</w:t>
      </w:r>
      <w:r>
        <w:rPr>
          <w:rFonts w:hint="eastAsia" w:ascii="仿宋" w:hAnsi="仿宋" w:eastAsia="仿宋" w:cs="仿宋"/>
          <w:color w:val="000000"/>
          <w:sz w:val="32"/>
          <w:szCs w:val="32"/>
        </w:rPr>
        <w:t>年</w:t>
      </w:r>
      <w:r>
        <w:rPr>
          <w:rFonts w:ascii="仿宋" w:hAnsi="仿宋" w:eastAsia="仿宋" w:cs="仿宋"/>
          <w:color w:val="000000"/>
          <w:sz w:val="32"/>
          <w:szCs w:val="32"/>
        </w:rPr>
        <w:t>3</w:t>
      </w:r>
      <w:r>
        <w:rPr>
          <w:rFonts w:hint="eastAsia" w:ascii="仿宋" w:hAnsi="仿宋" w:eastAsia="仿宋" w:cs="仿宋"/>
          <w:color w:val="000000"/>
          <w:sz w:val="32"/>
          <w:szCs w:val="32"/>
        </w:rPr>
        <w:t>月</w:t>
      </w:r>
      <w:r>
        <w:rPr>
          <w:rFonts w:ascii="仿宋" w:hAnsi="仿宋" w:eastAsia="仿宋" w:cs="仿宋"/>
          <w:color w:val="000000"/>
          <w:sz w:val="32"/>
          <w:szCs w:val="32"/>
        </w:rPr>
        <w:t>31</w:t>
      </w:r>
      <w:r>
        <w:rPr>
          <w:rFonts w:hint="eastAsia" w:ascii="仿宋" w:hAnsi="仿宋" w:eastAsia="仿宋" w:cs="仿宋"/>
          <w:color w:val="000000"/>
          <w:sz w:val="32"/>
          <w:szCs w:val="32"/>
        </w:rPr>
        <w:t xml:space="preserve">日   </w:t>
      </w:r>
    </w:p>
    <w:p>
      <w:pPr>
        <w:spacing w:line="600" w:lineRule="exact"/>
        <w:textAlignment w:val="baseline"/>
        <w:rPr>
          <w:rFonts w:ascii="仿宋_GB2312" w:hAnsi="仿宋" w:eastAsia="仿宋_GB2312" w:cs="仿宋"/>
          <w:sz w:val="30"/>
          <w:szCs w:val="30"/>
        </w:rPr>
      </w:pPr>
    </w:p>
    <w:p>
      <w:pPr>
        <w:spacing w:line="600" w:lineRule="exact"/>
        <w:textAlignment w:val="baseline"/>
        <w:rPr>
          <w:rFonts w:ascii="仿宋_GB2312" w:hAnsi="仿宋" w:eastAsia="仿宋_GB2312" w:cs="仿宋"/>
          <w:sz w:val="30"/>
          <w:szCs w:val="30"/>
        </w:rPr>
      </w:pPr>
    </w:p>
    <w:p>
      <w:pPr>
        <w:spacing w:line="600" w:lineRule="exact"/>
        <w:textAlignment w:val="baseline"/>
        <w:rPr>
          <w:rFonts w:ascii="仿宋_GB2312" w:hAnsi="仿宋" w:eastAsia="仿宋_GB2312" w:cs="仿宋"/>
          <w:sz w:val="30"/>
          <w:szCs w:val="30"/>
        </w:rPr>
      </w:pPr>
    </w:p>
    <w:p>
      <w:pPr>
        <w:spacing w:line="600" w:lineRule="exact"/>
        <w:textAlignment w:val="baseline"/>
        <w:rPr>
          <w:rFonts w:ascii="仿宋_GB2312" w:hAnsi="仿宋" w:eastAsia="仿宋_GB2312" w:cs="仿宋"/>
          <w:sz w:val="30"/>
          <w:szCs w:val="30"/>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ind w:firstLine="210" w:firstLineChars="100"/>
        <w:rPr>
          <w:rFonts w:ascii="仿宋" w:hAnsi="仿宋" w:eastAsia="仿宋" w:cs="仿宋_GB2312"/>
          <w:bCs/>
          <w:sz w:val="32"/>
          <w:szCs w:val="32"/>
        </w:rPr>
      </w:pPr>
      <w:r>
        <mc:AlternateContent>
          <mc:Choice Requires="wps">
            <w:drawing>
              <wp:anchor distT="0" distB="0" distL="114300" distR="114300" simplePos="0" relativeHeight="251661312"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1" name="直接连接符 6"/>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margin-left:3.4pt;margin-top:3.25pt;height:0pt;width:429pt;z-index:251661312;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9gYidMAAAAFAQAADwAAAAAAAAABACAAAAAiAAAAZHJzL2Rvd25yZXYueG1sUEsBAhQAFAAAAAgA&#10;h07iQKDyfJnxAQAA5wMAAA4AAAAAAAAAAQAgAAAAIgEAAGRycy9lMm9Eb2MueG1sUEsFBgAAAAAG&#10;AAYAWQEAAIU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nchor="t" anchorCtr="0">
                      <a:spAutoFit/>
                    </wps:bodyPr>
                  </wps:wsp>
                </a:graphicData>
              </a:graphic>
            </wp:anchor>
          </w:drawing>
        </mc:Choice>
        <mc:Fallback>
          <w:pict>
            <v:shape id="文本框 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LW7l30AAAAAIBAAAPAAAAAAAAAAEAIAAAACIA&#10;AABkcnMvZG93bnJldi54bWxQSwECFAAUAAAACACHTuJArsFZadgBAACxAwAADgAAAAAAAAABACAA&#10;AAAfAQAAZHJzL2Uyb0RvYy54bWxQSwUGAAAAAAYABgBZAQAAaQ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D94037"/>
    <w:rsid w:val="00055235"/>
    <w:rsid w:val="000755A7"/>
    <w:rsid w:val="000B4E44"/>
    <w:rsid w:val="000E5B10"/>
    <w:rsid w:val="00107A51"/>
    <w:rsid w:val="00134C18"/>
    <w:rsid w:val="00191A38"/>
    <w:rsid w:val="001F3470"/>
    <w:rsid w:val="002A7D59"/>
    <w:rsid w:val="0036423C"/>
    <w:rsid w:val="004A03F9"/>
    <w:rsid w:val="005E30B3"/>
    <w:rsid w:val="005E53C0"/>
    <w:rsid w:val="005F3BC3"/>
    <w:rsid w:val="00676E59"/>
    <w:rsid w:val="006E7728"/>
    <w:rsid w:val="00771B5B"/>
    <w:rsid w:val="008529BB"/>
    <w:rsid w:val="008B4426"/>
    <w:rsid w:val="008D1B0B"/>
    <w:rsid w:val="0096200B"/>
    <w:rsid w:val="00964F10"/>
    <w:rsid w:val="009A3476"/>
    <w:rsid w:val="009E520D"/>
    <w:rsid w:val="009F59BD"/>
    <w:rsid w:val="00A4120D"/>
    <w:rsid w:val="00B42F9C"/>
    <w:rsid w:val="00B77DB4"/>
    <w:rsid w:val="00B92A7D"/>
    <w:rsid w:val="00BE756D"/>
    <w:rsid w:val="00D94037"/>
    <w:rsid w:val="00DA1229"/>
    <w:rsid w:val="00E736D4"/>
    <w:rsid w:val="02DF57A3"/>
    <w:rsid w:val="04206073"/>
    <w:rsid w:val="042D0D99"/>
    <w:rsid w:val="06466362"/>
    <w:rsid w:val="065B15E4"/>
    <w:rsid w:val="069B44F5"/>
    <w:rsid w:val="07131EBF"/>
    <w:rsid w:val="08BB45BC"/>
    <w:rsid w:val="0991261E"/>
    <w:rsid w:val="0AA26DAD"/>
    <w:rsid w:val="0B243947"/>
    <w:rsid w:val="0B535383"/>
    <w:rsid w:val="10B36ECA"/>
    <w:rsid w:val="117D181B"/>
    <w:rsid w:val="16783AEC"/>
    <w:rsid w:val="17B812E8"/>
    <w:rsid w:val="1BA57132"/>
    <w:rsid w:val="1E230C7C"/>
    <w:rsid w:val="1E76687A"/>
    <w:rsid w:val="21B3354F"/>
    <w:rsid w:val="29160B07"/>
    <w:rsid w:val="296D2773"/>
    <w:rsid w:val="2A697323"/>
    <w:rsid w:val="2C46067B"/>
    <w:rsid w:val="2C476A74"/>
    <w:rsid w:val="2FC80AFF"/>
    <w:rsid w:val="31160623"/>
    <w:rsid w:val="33FA5515"/>
    <w:rsid w:val="349A75F8"/>
    <w:rsid w:val="35551638"/>
    <w:rsid w:val="38615D63"/>
    <w:rsid w:val="3AD15F50"/>
    <w:rsid w:val="3B2C6AD0"/>
    <w:rsid w:val="3C7A295E"/>
    <w:rsid w:val="41603F72"/>
    <w:rsid w:val="42BA2D41"/>
    <w:rsid w:val="45080C01"/>
    <w:rsid w:val="451B0FBE"/>
    <w:rsid w:val="473E2065"/>
    <w:rsid w:val="478D768B"/>
    <w:rsid w:val="486F44A0"/>
    <w:rsid w:val="48A7744F"/>
    <w:rsid w:val="49DF0E43"/>
    <w:rsid w:val="4C9508A3"/>
    <w:rsid w:val="4E086F29"/>
    <w:rsid w:val="4EF74214"/>
    <w:rsid w:val="52677E3B"/>
    <w:rsid w:val="54866DF9"/>
    <w:rsid w:val="54A61249"/>
    <w:rsid w:val="55C13AA3"/>
    <w:rsid w:val="576D42A0"/>
    <w:rsid w:val="59BD32BD"/>
    <w:rsid w:val="5C1A7106"/>
    <w:rsid w:val="5C7E76CB"/>
    <w:rsid w:val="5D261470"/>
    <w:rsid w:val="5E8B1B25"/>
    <w:rsid w:val="5F2B37B1"/>
    <w:rsid w:val="609915A7"/>
    <w:rsid w:val="60BC338B"/>
    <w:rsid w:val="61A653EB"/>
    <w:rsid w:val="61C733F2"/>
    <w:rsid w:val="630818A8"/>
    <w:rsid w:val="63ED27AD"/>
    <w:rsid w:val="63FA6EBC"/>
    <w:rsid w:val="65842B9B"/>
    <w:rsid w:val="690A5FF1"/>
    <w:rsid w:val="69653029"/>
    <w:rsid w:val="6DC76061"/>
    <w:rsid w:val="6E166FE8"/>
    <w:rsid w:val="6F81107F"/>
    <w:rsid w:val="702935B0"/>
    <w:rsid w:val="715258E9"/>
    <w:rsid w:val="71EF3DD8"/>
    <w:rsid w:val="7D48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Date"/>
    <w:basedOn w:val="1"/>
    <w:next w:val="1"/>
    <w:link w:val="13"/>
    <w:qFormat/>
    <w:uiPriority w:val="0"/>
    <w:pPr>
      <w:ind w:left="100" w:leftChars="2500"/>
    </w:p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批注框文本 字符"/>
    <w:basedOn w:val="9"/>
    <w:link w:val="4"/>
    <w:qFormat/>
    <w:uiPriority w:val="0"/>
    <w:rPr>
      <w:kern w:val="2"/>
      <w:sz w:val="18"/>
      <w:szCs w:val="18"/>
    </w:rPr>
  </w:style>
  <w:style w:type="character" w:customStyle="1" w:styleId="13">
    <w:name w:val="日期 字符"/>
    <w:basedOn w:val="9"/>
    <w:link w:val="3"/>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2321</Words>
  <Characters>2571</Characters>
  <Lines>32</Lines>
  <Paragraphs>9</Paragraphs>
  <TotalTime>8</TotalTime>
  <ScaleCrop>false</ScaleCrop>
  <LinksUpToDate>false</LinksUpToDate>
  <CharactersWithSpaces>4576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2023-03-30T05:56:00Z</dcterms:created>
  <dc:creator>lenovo</dc:creator>
  <cp:lastModifiedBy>王建清</cp:lastModifiedBy>
  <cp:lastPrinted>2023-03-30T05:55:00Z</cp:lastPrinted>
  <dcterms:modified xsi:type="dcterms:W3CDTF">2023-05-08T07:58:22Z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DB12E98204AD44328949FCDFE511C062_13</vt:lpwstr>
  </property>
</Properties>
</file>