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right="-19" w:rightChars="-9"/>
        <w:jc w:val="center"/>
        <w:textAlignment w:val="baseline"/>
        <w:rPr>
          <w:rFonts w:ascii="宋体" w:hAnsi="宋体" w:cs="宋体"/>
          <w:b/>
          <w:sz w:val="44"/>
          <w:szCs w:val="44"/>
        </w:rPr>
      </w:pPr>
      <w:bookmarkStart w:id="0" w:name="_Toc76683363"/>
      <w:bookmarkStart w:id="1" w:name="_Toc27865"/>
      <w:r>
        <w:rPr>
          <w:rFonts w:hint="eastAsia" w:ascii="宋体" w:hAnsi="宋体" w:cs="宋体"/>
          <w:b/>
          <w:sz w:val="44"/>
          <w:szCs w:val="44"/>
        </w:rPr>
        <w:t>洛阳市偃师区市场监督管理局</w:t>
      </w:r>
      <w:bookmarkEnd w:id="0"/>
      <w:bookmarkEnd w:id="1"/>
    </w:p>
    <w:p>
      <w:pPr>
        <w:spacing w:line="600" w:lineRule="exact"/>
        <w:ind w:right="-19" w:rightChars="-9"/>
        <w:jc w:val="center"/>
        <w:textAlignment w:val="baseline"/>
        <w:rPr>
          <w:rFonts w:ascii="宋体" w:hAnsi="宋体" w:cs="宋体"/>
          <w:b/>
          <w:color w:val="000000"/>
          <w:sz w:val="44"/>
          <w:szCs w:val="44"/>
        </w:rPr>
      </w:pPr>
      <w:bookmarkStart w:id="2" w:name="_Toc76683364"/>
      <w:r>
        <w:rPr>
          <w:rFonts w:hint="eastAsia" w:ascii="宋体" w:hAnsi="宋体" w:cs="宋体"/>
          <w:b/>
          <w:color w:val="000000"/>
          <w:sz w:val="44"/>
          <w:szCs w:val="44"/>
        </w:rPr>
        <w:t>行政处罚决定书</w:t>
      </w:r>
      <w:bookmarkEnd w:id="2"/>
    </w:p>
    <w:p>
      <w:pPr>
        <w:widowControl/>
        <w:snapToGrid w:val="0"/>
        <w:spacing w:line="560" w:lineRule="exact"/>
        <w:ind w:right="-19" w:rightChars="-9"/>
        <w:jc w:val="center"/>
        <w:textAlignment w:val="baseline"/>
        <w:rPr>
          <w:rFonts w:ascii="仿宋" w:hAnsi="仿宋" w:eastAsia="仿宋" w:cs="仿宋"/>
          <w:bCs/>
          <w:color w:val="000000"/>
          <w:sz w:val="32"/>
          <w:szCs w:val="32"/>
        </w:rPr>
      </w:pPr>
      <w:r>
        <w:rPr>
          <w:rFonts w:hint="eastAsia" w:ascii="仿宋" w:hAnsi="仿宋" w:eastAsia="仿宋" w:cs="仿宋"/>
          <w:bCs/>
          <w:color w:val="000000"/>
          <w:sz w:val="32"/>
          <w:szCs w:val="32"/>
        </w:rPr>
        <w:t>偃市监处罚〔2023〕2022110号</w:t>
      </w:r>
      <w:r>
        <w:rPr>
          <w:rFonts w:ascii="仿宋" w:hAnsi="仿宋" w:eastAsia="仿宋" w:cs="仿宋"/>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10160" b="9525"/>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txbx>
                        <w:txbxContent>
                          <w:p>
                            <w:pPr>
                              <w:wordWrap w:val="0"/>
                              <w:rPr>
                                <w:rFonts w:ascii="宋体" w:hAnsi="宋体"/>
                                <w:sz w:val="20"/>
                                <w:szCs w:val="20"/>
                              </w:rPr>
                            </w:pPr>
                          </w:p>
                        </w:txbxContent>
                      </wps:txbx>
                      <wps:bodyPr/>
                    </wps:wsp>
                  </a:graphicData>
                </a:graphic>
              </wp:anchor>
            </w:drawing>
          </mc:Choice>
          <mc:Fallback>
            <w:pict>
              <v:shape id="_x0000_s1026"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&#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grLW/1gAAAAwBAAAPAAAAAAAAAAEAIAAAACIAAABk&#10;cnMvZG93bnJldi54bWxQSwECFAAUAAAACACHTuJAwDcF1AgCAAAGBAAADgAAAAAAAAABACAAAAAl&#10;AQAAZHJzL2Uyb0RvYy54bWxQSwUGAAAAAAYABgBZAQAAnwUAAAAA&#10;">
                <v:fill on="f" focussize="0,0"/>
                <v:stroke weight="1.5pt" color="#000000" joinstyle="round"/>
                <v:imagedata o:title=""/>
                <o:lock v:ext="edit" aspectratio="f"/>
                <v:textbox>
                  <w:txbxContent>
                    <w:p>
                      <w:pPr>
                        <w:wordWrap w:val="0"/>
                        <w:rPr>
                          <w:rFonts w:ascii="宋体" w:hAnsi="宋体"/>
                          <w:sz w:val="20"/>
                          <w:szCs w:val="20"/>
                        </w:rPr>
                      </w:pPr>
                    </w:p>
                  </w:txbxContent>
                </v:textbox>
              </v:shape>
            </w:pict>
          </mc:Fallback>
        </mc:AlternateContent>
      </w:r>
    </w:p>
    <w:p>
      <w:pPr>
        <w:spacing w:line="560" w:lineRule="exact"/>
        <w:ind w:left="140" w:right="-19" w:rightChars="-9" w:hanging="140"/>
        <w:textAlignment w:val="baseline"/>
        <w:rPr>
          <w:rFonts w:ascii="仿宋" w:hAnsi="仿宋" w:eastAsia="仿宋" w:cs="仿宋"/>
          <w:bCs/>
          <w:kern w:val="1"/>
          <w:sz w:val="32"/>
          <w:szCs w:val="32"/>
        </w:rPr>
      </w:pPr>
    </w:p>
    <w:p>
      <w:pPr>
        <w:spacing w:line="560" w:lineRule="exact"/>
        <w:ind w:left="140" w:right="-19" w:rightChars="-9" w:hanging="140"/>
        <w:textAlignment w:val="baseline"/>
        <w:rPr>
          <w:rFonts w:ascii="仿宋" w:hAnsi="仿宋" w:eastAsia="仿宋" w:cs="仿宋"/>
          <w:bCs/>
          <w:sz w:val="32"/>
          <w:szCs w:val="32"/>
        </w:rPr>
      </w:pPr>
      <w:r>
        <w:rPr>
          <w:rFonts w:hint="eastAsia" w:ascii="仿宋" w:hAnsi="仿宋" w:eastAsia="仿宋" w:cs="仿宋"/>
          <w:bCs/>
          <w:kern w:val="1"/>
          <w:sz w:val="32"/>
          <w:szCs w:val="32"/>
        </w:rPr>
        <w:t>当事人：洛阳市偃师区伊洛街道馨雨美容店</w:t>
      </w:r>
      <w:r>
        <w:rPr>
          <w:rFonts w:hint="eastAsia" w:ascii="仿宋" w:hAnsi="仿宋" w:eastAsia="仿宋" w:cs="仿宋"/>
          <w:sz w:val="32"/>
          <w:szCs w:val="32"/>
        </w:rPr>
        <w:t xml:space="preserve">                                  </w:t>
      </w:r>
      <w:r>
        <w:rPr>
          <w:rFonts w:hint="eastAsia" w:ascii="仿宋" w:hAnsi="仿宋" w:eastAsia="仿宋" w:cs="仿宋"/>
          <w:kern w:val="1"/>
          <w:sz w:val="32"/>
          <w:szCs w:val="32"/>
        </w:rPr>
        <w:t xml:space="preserve">   </w:t>
      </w:r>
    </w:p>
    <w:p>
      <w:pPr>
        <w:spacing w:line="560" w:lineRule="exact"/>
        <w:ind w:right="-19" w:rightChars="-9"/>
        <w:textAlignment w:val="baseline"/>
        <w:rPr>
          <w:rFonts w:ascii="仿宋" w:hAnsi="仿宋" w:eastAsia="仿宋" w:cs="仿宋"/>
          <w:sz w:val="32"/>
          <w:szCs w:val="32"/>
        </w:rPr>
      </w:pPr>
      <w:r>
        <w:rPr>
          <w:rFonts w:hint="eastAsia" w:ascii="仿宋" w:hAnsi="仿宋" w:eastAsia="仿宋" w:cs="仿宋"/>
          <w:bCs/>
          <w:kern w:val="1"/>
          <w:sz w:val="32"/>
          <w:szCs w:val="32"/>
        </w:rPr>
        <w:t>主体资格证照</w:t>
      </w:r>
      <w:r>
        <w:rPr>
          <w:rFonts w:hint="eastAsia" w:ascii="仿宋" w:hAnsi="仿宋" w:eastAsia="仿宋" w:cs="仿宋"/>
          <w:kern w:val="1"/>
          <w:sz w:val="32"/>
          <w:szCs w:val="32"/>
        </w:rPr>
        <w:t xml:space="preserve">名称：营业执照                                   </w:t>
      </w:r>
    </w:p>
    <w:p>
      <w:pPr>
        <w:spacing w:line="560" w:lineRule="exact"/>
        <w:ind w:left="140" w:right="-19" w:rightChars="-9" w:hanging="140"/>
        <w:textAlignment w:val="baseline"/>
        <w:rPr>
          <w:rFonts w:ascii="仿宋" w:hAnsi="仿宋" w:eastAsia="仿宋" w:cs="仿宋"/>
          <w:kern w:val="1"/>
          <w:sz w:val="32"/>
          <w:szCs w:val="32"/>
        </w:rPr>
      </w:pPr>
      <w:r>
        <w:rPr>
          <w:rFonts w:hint="eastAsia" w:ascii="仿宋" w:hAnsi="仿宋" w:eastAsia="仿宋" w:cs="仿宋"/>
          <w:kern w:val="1"/>
          <w:sz w:val="32"/>
          <w:szCs w:val="32"/>
        </w:rPr>
        <w:t xml:space="preserve">统一社会信用代码：92410381MA415D3N5K                                  </w:t>
      </w:r>
    </w:p>
    <w:p>
      <w:pPr>
        <w:spacing w:line="560" w:lineRule="exact"/>
        <w:ind w:right="-19" w:rightChars="-9"/>
        <w:textAlignment w:val="baseline"/>
        <w:rPr>
          <w:rFonts w:ascii="仿宋" w:hAnsi="仿宋" w:eastAsia="仿宋" w:cs="仿宋"/>
          <w:kern w:val="1"/>
          <w:sz w:val="32"/>
          <w:szCs w:val="32"/>
        </w:rPr>
      </w:pPr>
      <w:r>
        <w:rPr>
          <w:rFonts w:hint="eastAsia" w:ascii="仿宋" w:hAnsi="仿宋" w:eastAsia="仿宋" w:cs="仿宋"/>
          <w:kern w:val="1"/>
          <w:sz w:val="32"/>
          <w:szCs w:val="32"/>
        </w:rPr>
        <w:t xml:space="preserve">经营场所：洛阳市偃师区伊洛街道华夏路书香名邸18号楼16号门市                                                                                     </w:t>
      </w:r>
    </w:p>
    <w:p>
      <w:pPr>
        <w:spacing w:line="560" w:lineRule="exact"/>
        <w:ind w:right="-19" w:rightChars="-9"/>
        <w:textAlignment w:val="baseline"/>
        <w:rPr>
          <w:rFonts w:ascii="仿宋" w:hAnsi="仿宋" w:eastAsia="仿宋" w:cs="仿宋"/>
          <w:kern w:val="1"/>
          <w:sz w:val="32"/>
          <w:szCs w:val="32"/>
        </w:rPr>
      </w:pPr>
      <w:r>
        <w:rPr>
          <w:rFonts w:hint="eastAsia" w:ascii="仿宋" w:hAnsi="仿宋" w:eastAsia="仿宋" w:cs="仿宋"/>
          <w:kern w:val="1"/>
          <w:sz w:val="32"/>
          <w:szCs w:val="32"/>
        </w:rPr>
        <w:t xml:space="preserve">经营者：钟丽鹏                             </w:t>
      </w:r>
    </w:p>
    <w:p>
      <w:pPr>
        <w:spacing w:line="560" w:lineRule="exact"/>
        <w:ind w:left="140" w:right="-19" w:rightChars="-9" w:hanging="140"/>
        <w:textAlignment w:val="baseline"/>
        <w:rPr>
          <w:rFonts w:ascii="仿宋" w:hAnsi="仿宋" w:eastAsia="仿宋" w:cs="仿宋"/>
          <w:kern w:val="1"/>
          <w:sz w:val="32"/>
          <w:szCs w:val="32"/>
        </w:rPr>
      </w:pPr>
      <w:bookmarkStart w:id="3" w:name="_GoBack"/>
      <w:bookmarkEnd w:id="3"/>
      <w:r>
        <w:rPr>
          <w:rFonts w:hint="eastAsia" w:ascii="仿宋" w:hAnsi="仿宋" w:eastAsia="仿宋" w:cs="仿宋"/>
          <w:kern w:val="1"/>
          <w:sz w:val="32"/>
          <w:szCs w:val="32"/>
        </w:rPr>
        <w:t xml:space="preserve">                                                                                                                                                                                                                                                                                                                                                                                                                                                                                                                                                                                                                                                                                                                                                                                                                                                                                                                                                                                                                                                                                                                                                                                                                                                                                                                                                                                                                                                                                                                                                                                                                                                                                                                                                                                                                                                                                            </w:t>
      </w:r>
    </w:p>
    <w:p>
      <w:pPr>
        <w:pStyle w:val="3"/>
        <w:tabs>
          <w:tab w:val="left" w:pos="9060"/>
        </w:tabs>
        <w:spacing w:line="560" w:lineRule="exact"/>
        <w:ind w:right="-19" w:rightChars="-9" w:firstLine="640" w:firstLineChars="200"/>
        <w:jc w:val="both"/>
        <w:textAlignment w:val="baseline"/>
        <w:rPr>
          <w:rFonts w:ascii="仿宋" w:hAnsi="仿宋" w:eastAsia="仿宋" w:cs="仿宋"/>
          <w:color w:val="231F20"/>
        </w:rPr>
      </w:pPr>
      <w:r>
        <w:rPr>
          <w:rFonts w:hint="eastAsia" w:ascii="仿宋" w:hAnsi="仿宋" w:eastAsia="仿宋" w:cs="仿宋"/>
          <w:color w:val="000000"/>
        </w:rPr>
        <w:t>2022年6月14日，我局执法人员在市场检查中发现，偃师市伊洛街道馨雨美容店经营的私琦定养--玉石养护套组化妆品，现场提供不出化妆品的备案证明材料；经营的</w:t>
      </w:r>
      <w:r>
        <w:rPr>
          <w:rFonts w:hint="eastAsia" w:ascii="仿宋" w:hAnsi="仿宋" w:eastAsia="仿宋" w:cs="仿宋"/>
        </w:rPr>
        <w:t>“黛翡倪尔”系列化妆品28盒已超过限用日期，</w:t>
      </w:r>
      <w:r>
        <w:rPr>
          <w:rFonts w:hint="eastAsia" w:ascii="仿宋" w:hAnsi="仿宋" w:eastAsia="仿宋" w:cs="仿宋"/>
          <w:color w:val="000000"/>
        </w:rPr>
        <w:t>涉嫌经营未经备案的普通化妆品及经营</w:t>
      </w:r>
      <w:r>
        <w:rPr>
          <w:rFonts w:hint="eastAsia" w:ascii="仿宋" w:hAnsi="仿宋" w:eastAsia="仿宋" w:cs="仿宋"/>
        </w:rPr>
        <w:t>超过使用期限的化妆品</w:t>
      </w:r>
      <w:r>
        <w:rPr>
          <w:rFonts w:hint="eastAsia" w:ascii="仿宋" w:hAnsi="仿宋" w:eastAsia="仿宋" w:cs="仿宋"/>
          <w:color w:val="000000"/>
        </w:rPr>
        <w:t>。</w:t>
      </w:r>
      <w:r>
        <w:rPr>
          <w:rFonts w:hint="eastAsia" w:ascii="仿宋" w:hAnsi="仿宋" w:eastAsia="仿宋" w:cs="仿宋"/>
          <w:color w:val="000000" w:themeColor="text1"/>
          <w14:textFill>
            <w14:solidFill>
              <w14:schemeClr w14:val="tx1"/>
            </w14:solidFill>
          </w14:textFill>
        </w:rPr>
        <w:t>执法人员通过现场检查、询问相关人员、调取相关证据等方式对案件进行了调查。</w:t>
      </w:r>
      <w:r>
        <w:rPr>
          <w:rFonts w:hint="eastAsia" w:ascii="仿宋" w:hAnsi="仿宋" w:eastAsia="仿宋" w:cs="仿宋"/>
          <w:color w:val="231F20"/>
        </w:rPr>
        <w:t xml:space="preserve">  </w:t>
      </w:r>
    </w:p>
    <w:p>
      <w:pPr>
        <w:spacing w:line="560" w:lineRule="exact"/>
        <w:ind w:right="-19" w:rightChars="-9" w:firstLine="640" w:firstLineChars="200"/>
        <w:rPr>
          <w:rFonts w:ascii="仿宋" w:hAnsi="仿宋" w:eastAsia="仿宋" w:cs="仿宋"/>
          <w:sz w:val="32"/>
          <w:szCs w:val="32"/>
        </w:rPr>
      </w:pPr>
      <w:r>
        <w:rPr>
          <w:rFonts w:hint="eastAsia" w:ascii="仿宋" w:hAnsi="仿宋" w:eastAsia="仿宋" w:cs="仿宋"/>
          <w:color w:val="000000"/>
          <w:sz w:val="32"/>
          <w:szCs w:val="32"/>
        </w:rPr>
        <w:t>经查，</w:t>
      </w:r>
      <w:r>
        <w:rPr>
          <w:rFonts w:hint="eastAsia" w:ascii="仿宋" w:hAnsi="仿宋" w:eastAsia="仿宋" w:cs="仿宋"/>
          <w:sz w:val="32"/>
          <w:szCs w:val="32"/>
        </w:rPr>
        <w:t>当事人经营的私琦定养--玉石养护套组经委托方（河北聚美以程企业管理咨询有限公司）在河北省备案未能成功，后被委托方（广东美之源生物科技股份有限公司）在广东省网上备案成功（备案化妆品名称为：私琦定养--玉石美养套组）。当事人提供的私琦定养--玉石美养套组备案证明材料与现场检查发现的私琦定养--玉石养护套组化妆品虽然名称不一致，但里面所装产品一致，产品的成分、规格、功效都一致，可以认定为同一产品。</w:t>
      </w:r>
      <w:r>
        <w:rPr>
          <w:rFonts w:hint="eastAsia" w:ascii="仿宋" w:hAnsi="仿宋" w:eastAsia="仿宋" w:cs="仿宋"/>
          <w:sz w:val="32"/>
          <w:szCs w:val="32"/>
        </w:rPr>
        <w:tab/>
      </w:r>
      <w:r>
        <w:rPr>
          <w:rFonts w:hint="eastAsia" w:ascii="仿宋" w:hAnsi="仿宋" w:eastAsia="仿宋" w:cs="仿宋"/>
          <w:sz w:val="32"/>
          <w:szCs w:val="32"/>
        </w:rPr>
        <w:t xml:space="preserve"> </w:t>
      </w:r>
      <w:r>
        <w:rPr>
          <w:rFonts w:hint="eastAsia" w:ascii="仿宋" w:hAnsi="仿宋" w:eastAsia="仿宋" w:cs="仿宋"/>
          <w:sz w:val="32"/>
          <w:szCs w:val="32"/>
        </w:rPr>
        <w:tab/>
      </w:r>
      <w:r>
        <w:rPr>
          <w:rFonts w:hint="eastAsia" w:ascii="仿宋" w:hAnsi="仿宋" w:eastAsia="仿宋" w:cs="仿宋"/>
          <w:sz w:val="32"/>
          <w:szCs w:val="32"/>
        </w:rPr>
        <w:tab/>
      </w:r>
    </w:p>
    <w:p>
      <w:pPr>
        <w:pStyle w:val="3"/>
        <w:tabs>
          <w:tab w:val="left" w:pos="8964"/>
        </w:tabs>
        <w:adjustRightInd/>
        <w:spacing w:line="560" w:lineRule="exact"/>
        <w:ind w:right="-19" w:rightChars="-9" w:firstLine="640" w:firstLineChars="200"/>
        <w:jc w:val="both"/>
        <w:rPr>
          <w:rFonts w:ascii="仿宋" w:hAnsi="仿宋" w:eastAsia="仿宋" w:cs="仿宋"/>
        </w:rPr>
      </w:pPr>
      <w:r>
        <w:rPr>
          <w:rFonts w:hint="eastAsia" w:ascii="仿宋" w:hAnsi="仿宋" w:eastAsia="仿宋" w:cs="仿宋"/>
        </w:rPr>
        <w:t xml:space="preserve">当事人经营的“黛翡倪尔”系列化妆品，当事人称是2022年4、5月份府店馨雨加盟店不干后，送给当事人的，共28盒。限用日期分别为：2022/05/17、2022/05/27，至查处时已超过使用期限。该化妆品售价80元/盒，没有售出，货值金额共计2240元。案发后，当事人积极配合执法人员调查，如实陈述违法事实并主动提供证据材料。   </w:t>
      </w:r>
    </w:p>
    <w:p>
      <w:pPr>
        <w:pStyle w:val="3"/>
        <w:tabs>
          <w:tab w:val="left" w:pos="8964"/>
        </w:tabs>
        <w:adjustRightInd/>
        <w:spacing w:line="560" w:lineRule="exact"/>
        <w:ind w:right="-19" w:rightChars="-9" w:firstLine="640" w:firstLineChars="200"/>
        <w:jc w:val="both"/>
        <w:rPr>
          <w:rFonts w:ascii="仿宋" w:hAnsi="仿宋" w:eastAsia="仿宋" w:cs="仿宋"/>
        </w:rPr>
      </w:pPr>
      <w:r>
        <w:rPr>
          <w:rFonts w:hint="eastAsia" w:ascii="仿宋" w:hAnsi="仿宋" w:eastAsia="仿宋" w:cs="仿宋"/>
        </w:rPr>
        <w:t xml:space="preserve">另，2022年11月10日，偃师市伊洛街道馨雨美容店办理变更登记，变更其名称为洛阳市偃师区伊洛街道馨雨美容店。      </w:t>
      </w:r>
    </w:p>
    <w:p>
      <w:pPr>
        <w:pStyle w:val="3"/>
        <w:tabs>
          <w:tab w:val="left" w:pos="8964"/>
        </w:tabs>
        <w:adjustRightInd/>
        <w:spacing w:line="560" w:lineRule="exact"/>
        <w:ind w:right="-19" w:rightChars="-9" w:firstLine="640" w:firstLineChars="200"/>
        <w:jc w:val="both"/>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上述事实，主要有以下证据证明：</w:t>
      </w:r>
    </w:p>
    <w:p>
      <w:pPr>
        <w:pStyle w:val="3"/>
        <w:tabs>
          <w:tab w:val="left" w:pos="9060"/>
        </w:tabs>
        <w:spacing w:line="560" w:lineRule="exact"/>
        <w:ind w:right="-19" w:rightChars="-9" w:firstLine="640" w:firstLineChars="200"/>
        <w:jc w:val="both"/>
        <w:textAlignment w:val="baseline"/>
        <w:rPr>
          <w:rFonts w:ascii="仿宋" w:hAnsi="仿宋" w:eastAsia="仿宋" w:cs="仿宋"/>
          <w:color w:val="000000"/>
        </w:rPr>
      </w:pPr>
      <w:r>
        <w:rPr>
          <w:rFonts w:hint="eastAsia" w:ascii="仿宋" w:hAnsi="仿宋" w:eastAsia="仿宋" w:cs="仿宋"/>
          <w:color w:val="000000"/>
        </w:rPr>
        <w:t xml:space="preserve">1.营业执照副本及身份证复印件，证明当事人的主体资格；   </w:t>
      </w:r>
    </w:p>
    <w:p>
      <w:pPr>
        <w:pStyle w:val="3"/>
        <w:tabs>
          <w:tab w:val="left" w:pos="9060"/>
        </w:tabs>
        <w:spacing w:line="560" w:lineRule="exact"/>
        <w:ind w:right="-19" w:rightChars="-9" w:firstLine="640" w:firstLineChars="200"/>
        <w:jc w:val="both"/>
        <w:textAlignment w:val="baseline"/>
        <w:rPr>
          <w:rFonts w:ascii="仿宋" w:hAnsi="仿宋" w:eastAsia="仿宋" w:cs="仿宋"/>
          <w:color w:val="000000"/>
        </w:rPr>
      </w:pPr>
      <w:r>
        <w:rPr>
          <w:rFonts w:hint="eastAsia" w:ascii="仿宋" w:hAnsi="仿宋" w:eastAsia="仿宋" w:cs="仿宋"/>
          <w:color w:val="000000"/>
        </w:rPr>
        <w:t>2.现场笔录，证明当事人经营</w:t>
      </w:r>
      <w:r>
        <w:rPr>
          <w:rFonts w:hint="eastAsia" w:ascii="仿宋" w:hAnsi="仿宋" w:eastAsia="仿宋" w:cs="仿宋"/>
        </w:rPr>
        <w:t>超过使用期限化妆品的</w:t>
      </w:r>
      <w:r>
        <w:rPr>
          <w:rFonts w:hint="eastAsia" w:ascii="仿宋" w:hAnsi="仿宋" w:eastAsia="仿宋" w:cs="仿宋"/>
          <w:color w:val="000000"/>
        </w:rPr>
        <w:t xml:space="preserve">事实；          </w:t>
      </w:r>
    </w:p>
    <w:p>
      <w:pPr>
        <w:pStyle w:val="3"/>
        <w:tabs>
          <w:tab w:val="left" w:pos="9060"/>
        </w:tabs>
        <w:spacing w:line="560" w:lineRule="exact"/>
        <w:ind w:right="-19" w:rightChars="-9" w:firstLine="640" w:firstLineChars="200"/>
        <w:jc w:val="both"/>
        <w:textAlignment w:val="baseline"/>
        <w:rPr>
          <w:rFonts w:ascii="仿宋" w:hAnsi="仿宋" w:eastAsia="仿宋" w:cs="仿宋"/>
          <w:color w:val="000000"/>
        </w:rPr>
      </w:pPr>
      <w:r>
        <w:rPr>
          <w:rFonts w:hint="eastAsia" w:ascii="仿宋" w:hAnsi="仿宋" w:eastAsia="仿宋" w:cs="仿宋"/>
          <w:color w:val="000000"/>
        </w:rPr>
        <w:t>3</w:t>
      </w:r>
      <w:r>
        <w:rPr>
          <w:rFonts w:ascii="仿宋" w:hAnsi="仿宋" w:eastAsia="仿宋" w:cs="仿宋"/>
          <w:color w:val="000000"/>
        </w:rPr>
        <w:t>.</w:t>
      </w:r>
      <w:r>
        <w:rPr>
          <w:rFonts w:hint="eastAsia" w:ascii="仿宋" w:hAnsi="仿宋" w:eastAsia="仿宋" w:cs="仿宋"/>
          <w:color w:val="000000"/>
        </w:rPr>
        <w:t>询问笔录，证明当事人经营</w:t>
      </w:r>
      <w:r>
        <w:rPr>
          <w:rFonts w:hint="eastAsia" w:ascii="仿宋" w:hAnsi="仿宋" w:eastAsia="仿宋" w:cs="仿宋"/>
        </w:rPr>
        <w:t>超过使用期限化妆品的</w:t>
      </w:r>
      <w:r>
        <w:rPr>
          <w:rFonts w:hint="eastAsia" w:ascii="仿宋" w:hAnsi="仿宋" w:eastAsia="仿宋" w:cs="仿宋"/>
          <w:color w:val="000000"/>
        </w:rPr>
        <w:t xml:space="preserve">情况；                                                           </w:t>
      </w:r>
    </w:p>
    <w:p>
      <w:pPr>
        <w:pStyle w:val="3"/>
        <w:tabs>
          <w:tab w:val="left" w:pos="9060"/>
        </w:tabs>
        <w:spacing w:line="560" w:lineRule="exact"/>
        <w:ind w:right="-19" w:rightChars="-9" w:firstLine="640" w:firstLineChars="200"/>
        <w:jc w:val="both"/>
        <w:textAlignment w:val="baseline"/>
        <w:rPr>
          <w:rFonts w:ascii="仿宋" w:hAnsi="仿宋" w:eastAsia="仿宋" w:cs="仿宋"/>
        </w:rPr>
      </w:pPr>
      <w:r>
        <w:rPr>
          <w:rFonts w:hint="eastAsia" w:ascii="仿宋" w:hAnsi="仿宋" w:eastAsia="仿宋" w:cs="仿宋"/>
          <w:color w:val="000000"/>
        </w:rPr>
        <w:t>4</w:t>
      </w:r>
      <w:r>
        <w:rPr>
          <w:rFonts w:ascii="仿宋" w:hAnsi="仿宋" w:eastAsia="仿宋" w:cs="仿宋"/>
          <w:color w:val="000000"/>
        </w:rPr>
        <w:t>.</w:t>
      </w:r>
      <w:r>
        <w:rPr>
          <w:rFonts w:hint="eastAsia" w:ascii="仿宋" w:hAnsi="仿宋" w:eastAsia="仿宋" w:cs="仿宋"/>
          <w:color w:val="000000"/>
        </w:rPr>
        <w:t>图片1张，证明</w:t>
      </w:r>
      <w:r>
        <w:rPr>
          <w:rFonts w:hint="eastAsia" w:ascii="仿宋" w:hAnsi="仿宋" w:eastAsia="仿宋" w:cs="仿宋"/>
        </w:rPr>
        <w:t>当事人经营超过使用期限化妆品的情况。</w:t>
      </w:r>
    </w:p>
    <w:p>
      <w:pPr>
        <w:pStyle w:val="3"/>
        <w:tabs>
          <w:tab w:val="left" w:pos="9060"/>
        </w:tabs>
        <w:spacing w:line="560" w:lineRule="exact"/>
        <w:ind w:right="-19" w:rightChars="-9" w:firstLine="640" w:firstLineChars="200"/>
        <w:jc w:val="both"/>
        <w:textAlignment w:val="baseline"/>
        <w:rPr>
          <w:rFonts w:ascii="仿宋" w:hAnsi="仿宋" w:eastAsia="仿宋" w:cs="仿宋"/>
        </w:rPr>
      </w:pPr>
      <w:r>
        <w:rPr>
          <w:rFonts w:hint="eastAsia" w:ascii="仿宋" w:hAnsi="仿宋" w:eastAsia="仿宋" w:cs="仿宋"/>
        </w:rPr>
        <w:t>我局于2023年3月23日向当事人送达偃市监罚告〔2023〕2022110号《行政处罚告知书》，依据《中华人民共和国行政处罚法》</w:t>
      </w:r>
      <w:r>
        <w:rPr>
          <w:rFonts w:hint="eastAsia" w:ascii="仿宋" w:hAnsi="仿宋" w:eastAsia="仿宋" w:cs="仿宋"/>
          <w:color w:val="000000"/>
        </w:rPr>
        <w:t>第四十四条、第四十五条、第六十三条和第六十四条的规定，告知当事人我局拟作出的行政处</w:t>
      </w:r>
      <w:r>
        <w:rPr>
          <w:rFonts w:hint="eastAsia" w:ascii="仿宋" w:hAnsi="仿宋" w:eastAsia="仿宋" w:cs="仿宋"/>
        </w:rPr>
        <w:t>罚内容及事实、理由、依据，并告知当事人依法享有的陈述、申辩、要求听证等权利。当事人在法定期限内未向我局提出陈述、申辩意见，也未要求听证。</w:t>
      </w:r>
    </w:p>
    <w:p>
      <w:pPr>
        <w:shd w:val="clear" w:color="auto" w:fill="FFFFFF"/>
        <w:spacing w:line="560" w:lineRule="exact"/>
        <w:ind w:left="-19" w:leftChars="-9" w:right="-19" w:rightChars="-9" w:firstLine="662" w:firstLineChars="207"/>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本局认为，当事人的行为，</w:t>
      </w:r>
      <w:r>
        <w:rPr>
          <w:rFonts w:hint="eastAsia" w:ascii="仿宋" w:hAnsi="仿宋" w:eastAsia="仿宋" w:cs="仿宋"/>
          <w:color w:val="000000"/>
          <w:sz w:val="32"/>
          <w:szCs w:val="32"/>
        </w:rPr>
        <w:t>违反了《化妆品监督管理条例》第六十条“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五）化妆品经营者擅自配制化妆品，或者经营变质、超过使用期限的化妆品；”的规定，其行为属于经营超过使用期限的化妆品。</w:t>
      </w:r>
      <w:r>
        <w:rPr>
          <w:rFonts w:hint="eastAsia" w:ascii="仿宋" w:hAnsi="仿宋" w:eastAsia="仿宋" w:cs="仿宋"/>
          <w:color w:val="000000" w:themeColor="text1"/>
          <w:sz w:val="32"/>
          <w:szCs w:val="32"/>
          <w14:textFill>
            <w14:solidFill>
              <w14:schemeClr w14:val="tx1"/>
            </w14:solidFill>
          </w14:textFill>
        </w:rPr>
        <w:t>参照《河南省市场监督管理行政处罚裁量基准 》10.1《化妆品监督管理条例》行政处罚裁量基准10.1.2；裁量等级：从轻；违法情形：具有《通则》规定从轻处罚情形。裁量基准：由负责药品监督管理的部门没收违法所得、违法生产经营的化妆品和专门用于违法生产经营的原料、包装材料、工具、设备等物品；违法生产经营的化妆品货值金额不足 1 万元的，并处 1 万元以上 2.2 万元以下罚款；”之规定，根据其违法的事实、性质、情节，其行为属于轻微违法，应给予从轻处罚。</w:t>
      </w:r>
    </w:p>
    <w:p>
      <w:pPr>
        <w:spacing w:line="560" w:lineRule="exact"/>
        <w:ind w:right="-19" w:rightChars="-9" w:firstLine="640" w:firstLineChars="200"/>
        <w:rPr>
          <w:rFonts w:ascii="仿宋" w:hAnsi="仿宋" w:eastAsia="仿宋" w:cs="仿宋"/>
          <w:color w:val="231F20"/>
          <w:sz w:val="32"/>
          <w:szCs w:val="32"/>
        </w:rPr>
      </w:pPr>
      <w:r>
        <w:rPr>
          <w:rFonts w:hint="eastAsia" w:ascii="仿宋" w:hAnsi="仿宋" w:eastAsia="仿宋" w:cs="仿宋"/>
          <w:color w:val="000000"/>
          <w:sz w:val="32"/>
          <w:szCs w:val="32"/>
        </w:rPr>
        <w:t>依据《化妆品监督管理条例》第六十条“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五）化妆品经营者擅自配制化妆品，或者经营变质、超过使用期限的化妆品；”</w:t>
      </w:r>
      <w:r>
        <w:rPr>
          <w:rFonts w:hint="eastAsia" w:ascii="仿宋" w:hAnsi="仿宋" w:eastAsia="仿宋" w:cs="仿宋"/>
          <w:color w:val="231F20"/>
          <w:sz w:val="32"/>
          <w:szCs w:val="32"/>
        </w:rPr>
        <w:t>之规定，依据《中华人民共和国行政处罚法》第二十八条第一款“</w:t>
      </w:r>
      <w:r>
        <w:rPr>
          <w:rFonts w:hint="eastAsia" w:ascii="仿宋" w:hAnsi="仿宋" w:eastAsia="仿宋" w:cs="仿宋"/>
          <w:color w:val="333333"/>
          <w:sz w:val="32"/>
          <w:szCs w:val="32"/>
        </w:rPr>
        <w:t>行政机关实施行政处罚时，应当责令当事人改正或者限期改正违法行为。</w:t>
      </w:r>
      <w:r>
        <w:rPr>
          <w:rFonts w:hint="eastAsia" w:ascii="仿宋" w:hAnsi="仿宋" w:eastAsia="仿宋" w:cs="仿宋"/>
          <w:color w:val="231F20"/>
          <w:sz w:val="32"/>
          <w:szCs w:val="32"/>
        </w:rPr>
        <w:t>”之规定，责令</w:t>
      </w:r>
      <w:r>
        <w:rPr>
          <w:rFonts w:hint="eastAsia" w:ascii="仿宋" w:hAnsi="仿宋" w:eastAsia="仿宋" w:cs="仿宋"/>
          <w:color w:val="000000" w:themeColor="text1"/>
          <w:sz w:val="32"/>
          <w:szCs w:val="32"/>
          <w14:textFill>
            <w14:solidFill>
              <w14:schemeClr w14:val="tx1"/>
            </w14:solidFill>
          </w14:textFill>
        </w:rPr>
        <w:t>洛阳市偃师区伊洛街道馨雨美容店</w:t>
      </w:r>
      <w:r>
        <w:rPr>
          <w:rFonts w:hint="eastAsia" w:ascii="仿宋" w:hAnsi="仿宋" w:eastAsia="仿宋" w:cs="仿宋"/>
          <w:kern w:val="1"/>
          <w:sz w:val="32"/>
          <w:szCs w:val="32"/>
        </w:rPr>
        <w:t>改正上述违法行为，没收超过使用期限的“黛翡倪尔”系列化妆品28盒；罚款11000元。</w:t>
      </w:r>
      <w:r>
        <w:rPr>
          <w:rFonts w:hint="eastAsia" w:ascii="仿宋" w:hAnsi="仿宋" w:eastAsia="仿宋" w:cs="仿宋"/>
          <w:color w:val="231F20"/>
          <w:sz w:val="32"/>
          <w:szCs w:val="32"/>
        </w:rPr>
        <w:t xml:space="preserve">         </w:t>
      </w:r>
    </w:p>
    <w:p>
      <w:pPr>
        <w:spacing w:line="560" w:lineRule="exact"/>
        <w:ind w:right="-19" w:rightChars="-9"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560" w:lineRule="exact"/>
        <w:ind w:right="-19" w:rightChars="-9"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560" w:lineRule="exact"/>
        <w:ind w:right="-19" w:rightChars="-9" w:firstLine="640" w:firstLineChars="200"/>
        <w:jc w:val="both"/>
        <w:textAlignment w:val="baseline"/>
        <w:rPr>
          <w:rFonts w:ascii="仿宋" w:hAnsi="仿宋" w:eastAsia="仿宋" w:cs="仿宋"/>
          <w:color w:val="231F20"/>
        </w:rPr>
      </w:pPr>
      <w:r>
        <w:rPr>
          <w:rFonts w:hint="eastAsia" w:ascii="仿宋" w:hAnsi="仿宋" w:eastAsia="仿宋" w:cs="仿宋"/>
          <w:color w:val="231F20"/>
        </w:rPr>
        <w:t>如不服本处罚决定，可自接文之日起六十日内向洛阳市偃师区人民政府申请复议，也可于接文之日起六个月内向洛阳市偃师区人民法院提起诉讼。行政复议或者行政诉讼期间，本行政处罚决定不停止执行。</w:t>
      </w:r>
    </w:p>
    <w:p>
      <w:pPr>
        <w:spacing w:line="560" w:lineRule="exact"/>
        <w:ind w:right="-19" w:rightChars="-9"/>
        <w:textAlignment w:val="baseline"/>
        <w:rPr>
          <w:rFonts w:ascii="仿宋" w:hAnsi="仿宋" w:eastAsia="仿宋" w:cs="仿宋"/>
          <w:color w:val="000000"/>
          <w:sz w:val="32"/>
          <w:szCs w:val="32"/>
        </w:rPr>
      </w:pPr>
      <w:r>
        <w:rPr>
          <w:rFonts w:hint="eastAsia" w:ascii="仿宋" w:hAnsi="仿宋" w:eastAsia="仿宋" w:cs="仿宋"/>
          <w:color w:val="000000"/>
          <w:sz w:val="32"/>
          <w:szCs w:val="32"/>
        </w:rPr>
        <w:t xml:space="preserve">               </w:t>
      </w:r>
    </w:p>
    <w:p>
      <w:pPr>
        <w:spacing w:line="560" w:lineRule="exact"/>
        <w:ind w:left="105" w:leftChars="50" w:right="-19" w:rightChars="-9" w:firstLine="3200" w:firstLineChars="1000"/>
        <w:textAlignment w:val="baseline"/>
        <w:rPr>
          <w:rFonts w:ascii="仿宋" w:hAnsi="仿宋" w:eastAsia="仿宋" w:cs="仿宋"/>
          <w:color w:val="000000"/>
          <w:sz w:val="32"/>
          <w:szCs w:val="32"/>
        </w:rPr>
      </w:pPr>
    </w:p>
    <w:p>
      <w:pPr>
        <w:spacing w:line="560" w:lineRule="exact"/>
        <w:ind w:left="105" w:leftChars="50" w:right="-19" w:rightChars="-9" w:firstLine="3200" w:firstLineChars="1000"/>
        <w:textAlignment w:val="baseline"/>
        <w:rPr>
          <w:rFonts w:ascii="仿宋" w:hAnsi="仿宋" w:eastAsia="仿宋" w:cs="仿宋"/>
          <w:color w:val="000000"/>
          <w:sz w:val="32"/>
          <w:szCs w:val="32"/>
        </w:rPr>
      </w:pPr>
    </w:p>
    <w:p>
      <w:pPr>
        <w:spacing w:line="560" w:lineRule="exact"/>
        <w:ind w:left="105" w:leftChars="50" w:right="-19" w:rightChars="-9" w:firstLine="3200" w:firstLineChars="1000"/>
        <w:textAlignment w:val="baseline"/>
        <w:rPr>
          <w:rFonts w:ascii="仿宋" w:hAnsi="仿宋" w:eastAsia="仿宋" w:cs="仿宋"/>
          <w:color w:val="000000"/>
          <w:sz w:val="32"/>
          <w:szCs w:val="32"/>
        </w:rPr>
      </w:pPr>
      <w:r>
        <w:rPr>
          <w:rFonts w:hint="eastAsia" w:ascii="仿宋" w:hAnsi="仿宋" w:eastAsia="仿宋" w:cs="仿宋"/>
          <w:color w:val="000000"/>
          <w:sz w:val="32"/>
          <w:szCs w:val="32"/>
        </w:rPr>
        <w:t xml:space="preserve">洛阳市偃师区市场监督管理局    </w:t>
      </w:r>
    </w:p>
    <w:p>
      <w:pPr>
        <w:spacing w:line="560" w:lineRule="exact"/>
        <w:ind w:left="105" w:leftChars="50" w:right="-19" w:rightChars="-9" w:firstLine="640" w:firstLineChars="200"/>
        <w:jc w:val="center"/>
        <w:textAlignment w:val="baseline"/>
        <w:rPr>
          <w:rFonts w:ascii="仿宋" w:hAnsi="仿宋" w:eastAsia="仿宋" w:cs="仿宋"/>
          <w:color w:val="000000"/>
          <w:sz w:val="32"/>
          <w:szCs w:val="32"/>
        </w:rPr>
      </w:pPr>
      <w:r>
        <w:rPr>
          <w:rFonts w:hint="eastAsia" w:ascii="仿宋" w:hAnsi="仿宋" w:eastAsia="仿宋" w:cs="仿宋"/>
          <w:color w:val="000000"/>
          <w:sz w:val="32"/>
          <w:szCs w:val="32"/>
        </w:rPr>
        <w:t xml:space="preserve">       </w:t>
      </w:r>
    </w:p>
    <w:p>
      <w:pPr>
        <w:spacing w:line="560" w:lineRule="exact"/>
        <w:ind w:left="105" w:leftChars="50" w:right="-19" w:rightChars="-9" w:firstLine="640" w:firstLineChars="200"/>
        <w:jc w:val="center"/>
        <w:textAlignment w:val="baseline"/>
        <w:rPr>
          <w:rFonts w:ascii="仿宋" w:hAnsi="仿宋" w:eastAsia="仿宋" w:cs="仿宋"/>
          <w:color w:val="000000"/>
          <w:sz w:val="32"/>
          <w:szCs w:val="32"/>
        </w:rPr>
      </w:pPr>
      <w:r>
        <w:rPr>
          <w:rFonts w:ascii="仿宋" w:hAnsi="仿宋" w:eastAsia="仿宋" w:cs="仿宋"/>
          <w:color w:val="000000"/>
          <w:sz w:val="32"/>
          <w:szCs w:val="32"/>
        </w:rPr>
        <w:t xml:space="preserve">              </w:t>
      </w:r>
      <w:r>
        <w:rPr>
          <w:rFonts w:hint="eastAsia" w:ascii="仿宋" w:hAnsi="仿宋" w:eastAsia="仿宋" w:cs="仿宋"/>
          <w:color w:val="000000"/>
          <w:sz w:val="32"/>
          <w:szCs w:val="32"/>
        </w:rPr>
        <w:t xml:space="preserve"> </w:t>
      </w:r>
      <w:r>
        <w:rPr>
          <w:rFonts w:ascii="仿宋" w:hAnsi="仿宋" w:eastAsia="仿宋" w:cs="仿宋"/>
          <w:color w:val="000000"/>
          <w:sz w:val="32"/>
          <w:szCs w:val="32"/>
        </w:rPr>
        <w:t>2023</w:t>
      </w:r>
      <w:r>
        <w:rPr>
          <w:rFonts w:hint="eastAsia" w:ascii="仿宋" w:hAnsi="仿宋" w:eastAsia="仿宋" w:cs="仿宋"/>
          <w:color w:val="000000"/>
          <w:sz w:val="32"/>
          <w:szCs w:val="32"/>
        </w:rPr>
        <w:t>年</w:t>
      </w:r>
      <w:r>
        <w:rPr>
          <w:rFonts w:ascii="仿宋" w:hAnsi="仿宋" w:eastAsia="仿宋" w:cs="仿宋"/>
          <w:color w:val="000000"/>
          <w:sz w:val="32"/>
          <w:szCs w:val="32"/>
        </w:rPr>
        <w:t>4</w:t>
      </w:r>
      <w:r>
        <w:rPr>
          <w:rFonts w:hint="eastAsia" w:ascii="仿宋" w:hAnsi="仿宋" w:eastAsia="仿宋" w:cs="仿宋"/>
          <w:color w:val="000000"/>
          <w:sz w:val="32"/>
          <w:szCs w:val="32"/>
        </w:rPr>
        <w:t>月</w:t>
      </w:r>
      <w:r>
        <w:rPr>
          <w:rFonts w:ascii="仿宋" w:hAnsi="仿宋" w:eastAsia="仿宋" w:cs="仿宋"/>
          <w:color w:val="000000"/>
          <w:sz w:val="32"/>
          <w:szCs w:val="32"/>
        </w:rPr>
        <w:t>10</w:t>
      </w:r>
      <w:r>
        <w:rPr>
          <w:rFonts w:hint="eastAsia" w:ascii="仿宋" w:hAnsi="仿宋" w:eastAsia="仿宋" w:cs="仿宋"/>
          <w:color w:val="000000"/>
          <w:sz w:val="32"/>
          <w:szCs w:val="32"/>
        </w:rPr>
        <w:t xml:space="preserve">日   </w:t>
      </w:r>
    </w:p>
    <w:p>
      <w:pPr>
        <w:spacing w:line="560" w:lineRule="exact"/>
        <w:ind w:right="-19" w:rightChars="-9"/>
        <w:textAlignment w:val="baseline"/>
        <w:rPr>
          <w:rFonts w:hint="eastAsia" w:ascii="仿宋" w:hAnsi="仿宋" w:eastAsia="仿宋" w:cs="仿宋"/>
          <w:sz w:val="32"/>
          <w:szCs w:val="32"/>
        </w:rPr>
      </w:pPr>
    </w:p>
    <w:p>
      <w:pPr>
        <w:spacing w:line="560" w:lineRule="exact"/>
        <w:ind w:right="-19" w:rightChars="-9"/>
        <w:textAlignment w:val="baseline"/>
        <w:rPr>
          <w:rFonts w:hint="eastAsia" w:ascii="仿宋" w:hAnsi="仿宋" w:eastAsia="仿宋" w:cs="仿宋"/>
          <w:sz w:val="32"/>
          <w:szCs w:val="32"/>
        </w:rPr>
      </w:pPr>
    </w:p>
    <w:p>
      <w:pPr>
        <w:spacing w:line="560" w:lineRule="exact"/>
        <w:ind w:right="-19" w:rightChars="-9"/>
        <w:textAlignment w:val="baseline"/>
        <w:rPr>
          <w:rFonts w:ascii="仿宋" w:hAnsi="仿宋" w:eastAsia="仿宋" w:cs="仿宋"/>
          <w:sz w:val="32"/>
          <w:szCs w:val="32"/>
        </w:rPr>
      </w:pPr>
      <w:r>
        <w:rPr>
          <w:rFonts w:hint="eastAsia" w:ascii="仿宋" w:hAnsi="仿宋" w:eastAsia="仿宋" w:cs="仿宋"/>
          <w:sz w:val="32"/>
          <w:szCs w:val="32"/>
        </w:rPr>
        <w:t>（市场监督管理部门将依法向社会公示本行政处罚决定信息）</w:t>
      </w:r>
    </w:p>
    <w:p>
      <w:pPr>
        <w:tabs>
          <w:tab w:val="left" w:pos="2440"/>
          <w:tab w:val="left" w:pos="8964"/>
        </w:tabs>
        <w:spacing w:line="560" w:lineRule="exact"/>
        <w:ind w:firstLine="210" w:firstLineChars="100"/>
        <w:rPr>
          <w:rFonts w:ascii="仿宋" w:hAnsi="仿宋" w:eastAsia="仿宋" w:cs="仿宋_GB2312"/>
          <w:bCs/>
          <w:sz w:val="32"/>
          <w:szCs w:val="32"/>
        </w:rPr>
      </w:pPr>
      <w:r>
        <mc:AlternateContent>
          <mc:Choice Requires="wps">
            <w:drawing>
              <wp:anchor distT="0" distB="0" distL="114300" distR="114300" simplePos="0" relativeHeight="251660288" behindDoc="0" locked="0" layoutInCell="1" allowOverlap="1">
                <wp:simplePos x="0" y="0"/>
                <wp:positionH relativeFrom="column">
                  <wp:posOffset>43180</wp:posOffset>
                </wp:positionH>
                <wp:positionV relativeFrom="paragraph">
                  <wp:posOffset>41275</wp:posOffset>
                </wp:positionV>
                <wp:extent cx="54483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5pt;height:0pt;width:429pt;z-index:251660288;mso-width-relative:page;mso-height-relative:page;" filled="f" stroked="t" coordsize="21600,21600" o:gfxdata="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j&#10;2BiJ0wAAAAUBAAAPAAAAAAAAAAEAIAAAACIAAABkcnMvZG93bnJldi54bWxQSwECFAAUAAAACACH&#10;TuJAUuHUbP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anchor="t" anchorCtr="0">
                      <a:spAutoFit/>
                    </wps:bodyPr>
                  </wps:wsp>
                </a:graphicData>
              </a:graphic>
            </wp:anchor>
          </w:drawing>
        </mc:Choice>
        <mc:Fallback>
          <w:pict>
            <v:shape id="文本框 1" o:spid="_x0000_s1026" o:spt="202" type="#_x0000_t202" style="position:absolute;left:0pt;margin-top:0pt;height:11pt;width:4.6pt;mso-position-horizontal:center;mso-position-horizontal-relative:margin;mso-wrap-style:none;z-index:251661312;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1u5d9AAAAACAQAADwAAAAAAAAABACAAAAAi&#10;AAAAZHJzL2Rvd25yZXYueG1sUEsBAhQAFAAAAAgAh07iQFNsDfLZAQAAsQMAAA4AAAAAAAAAAQAg&#10;AAAAHwEAAGRycy9lMm9Eb2MueG1sUEsFBgAAAAAGAAYAWQEAAGoFAAAAAA==&#10;">
              <v:fill on="f" focussize="0,0"/>
              <v:stroke on="f"/>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kNzdiMWY1ZWU2ZWU3NmE4ZTUxNGRmYWVhMzdjNDQifQ=="/>
  </w:docVars>
  <w:rsids>
    <w:rsidRoot w:val="00D94037"/>
    <w:rsid w:val="00010DE6"/>
    <w:rsid w:val="0003343B"/>
    <w:rsid w:val="00055235"/>
    <w:rsid w:val="000755A7"/>
    <w:rsid w:val="000E5B10"/>
    <w:rsid w:val="00134C18"/>
    <w:rsid w:val="002A7D59"/>
    <w:rsid w:val="00350D43"/>
    <w:rsid w:val="004A03F9"/>
    <w:rsid w:val="004C6995"/>
    <w:rsid w:val="005E53C0"/>
    <w:rsid w:val="00676E59"/>
    <w:rsid w:val="00771B5B"/>
    <w:rsid w:val="0079501F"/>
    <w:rsid w:val="008A4C0F"/>
    <w:rsid w:val="008B4426"/>
    <w:rsid w:val="008D1B0B"/>
    <w:rsid w:val="0096200B"/>
    <w:rsid w:val="00964F10"/>
    <w:rsid w:val="009A3476"/>
    <w:rsid w:val="009F59BD"/>
    <w:rsid w:val="00A25C0C"/>
    <w:rsid w:val="00A4120D"/>
    <w:rsid w:val="00AF206D"/>
    <w:rsid w:val="00B42F9C"/>
    <w:rsid w:val="00B77DB4"/>
    <w:rsid w:val="00D94037"/>
    <w:rsid w:val="00DA1229"/>
    <w:rsid w:val="00E736D4"/>
    <w:rsid w:val="00E969FB"/>
    <w:rsid w:val="00F47A56"/>
    <w:rsid w:val="00FE1BB4"/>
    <w:rsid w:val="02DF57A3"/>
    <w:rsid w:val="03BD3837"/>
    <w:rsid w:val="04206073"/>
    <w:rsid w:val="042D0D99"/>
    <w:rsid w:val="06466362"/>
    <w:rsid w:val="065B15E4"/>
    <w:rsid w:val="069B44F5"/>
    <w:rsid w:val="07131EBF"/>
    <w:rsid w:val="08BB45BC"/>
    <w:rsid w:val="0991261E"/>
    <w:rsid w:val="0AA26DAD"/>
    <w:rsid w:val="0B535383"/>
    <w:rsid w:val="10B36ECA"/>
    <w:rsid w:val="117D181B"/>
    <w:rsid w:val="121A67F7"/>
    <w:rsid w:val="12E97A90"/>
    <w:rsid w:val="16783AEC"/>
    <w:rsid w:val="17B812E8"/>
    <w:rsid w:val="1BA57132"/>
    <w:rsid w:val="1E230C7C"/>
    <w:rsid w:val="1E76687A"/>
    <w:rsid w:val="21B3354F"/>
    <w:rsid w:val="29160B07"/>
    <w:rsid w:val="296D2773"/>
    <w:rsid w:val="2A697323"/>
    <w:rsid w:val="2C46067B"/>
    <w:rsid w:val="2C476A74"/>
    <w:rsid w:val="2FC80AFF"/>
    <w:rsid w:val="31160623"/>
    <w:rsid w:val="31511E71"/>
    <w:rsid w:val="33680676"/>
    <w:rsid w:val="33FA5515"/>
    <w:rsid w:val="349A75F8"/>
    <w:rsid w:val="35551638"/>
    <w:rsid w:val="358D0F0B"/>
    <w:rsid w:val="38615D63"/>
    <w:rsid w:val="3AD15F50"/>
    <w:rsid w:val="3B2C6AD0"/>
    <w:rsid w:val="3C7A295E"/>
    <w:rsid w:val="41603F72"/>
    <w:rsid w:val="42BA2D41"/>
    <w:rsid w:val="45080C01"/>
    <w:rsid w:val="451B0FBE"/>
    <w:rsid w:val="473E2065"/>
    <w:rsid w:val="478D768B"/>
    <w:rsid w:val="486F44A0"/>
    <w:rsid w:val="48A7744F"/>
    <w:rsid w:val="49DF0E43"/>
    <w:rsid w:val="4A8561FD"/>
    <w:rsid w:val="4C9508A3"/>
    <w:rsid w:val="4E086F29"/>
    <w:rsid w:val="4EF74214"/>
    <w:rsid w:val="52677E3B"/>
    <w:rsid w:val="54866DF9"/>
    <w:rsid w:val="54A61249"/>
    <w:rsid w:val="55C13AA3"/>
    <w:rsid w:val="576D42A0"/>
    <w:rsid w:val="59BD32BD"/>
    <w:rsid w:val="5C1A7106"/>
    <w:rsid w:val="5C7E76CB"/>
    <w:rsid w:val="5D261470"/>
    <w:rsid w:val="5E8B1B25"/>
    <w:rsid w:val="5EF9772E"/>
    <w:rsid w:val="5F2B37B1"/>
    <w:rsid w:val="609915A7"/>
    <w:rsid w:val="61A653EB"/>
    <w:rsid w:val="61C733F2"/>
    <w:rsid w:val="630818A8"/>
    <w:rsid w:val="63ED27AD"/>
    <w:rsid w:val="63FA6EBC"/>
    <w:rsid w:val="65842B9B"/>
    <w:rsid w:val="690A5FF1"/>
    <w:rsid w:val="69653029"/>
    <w:rsid w:val="6B9C4AA0"/>
    <w:rsid w:val="6DC76061"/>
    <w:rsid w:val="6E166FE8"/>
    <w:rsid w:val="6E23071B"/>
    <w:rsid w:val="6F81107F"/>
    <w:rsid w:val="702935B0"/>
    <w:rsid w:val="715258E9"/>
    <w:rsid w:val="71EF3DD8"/>
    <w:rsid w:val="75CE041B"/>
    <w:rsid w:val="7BBF23EA"/>
    <w:rsid w:val="7CC540B3"/>
    <w:rsid w:val="7D480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Date"/>
    <w:basedOn w:val="1"/>
    <w:next w:val="1"/>
    <w:link w:val="14"/>
    <w:qFormat/>
    <w:uiPriority w:val="0"/>
    <w:pPr>
      <w:ind w:left="100" w:leftChars="2500"/>
    </w:pPr>
  </w:style>
  <w:style w:type="paragraph" w:styleId="5">
    <w:name w:val="Balloon Text"/>
    <w:basedOn w:val="1"/>
    <w:link w:val="13"/>
    <w:qFormat/>
    <w:uiPriority w:val="0"/>
    <w:rPr>
      <w:sz w:val="18"/>
      <w:szCs w:val="18"/>
    </w:r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Autospacing="1" w:afterAutospacing="1"/>
      <w:jc w:val="left"/>
    </w:pPr>
    <w:rPr>
      <w:rFonts w:asciiTheme="minorHAnsi" w:hAnsiTheme="minorHAnsi" w:eastAsiaTheme="minorEastAsia"/>
      <w:kern w:val="0"/>
      <w:sz w:val="24"/>
    </w:rPr>
  </w:style>
  <w:style w:type="character" w:customStyle="1" w:styleId="11">
    <w:name w:val="页眉 字符"/>
    <w:basedOn w:val="10"/>
    <w:link w:val="7"/>
    <w:qFormat/>
    <w:uiPriority w:val="0"/>
    <w:rPr>
      <w:kern w:val="2"/>
      <w:sz w:val="18"/>
      <w:szCs w:val="18"/>
    </w:rPr>
  </w:style>
  <w:style w:type="character" w:customStyle="1" w:styleId="12">
    <w:name w:val="页脚 字符"/>
    <w:basedOn w:val="10"/>
    <w:link w:val="6"/>
    <w:qFormat/>
    <w:uiPriority w:val="0"/>
    <w:rPr>
      <w:kern w:val="2"/>
      <w:sz w:val="18"/>
      <w:szCs w:val="18"/>
    </w:rPr>
  </w:style>
  <w:style w:type="character" w:customStyle="1" w:styleId="13">
    <w:name w:val="批注框文本 字符"/>
    <w:basedOn w:val="10"/>
    <w:link w:val="5"/>
    <w:qFormat/>
    <w:uiPriority w:val="0"/>
    <w:rPr>
      <w:kern w:val="2"/>
      <w:sz w:val="18"/>
      <w:szCs w:val="18"/>
    </w:rPr>
  </w:style>
  <w:style w:type="character" w:customStyle="1" w:styleId="14">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2471</Words>
  <Characters>2722</Characters>
  <Lines>35</Lines>
  <Paragraphs>9</Paragraphs>
  <TotalTime>25</TotalTime>
  <ScaleCrop>false</ScaleCrop>
  <LinksUpToDate>false</LinksUpToDate>
  <CharactersWithSpaces>4921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2023-04-10T06:45:00Z</dcterms:created>
  <dc:creator>lenovo</dc:creator>
  <cp:lastModifiedBy>王建清</cp:lastModifiedBy>
  <cp:lastPrinted>2023-04-10T06:43:00Z</cp:lastPrinted>
  <dcterms:modified xsi:type="dcterms:W3CDTF">2023-05-08T07:58:59Z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1DFCAB39588947F184346F92E80CD983_13</vt:lpwstr>
  </property>
</Properties>
</file>