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1259"/>
        </w:tabs>
        <w:spacing w:line="524" w:lineRule="exact"/>
        <w:jc w:val="center"/>
        <w:rPr>
          <w:rFonts w:ascii="方正小标宋简体" w:hAnsi="宋体" w:eastAsia="方正小标宋简体" w:cs="宋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color w:val="231F20"/>
          <w:sz w:val="44"/>
          <w:szCs w:val="44"/>
          <w:lang w:eastAsia="zh-CN"/>
        </w:rPr>
        <w:t>洛阳市偃师区市场监督管理局</w:t>
      </w:r>
    </w:p>
    <w:p>
      <w:pPr>
        <w:spacing w:line="709" w:lineRule="exact"/>
        <w:jc w:val="center"/>
        <w:rPr>
          <w:rFonts w:ascii="方正小标宋简体" w:hAnsi="宋体" w:eastAsia="方正小标宋简体" w:cs="宋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color w:val="231F20"/>
          <w:sz w:val="44"/>
          <w:szCs w:val="44"/>
          <w:lang w:eastAsia="zh-CN"/>
        </w:rPr>
        <w:t>行政处罚决定书</w:t>
      </w:r>
    </w:p>
    <w:p>
      <w:pPr>
        <w:pStyle w:val="5"/>
        <w:tabs>
          <w:tab w:val="left" w:pos="319"/>
          <w:tab w:val="left" w:pos="1486"/>
          <w:tab w:val="left" w:pos="2353"/>
          <w:tab w:val="left" w:pos="3199"/>
        </w:tabs>
        <w:spacing w:line="560" w:lineRule="exact"/>
        <w:ind w:left="0"/>
        <w:jc w:val="center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_GB2312"/>
          <w:color w:val="231F20"/>
          <w:lang w:eastAsia="zh-CN"/>
        </w:rPr>
        <w:t>偃市监处罚〔2023〕25号</w:t>
      </w:r>
    </w:p>
    <w:p>
      <w:pPr>
        <w:pStyle w:val="5"/>
        <w:tabs>
          <w:tab w:val="left" w:pos="4440"/>
          <w:tab w:val="left" w:pos="8920"/>
        </w:tabs>
        <w:spacing w:line="56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当事人：</w:t>
      </w:r>
      <w:bookmarkStart w:id="0" w:name="_Hlk132726419"/>
      <w:r>
        <w:rPr>
          <w:rFonts w:hint="eastAsia" w:ascii="仿宋" w:hAnsi="仿宋" w:eastAsia="仿宋" w:cs="仿宋_GB2312"/>
          <w:lang w:eastAsia="zh-CN"/>
        </w:rPr>
        <w:t>洛阳市偃师区兴隆社区卫生服务中心</w:t>
      </w:r>
      <w:bookmarkEnd w:id="0"/>
    </w:p>
    <w:p>
      <w:pPr>
        <w:pStyle w:val="5"/>
        <w:tabs>
          <w:tab w:val="left" w:pos="3785"/>
          <w:tab w:val="left" w:pos="8920"/>
        </w:tabs>
        <w:spacing w:line="560" w:lineRule="exact"/>
        <w:ind w:left="0" w:right="118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_GB2312"/>
          <w:color w:val="000000"/>
          <w:lang w:eastAsia="zh-CN"/>
        </w:rPr>
        <w:t>《医疗机构执业许可证》登记号：MB1P0231841030711B1001</w:t>
      </w:r>
    </w:p>
    <w:p>
      <w:pPr>
        <w:pStyle w:val="5"/>
        <w:tabs>
          <w:tab w:val="left" w:pos="3785"/>
          <w:tab w:val="left" w:pos="8920"/>
        </w:tabs>
        <w:spacing w:line="560" w:lineRule="exact"/>
        <w:ind w:left="2240" w:right="118" w:hanging="2240" w:hangingChars="7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地址：</w:t>
      </w:r>
      <w:r>
        <w:rPr>
          <w:rFonts w:hint="eastAsia" w:ascii="仿宋" w:hAnsi="仿宋" w:eastAsia="仿宋" w:cs="仿宋_GB2312"/>
          <w:lang w:eastAsia="zh-CN"/>
        </w:rPr>
        <w:t>洛阳市偃师区兴隆街96号</w:t>
      </w:r>
    </w:p>
    <w:p>
      <w:pPr>
        <w:pStyle w:val="5"/>
        <w:tabs>
          <w:tab w:val="left" w:pos="3785"/>
          <w:tab w:val="left" w:pos="8920"/>
        </w:tabs>
        <w:spacing w:line="560" w:lineRule="exact"/>
        <w:ind w:left="0" w:right="118"/>
        <w:jc w:val="both"/>
        <w:rPr>
          <w:rFonts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法定代表人：</w:t>
      </w:r>
      <w:r>
        <w:rPr>
          <w:rFonts w:hint="eastAsia" w:ascii="仿宋" w:hAnsi="仿宋" w:eastAsia="仿宋" w:cs="仿宋_GB2312"/>
          <w:color w:val="000000"/>
          <w:lang w:eastAsia="zh-CN"/>
        </w:rPr>
        <w:t>李瑞鸿</w:t>
      </w:r>
    </w:p>
    <w:p>
      <w:pPr>
        <w:pStyle w:val="5"/>
        <w:tabs>
          <w:tab w:val="left" w:pos="3785"/>
          <w:tab w:val="left" w:pos="8920"/>
        </w:tabs>
        <w:spacing w:line="560" w:lineRule="exact"/>
        <w:ind w:left="0" w:right="118" w:firstLine="640" w:firstLineChars="200"/>
        <w:jc w:val="both"/>
        <w:rPr>
          <w:rFonts w:ascii="仿宋" w:hAnsi="仿宋" w:eastAsia="仿宋" w:cs="仿宋_GB2312"/>
          <w:lang w:eastAsia="zh-CN"/>
        </w:rPr>
      </w:pPr>
      <w:bookmarkStart w:id="1" w:name="_GoBack"/>
      <w:bookmarkEnd w:id="1"/>
      <w:r>
        <w:rPr>
          <w:rFonts w:hint="eastAsia" w:ascii="仿宋" w:hAnsi="仿宋" w:eastAsia="仿宋" w:cs="仿宋_GB2312"/>
          <w:color w:val="000000"/>
          <w:lang w:eastAsia="zh-CN"/>
        </w:rPr>
        <w:t xml:space="preserve"> </w:t>
      </w:r>
      <w:r>
        <w:rPr>
          <w:rFonts w:hint="eastAsia" w:ascii="仿宋" w:hAnsi="仿宋" w:eastAsia="仿宋" w:cs="仿宋_GB2312"/>
          <w:lang w:eastAsia="zh-CN"/>
        </w:rPr>
        <w:t>2023年2月27日，我单位执法人员对</w:t>
      </w:r>
      <w:r>
        <w:rPr>
          <w:rFonts w:ascii="仿宋" w:hAnsi="仿宋" w:eastAsia="仿宋" w:cs="仿宋_GB2312"/>
          <w:lang w:eastAsia="zh-CN"/>
        </w:rPr>
        <w:t>洛阳市偃师区兴隆社区卫生服务中心</w:t>
      </w:r>
      <w:r>
        <w:rPr>
          <w:rFonts w:hint="eastAsia" w:ascii="仿宋" w:hAnsi="仿宋" w:eastAsia="仿宋" w:cs="仿宋_GB2312"/>
          <w:lang w:eastAsia="zh-CN"/>
        </w:rPr>
        <w:t>进行日常监督检查，抽查该单位使用的医疗器械：可吸收性外科缝线（批号：18W0518BJ）、注射用透明质酸钠复合溶液（批号：36927107）、一次性使用无菌注射针（批号：200630），发现该单位未建立医疗器械进货查验记录制度，不能提供医疗器械查验记录。该行为我局执法人员已于2022年12月27日责令其改正并给予警告，但其仍未改正。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上述事实，主要有以下证据证明：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1.《现场检查笔录》，证明我局对该单位的现场检查情况；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2.《医疗机构执业许可证》、《事业单位法人证书》复印件1份：证明当事人许可登记情况；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3.《调查笔录》，证明该单位未建立医疗器械进货查验记录制度的有关情况；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4.《偃师区市场监督管管理局当场行政处罚决定书》和《偃师区市场监督管理局责令改正通知书》复印件，证明对该单位未建立医疗器械进货查验记录制度的违法行为已于2022年12月27日责令其限期改正并给予警告。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我局于2023年4月1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日向当事人送达了《偃师区市场监督管理局行政处罚告知书》，告知当事人我局拟作出行政处罚决定的事实、理由、依据、内容以及当事人依法享有的陈述权、申辩权，当事人在法定期限内未提出陈述、申辩意见。当事人的行为，根据其违法的事实、性质、情节，参照《河南省市场监督管理行政处罚裁量权适用通则》第十条的规定，该违法行为属于轻微违法，应给与</w:t>
      </w:r>
      <w:r>
        <w:rPr>
          <w:rFonts w:ascii="仿宋" w:hAnsi="仿宋" w:eastAsia="仿宋" w:cs="仿宋_GB2312"/>
          <w:sz w:val="32"/>
          <w:szCs w:val="32"/>
          <w:lang w:eastAsia="zh-CN"/>
        </w:rPr>
        <w:t>从轻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行政</w:t>
      </w:r>
      <w:r>
        <w:rPr>
          <w:rFonts w:ascii="仿宋" w:hAnsi="仿宋" w:eastAsia="仿宋" w:cs="仿宋_GB2312"/>
          <w:sz w:val="32"/>
          <w:szCs w:val="32"/>
          <w:lang w:eastAsia="zh-CN"/>
        </w:rPr>
        <w:t>处罚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pStyle w:val="5"/>
        <w:tabs>
          <w:tab w:val="left" w:pos="9072"/>
        </w:tabs>
        <w:spacing w:line="560" w:lineRule="exact"/>
        <w:ind w:left="0" w:right="-207" w:rightChars="-94" w:firstLine="640" w:firstLineChars="200"/>
        <w:jc w:val="both"/>
        <w:rPr>
          <w:rFonts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_GB2312"/>
          <w:lang w:eastAsia="zh-CN"/>
        </w:rPr>
        <w:t>当事人未建立医疗器械进货查验记录制度的行为违反了《医疗器械监督管理条例》第四十五条“</w:t>
      </w:r>
      <w:r>
        <w:rPr>
          <w:rFonts w:ascii="仿宋" w:hAnsi="仿宋" w:eastAsia="仿宋" w:cs="仿宋_GB2312"/>
          <w:lang w:eastAsia="zh-CN"/>
        </w:rPr>
        <w:t>医疗器械经营企业、使用单位应当从具备合法资质的医疗器械注册人、备案人、生产经营企业购进医疗器械。购进医疗器械时，应当查验供货者的资质和医疗器械的合格证明文件，建立进货查验记录制度。</w:t>
      </w:r>
      <w:r>
        <w:rPr>
          <w:rFonts w:hint="eastAsia" w:ascii="仿宋" w:hAnsi="仿宋" w:eastAsia="仿宋" w:cs="仿宋_GB2312"/>
          <w:lang w:eastAsia="zh-CN"/>
        </w:rPr>
        <w:t>”的规定，依据《医疗器械监督管理条例》第八十九条第一款第三项“有下列情形之一的，由负责药品监督管理的部门和卫生主管部门依据各自职责责令改正，给予警告；拒不改正的，处1万元以上10万元以下罚款；情节严重的，责令停产停业，直至由原发证部门吊销医疗器械注册证、医疗器械生产许可证、医疗器械经营许可证，对违法单位的法定代表人、主要负责人、直接负责的主管人员和其他责任人员处1万元以上3万元以下罚款：（三）医疗器械经营企业、使用单位未依照本条例规定建立并执行医疗器械进货查验记录制度；”的规定，根据医疗器械监督管理条例行政处罚裁量基准，决定对洛阳市偃师区兴隆社区卫生服务中心</w:t>
      </w:r>
      <w:r>
        <w:rPr>
          <w:rFonts w:hint="eastAsia" w:ascii="仿宋" w:hAnsi="仿宋" w:eastAsia="仿宋" w:cs="仿宋"/>
          <w:color w:val="000000"/>
          <w:lang w:eastAsia="zh-CN"/>
        </w:rPr>
        <w:t xml:space="preserve">处1万元的罚款。 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     </w:t>
      </w:r>
    </w:p>
    <w:p>
      <w:pPr>
        <w:pStyle w:val="2"/>
        <w:ind w:left="440" w:firstLine="440"/>
        <w:rPr>
          <w:rFonts w:eastAsiaTheme="minorEastAsia"/>
          <w:lang w:eastAsia="zh-CN"/>
        </w:rPr>
      </w:pPr>
    </w:p>
    <w:p>
      <w:pPr>
        <w:pStyle w:val="2"/>
        <w:ind w:left="440" w:firstLine="440"/>
        <w:rPr>
          <w:rFonts w:eastAsiaTheme="minorEastAsia"/>
          <w:lang w:eastAsia="zh-CN"/>
        </w:rPr>
      </w:pPr>
    </w:p>
    <w:p>
      <w:pPr>
        <w:spacing w:line="56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洛阳市偃师区市场监督管理局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 2023年 4月18日</w:t>
      </w:r>
    </w:p>
    <w:p>
      <w:pPr>
        <w:pStyle w:val="2"/>
        <w:ind w:left="440" w:firstLine="440"/>
        <w:rPr>
          <w:rFonts w:eastAsiaTheme="minorEastAsia"/>
          <w:lang w:eastAsia="zh-CN"/>
        </w:rPr>
      </w:pPr>
    </w:p>
    <w:p>
      <w:pPr>
        <w:pStyle w:val="2"/>
        <w:ind w:left="440" w:firstLine="440"/>
        <w:rPr>
          <w:rFonts w:eastAsiaTheme="minorEastAsia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ind w:firstLine="220" w:firstLineChars="100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40640</wp:posOffset>
                </wp:positionV>
                <wp:extent cx="5358765" cy="0"/>
                <wp:effectExtent l="0" t="0" r="0" b="0"/>
                <wp:wrapNone/>
                <wp:docPr id="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492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5.25pt;margin-top:3.2pt;height:0pt;width:421.95pt;z-index:251659264;mso-width-relative:page;mso-height-relative:page;" filled="f" stroked="t" coordsize="21600,21600" o:gfxdata="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KD8sNQAAAAGAQAADwAAAAAAAAABACAAAAAiAAAAZHJzL2Rvd25yZXYueG1sUEsBAhQAFAAAAAgA&#10;h07iQCWKM6bwAQAA5wMAAA4AAAAAAAAAAQAgAAAAIwEAAGRycy9lMm9Eb2MueG1sUEsFBgAAAAAG&#10;AAYAWQEAAIU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5" w:h="16838"/>
      <w:pgMar w:top="1417" w:right="1417" w:bottom="1417" w:left="1417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789507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15616F"/>
    <w:rsid w:val="0015616F"/>
    <w:rsid w:val="002F2FA6"/>
    <w:rsid w:val="00470C18"/>
    <w:rsid w:val="007F2A28"/>
    <w:rsid w:val="00956576"/>
    <w:rsid w:val="00C07C65"/>
    <w:rsid w:val="0F12795B"/>
    <w:rsid w:val="2E5779DB"/>
    <w:rsid w:val="340771B5"/>
    <w:rsid w:val="351548D3"/>
    <w:rsid w:val="3CAE656C"/>
    <w:rsid w:val="3D9832FE"/>
    <w:rsid w:val="45AD60C8"/>
    <w:rsid w:val="531A4996"/>
    <w:rsid w:val="56D97F48"/>
    <w:rsid w:val="632B0469"/>
    <w:rsid w:val="70373EE4"/>
    <w:rsid w:val="711F2C22"/>
    <w:rsid w:val="767E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="Calibri" w:hAnsi="Calibri" w:eastAsia="Calibri" w:cs="黑体"/>
      <w:sz w:val="22"/>
      <w:szCs w:val="22"/>
      <w:lang w:val="en-US" w:eastAsia="en-US" w:bidi="ar-SA"/>
    </w:rPr>
  </w:style>
  <w:style w:type="paragraph" w:styleId="4">
    <w:name w:val="heading 1"/>
    <w:basedOn w:val="1"/>
    <w:next w:val="1"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6">
    <w:name w:val="Date"/>
    <w:basedOn w:val="1"/>
    <w:next w:val="1"/>
    <w:link w:val="15"/>
    <w:qFormat/>
    <w:uiPriority w:val="0"/>
    <w:pPr>
      <w:ind w:left="100" w:leftChars="2500"/>
    </w:p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9">
    <w:name w:val="Normal (Web)"/>
    <w:basedOn w:val="1"/>
    <w:qFormat/>
    <w:uiPriority w:val="0"/>
    <w:pPr>
      <w:spacing w:after="150"/>
    </w:pPr>
    <w:rPr>
      <w:sz w:val="24"/>
      <w:lang w:eastAsia="zh-CN"/>
    </w:rPr>
  </w:style>
  <w:style w:type="paragraph" w:customStyle="1" w:styleId="12">
    <w:name w:val="Table Paragraph"/>
    <w:basedOn w:val="1"/>
    <w:qFormat/>
    <w:uiPriority w:val="1"/>
  </w:style>
  <w:style w:type="paragraph" w:customStyle="1" w:styleId="13">
    <w:name w:val="列表段落1"/>
    <w:basedOn w:val="1"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paragraph" w:customStyle="1" w:styleId="14">
    <w:name w:val="列表段落11"/>
    <w:basedOn w:val="1"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character" w:customStyle="1" w:styleId="15">
    <w:name w:val="日期 字符"/>
    <w:basedOn w:val="11"/>
    <w:link w:val="6"/>
    <w:qFormat/>
    <w:uiPriority w:val="0"/>
    <w:rPr>
      <w:rFonts w:ascii="Calibri" w:hAnsi="Calibri" w:eastAsia="Calibri" w:cs="黑体"/>
      <w:sz w:val="22"/>
      <w:szCs w:val="22"/>
      <w:lang w:eastAsia="en-US"/>
    </w:rPr>
  </w:style>
  <w:style w:type="character" w:customStyle="1" w:styleId="16">
    <w:name w:val="页脚 字符"/>
    <w:basedOn w:val="11"/>
    <w:link w:val="7"/>
    <w:qFormat/>
    <w:uiPriority w:val="99"/>
    <w:rPr>
      <w:rFonts w:ascii="Calibri" w:hAnsi="Calibri" w:eastAsia="Calibri" w:cs="黑体"/>
      <w:sz w:val="1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164E39-5901-4FF0-B5D0-E203847AF3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1592</Words>
  <Characters>1790</Characters>
  <Lines>13</Lines>
  <Paragraphs>3</Paragraphs>
  <TotalTime>2</TotalTime>
  <ScaleCrop>false</ScaleCrop>
  <LinksUpToDate>false</LinksUpToDate>
  <CharactersWithSpaces>1881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2023-04-18T08:17:00Z</dcterms:created>
  <dc:creator>Administrator</dc:creator>
  <cp:lastModifiedBy>王建清</cp:lastModifiedBy>
  <cp:lastPrinted>2021-05-06T01:27:00Z</cp:lastPrinted>
  <dcterms:modified xsi:type="dcterms:W3CDTF">2023-05-08T07:59:16Z</dcterms:modified>
  <dc:title>偃师市市场监督管理局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398064CC384B4459885502682BE5F77C_13</vt:lpwstr>
  </property>
</Properties>
</file>