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r>
        <w:rPr>
          <w:rFonts w:ascii="仿宋_GB2312" w:hAnsi="仿宋_GB2312" w:eastAsia="仿宋_GB2312" w:cs="仿宋_GB2312"/>
          <w:sz w:val="36"/>
          <w:szCs w:val="36"/>
        </w:rPr>
        <w:pict>
          <v:rect id="_x0000_s1029" o:spid="_x0000_s1029" o:spt="1" style="position:absolute;left:0pt;margin-left:322.85pt;margin-top:-23.25pt;height:33.95pt;width:85.6pt;z-index:251659264;mso-width-relative:page;mso-height-relative:page;" stroked="f" coordsize="21600,21600">
            <v:path/>
            <v:fill opacity="0f" focussize="0,0"/>
            <v:stroke on="f"/>
            <v:imagedata o:title=""/>
            <o:lock v:ext="edit"/>
            <v:textbox>
              <w:txbxContent>
                <w:p>
                  <w:pPr>
                    <w:jc w:val="center"/>
                    <w:rPr>
                      <w:b/>
                      <w:sz w:val="36"/>
                      <w:szCs w:val="36"/>
                    </w:rPr>
                  </w:pPr>
                  <w:r>
                    <w:rPr>
                      <w:rFonts w:hint="eastAsia"/>
                      <w:b/>
                      <w:sz w:val="36"/>
                      <w:szCs w:val="36"/>
                    </w:rPr>
                    <w:t>报批版</w:t>
                  </w:r>
                </w:p>
              </w:txbxContent>
            </v:textbox>
          </v:rect>
        </w:pict>
      </w: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宋体" w:hAnsi="宋体"/>
          <w:b/>
          <w:bCs/>
          <w:sz w:val="72"/>
          <w:szCs w:val="72"/>
        </w:rPr>
      </w:pPr>
      <w:r>
        <w:rPr>
          <w:rFonts w:hint="eastAsia" w:ascii="宋体" w:hAnsi="宋体"/>
          <w:b/>
          <w:bCs/>
          <w:sz w:val="72"/>
          <w:szCs w:val="72"/>
        </w:rPr>
        <w:t>建设项目环境影响报告表</w:t>
      </w:r>
    </w:p>
    <w:p>
      <w:pPr>
        <w:adjustRightInd w:val="0"/>
        <w:snapToGrid w:val="0"/>
        <w:spacing w:beforeLines="80" w:line="360" w:lineRule="auto"/>
        <w:jc w:val="center"/>
        <w:rPr>
          <w:rFonts w:ascii="宋体" w:hAnsi="宋体"/>
          <w:b/>
          <w:bCs/>
          <w:sz w:val="48"/>
          <w:szCs w:val="48"/>
        </w:rPr>
      </w:pPr>
      <w:r>
        <w:rPr>
          <w:rFonts w:hint="eastAsia" w:ascii="宋体" w:hAnsi="宋体"/>
          <w:b/>
          <w:bCs/>
          <w:sz w:val="48"/>
          <w:szCs w:val="48"/>
        </w:rPr>
        <w:t>（污染影响类）</w:t>
      </w:r>
    </w:p>
    <w:p>
      <w:pPr>
        <w:adjustRightInd w:val="0"/>
        <w:snapToGrid w:val="0"/>
        <w:spacing w:line="288" w:lineRule="auto"/>
        <w:jc w:val="center"/>
        <w:outlineLvl w:val="0"/>
        <w:rPr>
          <w:rFonts w:ascii="华文仿宋" w:hAnsi="华文仿宋" w:eastAsia="华文仿宋" w:cs="华文仿宋"/>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360" w:lineRule="auto"/>
        <w:ind w:firstLine="1038"/>
        <w:rPr>
          <w:rFonts w:ascii="宋体" w:hAnsi="宋体"/>
          <w:sz w:val="30"/>
          <w:szCs w:val="30"/>
          <w:u w:val="single"/>
        </w:rPr>
      </w:pPr>
      <w:r>
        <w:rPr>
          <w:rFonts w:hint="eastAsia" w:ascii="宋体" w:hAnsi="宋体"/>
          <w:sz w:val="30"/>
          <w:szCs w:val="30"/>
        </w:rPr>
        <w:t>项目名称：</w:t>
      </w:r>
      <w:r>
        <w:rPr>
          <w:rFonts w:hint="eastAsia" w:ascii="宋体" w:hAnsi="宋体"/>
          <w:sz w:val="30"/>
          <w:szCs w:val="30"/>
          <w:u w:val="single"/>
        </w:rPr>
        <w:t xml:space="preserve">        年产5000吨覆膜基布项目       </w:t>
      </w:r>
    </w:p>
    <w:p>
      <w:pPr>
        <w:adjustRightInd w:val="0"/>
        <w:snapToGrid w:val="0"/>
        <w:spacing w:line="360" w:lineRule="auto"/>
        <w:ind w:firstLine="1038"/>
        <w:rPr>
          <w:rFonts w:ascii="宋体" w:hAnsi="宋体"/>
          <w:sz w:val="30"/>
          <w:szCs w:val="30"/>
          <w:u w:val="single"/>
        </w:rPr>
      </w:pPr>
      <w:r>
        <w:rPr>
          <w:rFonts w:hint="eastAsia" w:ascii="宋体" w:hAnsi="宋体"/>
          <w:sz w:val="30"/>
          <w:szCs w:val="30"/>
        </w:rPr>
        <w:t>建设单位（盖章）：</w:t>
      </w:r>
      <w:r>
        <w:rPr>
          <w:rFonts w:hint="eastAsia" w:ascii="宋体" w:hAnsi="宋体"/>
          <w:sz w:val="30"/>
          <w:szCs w:val="30"/>
          <w:u w:val="single"/>
        </w:rPr>
        <w:t xml:space="preserve">  洛阳和一集装袋包装有限公司  </w:t>
      </w:r>
    </w:p>
    <w:p>
      <w:pPr>
        <w:adjustRightInd w:val="0"/>
        <w:snapToGrid w:val="0"/>
        <w:spacing w:line="360" w:lineRule="auto"/>
        <w:ind w:firstLine="1038"/>
        <w:rPr>
          <w:rFonts w:ascii="宋体" w:hAnsi="宋体"/>
          <w:sz w:val="30"/>
          <w:szCs w:val="30"/>
          <w:u w:val="single"/>
        </w:rPr>
      </w:pPr>
      <w:r>
        <w:rPr>
          <w:rFonts w:hint="eastAsia" w:ascii="宋体" w:hAnsi="宋体"/>
          <w:sz w:val="30"/>
          <w:szCs w:val="30"/>
        </w:rPr>
        <w:t>编制日期：</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sz w:val="30"/>
          <w:u w:val="single"/>
        </w:rPr>
        <w:t>20</w:t>
      </w:r>
      <w:r>
        <w:rPr>
          <w:rFonts w:hint="eastAsia"/>
          <w:sz w:val="30"/>
          <w:u w:val="single"/>
        </w:rPr>
        <w:t>23</w:t>
      </w:r>
      <w:r>
        <w:rPr>
          <w:sz w:val="30"/>
          <w:u w:val="single"/>
        </w:rPr>
        <w:t>年</w:t>
      </w:r>
      <w:r>
        <w:rPr>
          <w:rFonts w:hint="eastAsia"/>
          <w:sz w:val="30"/>
          <w:u w:val="single"/>
        </w:rPr>
        <w:t>4</w:t>
      </w:r>
      <w:r>
        <w:rPr>
          <w:sz w:val="30"/>
          <w:u w:val="single"/>
        </w:rPr>
        <w:t>月</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28"/>
          <w:szCs w:val="28"/>
        </w:rPr>
      </w:pPr>
    </w:p>
    <w:bookmarkEnd w:id="0"/>
    <w:p>
      <w:pPr>
        <w:adjustRightInd w:val="0"/>
        <w:snapToGrid w:val="0"/>
        <w:spacing w:line="288" w:lineRule="auto"/>
        <w:jc w:val="center"/>
        <w:rPr>
          <w:rFonts w:ascii="宋体" w:hAnsi="宋体"/>
          <w:sz w:val="36"/>
          <w:szCs w:val="36"/>
        </w:rPr>
      </w:pPr>
      <w:r>
        <w:rPr>
          <w:rFonts w:hint="eastAsia" w:ascii="宋体" w:hAnsi="宋体"/>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0"/>
          <w:cols w:space="720" w:num="1"/>
          <w:docGrid w:linePitch="312" w:charSpace="0"/>
        </w:sectPr>
      </w:pPr>
    </w:p>
    <w:p>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22"/>
        <w:gridCol w:w="467"/>
        <w:gridCol w:w="910"/>
        <w:gridCol w:w="1731"/>
        <w:gridCol w:w="2244"/>
        <w:gridCol w:w="29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建设项目名称</w:t>
            </w:r>
          </w:p>
        </w:tc>
        <w:tc>
          <w:tcPr>
            <w:tcW w:w="6971" w:type="dxa"/>
            <w:gridSpan w:val="3"/>
            <w:vAlign w:val="center"/>
          </w:tcPr>
          <w:p>
            <w:pPr>
              <w:adjustRightInd w:val="0"/>
              <w:snapToGrid w:val="0"/>
              <w:jc w:val="center"/>
              <w:rPr>
                <w:szCs w:val="21"/>
              </w:rPr>
            </w:pPr>
            <w:r>
              <w:rPr>
                <w:rFonts w:hint="eastAsia" w:hAnsi="宋体"/>
                <w:szCs w:val="21"/>
              </w:rPr>
              <w:t>洛阳和一集装袋包装有限公司年产5000吨覆膜基布项目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项目代码</w:t>
            </w:r>
          </w:p>
        </w:tc>
        <w:tc>
          <w:tcPr>
            <w:tcW w:w="6971" w:type="dxa"/>
            <w:gridSpan w:val="3"/>
            <w:vAlign w:val="center"/>
          </w:tcPr>
          <w:p>
            <w:pPr>
              <w:adjustRightInd w:val="0"/>
              <w:snapToGrid w:val="0"/>
              <w:jc w:val="center"/>
              <w:rPr>
                <w:szCs w:val="21"/>
              </w:rPr>
            </w:pPr>
            <w:r>
              <w:rPr>
                <w:szCs w:val="21"/>
              </w:rPr>
              <w:t>2303-410381-04-01-</w:t>
            </w:r>
            <w:r>
              <w:rPr>
                <w:rFonts w:hint="eastAsia"/>
                <w:szCs w:val="21"/>
              </w:rPr>
              <w:t>190481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建设单位联系人</w:t>
            </w:r>
          </w:p>
        </w:tc>
        <w:tc>
          <w:tcPr>
            <w:tcW w:w="1731" w:type="dxa"/>
            <w:vAlign w:val="center"/>
          </w:tcPr>
          <w:p>
            <w:pPr>
              <w:adjustRightInd w:val="0"/>
              <w:snapToGrid w:val="0"/>
              <w:spacing w:line="420" w:lineRule="exact"/>
              <w:jc w:val="center"/>
              <w:rPr>
                <w:szCs w:val="21"/>
              </w:rPr>
            </w:pPr>
            <w:r>
              <w:rPr>
                <w:rFonts w:hint="eastAsia" w:hAnsi="宋体"/>
                <w:szCs w:val="21"/>
              </w:rPr>
              <w:t>杜狄繁</w:t>
            </w:r>
          </w:p>
        </w:tc>
        <w:tc>
          <w:tcPr>
            <w:tcW w:w="2244" w:type="dxa"/>
            <w:vAlign w:val="center"/>
          </w:tcPr>
          <w:p>
            <w:pPr>
              <w:adjustRightInd w:val="0"/>
              <w:snapToGrid w:val="0"/>
              <w:jc w:val="center"/>
              <w:rPr>
                <w:szCs w:val="21"/>
              </w:rPr>
            </w:pPr>
            <w:r>
              <w:rPr>
                <w:rFonts w:hAnsi="宋体"/>
                <w:szCs w:val="21"/>
              </w:rPr>
              <w:t>联系方式</w:t>
            </w:r>
          </w:p>
        </w:tc>
        <w:tc>
          <w:tcPr>
            <w:tcW w:w="2996" w:type="dxa"/>
            <w:vAlign w:val="center"/>
          </w:tcPr>
          <w:p>
            <w:pPr>
              <w:adjustRightInd w:val="0"/>
              <w:snapToGrid w:val="0"/>
              <w:spacing w:line="420" w:lineRule="exact"/>
              <w:jc w:val="center"/>
              <w:rPr>
                <w:rFonts w:hint="eastAsia" w:eastAsia="宋体"/>
                <w:lang w:eastAsia="zh-CN"/>
              </w:rPr>
            </w:pPr>
            <w:r>
              <w:rPr>
                <w:rFonts w:hint="eastAsia"/>
                <w:szCs w:val="21"/>
                <w:lang w:val="en-US" w:eastAsia="zh-CN"/>
              </w:rPr>
              <w:t>/</w:t>
            </w:r>
            <w:bookmarkStart w:id="5" w:name="_GoBack"/>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建设地点</w:t>
            </w:r>
          </w:p>
        </w:tc>
        <w:tc>
          <w:tcPr>
            <w:tcW w:w="6971" w:type="dxa"/>
            <w:gridSpan w:val="3"/>
            <w:vAlign w:val="center"/>
          </w:tcPr>
          <w:p>
            <w:pPr>
              <w:adjustRightInd w:val="0"/>
              <w:snapToGrid w:val="0"/>
              <w:spacing w:line="400" w:lineRule="exact"/>
              <w:jc w:val="center"/>
              <w:rPr>
                <w:rFonts w:hAnsi="宋体"/>
                <w:szCs w:val="21"/>
              </w:rPr>
            </w:pPr>
            <w:r>
              <w:rPr>
                <w:rFonts w:hint="eastAsia" w:hAnsi="宋体"/>
                <w:szCs w:val="21"/>
                <w:u w:val="single"/>
              </w:rPr>
              <w:t xml:space="preserve">河南 </w:t>
            </w:r>
            <w:r>
              <w:rPr>
                <w:rFonts w:hint="eastAsia" w:hAnsi="宋体"/>
                <w:szCs w:val="21"/>
              </w:rPr>
              <w:t>省（自治区）</w:t>
            </w:r>
            <w:r>
              <w:rPr>
                <w:rFonts w:hint="eastAsia" w:hAnsi="宋体"/>
                <w:szCs w:val="21"/>
                <w:u w:val="single"/>
              </w:rPr>
              <w:t xml:space="preserve"> 洛阳 </w:t>
            </w:r>
            <w:r>
              <w:rPr>
                <w:rFonts w:hint="eastAsia" w:hAnsi="宋体"/>
                <w:szCs w:val="21"/>
              </w:rPr>
              <w:t>市</w:t>
            </w:r>
            <w:r>
              <w:rPr>
                <w:rFonts w:hint="eastAsia" w:hAnsi="宋体"/>
                <w:szCs w:val="21"/>
                <w:u w:val="single"/>
              </w:rPr>
              <w:t xml:space="preserve"> 偃师 </w:t>
            </w:r>
            <w:r>
              <w:rPr>
                <w:rFonts w:hint="eastAsia" w:hAnsi="宋体"/>
                <w:szCs w:val="21"/>
              </w:rPr>
              <w:t>县（区）</w:t>
            </w:r>
            <w:r>
              <w:rPr>
                <w:rFonts w:hint="eastAsia" w:hAnsi="宋体"/>
                <w:szCs w:val="21"/>
                <w:u w:val="single"/>
              </w:rPr>
              <w:t xml:space="preserve"> / </w:t>
            </w:r>
            <w:r>
              <w:rPr>
                <w:rFonts w:hint="eastAsia" w:hAnsi="宋体"/>
                <w:szCs w:val="21"/>
              </w:rPr>
              <w:t>乡（街道）</w:t>
            </w:r>
          </w:p>
          <w:p>
            <w:pPr>
              <w:adjustRightInd w:val="0"/>
              <w:snapToGrid w:val="0"/>
              <w:jc w:val="center"/>
              <w:rPr>
                <w:szCs w:val="21"/>
              </w:rPr>
            </w:pPr>
            <w:r>
              <w:rPr>
                <w:szCs w:val="21"/>
                <w:u w:val="single"/>
              </w:rPr>
              <w:t>偃师市产业集聚区（岳滩镇工业大道南）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地理坐标</w:t>
            </w:r>
          </w:p>
        </w:tc>
        <w:tc>
          <w:tcPr>
            <w:tcW w:w="6971" w:type="dxa"/>
            <w:gridSpan w:val="3"/>
            <w:vAlign w:val="center"/>
          </w:tcPr>
          <w:p>
            <w:pPr>
              <w:jc w:val="center"/>
              <w:rPr>
                <w:szCs w:val="21"/>
              </w:rPr>
            </w:pPr>
            <w:r>
              <w:rPr>
                <w:szCs w:val="21"/>
              </w:rPr>
              <w:t>（</w:t>
            </w:r>
            <w:r>
              <w:rPr>
                <w:szCs w:val="21"/>
                <w:u w:val="single"/>
              </w:rPr>
              <w:t xml:space="preserve">  112 </w:t>
            </w:r>
            <w:r>
              <w:rPr>
                <w:szCs w:val="21"/>
              </w:rPr>
              <w:t>度</w:t>
            </w:r>
            <w:r>
              <w:rPr>
                <w:szCs w:val="21"/>
                <w:u w:val="single"/>
              </w:rPr>
              <w:t xml:space="preserve"> 43 </w:t>
            </w:r>
            <w:r>
              <w:rPr>
                <w:szCs w:val="21"/>
              </w:rPr>
              <w:t>分</w:t>
            </w:r>
            <w:r>
              <w:rPr>
                <w:szCs w:val="21"/>
                <w:u w:val="single"/>
              </w:rPr>
              <w:t xml:space="preserve"> 20.910 </w:t>
            </w:r>
            <w:r>
              <w:rPr>
                <w:szCs w:val="21"/>
              </w:rPr>
              <w:t>秒，</w:t>
            </w:r>
            <w:r>
              <w:rPr>
                <w:szCs w:val="21"/>
                <w:u w:val="single"/>
              </w:rPr>
              <w:t xml:space="preserve"> 34 </w:t>
            </w:r>
            <w:r>
              <w:rPr>
                <w:szCs w:val="21"/>
              </w:rPr>
              <w:t>度</w:t>
            </w:r>
            <w:r>
              <w:rPr>
                <w:szCs w:val="21"/>
                <w:u w:val="single"/>
              </w:rPr>
              <w:t xml:space="preserve"> 41 </w:t>
            </w:r>
            <w:r>
              <w:rPr>
                <w:szCs w:val="21"/>
              </w:rPr>
              <w:t>分</w:t>
            </w:r>
            <w:r>
              <w:rPr>
                <w:szCs w:val="21"/>
                <w:u w:val="single"/>
              </w:rPr>
              <w:t xml:space="preserve"> 19.820 </w:t>
            </w:r>
            <w:r>
              <w:rPr>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国民经济</w:t>
            </w:r>
          </w:p>
          <w:p>
            <w:pPr>
              <w:adjustRightInd w:val="0"/>
              <w:snapToGrid w:val="0"/>
              <w:jc w:val="center"/>
              <w:rPr>
                <w:szCs w:val="21"/>
              </w:rPr>
            </w:pPr>
            <w:r>
              <w:rPr>
                <w:rFonts w:hAnsi="宋体"/>
                <w:szCs w:val="21"/>
              </w:rPr>
              <w:t>行业类别</w:t>
            </w:r>
          </w:p>
        </w:tc>
        <w:tc>
          <w:tcPr>
            <w:tcW w:w="1731" w:type="dxa"/>
            <w:vAlign w:val="center"/>
          </w:tcPr>
          <w:p>
            <w:pPr>
              <w:adjustRightInd w:val="0"/>
              <w:snapToGrid w:val="0"/>
              <w:jc w:val="center"/>
              <w:rPr>
                <w:rFonts w:hAnsi="宋体"/>
                <w:szCs w:val="21"/>
              </w:rPr>
            </w:pPr>
            <w:r>
              <w:rPr>
                <w:rFonts w:hint="eastAsia" w:hAnsi="宋体"/>
                <w:bCs/>
                <w:szCs w:val="21"/>
              </w:rPr>
              <w:t>C2923 塑料丝、绳及编织品制造</w:t>
            </w:r>
          </w:p>
        </w:tc>
        <w:tc>
          <w:tcPr>
            <w:tcW w:w="2244" w:type="dxa"/>
            <w:vAlign w:val="center"/>
          </w:tcPr>
          <w:p>
            <w:pPr>
              <w:adjustRightInd w:val="0"/>
              <w:snapToGrid w:val="0"/>
              <w:jc w:val="center"/>
              <w:rPr>
                <w:rFonts w:hAnsi="宋体"/>
                <w:szCs w:val="21"/>
              </w:rPr>
            </w:pPr>
            <w:r>
              <w:rPr>
                <w:rFonts w:hAnsi="宋体"/>
                <w:szCs w:val="21"/>
              </w:rPr>
              <w:t>建设项目</w:t>
            </w:r>
          </w:p>
          <w:p>
            <w:pPr>
              <w:adjustRightInd w:val="0"/>
              <w:snapToGrid w:val="0"/>
              <w:jc w:val="center"/>
              <w:rPr>
                <w:rFonts w:hAnsi="宋体"/>
                <w:szCs w:val="21"/>
              </w:rPr>
            </w:pPr>
            <w:r>
              <w:rPr>
                <w:rFonts w:hAnsi="宋体"/>
                <w:szCs w:val="21"/>
              </w:rPr>
              <w:t>行业类别</w:t>
            </w:r>
          </w:p>
        </w:tc>
        <w:tc>
          <w:tcPr>
            <w:tcW w:w="2996" w:type="dxa"/>
            <w:vAlign w:val="center"/>
          </w:tcPr>
          <w:p>
            <w:pPr>
              <w:adjustRightInd w:val="0"/>
              <w:snapToGrid w:val="0"/>
              <w:jc w:val="center"/>
              <w:rPr>
                <w:rFonts w:hAnsi="宋体"/>
                <w:bCs/>
                <w:szCs w:val="21"/>
              </w:rPr>
            </w:pPr>
            <w:r>
              <w:rPr>
                <w:rFonts w:hint="eastAsia" w:hAnsi="宋体"/>
                <w:bCs/>
                <w:szCs w:val="21"/>
              </w:rPr>
              <w:t>二十六、橡胶和塑料制品业--53 塑料制品业 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建设性质</w:t>
            </w:r>
          </w:p>
        </w:tc>
        <w:tc>
          <w:tcPr>
            <w:tcW w:w="1731" w:type="dxa"/>
            <w:vAlign w:val="center"/>
          </w:tcPr>
          <w:p>
            <w:pPr>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3"/>
                <w:sz w:val="34"/>
                <w:szCs w:val="21"/>
              </w:rPr>
              <w:instrText xml:space="preserve">□</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新建（迁建）</w:t>
            </w:r>
          </w:p>
          <w:p>
            <w:pPr>
              <w:jc w:val="left"/>
              <w:rPr>
                <w:rFonts w:ascii="宋体" w:hAnsi="宋体" w:cs="宋体"/>
                <w:szCs w:val="21"/>
              </w:rPr>
            </w:pPr>
            <w:r>
              <w:rPr>
                <w:rFonts w:hint="eastAsia" w:ascii="宋体" w:hAnsi="宋体" w:cs="宋体"/>
                <w:szCs w:val="21"/>
              </w:rPr>
              <w:t>□改建</w:t>
            </w:r>
          </w:p>
          <w:p>
            <w:pPr>
              <w:jc w:val="left"/>
              <w:rPr>
                <w:rFonts w:ascii="宋体" w:hAnsi="宋体" w:cs="宋体"/>
                <w:szCs w:val="21"/>
              </w:rPr>
            </w:pPr>
            <w:r>
              <w:rPr>
                <w:rFonts w:hint="eastAsia" w:ascii="宋体" w:hAnsi="宋体" w:cs="宋体"/>
                <w:szCs w:val="21"/>
              </w:rPr>
              <w:t>□扩建</w:t>
            </w:r>
          </w:p>
          <w:p>
            <w:pPr>
              <w:jc w:val="left"/>
              <w:rPr>
                <w:rFonts w:ascii="宋体" w:hAnsi="宋体" w:cs="宋体"/>
                <w:szCs w:val="21"/>
              </w:rPr>
            </w:pPr>
            <w:r>
              <w:rPr>
                <w:rFonts w:hint="eastAsia" w:ascii="宋体" w:hAnsi="宋体" w:cs="宋体"/>
                <w:szCs w:val="21"/>
              </w:rPr>
              <w:t>□技术改造</w:t>
            </w:r>
          </w:p>
        </w:tc>
        <w:tc>
          <w:tcPr>
            <w:tcW w:w="2244" w:type="dxa"/>
            <w:vAlign w:val="center"/>
          </w:tcPr>
          <w:p>
            <w:pPr>
              <w:adjustRightInd w:val="0"/>
              <w:snapToGrid w:val="0"/>
              <w:jc w:val="center"/>
              <w:rPr>
                <w:rFonts w:ascii="宋体" w:hAnsi="宋体" w:cs="宋体"/>
                <w:szCs w:val="21"/>
              </w:rPr>
            </w:pPr>
            <w:r>
              <w:rPr>
                <w:rFonts w:hint="eastAsia" w:ascii="宋体" w:hAnsi="宋体" w:cs="宋体"/>
                <w:szCs w:val="21"/>
              </w:rPr>
              <w:t>建设项目</w:t>
            </w:r>
          </w:p>
          <w:p>
            <w:pPr>
              <w:adjustRightInd w:val="0"/>
              <w:snapToGrid w:val="0"/>
              <w:jc w:val="center"/>
              <w:rPr>
                <w:rFonts w:ascii="宋体" w:hAnsi="宋体" w:cs="宋体"/>
                <w:szCs w:val="21"/>
              </w:rPr>
            </w:pPr>
            <w:r>
              <w:rPr>
                <w:rFonts w:hint="eastAsia" w:ascii="宋体" w:hAnsi="宋体" w:cs="宋体"/>
                <w:szCs w:val="21"/>
              </w:rPr>
              <w:t>申报情形</w:t>
            </w:r>
          </w:p>
        </w:tc>
        <w:tc>
          <w:tcPr>
            <w:tcW w:w="2996" w:type="dxa"/>
            <w:vAlign w:val="center"/>
          </w:tcPr>
          <w:p>
            <w:pPr>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3"/>
                <w:sz w:val="34"/>
                <w:szCs w:val="21"/>
              </w:rPr>
              <w:instrText xml:space="preserve">□</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首次申报项目</w:t>
            </w:r>
            <w:r>
              <w:rPr>
                <w:rFonts w:ascii="宋体" w:hAnsi="宋体" w:cs="宋体"/>
                <w:szCs w:val="21"/>
              </w:rPr>
              <w:t xml:space="preserve">             </w:t>
            </w:r>
          </w:p>
          <w:p>
            <w:pPr>
              <w:jc w:val="left"/>
              <w:rPr>
                <w:rFonts w:ascii="宋体" w:hAnsi="宋体" w:cs="宋体"/>
                <w:szCs w:val="21"/>
              </w:rPr>
            </w:pPr>
            <w:r>
              <w:rPr>
                <w:rFonts w:hint="eastAsia" w:ascii="宋体" w:hAnsi="宋体" w:cs="宋体"/>
                <w:szCs w:val="21"/>
              </w:rPr>
              <w:t>□不予批准后再次申报项目</w:t>
            </w:r>
          </w:p>
          <w:p>
            <w:pPr>
              <w:jc w:val="left"/>
              <w:rPr>
                <w:rFonts w:ascii="宋体" w:hAnsi="宋体" w:cs="宋体"/>
                <w:szCs w:val="21"/>
              </w:rPr>
            </w:pPr>
            <w:r>
              <w:rPr>
                <w:rFonts w:hint="eastAsia" w:ascii="宋体" w:hAnsi="宋体" w:cs="宋体"/>
                <w:szCs w:val="21"/>
              </w:rPr>
              <w:t>□超五年重新审核项目</w:t>
            </w:r>
            <w:r>
              <w:rPr>
                <w:rFonts w:ascii="宋体" w:hAnsi="宋体" w:cs="宋体"/>
                <w:szCs w:val="21"/>
              </w:rPr>
              <w:t xml:space="preserve">     </w:t>
            </w:r>
          </w:p>
          <w:p>
            <w:pPr>
              <w:jc w:val="left"/>
              <w:rPr>
                <w:rFonts w:ascii="宋体" w:hAnsi="宋体" w:cs="宋体"/>
                <w:szCs w:val="21"/>
              </w:rPr>
            </w:pPr>
            <w:r>
              <w:rPr>
                <w:rFonts w:hint="eastAsia" w:ascii="宋体" w:hAnsi="宋体" w:cs="宋体"/>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项目审批（核准</w:t>
            </w:r>
            <w:r>
              <w:rPr>
                <w:szCs w:val="21"/>
              </w:rPr>
              <w:t>/</w:t>
            </w:r>
          </w:p>
          <w:p>
            <w:pPr>
              <w:adjustRightInd w:val="0"/>
              <w:snapToGrid w:val="0"/>
              <w:jc w:val="center"/>
              <w:rPr>
                <w:szCs w:val="21"/>
              </w:rPr>
            </w:pPr>
            <w:r>
              <w:rPr>
                <w:rFonts w:hAnsi="宋体"/>
                <w:szCs w:val="21"/>
              </w:rPr>
              <w:t>备案）部门（选填）</w:t>
            </w:r>
          </w:p>
        </w:tc>
        <w:tc>
          <w:tcPr>
            <w:tcW w:w="1731" w:type="dxa"/>
            <w:vAlign w:val="center"/>
          </w:tcPr>
          <w:p>
            <w:pPr>
              <w:adjustRightInd w:val="0"/>
              <w:snapToGrid w:val="0"/>
              <w:jc w:val="center"/>
              <w:rPr>
                <w:rFonts w:ascii="宋体" w:hAnsi="宋体" w:cs="宋体"/>
                <w:szCs w:val="21"/>
              </w:rPr>
            </w:pPr>
            <w:r>
              <w:rPr>
                <w:rFonts w:hint="eastAsia" w:ascii="宋体" w:hAnsi="宋体" w:cs="宋体"/>
                <w:szCs w:val="21"/>
              </w:rPr>
              <w:t>洛阳市偃师区发展和改革委员会</w:t>
            </w:r>
          </w:p>
        </w:tc>
        <w:tc>
          <w:tcPr>
            <w:tcW w:w="2244" w:type="dxa"/>
            <w:vAlign w:val="center"/>
          </w:tcPr>
          <w:p>
            <w:pPr>
              <w:adjustRightInd w:val="0"/>
              <w:snapToGrid w:val="0"/>
              <w:jc w:val="center"/>
              <w:rPr>
                <w:rFonts w:ascii="宋体" w:hAnsi="宋体" w:cs="宋体"/>
                <w:szCs w:val="21"/>
              </w:rPr>
            </w:pPr>
            <w:r>
              <w:rPr>
                <w:rFonts w:hint="eastAsia" w:ascii="宋体" w:hAnsi="宋体" w:cs="宋体"/>
                <w:szCs w:val="21"/>
              </w:rPr>
              <w:t>项目审批（核准</w:t>
            </w:r>
            <w:r>
              <w:rPr>
                <w:rFonts w:ascii="宋体" w:hAnsi="宋体" w:cs="宋体"/>
                <w:szCs w:val="21"/>
              </w:rPr>
              <w:t>/</w:t>
            </w:r>
          </w:p>
          <w:p>
            <w:pPr>
              <w:adjustRightInd w:val="0"/>
              <w:snapToGrid w:val="0"/>
              <w:jc w:val="center"/>
              <w:rPr>
                <w:rFonts w:ascii="宋体" w:hAnsi="宋体" w:cs="宋体"/>
                <w:szCs w:val="21"/>
              </w:rPr>
            </w:pPr>
            <w:r>
              <w:rPr>
                <w:rFonts w:hint="eastAsia" w:ascii="宋体" w:hAnsi="宋体" w:cs="宋体"/>
                <w:szCs w:val="21"/>
              </w:rPr>
              <w:t>备案）文号（选填）</w:t>
            </w:r>
          </w:p>
        </w:tc>
        <w:tc>
          <w:tcPr>
            <w:tcW w:w="2996" w:type="dxa"/>
            <w:vAlign w:val="center"/>
          </w:tcPr>
          <w:p>
            <w:pPr>
              <w:adjustRightInd w:val="0"/>
              <w:snapToGri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总投资（万元）</w:t>
            </w:r>
          </w:p>
        </w:tc>
        <w:tc>
          <w:tcPr>
            <w:tcW w:w="1731" w:type="dxa"/>
            <w:vAlign w:val="center"/>
          </w:tcPr>
          <w:p>
            <w:pPr>
              <w:adjustRightInd w:val="0"/>
              <w:snapToGrid w:val="0"/>
              <w:jc w:val="center"/>
              <w:rPr>
                <w:szCs w:val="21"/>
              </w:rPr>
            </w:pPr>
            <w:r>
              <w:rPr>
                <w:rFonts w:hint="eastAsia"/>
                <w:szCs w:val="21"/>
              </w:rPr>
              <w:t>800</w:t>
            </w:r>
          </w:p>
        </w:tc>
        <w:tc>
          <w:tcPr>
            <w:tcW w:w="2244"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环保投资（万元）</w:t>
            </w:r>
          </w:p>
        </w:tc>
        <w:tc>
          <w:tcPr>
            <w:tcW w:w="2996" w:type="dxa"/>
            <w:vAlign w:val="center"/>
          </w:tcPr>
          <w:p>
            <w:pPr>
              <w:adjustRightInd w:val="0"/>
              <w:snapToGrid w:val="0"/>
              <w:jc w:val="center"/>
              <w:rPr>
                <w:szCs w:val="21"/>
              </w:rPr>
            </w:pPr>
            <w:r>
              <w:rPr>
                <w:rFonts w:hint="eastAsia"/>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环保投资占比（</w:t>
            </w:r>
            <w:r>
              <w:rPr>
                <w:szCs w:val="21"/>
              </w:rPr>
              <w:t>%</w:t>
            </w:r>
            <w:r>
              <w:rPr>
                <w:rFonts w:hAnsi="宋体"/>
                <w:szCs w:val="21"/>
              </w:rPr>
              <w:t>）</w:t>
            </w:r>
          </w:p>
        </w:tc>
        <w:tc>
          <w:tcPr>
            <w:tcW w:w="1731" w:type="dxa"/>
            <w:vAlign w:val="center"/>
          </w:tcPr>
          <w:p>
            <w:pPr>
              <w:adjustRightInd w:val="0"/>
              <w:snapToGrid w:val="0"/>
              <w:jc w:val="center"/>
              <w:rPr>
                <w:szCs w:val="21"/>
              </w:rPr>
            </w:pPr>
            <w:r>
              <w:rPr>
                <w:rFonts w:hint="eastAsia"/>
                <w:szCs w:val="21"/>
              </w:rPr>
              <w:t>1.25</w:t>
            </w:r>
          </w:p>
        </w:tc>
        <w:tc>
          <w:tcPr>
            <w:tcW w:w="2244"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施工工期</w:t>
            </w:r>
          </w:p>
        </w:tc>
        <w:tc>
          <w:tcPr>
            <w:tcW w:w="2996" w:type="dxa"/>
            <w:vAlign w:val="center"/>
          </w:tcPr>
          <w:p>
            <w:pPr>
              <w:adjustRightInd w:val="0"/>
              <w:snapToGrid w:val="0"/>
              <w:jc w:val="center"/>
              <w:rPr>
                <w:szCs w:val="21"/>
              </w:rPr>
            </w:pPr>
            <w:r>
              <w:rPr>
                <w:rFonts w:hint="eastAsia" w:hAnsi="宋体"/>
                <w:szCs w:val="21"/>
              </w:rPr>
              <w:t>2</w:t>
            </w:r>
            <w:r>
              <w:rPr>
                <w:rFonts w:hAnsi="宋体"/>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17" w:hRule="atLeast"/>
          <w:jc w:val="center"/>
        </w:trPr>
        <w:tc>
          <w:tcPr>
            <w:tcW w:w="1899" w:type="dxa"/>
            <w:gridSpan w:val="3"/>
            <w:tcMar>
              <w:top w:w="16" w:type="dxa"/>
              <w:left w:w="16" w:type="dxa"/>
              <w:right w:w="16" w:type="dxa"/>
            </w:tcMar>
            <w:vAlign w:val="center"/>
          </w:tcPr>
          <w:p>
            <w:pPr>
              <w:adjustRightInd w:val="0"/>
              <w:snapToGrid w:val="0"/>
              <w:jc w:val="center"/>
              <w:rPr>
                <w:szCs w:val="21"/>
              </w:rPr>
            </w:pPr>
            <w:r>
              <w:rPr>
                <w:rFonts w:hAnsi="宋体"/>
                <w:szCs w:val="21"/>
              </w:rPr>
              <w:t>是否开工建设</w:t>
            </w:r>
          </w:p>
        </w:tc>
        <w:tc>
          <w:tcPr>
            <w:tcW w:w="1731" w:type="dxa"/>
            <w:vAlign w:val="center"/>
          </w:tcPr>
          <w:p>
            <w:pPr>
              <w:adjustRightInd w:val="0"/>
              <w:snapToGrid w:val="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3"/>
                <w:sz w:val="34"/>
                <w:szCs w:val="21"/>
              </w:rPr>
              <w:instrText xml:space="preserve">□,</w:instrText>
            </w:r>
            <w:r>
              <w:rPr>
                <w:rFonts w:hint="eastAsia" w:ascii="宋体" w:hAnsi="宋体" w:cs="宋体"/>
                <w:position w:val="1"/>
                <w:sz w:val="23"/>
                <w:szCs w:val="21"/>
              </w:rPr>
              <w:instrText xml:space="preserve">√</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否</w:t>
            </w:r>
          </w:p>
          <w:p>
            <w:pPr>
              <w:adjustRightInd w:val="0"/>
              <w:snapToGrid w:val="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ascii="宋体" w:hAnsi="宋体" w:cs="宋体"/>
                <w:szCs w:val="21"/>
              </w:rPr>
              <w:fldChar w:fldCharType="end"/>
            </w:r>
            <w:r>
              <w:rPr>
                <w:rFonts w:hint="eastAsia" w:ascii="宋体" w:hAnsi="宋体" w:cs="宋体"/>
                <w:szCs w:val="21"/>
              </w:rPr>
              <w:t>是：</w:t>
            </w:r>
            <w:r>
              <w:rPr>
                <w:rFonts w:hint="eastAsia" w:ascii="宋体" w:hAnsi="宋体" w:cs="宋体"/>
                <w:szCs w:val="21"/>
                <w:u w:val="single"/>
              </w:rPr>
              <w:t xml:space="preserve">         </w:t>
            </w:r>
          </w:p>
        </w:tc>
        <w:tc>
          <w:tcPr>
            <w:tcW w:w="2244" w:type="dxa"/>
            <w:tcMar>
              <w:top w:w="16" w:type="dxa"/>
              <w:left w:w="16" w:type="dxa"/>
              <w:right w:w="16" w:type="dxa"/>
            </w:tcMar>
            <w:vAlign w:val="center"/>
          </w:tcPr>
          <w:p>
            <w:pPr>
              <w:adjustRightInd w:val="0"/>
              <w:snapToGrid w:val="0"/>
              <w:jc w:val="center"/>
              <w:rPr>
                <w:spacing w:val="-6"/>
                <w:szCs w:val="21"/>
              </w:rPr>
            </w:pPr>
            <w:r>
              <w:rPr>
                <w:rFonts w:hAnsi="宋体"/>
                <w:spacing w:val="-6"/>
                <w:szCs w:val="21"/>
              </w:rPr>
              <w:t>用地（用海）</w:t>
            </w:r>
          </w:p>
          <w:p>
            <w:pPr>
              <w:adjustRightInd w:val="0"/>
              <w:snapToGrid w:val="0"/>
              <w:jc w:val="center"/>
              <w:rPr>
                <w:rFonts w:ascii="宋体" w:hAnsi="宋体" w:cs="宋体"/>
                <w:szCs w:val="21"/>
              </w:rPr>
            </w:pPr>
            <w:r>
              <w:rPr>
                <w:rFonts w:hAnsi="宋体"/>
                <w:spacing w:val="-6"/>
                <w:szCs w:val="21"/>
              </w:rPr>
              <w:t>面积（</w:t>
            </w:r>
            <w:r>
              <w:rPr>
                <w:spacing w:val="-6"/>
                <w:szCs w:val="21"/>
              </w:rPr>
              <w:t>m</w:t>
            </w:r>
            <w:r>
              <w:rPr>
                <w:spacing w:val="-6"/>
                <w:szCs w:val="21"/>
                <w:vertAlign w:val="superscript"/>
              </w:rPr>
              <w:t>2</w:t>
            </w:r>
            <w:r>
              <w:rPr>
                <w:rFonts w:hAnsi="宋体"/>
                <w:spacing w:val="-6"/>
                <w:szCs w:val="21"/>
              </w:rPr>
              <w:t>）</w:t>
            </w:r>
          </w:p>
        </w:tc>
        <w:tc>
          <w:tcPr>
            <w:tcW w:w="2996" w:type="dxa"/>
            <w:vAlign w:val="center"/>
          </w:tcPr>
          <w:p>
            <w:pPr>
              <w:adjustRightInd w:val="0"/>
              <w:snapToGrid w:val="0"/>
              <w:jc w:val="center"/>
              <w:rPr>
                <w:szCs w:val="21"/>
              </w:rPr>
            </w:pPr>
            <w:r>
              <w:rPr>
                <w:rFonts w:hint="eastAsia"/>
                <w:szCs w:val="21"/>
              </w:rPr>
              <w:t>2000（租赁已建厂房）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89" w:type="dxa"/>
            <w:gridSpan w:val="2"/>
            <w:vAlign w:val="center"/>
          </w:tcPr>
          <w:p>
            <w:pPr>
              <w:autoSpaceDE w:val="0"/>
              <w:autoSpaceDN w:val="0"/>
              <w:adjustRightInd w:val="0"/>
              <w:snapToGrid w:val="0"/>
              <w:jc w:val="center"/>
              <w:rPr>
                <w:kern w:val="0"/>
                <w:sz w:val="24"/>
              </w:rPr>
            </w:pPr>
            <w:r>
              <w:rPr>
                <w:rFonts w:hAnsi="宋体"/>
                <w:kern w:val="0"/>
                <w:sz w:val="24"/>
              </w:rPr>
              <w:t>专项评价设置情况</w:t>
            </w:r>
          </w:p>
        </w:tc>
        <w:tc>
          <w:tcPr>
            <w:tcW w:w="7881" w:type="dxa"/>
            <w:gridSpan w:val="4"/>
            <w:vAlign w:val="center"/>
          </w:tcPr>
          <w:p>
            <w:pPr>
              <w:pStyle w:val="99"/>
              <w:ind w:firstLine="0" w:firstLineChars="0"/>
              <w:jc w:val="center"/>
              <w:rPr>
                <w:kern w:val="0"/>
              </w:rPr>
            </w:pPr>
            <w:r>
              <w:rPr>
                <w:rFonts w:ascii="宋体" w:hAnsi="宋体" w:cs="华文中宋"/>
                <w:kern w:val="4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89" w:type="dxa"/>
            <w:gridSpan w:val="2"/>
            <w:vAlign w:val="center"/>
          </w:tcPr>
          <w:p>
            <w:pPr>
              <w:autoSpaceDE w:val="0"/>
              <w:autoSpaceDN w:val="0"/>
              <w:adjustRightInd w:val="0"/>
              <w:snapToGrid w:val="0"/>
              <w:jc w:val="center"/>
              <w:rPr>
                <w:kern w:val="0"/>
                <w:sz w:val="24"/>
              </w:rPr>
            </w:pPr>
            <w:r>
              <w:rPr>
                <w:rFonts w:hAnsi="宋体"/>
                <w:sz w:val="24"/>
              </w:rPr>
              <w:t>规划情况</w:t>
            </w:r>
          </w:p>
        </w:tc>
        <w:tc>
          <w:tcPr>
            <w:tcW w:w="7881" w:type="dxa"/>
            <w:gridSpan w:val="4"/>
            <w:vAlign w:val="center"/>
          </w:tcPr>
          <w:p>
            <w:pPr>
              <w:autoSpaceDE w:val="0"/>
              <w:autoSpaceDN w:val="0"/>
              <w:adjustRightInd w:val="0"/>
              <w:snapToGrid w:val="0"/>
              <w:spacing w:line="520" w:lineRule="exact"/>
              <w:jc w:val="left"/>
              <w:rPr>
                <w:bCs/>
                <w:kern w:val="0"/>
                <w:sz w:val="24"/>
              </w:rPr>
            </w:pPr>
            <w:r>
              <w:rPr>
                <w:b/>
                <w:kern w:val="0"/>
                <w:sz w:val="24"/>
              </w:rPr>
              <w:t>规划名称</w:t>
            </w:r>
            <w:r>
              <w:rPr>
                <w:kern w:val="0"/>
                <w:sz w:val="24"/>
              </w:rPr>
              <w:t>：《</w:t>
            </w:r>
            <w:r>
              <w:rPr>
                <w:bCs/>
                <w:kern w:val="0"/>
                <w:sz w:val="24"/>
              </w:rPr>
              <w:t>偃师市产业集聚区发展规划调整方案（2013-2020）</w:t>
            </w:r>
            <w:r>
              <w:rPr>
                <w:kern w:val="0"/>
                <w:sz w:val="24"/>
              </w:rPr>
              <w:t>》</w:t>
            </w:r>
          </w:p>
          <w:p>
            <w:pPr>
              <w:pStyle w:val="95"/>
              <w:spacing w:line="520" w:lineRule="exact"/>
              <w:ind w:firstLine="0" w:firstLineChars="0"/>
              <w:jc w:val="left"/>
              <w:rPr>
                <w:bCs/>
                <w:color w:val="auto"/>
                <w:sz w:val="24"/>
                <w:szCs w:val="24"/>
              </w:rPr>
            </w:pPr>
            <w:r>
              <w:rPr>
                <w:b/>
                <w:color w:val="auto"/>
                <w:kern w:val="0"/>
                <w:sz w:val="24"/>
                <w:szCs w:val="24"/>
              </w:rPr>
              <w:t>审批机关</w:t>
            </w:r>
            <w:r>
              <w:rPr>
                <w:color w:val="auto"/>
                <w:kern w:val="0"/>
                <w:sz w:val="24"/>
                <w:szCs w:val="24"/>
              </w:rPr>
              <w:t>：河南省发展和改革委员会</w:t>
            </w:r>
          </w:p>
          <w:p>
            <w:pPr>
              <w:pStyle w:val="99"/>
              <w:ind w:firstLine="0" w:firstLineChars="0"/>
              <w:jc w:val="left"/>
              <w:rPr>
                <w:rFonts w:ascii="宋体" w:hAnsi="宋体" w:cs="华文中宋"/>
                <w:kern w:val="44"/>
              </w:rPr>
            </w:pPr>
            <w:r>
              <w:rPr>
                <w:b/>
                <w:bCs/>
              </w:rPr>
              <w:t>审批文号：</w:t>
            </w:r>
            <w:r>
              <w:rPr>
                <w:bCs/>
              </w:rPr>
              <w:t>《关于偃师市产业集聚区发展规划调整方案的批复》（豫发改工业[2012]1653号）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89" w:type="dxa"/>
            <w:gridSpan w:val="2"/>
            <w:vAlign w:val="center"/>
          </w:tcPr>
          <w:p>
            <w:pPr>
              <w:adjustRightInd w:val="0"/>
              <w:snapToGrid w:val="0"/>
              <w:jc w:val="center"/>
              <w:rPr>
                <w:kern w:val="0"/>
                <w:sz w:val="24"/>
              </w:rPr>
            </w:pPr>
            <w:r>
              <w:rPr>
                <w:rFonts w:hAnsi="宋体"/>
                <w:sz w:val="24"/>
              </w:rPr>
              <w:t>规划环境影响评价情况</w:t>
            </w:r>
          </w:p>
        </w:tc>
        <w:tc>
          <w:tcPr>
            <w:tcW w:w="7881" w:type="dxa"/>
            <w:gridSpan w:val="4"/>
            <w:vAlign w:val="center"/>
          </w:tcPr>
          <w:p>
            <w:pPr>
              <w:pStyle w:val="95"/>
              <w:spacing w:line="520" w:lineRule="exact"/>
              <w:ind w:firstLine="484"/>
              <w:jc w:val="left"/>
              <w:rPr>
                <w:bCs/>
                <w:color w:val="auto"/>
                <w:sz w:val="24"/>
                <w:szCs w:val="24"/>
              </w:rPr>
            </w:pPr>
            <w:r>
              <w:rPr>
                <w:bCs/>
                <w:color w:val="auto"/>
                <w:sz w:val="24"/>
                <w:szCs w:val="24"/>
              </w:rPr>
              <w:t>2010年3月由中色科技股份有限公司编制完成了《偃师市产业集聚区总体发展规划环境影响报告书》，并经河南省环境保护厅豫环审[2010]287号文审查通过。</w:t>
            </w:r>
          </w:p>
          <w:p>
            <w:pPr>
              <w:pStyle w:val="95"/>
              <w:spacing w:line="520" w:lineRule="exact"/>
              <w:ind w:firstLine="484"/>
              <w:jc w:val="left"/>
              <w:rPr>
                <w:bCs/>
                <w:color w:val="auto"/>
                <w:sz w:val="24"/>
                <w:szCs w:val="24"/>
              </w:rPr>
            </w:pPr>
            <w:r>
              <w:rPr>
                <w:bCs/>
                <w:color w:val="auto"/>
                <w:sz w:val="24"/>
                <w:szCs w:val="24"/>
              </w:rPr>
              <w:t>2015年1月由中色科技股份有限公司编制完成了《偃师市产业集聚区发展规划调整方案（2013-2020）环境影响报告书》，并经河南省环境保护厅豫环函[2015]167号文审查通过。</w:t>
            </w:r>
          </w:p>
          <w:p>
            <w:pPr>
              <w:pStyle w:val="99"/>
              <w:ind w:firstLine="480"/>
              <w:jc w:val="left"/>
              <w:rPr>
                <w:kern w:val="0"/>
                <w:szCs w:val="21"/>
              </w:rPr>
            </w:pPr>
            <w:r>
              <w:rPr>
                <w:bCs/>
              </w:rPr>
              <w:t>2019年6月由中色科技股份有限公司编制完成了《偃师市产业集聚区发展规划环境影响跟踪评价报告书》，并经河南省生态环境厅豫环函[2019]189号文审查通过。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89" w:type="dxa"/>
            <w:gridSpan w:val="2"/>
            <w:vAlign w:val="center"/>
          </w:tcPr>
          <w:p>
            <w:pPr>
              <w:adjustRightInd w:val="0"/>
              <w:snapToGrid w:val="0"/>
              <w:jc w:val="center"/>
              <w:rPr>
                <w:rFonts w:ascii="宋体" w:hAnsi="宋体" w:cs="宋体"/>
                <w:kern w:val="0"/>
                <w:szCs w:val="21"/>
              </w:rPr>
            </w:pPr>
            <w:r>
              <w:rPr>
                <w:rFonts w:hint="eastAsia" w:hAnsi="宋体"/>
                <w:sz w:val="24"/>
              </w:rPr>
              <w:t>规划及规划环境影响评价符合性分析</w:t>
            </w:r>
          </w:p>
        </w:tc>
        <w:tc>
          <w:tcPr>
            <w:tcW w:w="7881" w:type="dxa"/>
            <w:gridSpan w:val="4"/>
            <w:vAlign w:val="center"/>
          </w:tcPr>
          <w:p>
            <w:pPr>
              <w:pStyle w:val="95"/>
              <w:spacing w:before="0" w:after="0" w:line="520" w:lineRule="exact"/>
              <w:ind w:firstLine="0" w:firstLineChars="0"/>
              <w:rPr>
                <w:bCs/>
                <w:color w:val="auto"/>
                <w:sz w:val="24"/>
                <w:szCs w:val="24"/>
              </w:rPr>
            </w:pPr>
            <w:r>
              <w:rPr>
                <w:bCs/>
                <w:color w:val="auto"/>
                <w:sz w:val="24"/>
                <w:szCs w:val="24"/>
              </w:rPr>
              <w:t>1.《偃师市产业集聚区发展规划调整方案（2013~2020）》及其规划环评</w:t>
            </w:r>
          </w:p>
          <w:p>
            <w:pPr>
              <w:spacing w:line="520" w:lineRule="exact"/>
              <w:ind w:firstLine="480" w:firstLineChars="200"/>
              <w:rPr>
                <w:sz w:val="24"/>
              </w:rPr>
            </w:pPr>
            <w:r>
              <w:rPr>
                <w:sz w:val="24"/>
              </w:rPr>
              <w:t>（1）规划范围</w:t>
            </w:r>
          </w:p>
          <w:p>
            <w:pPr>
              <w:spacing w:line="520" w:lineRule="exact"/>
              <w:ind w:firstLine="480" w:firstLineChars="200"/>
              <w:rPr>
                <w:sz w:val="24"/>
              </w:rPr>
            </w:pPr>
            <w:r>
              <w:rPr>
                <w:sz w:val="24"/>
              </w:rPr>
              <w:t>调整后的集聚区包括北园和南园，总面积为11.9km</w:t>
            </w:r>
            <w:r>
              <w:rPr>
                <w:sz w:val="24"/>
                <w:vertAlign w:val="superscript"/>
              </w:rPr>
              <w:t>2</w:t>
            </w:r>
            <w:r>
              <w:rPr>
                <w:sz w:val="24"/>
              </w:rPr>
              <w:t>。</w:t>
            </w:r>
          </w:p>
          <w:p>
            <w:pPr>
              <w:spacing w:line="520" w:lineRule="exact"/>
              <w:ind w:firstLine="480" w:firstLineChars="200"/>
              <w:rPr>
                <w:sz w:val="24"/>
              </w:rPr>
            </w:pPr>
            <w:r>
              <w:rPr>
                <w:sz w:val="24"/>
              </w:rPr>
              <w:t>北园具体范围为：洛河以北区域东至经一路、连霍高速引线，西至一高路、潘屯西路，南至华夏路，北至北环路以北约300米，规划面积6.5平方公里。</w:t>
            </w:r>
          </w:p>
          <w:p>
            <w:pPr>
              <w:spacing w:line="520" w:lineRule="exact"/>
              <w:ind w:firstLine="480" w:firstLineChars="200"/>
              <w:rPr>
                <w:sz w:val="24"/>
              </w:rPr>
            </w:pPr>
            <w:r>
              <w:rPr>
                <w:sz w:val="24"/>
              </w:rPr>
              <w:t>南园具体范围为：洛河以南区域东至连霍高速引线、西至规划310国道、南至岳滩中心区干道南约200米（即规划的创业路）、北至科创路，规划面积5.4平方公里。</w:t>
            </w:r>
          </w:p>
          <w:p>
            <w:pPr>
              <w:spacing w:line="520" w:lineRule="exact"/>
              <w:ind w:firstLine="480" w:firstLineChars="200"/>
              <w:rPr>
                <w:sz w:val="24"/>
              </w:rPr>
            </w:pPr>
            <w:r>
              <w:rPr>
                <w:sz w:val="24"/>
              </w:rPr>
              <w:t>本项目位于集聚区规划南园范围内。</w:t>
            </w:r>
          </w:p>
          <w:p>
            <w:pPr>
              <w:spacing w:line="520" w:lineRule="exact"/>
              <w:ind w:firstLine="480" w:firstLineChars="200"/>
              <w:rPr>
                <w:sz w:val="24"/>
              </w:rPr>
            </w:pPr>
            <w:r>
              <w:rPr>
                <w:sz w:val="24"/>
              </w:rPr>
              <w:t>（2）产业定位</w:t>
            </w:r>
          </w:p>
          <w:p>
            <w:pPr>
              <w:spacing w:line="520" w:lineRule="exact"/>
              <w:ind w:firstLine="480" w:firstLineChars="200"/>
              <w:rPr>
                <w:sz w:val="24"/>
              </w:rPr>
            </w:pPr>
            <w:r>
              <w:rPr>
                <w:sz w:val="24"/>
              </w:rPr>
              <w:t>偃师市产业集聚区定位：全国重要的三轮摩托车及电动交通工具生产基地，偃师市新材料、新能源产业基地。</w:t>
            </w:r>
          </w:p>
          <w:p>
            <w:pPr>
              <w:spacing w:line="520" w:lineRule="exact"/>
              <w:ind w:firstLine="480" w:firstLineChars="200"/>
              <w:rPr>
                <w:sz w:val="24"/>
              </w:rPr>
            </w:pPr>
            <w:r>
              <w:rPr>
                <w:sz w:val="24"/>
              </w:rPr>
              <w:t>产业集聚区北园主导产业为以太阳能光伏、硅光伏、分子筛及其上下游产业为主的新材料产业，南园主导产业为以电动三轮摩托车及电动交通工具为主的机械加工制造业。</w:t>
            </w:r>
          </w:p>
          <w:p>
            <w:pPr>
              <w:spacing w:line="520" w:lineRule="exact"/>
              <w:ind w:firstLine="480" w:firstLineChars="200"/>
              <w:rPr>
                <w:sz w:val="24"/>
              </w:rPr>
            </w:pPr>
            <w:r>
              <w:rPr>
                <w:sz w:val="24"/>
              </w:rPr>
              <w:t>（3）产业布局</w:t>
            </w:r>
          </w:p>
          <w:p>
            <w:pPr>
              <w:spacing w:line="520" w:lineRule="exact"/>
              <w:ind w:firstLine="480" w:firstLineChars="200"/>
              <w:rPr>
                <w:sz w:val="24"/>
              </w:rPr>
            </w:pPr>
            <w:r>
              <w:rPr>
                <w:sz w:val="24"/>
              </w:rPr>
              <w:t>规划调整后重点发展机械加工和新材料产业，发展定位调整为全国重要的三轮摩托车及电动交通工具生产基地，偃师市新材料生产基地，规划调整方案未规划洛阳市机械加工项目入驻本产业园的内容。除原有三轮摩托车及电动交通工具外，规划调整方案增加了新材料、新能源类项目。</w:t>
            </w:r>
          </w:p>
          <w:p>
            <w:pPr>
              <w:spacing w:line="520" w:lineRule="exact"/>
              <w:ind w:firstLine="480" w:firstLineChars="200"/>
              <w:rPr>
                <w:sz w:val="24"/>
              </w:rPr>
            </w:pPr>
            <w:r>
              <w:rPr>
                <w:sz w:val="24"/>
              </w:rPr>
              <w:t>功能布局调整为南园规划布局建设机械加工区、仓储物流区及综合服务区；北园规划布局新材料工业区、新能源工业区、仓储物流区及综合服务区。</w:t>
            </w:r>
          </w:p>
          <w:p>
            <w:pPr>
              <w:spacing w:line="520" w:lineRule="exact"/>
              <w:ind w:firstLine="480" w:firstLineChars="200"/>
              <w:rPr>
                <w:sz w:val="24"/>
              </w:rPr>
            </w:pPr>
            <w:r>
              <w:rPr>
                <w:sz w:val="24"/>
              </w:rPr>
              <w:t>（4）本项目相符性分析</w:t>
            </w:r>
          </w:p>
          <w:p>
            <w:pPr>
              <w:spacing w:line="520" w:lineRule="exact"/>
              <w:ind w:firstLine="480" w:firstLineChars="200"/>
              <w:rPr>
                <w:sz w:val="24"/>
              </w:rPr>
            </w:pPr>
            <w:r>
              <w:rPr>
                <w:sz w:val="24"/>
              </w:rPr>
              <w:t>本厂区位于产业集聚区南园内，布局在机械加工区内，本项目属于</w:t>
            </w:r>
            <w:r>
              <w:rPr>
                <w:rFonts w:hint="eastAsia"/>
                <w:sz w:val="24"/>
              </w:rPr>
              <w:t>塑料制品业</w:t>
            </w:r>
            <w:r>
              <w:rPr>
                <w:sz w:val="24"/>
              </w:rPr>
              <w:t>，</w:t>
            </w:r>
            <w:r>
              <w:rPr>
                <w:bCs/>
                <w:sz w:val="24"/>
              </w:rPr>
              <w:t>不属于</w:t>
            </w:r>
            <w:r>
              <w:rPr>
                <w:sz w:val="24"/>
              </w:rPr>
              <w:t>产业集聚区鼓励行业、也不属于限制类和禁止类，属于允许类。</w:t>
            </w:r>
          </w:p>
          <w:p>
            <w:pPr>
              <w:spacing w:line="520" w:lineRule="exact"/>
              <w:ind w:firstLine="480" w:firstLineChars="200"/>
              <w:rPr>
                <w:sz w:val="24"/>
              </w:rPr>
            </w:pPr>
            <w:r>
              <w:rPr>
                <w:sz w:val="24"/>
              </w:rPr>
              <w:t>（5）偃师市产业集聚区准入条件</w:t>
            </w:r>
          </w:p>
          <w:p>
            <w:pPr>
              <w:spacing w:line="520" w:lineRule="exact"/>
              <w:ind w:firstLine="480" w:firstLineChars="200"/>
              <w:rPr>
                <w:sz w:val="24"/>
              </w:rPr>
            </w:pPr>
            <w:r>
              <w:rPr>
                <w:sz w:val="24"/>
              </w:rPr>
              <w:t>偃师市产业集聚区环境准入条件见下表。</w:t>
            </w:r>
          </w:p>
          <w:p>
            <w:pPr>
              <w:pStyle w:val="48"/>
              <w:ind w:firstLine="480"/>
            </w:pPr>
            <w:r>
              <w:t>表1      偃师市产业集聚区环境准入条件</w:t>
            </w:r>
          </w:p>
          <w:tbl>
            <w:tblPr>
              <w:tblStyle w:val="22"/>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34"/>
              <w:gridCol w:w="5416"/>
              <w:gridCol w:w="151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79" w:type="pct"/>
                  <w:tcBorders>
                    <w:top w:val="single" w:color="000000" w:sz="12" w:space="0"/>
                    <w:left w:val="single" w:color="000000" w:sz="12" w:space="0"/>
                    <w:bottom w:val="single" w:color="000000" w:sz="6" w:space="0"/>
                    <w:right w:val="single" w:color="000000" w:sz="6" w:space="0"/>
                  </w:tcBorders>
                  <w:vAlign w:val="center"/>
                </w:tcPr>
                <w:p>
                  <w:pPr>
                    <w:snapToGrid w:val="0"/>
                    <w:spacing w:line="400" w:lineRule="exact"/>
                    <w:jc w:val="center"/>
                    <w:rPr>
                      <w:kern w:val="0"/>
                      <w:szCs w:val="21"/>
                    </w:rPr>
                  </w:pPr>
                  <w:r>
                    <w:rPr>
                      <w:kern w:val="0"/>
                      <w:szCs w:val="21"/>
                    </w:rPr>
                    <w:t>项目</w:t>
                  </w:r>
                </w:p>
              </w:tc>
              <w:tc>
                <w:tcPr>
                  <w:tcW w:w="3533" w:type="pct"/>
                  <w:tcBorders>
                    <w:top w:val="single" w:color="000000" w:sz="12" w:space="0"/>
                    <w:left w:val="single" w:color="000000" w:sz="6" w:space="0"/>
                    <w:bottom w:val="single" w:color="000000" w:sz="6" w:space="0"/>
                    <w:right w:val="single" w:color="000000" w:sz="6" w:space="0"/>
                  </w:tcBorders>
                  <w:vAlign w:val="center"/>
                </w:tcPr>
                <w:p>
                  <w:pPr>
                    <w:snapToGrid w:val="0"/>
                    <w:spacing w:line="400" w:lineRule="exact"/>
                    <w:jc w:val="center"/>
                    <w:rPr>
                      <w:kern w:val="0"/>
                      <w:szCs w:val="21"/>
                    </w:rPr>
                  </w:pPr>
                  <w:r>
                    <w:rPr>
                      <w:kern w:val="0"/>
                      <w:szCs w:val="21"/>
                    </w:rPr>
                    <w:t>要求内容</w:t>
                  </w:r>
                </w:p>
              </w:tc>
              <w:tc>
                <w:tcPr>
                  <w:tcW w:w="988" w:type="pct"/>
                  <w:tcBorders>
                    <w:top w:val="single" w:color="000000" w:sz="12" w:space="0"/>
                    <w:left w:val="single" w:color="000000" w:sz="6" w:space="0"/>
                    <w:bottom w:val="single" w:color="000000" w:sz="6" w:space="0"/>
                    <w:right w:val="single" w:color="000000" w:sz="6" w:space="0"/>
                  </w:tcBorders>
                  <w:vAlign w:val="center"/>
                </w:tcPr>
                <w:p>
                  <w:pPr>
                    <w:snapToGrid w:val="0"/>
                    <w:spacing w:line="400" w:lineRule="exact"/>
                    <w:jc w:val="center"/>
                    <w:rPr>
                      <w:kern w:val="0"/>
                      <w:szCs w:val="21"/>
                    </w:rPr>
                  </w:pPr>
                  <w:r>
                    <w:rPr>
                      <w:kern w:val="0"/>
                      <w:szCs w:val="21"/>
                    </w:rPr>
                    <w:t>本项目情况</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79" w:type="pct"/>
                  <w:tcBorders>
                    <w:top w:val="single" w:color="000000" w:sz="6" w:space="0"/>
                    <w:left w:val="single" w:color="000000" w:sz="12" w:space="0"/>
                    <w:bottom w:val="single" w:color="000000" w:sz="6" w:space="0"/>
                    <w:right w:val="single" w:color="000000" w:sz="6" w:space="0"/>
                  </w:tcBorders>
                  <w:vAlign w:val="center"/>
                </w:tcPr>
                <w:p>
                  <w:pPr>
                    <w:snapToGrid w:val="0"/>
                    <w:spacing w:line="400" w:lineRule="exact"/>
                    <w:jc w:val="center"/>
                    <w:rPr>
                      <w:kern w:val="0"/>
                      <w:szCs w:val="21"/>
                    </w:rPr>
                  </w:pPr>
                  <w:r>
                    <w:rPr>
                      <w:kern w:val="0"/>
                      <w:szCs w:val="21"/>
                    </w:rPr>
                    <w:t>鼓励行业</w:t>
                  </w:r>
                </w:p>
              </w:tc>
              <w:tc>
                <w:tcPr>
                  <w:tcW w:w="3533" w:type="pc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kern w:val="0"/>
                      <w:szCs w:val="21"/>
                    </w:rPr>
                  </w:pPr>
                  <w:r>
                    <w:rPr>
                      <w:kern w:val="0"/>
                      <w:szCs w:val="21"/>
                    </w:rPr>
                    <w:t>符合规划产业定位和行业准入要求的摩托车、发动机及零部件、特种车、农机、汽车配件以及绿色制造、高端装备制造业等新兴产业。</w:t>
                  </w:r>
                </w:p>
                <w:p>
                  <w:pPr>
                    <w:snapToGrid w:val="0"/>
                    <w:spacing w:line="400" w:lineRule="exact"/>
                    <w:rPr>
                      <w:kern w:val="0"/>
                      <w:szCs w:val="21"/>
                    </w:rPr>
                  </w:pPr>
                  <w:r>
                    <w:rPr>
                      <w:kern w:val="0"/>
                      <w:szCs w:val="21"/>
                    </w:rPr>
                    <w:t>多晶硅下游产品，如硅片、太阳能组件、薄膜太阳能电池项目及多晶硅铸锭、分子筛等新能源、新材料项目，汽车、飞机等高端有色金属合金应用新材料；依托现有河南恒星、建龙微纳，发展有利于产业链延伸，技术含量高、附加值高、资源能源消耗低、环境污染排放少的新材料（含化工新材料）产业及涉及环保治理新材料项目。</w:t>
                  </w:r>
                </w:p>
                <w:p>
                  <w:pPr>
                    <w:snapToGrid w:val="0"/>
                    <w:spacing w:line="400" w:lineRule="exact"/>
                    <w:rPr>
                      <w:kern w:val="0"/>
                      <w:szCs w:val="21"/>
                    </w:rPr>
                  </w:pPr>
                  <w:r>
                    <w:rPr>
                      <w:kern w:val="0"/>
                      <w:szCs w:val="21"/>
                    </w:rPr>
                    <w:t>与集聚区产业定位相符，和现有产业能形成上、下链条，能够实现改造升级的退城入园、产业转移项目。</w:t>
                  </w:r>
                </w:p>
                <w:p>
                  <w:pPr>
                    <w:snapToGrid w:val="0"/>
                    <w:spacing w:line="400" w:lineRule="exact"/>
                    <w:rPr>
                      <w:kern w:val="0"/>
                      <w:szCs w:val="21"/>
                    </w:rPr>
                  </w:pPr>
                  <w:r>
                    <w:rPr>
                      <w:kern w:val="0"/>
                      <w:szCs w:val="21"/>
                    </w:rPr>
                    <w:t>集中喷涂工程项目。</w:t>
                  </w:r>
                </w:p>
                <w:p>
                  <w:pPr>
                    <w:snapToGrid w:val="0"/>
                    <w:spacing w:line="400" w:lineRule="exact"/>
                    <w:rPr>
                      <w:kern w:val="0"/>
                      <w:szCs w:val="21"/>
                    </w:rPr>
                  </w:pPr>
                  <w:r>
                    <w:rPr>
                      <w:kern w:val="0"/>
                      <w:szCs w:val="21"/>
                    </w:rPr>
                    <w:t>环境污染小，环境风险低的一类工业项目。</w:t>
                  </w:r>
                </w:p>
              </w:tc>
              <w:tc>
                <w:tcPr>
                  <w:tcW w:w="988" w:type="pct"/>
                  <w:vMerge w:val="restart"/>
                  <w:tcBorders>
                    <w:top w:val="single" w:color="000000" w:sz="6" w:space="0"/>
                    <w:left w:val="single" w:color="000000" w:sz="6" w:space="0"/>
                    <w:bottom w:val="single" w:color="000000" w:sz="12" w:space="0"/>
                    <w:right w:val="single" w:color="000000" w:sz="6" w:space="0"/>
                  </w:tcBorders>
                  <w:vAlign w:val="center"/>
                </w:tcPr>
                <w:p>
                  <w:pPr>
                    <w:snapToGrid w:val="0"/>
                    <w:spacing w:line="400" w:lineRule="exact"/>
                    <w:rPr>
                      <w:kern w:val="0"/>
                      <w:szCs w:val="21"/>
                    </w:rPr>
                  </w:pPr>
                  <w:r>
                    <w:rPr>
                      <w:kern w:val="0"/>
                      <w:szCs w:val="21"/>
                    </w:rPr>
                    <w:t>本项目为</w:t>
                  </w:r>
                  <w:r>
                    <w:rPr>
                      <w:rFonts w:hint="eastAsia"/>
                      <w:kern w:val="0"/>
                      <w:szCs w:val="21"/>
                    </w:rPr>
                    <w:t>塑料制品业</w:t>
                  </w:r>
                  <w:r>
                    <w:rPr>
                      <w:kern w:val="0"/>
                      <w:szCs w:val="21"/>
                    </w:rPr>
                    <w:t>，不属于环境准入中限制与禁止行业，属于允许类项目</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79" w:type="pct"/>
                  <w:tcBorders>
                    <w:top w:val="single" w:color="000000" w:sz="6" w:space="0"/>
                    <w:left w:val="single" w:color="000000" w:sz="12" w:space="0"/>
                    <w:bottom w:val="single" w:color="000000" w:sz="6" w:space="0"/>
                    <w:right w:val="single" w:color="000000" w:sz="6" w:space="0"/>
                  </w:tcBorders>
                  <w:vAlign w:val="center"/>
                </w:tcPr>
                <w:p>
                  <w:pPr>
                    <w:widowControl/>
                    <w:spacing w:line="400" w:lineRule="exact"/>
                    <w:jc w:val="center"/>
                    <w:rPr>
                      <w:kern w:val="0"/>
                      <w:szCs w:val="21"/>
                    </w:rPr>
                  </w:pPr>
                  <w:r>
                    <w:rPr>
                      <w:kern w:val="0"/>
                      <w:szCs w:val="21"/>
                    </w:rPr>
                    <w:t>限制行业</w:t>
                  </w:r>
                </w:p>
              </w:tc>
              <w:tc>
                <w:tcPr>
                  <w:tcW w:w="3533" w:type="pc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kern w:val="0"/>
                      <w:szCs w:val="21"/>
                    </w:rPr>
                  </w:pPr>
                  <w:r>
                    <w:rPr>
                      <w:kern w:val="0"/>
                      <w:szCs w:val="21"/>
                    </w:rPr>
                    <w:t>属于《产业结构调整指导目录（2011本）（2013修正）》中限制类项目（能够实现改造升级的产业转移、退城入园项目除外）；</w:t>
                  </w:r>
                </w:p>
                <w:p>
                  <w:pPr>
                    <w:snapToGrid w:val="0"/>
                    <w:spacing w:line="400" w:lineRule="exact"/>
                    <w:rPr>
                      <w:kern w:val="0"/>
                      <w:szCs w:val="21"/>
                    </w:rPr>
                  </w:pPr>
                  <w:r>
                    <w:rPr>
                      <w:kern w:val="0"/>
                      <w:szCs w:val="21"/>
                    </w:rPr>
                    <w:t>建材行业（限制条件：涉及用煤的项目）；商业、金融、卫生、社会保障和福利业（限制条件：限制规模与选址，只限于综合服务区）；</w:t>
                  </w:r>
                </w:p>
                <w:p>
                  <w:pPr>
                    <w:snapToGrid w:val="0"/>
                    <w:spacing w:line="400" w:lineRule="exact"/>
                    <w:rPr>
                      <w:kern w:val="0"/>
                      <w:szCs w:val="21"/>
                    </w:rPr>
                  </w:pPr>
                  <w:r>
                    <w:rPr>
                      <w:kern w:val="0"/>
                      <w:szCs w:val="21"/>
                    </w:rPr>
                    <w:t>对与规划产业布局冲突，已建成并办理了相关环保手续的企业，限制其产能，鼓励其向主导产业转型。</w:t>
                  </w:r>
                </w:p>
              </w:tc>
              <w:tc>
                <w:tcPr>
                  <w:tcW w:w="988" w:type="pct"/>
                  <w:vMerge w:val="continue"/>
                  <w:tcBorders>
                    <w:top w:val="single" w:color="000000" w:sz="6" w:space="0"/>
                    <w:left w:val="single" w:color="000000" w:sz="6" w:space="0"/>
                    <w:bottom w:val="single" w:color="000000" w:sz="12" w:space="0"/>
                    <w:right w:val="single" w:color="000000" w:sz="6" w:space="0"/>
                  </w:tcBorders>
                  <w:vAlign w:val="center"/>
                </w:tcPr>
                <w:p>
                  <w:pPr>
                    <w:widowControl/>
                    <w:spacing w:line="400" w:lineRule="exact"/>
                    <w:jc w:val="left"/>
                    <w:rPr>
                      <w:kern w:val="0"/>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479" w:type="pct"/>
                  <w:tcBorders>
                    <w:top w:val="single" w:color="000000" w:sz="6" w:space="0"/>
                    <w:left w:val="single" w:color="000000" w:sz="12" w:space="0"/>
                    <w:bottom w:val="single" w:color="000000" w:sz="6" w:space="0"/>
                    <w:right w:val="single" w:color="000000" w:sz="6" w:space="0"/>
                  </w:tcBorders>
                  <w:vAlign w:val="center"/>
                </w:tcPr>
                <w:p>
                  <w:pPr>
                    <w:widowControl/>
                    <w:spacing w:line="400" w:lineRule="exact"/>
                    <w:jc w:val="center"/>
                    <w:rPr>
                      <w:kern w:val="0"/>
                      <w:szCs w:val="21"/>
                    </w:rPr>
                  </w:pPr>
                  <w:r>
                    <w:rPr>
                      <w:kern w:val="0"/>
                      <w:szCs w:val="21"/>
                    </w:rPr>
                    <w:t>禁止行业</w:t>
                  </w:r>
                </w:p>
              </w:tc>
              <w:tc>
                <w:tcPr>
                  <w:tcW w:w="3533" w:type="pc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kern w:val="0"/>
                      <w:szCs w:val="21"/>
                    </w:rPr>
                  </w:pPr>
                  <w:r>
                    <w:rPr>
                      <w:kern w:val="0"/>
                      <w:szCs w:val="21"/>
                    </w:rPr>
                    <w:t>属于《产业结构调整指导目录（2011本）（2013修正）》中淘汰类项目；</w:t>
                  </w:r>
                </w:p>
                <w:p>
                  <w:pPr>
                    <w:snapToGrid w:val="0"/>
                    <w:spacing w:line="400" w:lineRule="exact"/>
                    <w:rPr>
                      <w:kern w:val="0"/>
                      <w:szCs w:val="21"/>
                    </w:rPr>
                  </w:pPr>
                  <w:r>
                    <w:rPr>
                      <w:kern w:val="0"/>
                      <w:szCs w:val="21"/>
                    </w:rPr>
                    <w:t>属于《市场准入负面清单（2018年版）》禁止准入类项目；</w:t>
                  </w:r>
                </w:p>
                <w:p>
                  <w:pPr>
                    <w:snapToGrid w:val="0"/>
                    <w:spacing w:line="400" w:lineRule="exact"/>
                    <w:rPr>
                      <w:kern w:val="0"/>
                      <w:szCs w:val="21"/>
                    </w:rPr>
                  </w:pPr>
                  <w:r>
                    <w:rPr>
                      <w:kern w:val="0"/>
                      <w:szCs w:val="21"/>
                    </w:rPr>
                    <w:t>钢铁、火电、焦化、电解铝、铸造、水泥、平板玻璃、传统煤化工（甲醇、合成氨）等行业新建、扩建单纯新增产能以及耐火材料、陶瓷等行业新建、扩建以煤炭为燃料的项目。</w:t>
                  </w:r>
                </w:p>
                <w:p>
                  <w:pPr>
                    <w:snapToGrid w:val="0"/>
                    <w:spacing w:line="400" w:lineRule="exact"/>
                    <w:rPr>
                      <w:kern w:val="0"/>
                      <w:szCs w:val="21"/>
                    </w:rPr>
                  </w:pPr>
                  <w:r>
                    <w:rPr>
                      <w:kern w:val="0"/>
                      <w:szCs w:val="21"/>
                    </w:rPr>
                    <w:t>造纸、纺织印染、制革及毛皮鞣制、食品发酵等高耗水项目；与主导产业发展不相容的食品加工和制造、制药等项目。</w:t>
                  </w:r>
                </w:p>
                <w:p>
                  <w:pPr>
                    <w:snapToGrid w:val="0"/>
                    <w:spacing w:line="400" w:lineRule="exact"/>
                    <w:rPr>
                      <w:kern w:val="0"/>
                      <w:szCs w:val="21"/>
                    </w:rPr>
                  </w:pPr>
                  <w:r>
                    <w:rPr>
                      <w:kern w:val="0"/>
                      <w:szCs w:val="21"/>
                    </w:rPr>
                    <w:t>建设生产和使用高VOCs含量的溶剂型涂料、油墨、胶粘剂等项目，露天和敞开式喷涂项目。</w:t>
                  </w:r>
                </w:p>
                <w:p>
                  <w:pPr>
                    <w:snapToGrid w:val="0"/>
                    <w:spacing w:line="400" w:lineRule="exact"/>
                    <w:rPr>
                      <w:kern w:val="0"/>
                      <w:szCs w:val="21"/>
                    </w:rPr>
                  </w:pPr>
                  <w:r>
                    <w:rPr>
                      <w:kern w:val="0"/>
                      <w:szCs w:val="21"/>
                    </w:rPr>
                    <w:t>使用燃煤、重油、生物质燃料等高污染燃料设施。</w:t>
                  </w:r>
                </w:p>
                <w:p>
                  <w:pPr>
                    <w:snapToGrid w:val="0"/>
                    <w:spacing w:line="400" w:lineRule="exact"/>
                    <w:rPr>
                      <w:kern w:val="0"/>
                      <w:szCs w:val="21"/>
                    </w:rPr>
                  </w:pPr>
                  <w:r>
                    <w:rPr>
                      <w:kern w:val="0"/>
                      <w:szCs w:val="21"/>
                    </w:rPr>
                    <w:t>新建环境风险大的项目；易燃；易爆和剧毒等危险品物流项目。</w:t>
                  </w:r>
                </w:p>
                <w:p>
                  <w:pPr>
                    <w:snapToGrid w:val="0"/>
                    <w:spacing w:line="400" w:lineRule="exact"/>
                    <w:rPr>
                      <w:kern w:val="0"/>
                      <w:szCs w:val="21"/>
                    </w:rPr>
                  </w:pPr>
                  <w:r>
                    <w:rPr>
                      <w:kern w:val="0"/>
                      <w:szCs w:val="21"/>
                    </w:rPr>
                    <w:t>不符合国家或行业产业政策要求的项目。</w:t>
                  </w:r>
                </w:p>
              </w:tc>
              <w:tc>
                <w:tcPr>
                  <w:tcW w:w="988" w:type="pct"/>
                  <w:vMerge w:val="continue"/>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left"/>
                    <w:rPr>
                      <w:kern w:val="0"/>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827" w:hRule="atLeast"/>
                <w:jc w:val="center"/>
              </w:trPr>
              <w:tc>
                <w:tcPr>
                  <w:tcW w:w="479" w:type="pct"/>
                  <w:tcBorders>
                    <w:top w:val="single" w:color="000000" w:sz="6" w:space="0"/>
                    <w:left w:val="single" w:color="000000" w:sz="12" w:space="0"/>
                    <w:bottom w:val="single" w:color="000000" w:sz="6" w:space="0"/>
                    <w:right w:val="single" w:color="000000" w:sz="6" w:space="0"/>
                  </w:tcBorders>
                  <w:vAlign w:val="center"/>
                </w:tcPr>
                <w:p>
                  <w:pPr>
                    <w:autoSpaceDE w:val="0"/>
                    <w:autoSpaceDN w:val="0"/>
                    <w:spacing w:line="360" w:lineRule="exact"/>
                    <w:jc w:val="center"/>
                    <w:rPr>
                      <w:kern w:val="0"/>
                      <w:szCs w:val="21"/>
                    </w:rPr>
                  </w:pPr>
                  <w:r>
                    <w:rPr>
                      <w:kern w:val="0"/>
                      <w:szCs w:val="21"/>
                    </w:rPr>
                    <w:t>基本条件</w:t>
                  </w:r>
                </w:p>
              </w:tc>
              <w:tc>
                <w:tcPr>
                  <w:tcW w:w="3533" w:type="pct"/>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left"/>
                    <w:rPr>
                      <w:kern w:val="0"/>
                      <w:szCs w:val="21"/>
                    </w:rPr>
                  </w:pPr>
                  <w:r>
                    <w:rPr>
                      <w:kern w:val="0"/>
                      <w:szCs w:val="21"/>
                    </w:rPr>
                    <w:t>应符合国家和行业环境保护标准、清洁生产标准和行业准入条件要求，企业清洁生产水平必须达到行业清洁生产二级水平以上和国内先进水平要求；</w:t>
                  </w:r>
                </w:p>
                <w:p>
                  <w:pPr>
                    <w:autoSpaceDE w:val="0"/>
                    <w:autoSpaceDN w:val="0"/>
                    <w:spacing w:line="400" w:lineRule="exact"/>
                    <w:jc w:val="left"/>
                    <w:rPr>
                      <w:kern w:val="0"/>
                      <w:szCs w:val="21"/>
                    </w:rPr>
                  </w:pPr>
                  <w:r>
                    <w:rPr>
                      <w:kern w:val="0"/>
                      <w:szCs w:val="21"/>
                    </w:rPr>
                    <w:t>在工艺技术水平上，要求入驻集聚区的项目达到国内同行业领先水平；</w:t>
                  </w:r>
                </w:p>
                <w:p>
                  <w:pPr>
                    <w:autoSpaceDE w:val="0"/>
                    <w:autoSpaceDN w:val="0"/>
                    <w:spacing w:line="400" w:lineRule="exact"/>
                    <w:jc w:val="left"/>
                    <w:rPr>
                      <w:kern w:val="0"/>
                      <w:szCs w:val="21"/>
                    </w:rPr>
                  </w:pPr>
                  <w:r>
                    <w:rPr>
                      <w:kern w:val="0"/>
                      <w:szCs w:val="21"/>
                    </w:rPr>
                    <w:t>建设规模应符合国家产业政策的要求；</w:t>
                  </w:r>
                </w:p>
                <w:p>
                  <w:pPr>
                    <w:autoSpaceDE w:val="0"/>
                    <w:autoSpaceDN w:val="0"/>
                    <w:spacing w:line="400" w:lineRule="exact"/>
                    <w:jc w:val="left"/>
                    <w:rPr>
                      <w:kern w:val="0"/>
                      <w:szCs w:val="21"/>
                    </w:rPr>
                  </w:pPr>
                  <w:r>
                    <w:rPr>
                      <w:kern w:val="0"/>
                      <w:szCs w:val="21"/>
                    </w:rPr>
                    <w:t>环保搬迁入驻集聚区或者限期治理的企业应进行产品和生产技术的升级改造，达到国家或地方最新的生态环境管理要求。</w:t>
                  </w:r>
                </w:p>
              </w:tc>
              <w:tc>
                <w:tcPr>
                  <w:tcW w:w="988" w:type="pct"/>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kern w:val="0"/>
                      <w:szCs w:val="21"/>
                      <w:u w:val="single"/>
                    </w:rPr>
                  </w:pPr>
                  <w:r>
                    <w:rPr>
                      <w:kern w:val="0"/>
                      <w:szCs w:val="21"/>
                    </w:rPr>
                    <w:t>本项目建设后符合国家和行业环境保护标准；购买设备均为市场先进设备，可达到国内同行业领先水平。</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379" w:hRule="atLeast"/>
                <w:jc w:val="center"/>
              </w:trPr>
              <w:tc>
                <w:tcPr>
                  <w:tcW w:w="479" w:type="pct"/>
                  <w:tcBorders>
                    <w:top w:val="single" w:color="000000" w:sz="6" w:space="0"/>
                    <w:left w:val="single" w:color="000000" w:sz="12" w:space="0"/>
                    <w:bottom w:val="single" w:color="000000" w:sz="6" w:space="0"/>
                    <w:right w:val="single" w:color="000000" w:sz="6" w:space="0"/>
                  </w:tcBorders>
                  <w:vAlign w:val="center"/>
                </w:tcPr>
                <w:p>
                  <w:pPr>
                    <w:autoSpaceDE w:val="0"/>
                    <w:autoSpaceDN w:val="0"/>
                    <w:spacing w:line="360" w:lineRule="exact"/>
                    <w:jc w:val="center"/>
                    <w:rPr>
                      <w:kern w:val="0"/>
                      <w:szCs w:val="21"/>
                    </w:rPr>
                  </w:pPr>
                  <w:r>
                    <w:rPr>
                      <w:kern w:val="0"/>
                      <w:szCs w:val="21"/>
                    </w:rPr>
                    <w:t>总量控制</w:t>
                  </w:r>
                </w:p>
              </w:tc>
              <w:tc>
                <w:tcPr>
                  <w:tcW w:w="3533" w:type="pct"/>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left"/>
                    <w:rPr>
                      <w:kern w:val="0"/>
                      <w:szCs w:val="21"/>
                    </w:rPr>
                  </w:pPr>
                  <w:r>
                    <w:rPr>
                      <w:kern w:val="0"/>
                      <w:szCs w:val="21"/>
                    </w:rPr>
                    <w:t>新建项目的污染物排放指标必须在提高区域内现有工业污染负荷消减量或城市污染负荷消减量中调剂；</w:t>
                  </w:r>
                </w:p>
                <w:p>
                  <w:pPr>
                    <w:autoSpaceDE w:val="0"/>
                    <w:autoSpaceDN w:val="0"/>
                    <w:spacing w:line="400" w:lineRule="exact"/>
                    <w:jc w:val="left"/>
                    <w:rPr>
                      <w:kern w:val="0"/>
                      <w:szCs w:val="21"/>
                    </w:rPr>
                  </w:pPr>
                  <w:r>
                    <w:rPr>
                      <w:kern w:val="0"/>
                      <w:szCs w:val="21"/>
                    </w:rPr>
                    <w:t>属于环保搬迁或改造的项目，污染物排放指标不能超过总量指标要求。</w:t>
                  </w:r>
                </w:p>
              </w:tc>
              <w:tc>
                <w:tcPr>
                  <w:tcW w:w="988" w:type="pct"/>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00" w:lineRule="exact"/>
                    <w:jc w:val="center"/>
                    <w:rPr>
                      <w:kern w:val="0"/>
                      <w:szCs w:val="21"/>
                    </w:rPr>
                  </w:pPr>
                  <w:r>
                    <w:rPr>
                      <w:kern w:val="0"/>
                      <w:szCs w:val="21"/>
                    </w:rPr>
                    <w:t>本项目为</w:t>
                  </w:r>
                  <w:r>
                    <w:rPr>
                      <w:rFonts w:hint="eastAsia"/>
                      <w:kern w:val="0"/>
                      <w:szCs w:val="21"/>
                    </w:rPr>
                    <w:t>新建</w:t>
                  </w:r>
                  <w:r>
                    <w:rPr>
                      <w:kern w:val="0"/>
                      <w:szCs w:val="21"/>
                    </w:rPr>
                    <w:t>项目；生产过程中产生的有机废气经治理达标后排放，</w:t>
                  </w:r>
                  <w:r>
                    <w:rPr>
                      <w:rFonts w:hint="eastAsia"/>
                      <w:kern w:val="0"/>
                      <w:szCs w:val="21"/>
                    </w:rPr>
                    <w:t>污染物排放指标不超过总量指标要求</w:t>
                  </w:r>
                </w:p>
              </w:tc>
            </w:tr>
          </w:tbl>
          <w:p>
            <w:pPr>
              <w:spacing w:line="520" w:lineRule="exact"/>
              <w:ind w:firstLine="480" w:firstLineChars="200"/>
              <w:rPr>
                <w:bCs/>
                <w:sz w:val="24"/>
              </w:rPr>
            </w:pPr>
            <w:r>
              <w:rPr>
                <w:bCs/>
                <w:sz w:val="24"/>
              </w:rPr>
              <w:t>有上述可知，本项目符合偃师市产业集聚区准入条件。</w:t>
            </w:r>
          </w:p>
          <w:p>
            <w:pPr>
              <w:pStyle w:val="99"/>
              <w:ind w:firstLine="480"/>
              <w:jc w:val="left"/>
              <w:rPr>
                <w:rFonts w:ascii="宋体" w:hAnsi="宋体" w:cs="宋体"/>
                <w:kern w:val="0"/>
                <w:szCs w:val="21"/>
              </w:rPr>
            </w:pPr>
            <w:r>
              <w:rPr>
                <w:bCs/>
              </w:rPr>
              <w:t>本项目位于偃师市产业集聚区南园，根据偃师市人民政府出具的土地证（偃国用（2013）第130108号）（附件</w:t>
            </w:r>
            <w:r>
              <w:rPr>
                <w:rFonts w:hint="eastAsia"/>
                <w:bCs/>
              </w:rPr>
              <w:t>5</w:t>
            </w:r>
            <w:r>
              <w:rPr>
                <w:bCs/>
              </w:rPr>
              <w:t>），本项目用地性质为工业用地，同时根据《偃师市产业集聚区发展规划（2013-2020年）用地规划图（调整后）》，项目厂址所在地规划为工业用地；根据《偃师市产业集聚区发展规划（2013-2020年）产业布局规划图》，本项目所在区域属于机械加工区，本项目属于</w:t>
            </w:r>
            <w:bookmarkStart w:id="1" w:name="_Hlk111363842"/>
            <w:r>
              <w:rPr>
                <w:rFonts w:hint="eastAsia"/>
              </w:rPr>
              <w:t>塑料制品</w:t>
            </w:r>
            <w:r>
              <w:rPr>
                <w:bCs/>
              </w:rPr>
              <w:t>项目</w:t>
            </w:r>
            <w:bookmarkEnd w:id="1"/>
            <w:r>
              <w:rPr>
                <w:bCs/>
              </w:rPr>
              <w:t>，不属于产业集聚区鼓励行业、也不属于限制类和禁止类，属于允许类。</w:t>
            </w:r>
            <w:r>
              <w:rPr>
                <w:rFonts w:hint="eastAsia"/>
                <w:bCs/>
              </w:rPr>
              <w:t>同时根据岳滩镇人民政府出具的入驻证明（附件7），同意本项目入驻。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22" w:type="dxa"/>
            <w:vAlign w:val="center"/>
          </w:tcPr>
          <w:p>
            <w:pPr>
              <w:adjustRightInd w:val="0"/>
              <w:snapToGrid w:val="0"/>
              <w:jc w:val="center"/>
              <w:rPr>
                <w:rFonts w:ascii="宋体" w:hAnsi="宋体" w:cs="宋体"/>
                <w:kern w:val="0"/>
                <w:szCs w:val="21"/>
              </w:rPr>
            </w:pPr>
            <w:r>
              <w:rPr>
                <w:rFonts w:hint="eastAsia" w:hAnsi="宋体"/>
                <w:sz w:val="24"/>
              </w:rPr>
              <w:t>其他符合性分析</w:t>
            </w:r>
          </w:p>
        </w:tc>
        <w:tc>
          <w:tcPr>
            <w:tcW w:w="8348" w:type="dxa"/>
            <w:gridSpan w:val="5"/>
            <w:vAlign w:val="center"/>
          </w:tcPr>
          <w:p>
            <w:pPr>
              <w:pStyle w:val="100"/>
            </w:pPr>
            <w:r>
              <w:rPr>
                <w:rFonts w:hint="eastAsia"/>
              </w:rPr>
              <w:t>1、</w:t>
            </w:r>
            <w:r>
              <w:t>《产业结构调整指导目录》（2019年本）</w:t>
            </w:r>
          </w:p>
          <w:p>
            <w:pPr>
              <w:pStyle w:val="51"/>
              <w:ind w:firstLine="480"/>
            </w:pPr>
            <w:r>
              <w:t>经查《产业结构调整指导目录》（2019年本），本项目不属于《产业结构调整指导目录（2019年本）》中鼓励类、限制类或禁止类，属于允许类</w:t>
            </w:r>
            <w:r>
              <w:rPr>
                <w:rFonts w:hint="eastAsia"/>
              </w:rPr>
              <w:t>建设</w:t>
            </w:r>
            <w:r>
              <w:t>项目，且项目已在</w:t>
            </w:r>
            <w:r>
              <w:rPr>
                <w:rFonts w:hint="eastAsia"/>
              </w:rPr>
              <w:t>洛阳市偃师区发展和改革委员会</w:t>
            </w:r>
            <w:r>
              <w:t>备案，项目代码：</w:t>
            </w:r>
            <w:r>
              <w:rPr>
                <w:szCs w:val="21"/>
              </w:rPr>
              <w:t>2303-410381-04-01-</w:t>
            </w:r>
            <w:r>
              <w:rPr>
                <w:rFonts w:hint="eastAsia"/>
                <w:szCs w:val="21"/>
              </w:rPr>
              <w:t>190481</w:t>
            </w:r>
            <w:r>
              <w:t>（附件2），本项目符合国家产业政策。</w:t>
            </w:r>
          </w:p>
          <w:p>
            <w:pPr>
              <w:pStyle w:val="51"/>
              <w:ind w:firstLine="0" w:firstLineChars="0"/>
            </w:pPr>
            <w:r>
              <w:rPr>
                <w:rFonts w:hint="eastAsia"/>
              </w:rPr>
              <w:t>2、“三线一单”相符性分析</w:t>
            </w:r>
          </w:p>
          <w:p>
            <w:pPr>
              <w:pStyle w:val="51"/>
              <w:ind w:firstLine="480"/>
            </w:pPr>
            <w:r>
              <w:rPr>
                <w:rFonts w:hint="eastAsia"/>
              </w:rPr>
              <w:t>根据洛阳市人民政府《关于实施“三线一单”生态环境分区管控的意见》（洛政〔2021 〕7 号）以及洛阳市生态环境局《关于发布洛阳市“三线一单”生态环境准入清单（试行）的函》（洛市政〔2021 〕58 号），项目与洛阳市“三线一单”相符性分析如下：</w:t>
            </w:r>
          </w:p>
          <w:p>
            <w:pPr>
              <w:pStyle w:val="51"/>
              <w:ind w:firstLine="480"/>
            </w:pPr>
            <w:r>
              <w:rPr>
                <w:rFonts w:hint="eastAsia"/>
              </w:rPr>
              <w:t>（1 ）生态保护红线</w:t>
            </w:r>
          </w:p>
          <w:p>
            <w:pPr>
              <w:pStyle w:val="51"/>
              <w:ind w:firstLine="480"/>
            </w:pPr>
            <w:r>
              <w:rPr>
                <w:rFonts w:hint="eastAsia"/>
              </w:rPr>
              <w:t xml:space="preserve">本项目厂址位于偃师市产业集聚区南园，经过现场踏勘，本项目不在自然保护区、风景名胜区、森林公园、地质公园、重要生态功能区、生态敏感区和脆弱区以及其他要求禁止建设的环境敏感区内，对照“洛阳市生态环境管控单元分布图”（附图十一），本项目位于偃师区重点管控单元内，项目实施符合生态保护红线管理要求。 </w:t>
            </w:r>
          </w:p>
          <w:p>
            <w:pPr>
              <w:pStyle w:val="51"/>
              <w:ind w:firstLine="480"/>
            </w:pPr>
            <w:r>
              <w:rPr>
                <w:rFonts w:hint="eastAsia"/>
              </w:rPr>
              <w:t>（2）环境质量底线</w:t>
            </w:r>
          </w:p>
          <w:p>
            <w:pPr>
              <w:spacing w:line="520" w:lineRule="exact"/>
              <w:ind w:firstLine="480" w:firstLineChars="200"/>
              <w:rPr>
                <w:sz w:val="24"/>
              </w:rPr>
            </w:pPr>
            <w:r>
              <w:rPr>
                <w:sz w:val="24"/>
              </w:rPr>
              <w:t>大气：项目选址区域为环境空气功能区二类区，执行二级标准，根据《2021年洛阳市生态环境状况公报》，2021年洛阳市环境空气中PM</w:t>
            </w:r>
            <w:r>
              <w:rPr>
                <w:sz w:val="24"/>
                <w:vertAlign w:val="subscript"/>
              </w:rPr>
              <w:t>10</w:t>
            </w:r>
            <w:r>
              <w:rPr>
                <w:sz w:val="24"/>
              </w:rPr>
              <w:t>、PM</w:t>
            </w:r>
            <w:r>
              <w:rPr>
                <w:sz w:val="24"/>
                <w:vertAlign w:val="subscript"/>
              </w:rPr>
              <w:t>2.5</w:t>
            </w:r>
            <w:r>
              <w:rPr>
                <w:sz w:val="24"/>
              </w:rPr>
              <w:t>、O</w:t>
            </w:r>
            <w:r>
              <w:rPr>
                <w:sz w:val="24"/>
                <w:vertAlign w:val="subscript"/>
              </w:rPr>
              <w:t>3</w:t>
            </w:r>
            <w:r>
              <w:rPr>
                <w:sz w:val="24"/>
              </w:rPr>
              <w:t>均出现不同程度的超标情况。</w:t>
            </w:r>
          </w:p>
          <w:p>
            <w:pPr>
              <w:spacing w:line="520" w:lineRule="exact"/>
              <w:ind w:firstLine="482" w:firstLineChars="200"/>
              <w:rPr>
                <w:sz w:val="24"/>
              </w:rPr>
            </w:pPr>
            <w:r>
              <w:rPr>
                <w:b/>
                <w:sz w:val="24"/>
                <w:u w:val="single"/>
              </w:rPr>
              <w:t>本项目运营过程中</w:t>
            </w:r>
            <w:r>
              <w:rPr>
                <w:rFonts w:hint="eastAsia"/>
                <w:b/>
                <w:sz w:val="24"/>
                <w:u w:val="single"/>
              </w:rPr>
              <w:t>产生的粉尘经布袋除尘器处理后通过15m高排气筒排放；</w:t>
            </w:r>
            <w:r>
              <w:rPr>
                <w:rFonts w:hint="eastAsia"/>
                <w:sz w:val="24"/>
              </w:rPr>
              <w:t>有机废气</w:t>
            </w:r>
            <w:r>
              <w:rPr>
                <w:sz w:val="24"/>
              </w:rPr>
              <w:t>经</w:t>
            </w:r>
            <w:r>
              <w:rPr>
                <w:rFonts w:hint="eastAsia"/>
                <w:sz w:val="24"/>
              </w:rPr>
              <w:t>集气罩</w:t>
            </w:r>
            <w:r>
              <w:rPr>
                <w:sz w:val="24"/>
              </w:rPr>
              <w:t>收集</w:t>
            </w:r>
            <w:r>
              <w:rPr>
                <w:rFonts w:hint="eastAsia"/>
                <w:sz w:val="24"/>
              </w:rPr>
              <w:t>后由UV光氧</w:t>
            </w:r>
            <w:r>
              <w:rPr>
                <w:sz w:val="24"/>
              </w:rPr>
              <w:t>+活性炭吸附装置处理后经</w:t>
            </w:r>
            <w:r>
              <w:rPr>
                <w:rFonts w:hint="eastAsia"/>
                <w:sz w:val="24"/>
              </w:rPr>
              <w:t>15</w:t>
            </w:r>
            <w:r>
              <w:rPr>
                <w:sz w:val="24"/>
              </w:rPr>
              <w:t>m高排气筒排放，废气污染物经措施之后均达标排放，对项目区域环境空气影响较小，不会改变项目所在区域的大气环境功能。</w:t>
            </w:r>
          </w:p>
          <w:p>
            <w:pPr>
              <w:spacing w:line="520" w:lineRule="exact"/>
              <w:ind w:firstLine="480" w:firstLineChars="200"/>
              <w:rPr>
                <w:sz w:val="24"/>
              </w:rPr>
            </w:pPr>
            <w:r>
              <w:rPr>
                <w:sz w:val="24"/>
              </w:rPr>
              <w:t>地表水：距本项目最近的地表水体为伊洛河，根据《2021年洛阳市生态环境状况公报》，2021 年，伊洛河水质状况满足满足《地表水环境质量标准》(GB3838-2002) III类标准，水质状况为“良好”。</w:t>
            </w:r>
          </w:p>
          <w:p>
            <w:pPr>
              <w:spacing w:line="520" w:lineRule="exact"/>
              <w:ind w:firstLine="480" w:firstLineChars="200"/>
              <w:rPr>
                <w:sz w:val="24"/>
              </w:rPr>
            </w:pPr>
            <w:r>
              <w:rPr>
                <w:sz w:val="24"/>
              </w:rPr>
              <w:t>本项目营运期产生的废水主要为职工生活污水，</w:t>
            </w:r>
            <w:r>
              <w:rPr>
                <w:rFonts w:hint="eastAsia"/>
                <w:sz w:val="24"/>
              </w:rPr>
              <w:t>生活污水经化粪池预理后，经市政管网排入偃师市第三污水处理厂。</w:t>
            </w:r>
          </w:p>
          <w:p>
            <w:pPr>
              <w:spacing w:line="520" w:lineRule="exact"/>
              <w:ind w:firstLine="480" w:firstLineChars="200"/>
              <w:rPr>
                <w:sz w:val="24"/>
              </w:rPr>
            </w:pPr>
            <w:r>
              <w:rPr>
                <w:sz w:val="24"/>
              </w:rPr>
              <w:t>噪声：项目所在区域为</w:t>
            </w:r>
            <w:r>
              <w:rPr>
                <w:rFonts w:hint="eastAsia"/>
                <w:sz w:val="24"/>
              </w:rPr>
              <w:t>3</w:t>
            </w:r>
            <w:r>
              <w:rPr>
                <w:sz w:val="24"/>
              </w:rPr>
              <w:t>类声环境功能区，根据运营期厂界声环境预测结果，项目厂界声环境质量能够满足《声环境质量标准》（GB 3096-2008）</w:t>
            </w:r>
            <w:r>
              <w:rPr>
                <w:rFonts w:hint="eastAsia"/>
                <w:sz w:val="24"/>
              </w:rPr>
              <w:t>3</w:t>
            </w:r>
            <w:r>
              <w:rPr>
                <w:sz w:val="24"/>
              </w:rPr>
              <w:t>类标准要求，本项目建成后通过厂房隔声等降噪措施后噪声排放量小，不会改变项目所在区域的声环境功能。</w:t>
            </w:r>
          </w:p>
          <w:p>
            <w:pPr>
              <w:spacing w:line="520" w:lineRule="exact"/>
              <w:ind w:firstLine="480" w:firstLineChars="200"/>
              <w:rPr>
                <w:sz w:val="24"/>
              </w:rPr>
            </w:pPr>
            <w:r>
              <w:rPr>
                <w:sz w:val="24"/>
              </w:rPr>
              <w:t>因此，本项目建设符合环境质量底线要求。</w:t>
            </w:r>
          </w:p>
          <w:p>
            <w:pPr>
              <w:pStyle w:val="51"/>
              <w:ind w:firstLine="480"/>
            </w:pPr>
            <w:r>
              <w:rPr>
                <w:rFonts w:hint="eastAsia"/>
              </w:rPr>
              <w:t>（3）资源利用上线</w:t>
            </w:r>
          </w:p>
          <w:p>
            <w:pPr>
              <w:spacing w:line="520" w:lineRule="exact"/>
              <w:ind w:firstLine="480" w:firstLineChars="200"/>
              <w:rPr>
                <w:sz w:val="24"/>
              </w:rPr>
            </w:pPr>
            <w:r>
              <w:rPr>
                <w:sz w:val="24"/>
              </w:rPr>
              <w:t>①水资源</w:t>
            </w:r>
          </w:p>
          <w:p>
            <w:pPr>
              <w:spacing w:line="520" w:lineRule="exact"/>
              <w:ind w:firstLine="480" w:firstLineChars="200"/>
              <w:rPr>
                <w:sz w:val="24"/>
              </w:rPr>
            </w:pPr>
            <w:r>
              <w:rPr>
                <w:sz w:val="24"/>
              </w:rPr>
              <w:t>本项目属于</w:t>
            </w:r>
            <w:r>
              <w:rPr>
                <w:rFonts w:hint="eastAsia"/>
                <w:sz w:val="24"/>
              </w:rPr>
              <w:t>塑料制品</w:t>
            </w:r>
            <w:r>
              <w:rPr>
                <w:sz w:val="24"/>
              </w:rPr>
              <w:t>项目，水源来自</w:t>
            </w:r>
            <w:r>
              <w:rPr>
                <w:rFonts w:hint="eastAsia"/>
                <w:sz w:val="24"/>
              </w:rPr>
              <w:t>集聚区</w:t>
            </w:r>
            <w:r>
              <w:rPr>
                <w:sz w:val="24"/>
              </w:rPr>
              <w:t>自来水管网，能够满足生产和职工日常生活用水。根据水利部发布的《关于印发钢铁等十八项工业用水定额的通知》（2020 年1 月）可知，本项目不属于水利部发布的“十八项传统高耗水工业行业”。</w:t>
            </w:r>
          </w:p>
          <w:p>
            <w:pPr>
              <w:spacing w:line="520" w:lineRule="exact"/>
              <w:ind w:firstLine="480" w:firstLineChars="200"/>
              <w:rPr>
                <w:sz w:val="24"/>
              </w:rPr>
            </w:pPr>
            <w:r>
              <w:rPr>
                <w:sz w:val="24"/>
              </w:rPr>
              <w:t>本项目不涉及地下水资源开采，资源消耗量相对区域资源利用总量较少，不影响区域水资源总量。</w:t>
            </w:r>
          </w:p>
          <w:p>
            <w:pPr>
              <w:spacing w:line="520" w:lineRule="exact"/>
              <w:ind w:firstLine="480" w:firstLineChars="200"/>
              <w:rPr>
                <w:sz w:val="24"/>
              </w:rPr>
            </w:pPr>
            <w:r>
              <w:rPr>
                <w:sz w:val="24"/>
              </w:rPr>
              <w:t>②土地资源</w:t>
            </w:r>
          </w:p>
          <w:p>
            <w:pPr>
              <w:spacing w:line="520" w:lineRule="exact"/>
              <w:ind w:firstLine="480" w:firstLineChars="200"/>
              <w:rPr>
                <w:sz w:val="24"/>
              </w:rPr>
            </w:pPr>
            <w:r>
              <w:rPr>
                <w:sz w:val="24"/>
              </w:rPr>
              <w:t>本项目位于</w:t>
            </w:r>
            <w:r>
              <w:rPr>
                <w:rFonts w:hint="eastAsia"/>
                <w:sz w:val="24"/>
              </w:rPr>
              <w:t>偃师市产业集聚区南园</w:t>
            </w:r>
            <w:r>
              <w:rPr>
                <w:sz w:val="24"/>
              </w:rPr>
              <w:t>，本项目建设不会改变区域各类土地类型结构及类型，能够满足土地资源利用管控要求。</w:t>
            </w:r>
          </w:p>
          <w:p>
            <w:pPr>
              <w:spacing w:line="520" w:lineRule="exact"/>
              <w:ind w:firstLine="480" w:firstLineChars="200"/>
              <w:rPr>
                <w:sz w:val="24"/>
              </w:rPr>
            </w:pPr>
            <w:r>
              <w:rPr>
                <w:sz w:val="24"/>
              </w:rPr>
              <w:t>③能源</w:t>
            </w:r>
          </w:p>
          <w:p>
            <w:pPr>
              <w:spacing w:line="520" w:lineRule="exact"/>
              <w:ind w:firstLine="480" w:firstLineChars="200"/>
              <w:rPr>
                <w:sz w:val="24"/>
              </w:rPr>
            </w:pPr>
            <w:r>
              <w:rPr>
                <w:sz w:val="24"/>
              </w:rPr>
              <w:t>本项目生产过程中所用的能源为电能，用电来自</w:t>
            </w:r>
            <w:r>
              <w:rPr>
                <w:rFonts w:hint="eastAsia"/>
                <w:sz w:val="24"/>
              </w:rPr>
              <w:t>偃师市产业集聚区</w:t>
            </w:r>
            <w:r>
              <w:rPr>
                <w:sz w:val="24"/>
              </w:rPr>
              <w:t>电网供给。本项目建设不会超过当地能源利用上线。</w:t>
            </w:r>
          </w:p>
          <w:p>
            <w:pPr>
              <w:pStyle w:val="51"/>
              <w:ind w:firstLine="480"/>
            </w:pPr>
            <w:r>
              <w:rPr>
                <w:rFonts w:hint="eastAsia"/>
              </w:rPr>
              <w:t>（4）洛阳市偃师区环境管控单元生态环境准入清单</w:t>
            </w:r>
          </w:p>
          <w:p>
            <w:pPr>
              <w:spacing w:line="520" w:lineRule="exact"/>
              <w:ind w:firstLine="480" w:firstLineChars="200"/>
              <w:rPr>
                <w:sz w:val="24"/>
              </w:rPr>
            </w:pPr>
            <w:r>
              <w:rPr>
                <w:rFonts w:hint="eastAsia"/>
                <w:sz w:val="24"/>
              </w:rPr>
              <w:t>本项目位于偃师市产业集聚区南园。对照偃师区环境管控单元生态环境准入清单，本项目所在位置环境管控单元属于偃师区重点管控单元（环境管控单元编码：</w:t>
            </w:r>
            <w:r>
              <w:rPr>
                <w:sz w:val="24"/>
              </w:rPr>
              <w:t>ZH41038120001</w:t>
            </w:r>
            <w:r>
              <w:rPr>
                <w:rFonts w:hint="eastAsia"/>
                <w:sz w:val="24"/>
              </w:rPr>
              <w:t>），项目与洛阳市偃师区环境管控单元生态环境准入清单相符性分析见下表。</w:t>
            </w: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tc>
      </w:tr>
    </w:tbl>
    <w:p>
      <w:pPr>
        <w:pStyle w:val="100"/>
        <w:sectPr>
          <w:footerReference r:id="rId5" w:type="default"/>
          <w:pgSz w:w="11906" w:h="16838"/>
          <w:pgMar w:top="1701" w:right="1531" w:bottom="1701" w:left="1531" w:header="851" w:footer="1077" w:gutter="0"/>
          <w:cols w:space="720" w:num="1"/>
          <w:docGrid w:linePitch="312" w:charSpace="0"/>
        </w:sectPr>
      </w:pP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000" w:type="pct"/>
            <w:vAlign w:val="center"/>
          </w:tcPr>
          <w:p>
            <w:pPr>
              <w:pStyle w:val="48"/>
              <w:ind w:firstLine="480"/>
              <w:rPr>
                <w:rFonts w:ascii="宋体"/>
                <w:kern w:val="0"/>
              </w:rPr>
            </w:pPr>
            <w:r>
              <w:rPr>
                <w:rFonts w:ascii="宋体"/>
                <w:kern w:val="0"/>
              </w:rPr>
              <w:t>表</w:t>
            </w:r>
            <w:r>
              <w:rPr>
                <w:rFonts w:hint="eastAsia" w:ascii="宋体"/>
                <w:kern w:val="0"/>
              </w:rPr>
              <w:t>2</w:t>
            </w:r>
            <w:r>
              <w:rPr>
                <w:rFonts w:ascii="宋体"/>
                <w:kern w:val="0"/>
              </w:rPr>
              <w:t xml:space="preserve">  </w:t>
            </w:r>
            <w:r>
              <w:rPr>
                <w:rFonts w:hint="eastAsia" w:ascii="宋体"/>
                <w:kern w:val="0"/>
              </w:rPr>
              <w:t xml:space="preserve">            </w:t>
            </w:r>
            <w:r>
              <w:rPr>
                <w:rFonts w:ascii="宋体"/>
                <w:kern w:val="0"/>
              </w:rPr>
              <w:t xml:space="preserve">   偃师</w:t>
            </w:r>
            <w:r>
              <w:rPr>
                <w:rFonts w:hint="eastAsia" w:ascii="宋体"/>
                <w:kern w:val="0"/>
              </w:rPr>
              <w:t>区</w:t>
            </w:r>
            <w:r>
              <w:rPr>
                <w:rFonts w:ascii="宋体"/>
                <w:kern w:val="0"/>
              </w:rPr>
              <w:t>环境管控单元生态环境准入清单相符性分析</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847"/>
              <w:gridCol w:w="1130"/>
              <w:gridCol w:w="991"/>
              <w:gridCol w:w="706"/>
              <w:gridCol w:w="4250"/>
              <w:gridCol w:w="3539"/>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Align w:val="center"/>
                </w:tcPr>
                <w:p>
                  <w:pPr>
                    <w:pStyle w:val="106"/>
                    <w:spacing w:line="400" w:lineRule="exact"/>
                    <w:rPr>
                      <w:rFonts w:eastAsia="宋体"/>
                      <w:b/>
                      <w:szCs w:val="21"/>
                      <w:u w:val="single"/>
                    </w:rPr>
                  </w:pPr>
                  <w:r>
                    <w:rPr>
                      <w:rFonts w:hint="eastAsia" w:eastAsia="宋体"/>
                      <w:b/>
                      <w:szCs w:val="21"/>
                      <w:u w:val="single"/>
                    </w:rPr>
                    <w:t>环境管控单元编码</w:t>
                  </w:r>
                </w:p>
              </w:tc>
              <w:tc>
                <w:tcPr>
                  <w:tcW w:w="317" w:type="pct"/>
                  <w:vAlign w:val="center"/>
                </w:tcPr>
                <w:p>
                  <w:pPr>
                    <w:pStyle w:val="106"/>
                    <w:spacing w:line="400" w:lineRule="exact"/>
                    <w:rPr>
                      <w:rFonts w:eastAsia="宋体"/>
                      <w:b/>
                      <w:szCs w:val="21"/>
                      <w:u w:val="single"/>
                    </w:rPr>
                  </w:pPr>
                  <w:r>
                    <w:rPr>
                      <w:rFonts w:hint="eastAsia" w:eastAsia="宋体"/>
                      <w:b/>
                      <w:szCs w:val="21"/>
                      <w:u w:val="single"/>
                    </w:rPr>
                    <w:t>管控单元分类</w:t>
                  </w:r>
                </w:p>
              </w:tc>
              <w:tc>
                <w:tcPr>
                  <w:tcW w:w="422" w:type="pct"/>
                  <w:vAlign w:val="center"/>
                </w:tcPr>
                <w:p>
                  <w:pPr>
                    <w:pStyle w:val="106"/>
                    <w:spacing w:line="400" w:lineRule="exact"/>
                    <w:rPr>
                      <w:rFonts w:eastAsia="宋体"/>
                      <w:b/>
                      <w:szCs w:val="21"/>
                      <w:u w:val="single"/>
                    </w:rPr>
                  </w:pPr>
                  <w:r>
                    <w:rPr>
                      <w:rFonts w:hint="eastAsia" w:eastAsia="宋体"/>
                      <w:b/>
                      <w:szCs w:val="21"/>
                      <w:u w:val="single"/>
                    </w:rPr>
                    <w:t>环境管控单元名称</w:t>
                  </w:r>
                </w:p>
              </w:tc>
              <w:tc>
                <w:tcPr>
                  <w:tcW w:w="370" w:type="pct"/>
                  <w:vAlign w:val="center"/>
                </w:tcPr>
                <w:p>
                  <w:pPr>
                    <w:pStyle w:val="106"/>
                    <w:spacing w:line="400" w:lineRule="exact"/>
                    <w:rPr>
                      <w:rFonts w:eastAsia="宋体"/>
                      <w:b/>
                      <w:szCs w:val="21"/>
                      <w:u w:val="single"/>
                    </w:rPr>
                  </w:pPr>
                  <w:r>
                    <w:rPr>
                      <w:rFonts w:hint="eastAsia" w:eastAsia="宋体"/>
                      <w:b/>
                      <w:szCs w:val="21"/>
                      <w:u w:val="single"/>
                    </w:rPr>
                    <w:t>乡镇</w:t>
                  </w:r>
                </w:p>
              </w:tc>
              <w:tc>
                <w:tcPr>
                  <w:tcW w:w="1848" w:type="pct"/>
                  <w:gridSpan w:val="2"/>
                  <w:vAlign w:val="center"/>
                </w:tcPr>
                <w:p>
                  <w:pPr>
                    <w:pStyle w:val="106"/>
                    <w:spacing w:line="400" w:lineRule="exact"/>
                    <w:rPr>
                      <w:rFonts w:eastAsia="宋体"/>
                      <w:b/>
                      <w:szCs w:val="21"/>
                      <w:u w:val="single"/>
                    </w:rPr>
                  </w:pPr>
                  <w:r>
                    <w:rPr>
                      <w:rFonts w:hint="eastAsia" w:eastAsia="宋体"/>
                      <w:b/>
                      <w:szCs w:val="21"/>
                      <w:u w:val="single"/>
                    </w:rPr>
                    <w:t>管控要求</w:t>
                  </w:r>
                </w:p>
              </w:tc>
              <w:tc>
                <w:tcPr>
                  <w:tcW w:w="1319" w:type="pct"/>
                  <w:vAlign w:val="center"/>
                </w:tcPr>
                <w:p>
                  <w:pPr>
                    <w:pStyle w:val="106"/>
                    <w:spacing w:line="400" w:lineRule="exact"/>
                    <w:rPr>
                      <w:rFonts w:eastAsia="宋体"/>
                      <w:b/>
                      <w:szCs w:val="21"/>
                      <w:u w:val="single"/>
                    </w:rPr>
                  </w:pPr>
                  <w:r>
                    <w:rPr>
                      <w:rFonts w:eastAsia="宋体"/>
                      <w:b/>
                      <w:szCs w:val="21"/>
                      <w:u w:val="single"/>
                    </w:rPr>
                    <w:t>本项目特点</w:t>
                  </w:r>
                </w:p>
              </w:tc>
              <w:tc>
                <w:tcPr>
                  <w:tcW w:w="304" w:type="pct"/>
                  <w:vAlign w:val="center"/>
                </w:tcPr>
                <w:p>
                  <w:pPr>
                    <w:pStyle w:val="106"/>
                    <w:spacing w:line="400" w:lineRule="exact"/>
                    <w:rPr>
                      <w:rFonts w:eastAsia="宋体"/>
                      <w:b/>
                      <w:szCs w:val="21"/>
                      <w:u w:val="single"/>
                    </w:rPr>
                  </w:pPr>
                  <w:r>
                    <w:rPr>
                      <w:rFonts w:eastAsia="宋体"/>
                      <w:b/>
                      <w:szCs w:val="21"/>
                      <w:u w:val="singl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vAlign w:val="center"/>
                </w:tcPr>
                <w:p>
                  <w:pPr>
                    <w:spacing w:line="400" w:lineRule="exact"/>
                    <w:jc w:val="center"/>
                    <w:rPr>
                      <w:b/>
                      <w:u w:val="single"/>
                    </w:rPr>
                  </w:pPr>
                  <w:r>
                    <w:rPr>
                      <w:b/>
                      <w:u w:val="single"/>
                    </w:rPr>
                    <w:t>ZH410381</w:t>
                  </w:r>
                </w:p>
                <w:p>
                  <w:pPr>
                    <w:spacing w:line="400" w:lineRule="exact"/>
                    <w:jc w:val="center"/>
                    <w:rPr>
                      <w:b/>
                      <w:szCs w:val="21"/>
                      <w:u w:val="single"/>
                    </w:rPr>
                  </w:pPr>
                  <w:r>
                    <w:rPr>
                      <w:b/>
                      <w:u w:val="single"/>
                    </w:rPr>
                    <w:t>20001</w:t>
                  </w:r>
                </w:p>
              </w:tc>
              <w:tc>
                <w:tcPr>
                  <w:tcW w:w="317" w:type="pct"/>
                  <w:vMerge w:val="restart"/>
                  <w:vAlign w:val="center"/>
                </w:tcPr>
                <w:p>
                  <w:pPr>
                    <w:spacing w:line="400" w:lineRule="exact"/>
                    <w:jc w:val="center"/>
                    <w:rPr>
                      <w:b/>
                      <w:szCs w:val="21"/>
                      <w:u w:val="single"/>
                    </w:rPr>
                  </w:pPr>
                  <w:r>
                    <w:rPr>
                      <w:rFonts w:hint="eastAsia"/>
                      <w:b/>
                      <w:szCs w:val="21"/>
                      <w:u w:val="single"/>
                    </w:rPr>
                    <w:t>重点管控单元</w:t>
                  </w:r>
                </w:p>
              </w:tc>
              <w:tc>
                <w:tcPr>
                  <w:tcW w:w="422" w:type="pct"/>
                  <w:vMerge w:val="restart"/>
                  <w:vAlign w:val="center"/>
                </w:tcPr>
                <w:p>
                  <w:pPr>
                    <w:spacing w:line="400" w:lineRule="exact"/>
                    <w:jc w:val="center"/>
                    <w:rPr>
                      <w:b/>
                      <w:szCs w:val="21"/>
                      <w:u w:val="single"/>
                    </w:rPr>
                  </w:pPr>
                  <w:r>
                    <w:rPr>
                      <w:b/>
                      <w:u w:val="single"/>
                    </w:rPr>
                    <w:t>偃师市产业集聚区</w:t>
                  </w:r>
                </w:p>
              </w:tc>
              <w:tc>
                <w:tcPr>
                  <w:tcW w:w="370" w:type="pct"/>
                  <w:vMerge w:val="restart"/>
                  <w:vAlign w:val="center"/>
                </w:tcPr>
                <w:p>
                  <w:pPr>
                    <w:spacing w:line="400" w:lineRule="exact"/>
                    <w:jc w:val="center"/>
                    <w:rPr>
                      <w:b/>
                      <w:szCs w:val="21"/>
                      <w:u w:val="single"/>
                    </w:rPr>
                  </w:pPr>
                  <w:r>
                    <w:rPr>
                      <w:rFonts w:hint="eastAsia"/>
                      <w:b/>
                      <w:szCs w:val="21"/>
                      <w:u w:val="single"/>
                    </w:rPr>
                    <w:t>商城、首阳山、岳滩、顾县</w:t>
                  </w:r>
                </w:p>
              </w:tc>
              <w:tc>
                <w:tcPr>
                  <w:tcW w:w="264" w:type="pct"/>
                  <w:vMerge w:val="restart"/>
                  <w:vAlign w:val="center"/>
                </w:tcPr>
                <w:p>
                  <w:pPr>
                    <w:spacing w:line="400" w:lineRule="exact"/>
                    <w:jc w:val="center"/>
                    <w:rPr>
                      <w:b/>
                      <w:szCs w:val="21"/>
                      <w:u w:val="single"/>
                    </w:rPr>
                  </w:pPr>
                  <w:r>
                    <w:rPr>
                      <w:b/>
                      <w:szCs w:val="21"/>
                      <w:u w:val="single"/>
                    </w:rPr>
                    <w:t>空间布局约束</w:t>
                  </w:r>
                </w:p>
              </w:tc>
              <w:tc>
                <w:tcPr>
                  <w:tcW w:w="1583" w:type="pct"/>
                  <w:vAlign w:val="center"/>
                </w:tcPr>
                <w:p>
                  <w:pPr>
                    <w:spacing w:line="400" w:lineRule="exact"/>
                    <w:rPr>
                      <w:b/>
                      <w:szCs w:val="21"/>
                      <w:u w:val="single"/>
                    </w:rPr>
                  </w:pPr>
                  <w:r>
                    <w:rPr>
                      <w:b/>
                      <w:szCs w:val="21"/>
                      <w:u w:val="single"/>
                    </w:rPr>
                    <w:t>1、严控随意改变各用地功能区使用功能，并注重节约集约用地。</w:t>
                  </w:r>
                </w:p>
              </w:tc>
              <w:tc>
                <w:tcPr>
                  <w:tcW w:w="1319" w:type="pct"/>
                  <w:vAlign w:val="center"/>
                </w:tcPr>
                <w:p>
                  <w:pPr>
                    <w:autoSpaceDE w:val="0"/>
                    <w:autoSpaceDN w:val="0"/>
                    <w:adjustRightInd w:val="0"/>
                    <w:snapToGrid w:val="0"/>
                    <w:spacing w:line="400" w:lineRule="exact"/>
                    <w:rPr>
                      <w:b/>
                      <w:szCs w:val="21"/>
                      <w:u w:val="single"/>
                    </w:rPr>
                  </w:pPr>
                  <w:r>
                    <w:rPr>
                      <w:b/>
                      <w:szCs w:val="21"/>
                      <w:u w:val="single"/>
                    </w:rPr>
                    <w:t>本项目利用原有生产车间，不会改变用地功能。</w:t>
                  </w:r>
                </w:p>
              </w:tc>
              <w:tc>
                <w:tcPr>
                  <w:tcW w:w="304" w:type="pct"/>
                  <w:vAlign w:val="center"/>
                </w:tcPr>
                <w:p>
                  <w:pPr>
                    <w:pStyle w:val="106"/>
                    <w:spacing w:line="400" w:lineRule="exact"/>
                    <w:rPr>
                      <w:rFonts w:eastAsia="宋体"/>
                      <w:b/>
                      <w:szCs w:val="21"/>
                      <w:u w:val="single"/>
                    </w:rPr>
                  </w:pPr>
                  <w:r>
                    <w:rPr>
                      <w:rFonts w:eastAsia="宋体"/>
                      <w:b/>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pPr>
                    <w:spacing w:line="400" w:lineRule="exact"/>
                    <w:rPr>
                      <w:b/>
                      <w:szCs w:val="21"/>
                      <w:u w:val="single"/>
                    </w:rPr>
                  </w:pPr>
                </w:p>
              </w:tc>
              <w:tc>
                <w:tcPr>
                  <w:tcW w:w="317" w:type="pct"/>
                  <w:vMerge w:val="continue"/>
                </w:tcPr>
                <w:p>
                  <w:pPr>
                    <w:spacing w:line="400" w:lineRule="exact"/>
                    <w:rPr>
                      <w:b/>
                      <w:szCs w:val="21"/>
                      <w:u w:val="single"/>
                    </w:rPr>
                  </w:pPr>
                </w:p>
              </w:tc>
              <w:tc>
                <w:tcPr>
                  <w:tcW w:w="422" w:type="pct"/>
                  <w:vMerge w:val="continue"/>
                </w:tcPr>
                <w:p>
                  <w:pPr>
                    <w:spacing w:line="400" w:lineRule="exact"/>
                    <w:rPr>
                      <w:b/>
                      <w:szCs w:val="21"/>
                      <w:u w:val="single"/>
                    </w:rPr>
                  </w:pPr>
                </w:p>
              </w:tc>
              <w:tc>
                <w:tcPr>
                  <w:tcW w:w="370" w:type="pct"/>
                  <w:vMerge w:val="continue"/>
                </w:tcPr>
                <w:p>
                  <w:pPr>
                    <w:spacing w:line="400" w:lineRule="exact"/>
                    <w:rPr>
                      <w:b/>
                      <w:szCs w:val="21"/>
                      <w:u w:val="single"/>
                    </w:rPr>
                  </w:pPr>
                </w:p>
              </w:tc>
              <w:tc>
                <w:tcPr>
                  <w:tcW w:w="264" w:type="pct"/>
                  <w:vMerge w:val="continue"/>
                </w:tcPr>
                <w:p>
                  <w:pPr>
                    <w:spacing w:line="400" w:lineRule="exact"/>
                    <w:rPr>
                      <w:b/>
                      <w:szCs w:val="21"/>
                      <w:u w:val="single"/>
                    </w:rPr>
                  </w:pPr>
                </w:p>
              </w:tc>
              <w:tc>
                <w:tcPr>
                  <w:tcW w:w="1583" w:type="pct"/>
                  <w:vAlign w:val="center"/>
                </w:tcPr>
                <w:p>
                  <w:pPr>
                    <w:spacing w:line="400" w:lineRule="exact"/>
                    <w:rPr>
                      <w:b/>
                      <w:szCs w:val="21"/>
                      <w:u w:val="single"/>
                    </w:rPr>
                  </w:pPr>
                  <w:r>
                    <w:rPr>
                      <w:b/>
                      <w:szCs w:val="21"/>
                      <w:u w:val="single"/>
                    </w:rPr>
                    <w:t>2、项目大气环境防护距离内不得规划新建居住区、学校、医院等环境敏感目标。</w:t>
                  </w:r>
                </w:p>
              </w:tc>
              <w:tc>
                <w:tcPr>
                  <w:tcW w:w="1319" w:type="pct"/>
                  <w:vAlign w:val="center"/>
                </w:tcPr>
                <w:p>
                  <w:pPr>
                    <w:autoSpaceDE w:val="0"/>
                    <w:autoSpaceDN w:val="0"/>
                    <w:adjustRightInd w:val="0"/>
                    <w:snapToGrid w:val="0"/>
                    <w:spacing w:line="400" w:lineRule="exact"/>
                    <w:rPr>
                      <w:b/>
                      <w:szCs w:val="21"/>
                      <w:u w:val="single"/>
                    </w:rPr>
                  </w:pPr>
                  <w:r>
                    <w:rPr>
                      <w:rFonts w:hint="eastAsia"/>
                      <w:b/>
                      <w:szCs w:val="21"/>
                      <w:u w:val="single"/>
                    </w:rPr>
                    <w:t>本项目</w:t>
                  </w:r>
                  <w:r>
                    <w:rPr>
                      <w:b/>
                      <w:szCs w:val="21"/>
                      <w:u w:val="single"/>
                    </w:rPr>
                    <w:t>周围均为企业厂房，无居住区、学校、医院等环境敏感目标。</w:t>
                  </w:r>
                </w:p>
              </w:tc>
              <w:tc>
                <w:tcPr>
                  <w:tcW w:w="304" w:type="pct"/>
                  <w:vAlign w:val="center"/>
                </w:tcPr>
                <w:p>
                  <w:pPr>
                    <w:pStyle w:val="106"/>
                    <w:spacing w:line="400" w:lineRule="exact"/>
                    <w:rPr>
                      <w:rFonts w:eastAsia="宋体"/>
                      <w:b/>
                      <w:szCs w:val="21"/>
                      <w:u w:val="single"/>
                    </w:rPr>
                  </w:pPr>
                  <w:r>
                    <w:rPr>
                      <w:rFonts w:eastAsia="宋体"/>
                      <w:b/>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pPr>
                    <w:spacing w:line="400" w:lineRule="exact"/>
                    <w:rPr>
                      <w:b/>
                      <w:szCs w:val="21"/>
                      <w:u w:val="single"/>
                    </w:rPr>
                  </w:pPr>
                </w:p>
              </w:tc>
              <w:tc>
                <w:tcPr>
                  <w:tcW w:w="317" w:type="pct"/>
                  <w:vMerge w:val="continue"/>
                </w:tcPr>
                <w:p>
                  <w:pPr>
                    <w:spacing w:line="400" w:lineRule="exact"/>
                    <w:rPr>
                      <w:b/>
                      <w:szCs w:val="21"/>
                      <w:u w:val="single"/>
                    </w:rPr>
                  </w:pPr>
                </w:p>
              </w:tc>
              <w:tc>
                <w:tcPr>
                  <w:tcW w:w="422" w:type="pct"/>
                  <w:vMerge w:val="continue"/>
                </w:tcPr>
                <w:p>
                  <w:pPr>
                    <w:spacing w:line="400" w:lineRule="exact"/>
                    <w:rPr>
                      <w:b/>
                      <w:szCs w:val="21"/>
                      <w:u w:val="single"/>
                    </w:rPr>
                  </w:pPr>
                </w:p>
              </w:tc>
              <w:tc>
                <w:tcPr>
                  <w:tcW w:w="370" w:type="pct"/>
                  <w:vMerge w:val="continue"/>
                </w:tcPr>
                <w:p>
                  <w:pPr>
                    <w:spacing w:line="400" w:lineRule="exact"/>
                    <w:rPr>
                      <w:b/>
                      <w:szCs w:val="21"/>
                      <w:u w:val="single"/>
                    </w:rPr>
                  </w:pPr>
                </w:p>
              </w:tc>
              <w:tc>
                <w:tcPr>
                  <w:tcW w:w="264" w:type="pct"/>
                  <w:vMerge w:val="continue"/>
                </w:tcPr>
                <w:p>
                  <w:pPr>
                    <w:spacing w:line="400" w:lineRule="exact"/>
                    <w:rPr>
                      <w:b/>
                      <w:szCs w:val="21"/>
                      <w:u w:val="single"/>
                    </w:rPr>
                  </w:pPr>
                </w:p>
              </w:tc>
              <w:tc>
                <w:tcPr>
                  <w:tcW w:w="1583" w:type="pct"/>
                  <w:vAlign w:val="center"/>
                </w:tcPr>
                <w:p>
                  <w:pPr>
                    <w:spacing w:line="400" w:lineRule="exact"/>
                    <w:rPr>
                      <w:b/>
                      <w:szCs w:val="21"/>
                      <w:u w:val="single"/>
                    </w:rPr>
                  </w:pPr>
                  <w:r>
                    <w:rPr>
                      <w:b/>
                      <w:szCs w:val="21"/>
                      <w:u w:val="single"/>
                    </w:rPr>
                    <w:t>3、集聚区北园与洛阳大遗址保护中邙山陵墓群有部分的重叠，需要按照文物保护的相关要求进行开发建设，对部分与产业集聚区规划限制类的企业，要逐步搬迁、关停或限产。</w:t>
                  </w:r>
                </w:p>
              </w:tc>
              <w:tc>
                <w:tcPr>
                  <w:tcW w:w="1319" w:type="pct"/>
                  <w:vAlign w:val="center"/>
                </w:tcPr>
                <w:p>
                  <w:pPr>
                    <w:autoSpaceDE w:val="0"/>
                    <w:autoSpaceDN w:val="0"/>
                    <w:adjustRightInd w:val="0"/>
                    <w:snapToGrid w:val="0"/>
                    <w:spacing w:line="400" w:lineRule="exact"/>
                    <w:rPr>
                      <w:b/>
                      <w:szCs w:val="21"/>
                      <w:u w:val="single"/>
                    </w:rPr>
                  </w:pPr>
                  <w:r>
                    <w:rPr>
                      <w:b/>
                      <w:szCs w:val="21"/>
                      <w:u w:val="single"/>
                    </w:rPr>
                    <w:t>本项目位于集聚区南园</w:t>
                  </w:r>
                </w:p>
              </w:tc>
              <w:tc>
                <w:tcPr>
                  <w:tcW w:w="304" w:type="pct"/>
                  <w:vAlign w:val="center"/>
                </w:tcPr>
                <w:p>
                  <w:pPr>
                    <w:pStyle w:val="106"/>
                    <w:spacing w:line="400" w:lineRule="exact"/>
                    <w:rPr>
                      <w:rFonts w:eastAsia="宋体"/>
                      <w:b/>
                      <w:szCs w:val="21"/>
                      <w:u w:val="single"/>
                    </w:rPr>
                  </w:pPr>
                  <w:r>
                    <w:rPr>
                      <w:rFonts w:eastAsia="宋体"/>
                      <w:b/>
                      <w:szCs w:val="21"/>
                      <w:u w:val="singl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pPr>
                    <w:spacing w:line="400" w:lineRule="exact"/>
                    <w:rPr>
                      <w:b/>
                      <w:szCs w:val="21"/>
                      <w:u w:val="single"/>
                    </w:rPr>
                  </w:pPr>
                </w:p>
              </w:tc>
              <w:tc>
                <w:tcPr>
                  <w:tcW w:w="317" w:type="pct"/>
                  <w:vMerge w:val="continue"/>
                </w:tcPr>
                <w:p>
                  <w:pPr>
                    <w:spacing w:line="400" w:lineRule="exact"/>
                    <w:rPr>
                      <w:b/>
                      <w:szCs w:val="21"/>
                      <w:u w:val="single"/>
                    </w:rPr>
                  </w:pPr>
                </w:p>
              </w:tc>
              <w:tc>
                <w:tcPr>
                  <w:tcW w:w="422" w:type="pct"/>
                  <w:vMerge w:val="continue"/>
                </w:tcPr>
                <w:p>
                  <w:pPr>
                    <w:spacing w:line="400" w:lineRule="exact"/>
                    <w:rPr>
                      <w:b/>
                      <w:szCs w:val="21"/>
                      <w:u w:val="single"/>
                    </w:rPr>
                  </w:pPr>
                </w:p>
              </w:tc>
              <w:tc>
                <w:tcPr>
                  <w:tcW w:w="370" w:type="pct"/>
                  <w:vMerge w:val="continue"/>
                </w:tcPr>
                <w:p>
                  <w:pPr>
                    <w:spacing w:line="400" w:lineRule="exact"/>
                    <w:rPr>
                      <w:b/>
                      <w:szCs w:val="21"/>
                      <w:u w:val="single"/>
                    </w:rPr>
                  </w:pPr>
                </w:p>
              </w:tc>
              <w:tc>
                <w:tcPr>
                  <w:tcW w:w="264" w:type="pct"/>
                  <w:vMerge w:val="continue"/>
                </w:tcPr>
                <w:p>
                  <w:pPr>
                    <w:spacing w:line="400" w:lineRule="exact"/>
                    <w:rPr>
                      <w:b/>
                      <w:szCs w:val="21"/>
                      <w:u w:val="single"/>
                    </w:rPr>
                  </w:pPr>
                </w:p>
              </w:tc>
              <w:tc>
                <w:tcPr>
                  <w:tcW w:w="1583" w:type="pct"/>
                  <w:vAlign w:val="center"/>
                </w:tcPr>
                <w:p>
                  <w:pPr>
                    <w:spacing w:line="400" w:lineRule="exact"/>
                    <w:rPr>
                      <w:b/>
                      <w:szCs w:val="21"/>
                      <w:u w:val="single"/>
                    </w:rPr>
                  </w:pPr>
                  <w:r>
                    <w:rPr>
                      <w:b/>
                      <w:szCs w:val="21"/>
                      <w:u w:val="single"/>
                    </w:rPr>
                    <w:t>4、禁止新建（除新材料外的）化工企业以及非集中喷涂（共享项目外）的有涉重工艺等新鲜水耗量大、水污染物排放量大的项目。</w:t>
                  </w:r>
                </w:p>
              </w:tc>
              <w:tc>
                <w:tcPr>
                  <w:tcW w:w="1319" w:type="pct"/>
                  <w:vAlign w:val="center"/>
                </w:tcPr>
                <w:p>
                  <w:pPr>
                    <w:autoSpaceDE w:val="0"/>
                    <w:autoSpaceDN w:val="0"/>
                    <w:adjustRightInd w:val="0"/>
                    <w:snapToGrid w:val="0"/>
                    <w:spacing w:line="400" w:lineRule="exact"/>
                    <w:rPr>
                      <w:b/>
                      <w:szCs w:val="21"/>
                      <w:u w:val="single"/>
                    </w:rPr>
                  </w:pPr>
                  <w:r>
                    <w:rPr>
                      <w:b/>
                      <w:szCs w:val="21"/>
                      <w:u w:val="single"/>
                    </w:rPr>
                    <w:t>本项目属于</w:t>
                  </w:r>
                  <w:r>
                    <w:rPr>
                      <w:rFonts w:hint="eastAsia"/>
                      <w:b/>
                      <w:szCs w:val="21"/>
                      <w:u w:val="single"/>
                    </w:rPr>
                    <w:t>塑料制品项目</w:t>
                  </w:r>
                  <w:r>
                    <w:rPr>
                      <w:b/>
                      <w:szCs w:val="21"/>
                      <w:u w:val="single"/>
                    </w:rPr>
                    <w:t>，不属于化工企业或有涉重工艺等新鲜水耗量大、水污染物排放量大的项目</w:t>
                  </w:r>
                </w:p>
              </w:tc>
              <w:tc>
                <w:tcPr>
                  <w:tcW w:w="304" w:type="pct"/>
                  <w:vAlign w:val="center"/>
                </w:tcPr>
                <w:p>
                  <w:pPr>
                    <w:pStyle w:val="106"/>
                    <w:spacing w:line="400" w:lineRule="exact"/>
                    <w:rPr>
                      <w:rFonts w:eastAsia="宋体"/>
                      <w:b/>
                      <w:szCs w:val="21"/>
                      <w:u w:val="single"/>
                    </w:rPr>
                  </w:pPr>
                  <w:r>
                    <w:rPr>
                      <w:rFonts w:eastAsia="宋体"/>
                      <w:b/>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pPr>
                    <w:spacing w:line="400" w:lineRule="exact"/>
                    <w:rPr>
                      <w:b/>
                      <w:szCs w:val="21"/>
                      <w:u w:val="single"/>
                    </w:rPr>
                  </w:pPr>
                </w:p>
              </w:tc>
              <w:tc>
                <w:tcPr>
                  <w:tcW w:w="317" w:type="pct"/>
                  <w:vMerge w:val="continue"/>
                </w:tcPr>
                <w:p>
                  <w:pPr>
                    <w:spacing w:line="400" w:lineRule="exact"/>
                    <w:rPr>
                      <w:b/>
                      <w:szCs w:val="21"/>
                      <w:u w:val="single"/>
                    </w:rPr>
                  </w:pPr>
                </w:p>
              </w:tc>
              <w:tc>
                <w:tcPr>
                  <w:tcW w:w="422" w:type="pct"/>
                  <w:vMerge w:val="continue"/>
                </w:tcPr>
                <w:p>
                  <w:pPr>
                    <w:spacing w:line="400" w:lineRule="exact"/>
                    <w:rPr>
                      <w:b/>
                      <w:szCs w:val="21"/>
                      <w:u w:val="single"/>
                    </w:rPr>
                  </w:pPr>
                </w:p>
              </w:tc>
              <w:tc>
                <w:tcPr>
                  <w:tcW w:w="370" w:type="pct"/>
                  <w:vMerge w:val="continue"/>
                </w:tcPr>
                <w:p>
                  <w:pPr>
                    <w:spacing w:line="400" w:lineRule="exact"/>
                    <w:rPr>
                      <w:b/>
                      <w:szCs w:val="21"/>
                      <w:u w:val="single"/>
                    </w:rPr>
                  </w:pPr>
                </w:p>
              </w:tc>
              <w:tc>
                <w:tcPr>
                  <w:tcW w:w="264" w:type="pct"/>
                  <w:vMerge w:val="continue"/>
                </w:tcPr>
                <w:p>
                  <w:pPr>
                    <w:spacing w:line="400" w:lineRule="exact"/>
                    <w:rPr>
                      <w:b/>
                      <w:szCs w:val="21"/>
                      <w:u w:val="single"/>
                    </w:rPr>
                  </w:pPr>
                </w:p>
              </w:tc>
              <w:tc>
                <w:tcPr>
                  <w:tcW w:w="1583" w:type="pct"/>
                  <w:vAlign w:val="center"/>
                </w:tcPr>
                <w:p>
                  <w:pPr>
                    <w:spacing w:line="400" w:lineRule="exact"/>
                    <w:rPr>
                      <w:b/>
                      <w:szCs w:val="21"/>
                      <w:u w:val="single"/>
                    </w:rPr>
                  </w:pPr>
                  <w:r>
                    <w:rPr>
                      <w:b/>
                      <w:szCs w:val="21"/>
                      <w:u w:val="single"/>
                    </w:rPr>
                    <w:t>5、重点发展节能环保装备制造、新能源、新材料（含化工））等产业，建设高新技术示范基地和科技成果转化示范区。</w:t>
                  </w:r>
                </w:p>
              </w:tc>
              <w:tc>
                <w:tcPr>
                  <w:tcW w:w="1319" w:type="pct"/>
                  <w:vAlign w:val="center"/>
                </w:tcPr>
                <w:p>
                  <w:pPr>
                    <w:autoSpaceDE w:val="0"/>
                    <w:autoSpaceDN w:val="0"/>
                    <w:adjustRightInd w:val="0"/>
                    <w:snapToGrid w:val="0"/>
                    <w:spacing w:line="400" w:lineRule="exact"/>
                    <w:rPr>
                      <w:b/>
                      <w:szCs w:val="21"/>
                      <w:u w:val="single"/>
                    </w:rPr>
                  </w:pPr>
                  <w:r>
                    <w:rPr>
                      <w:b/>
                      <w:szCs w:val="21"/>
                      <w:u w:val="single"/>
                    </w:rPr>
                    <w:t>不涉及</w:t>
                  </w:r>
                </w:p>
              </w:tc>
              <w:tc>
                <w:tcPr>
                  <w:tcW w:w="304" w:type="pct"/>
                  <w:vAlign w:val="center"/>
                </w:tcPr>
                <w:p>
                  <w:pPr>
                    <w:pStyle w:val="106"/>
                    <w:spacing w:line="400" w:lineRule="exact"/>
                    <w:rPr>
                      <w:rFonts w:eastAsia="宋体"/>
                      <w:b/>
                      <w:szCs w:val="21"/>
                      <w:u w:val="single"/>
                    </w:rPr>
                  </w:pPr>
                  <w:r>
                    <w:rPr>
                      <w:rFonts w:eastAsia="宋体"/>
                      <w:b/>
                      <w:szCs w:val="21"/>
                      <w:u w:val="singl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pPr>
                    <w:spacing w:line="400" w:lineRule="exact"/>
                    <w:rPr>
                      <w:b/>
                      <w:szCs w:val="21"/>
                      <w:u w:val="single"/>
                    </w:rPr>
                  </w:pPr>
                </w:p>
              </w:tc>
              <w:tc>
                <w:tcPr>
                  <w:tcW w:w="317" w:type="pct"/>
                  <w:vMerge w:val="continue"/>
                </w:tcPr>
                <w:p>
                  <w:pPr>
                    <w:spacing w:line="400" w:lineRule="exact"/>
                    <w:rPr>
                      <w:b/>
                      <w:szCs w:val="21"/>
                      <w:u w:val="single"/>
                    </w:rPr>
                  </w:pPr>
                </w:p>
              </w:tc>
              <w:tc>
                <w:tcPr>
                  <w:tcW w:w="422" w:type="pct"/>
                  <w:vMerge w:val="continue"/>
                </w:tcPr>
                <w:p>
                  <w:pPr>
                    <w:spacing w:line="400" w:lineRule="exact"/>
                    <w:rPr>
                      <w:b/>
                      <w:szCs w:val="21"/>
                      <w:u w:val="single"/>
                    </w:rPr>
                  </w:pPr>
                </w:p>
              </w:tc>
              <w:tc>
                <w:tcPr>
                  <w:tcW w:w="370" w:type="pct"/>
                  <w:vMerge w:val="continue"/>
                </w:tcPr>
                <w:p>
                  <w:pPr>
                    <w:spacing w:line="400" w:lineRule="exact"/>
                    <w:rPr>
                      <w:b/>
                      <w:szCs w:val="21"/>
                      <w:u w:val="single"/>
                    </w:rPr>
                  </w:pPr>
                </w:p>
              </w:tc>
              <w:tc>
                <w:tcPr>
                  <w:tcW w:w="264" w:type="pct"/>
                  <w:vMerge w:val="restart"/>
                  <w:vAlign w:val="center"/>
                </w:tcPr>
                <w:p>
                  <w:pPr>
                    <w:spacing w:line="400" w:lineRule="exact"/>
                    <w:jc w:val="center"/>
                    <w:rPr>
                      <w:b/>
                      <w:szCs w:val="21"/>
                      <w:u w:val="single"/>
                    </w:rPr>
                  </w:pPr>
                  <w:r>
                    <w:rPr>
                      <w:b/>
                      <w:szCs w:val="21"/>
                      <w:u w:val="single"/>
                    </w:rPr>
                    <w:t>污染物排放管控</w:t>
                  </w:r>
                </w:p>
              </w:tc>
              <w:tc>
                <w:tcPr>
                  <w:tcW w:w="1583" w:type="pct"/>
                  <w:vAlign w:val="center"/>
                </w:tcPr>
                <w:p>
                  <w:pPr>
                    <w:spacing w:line="400" w:lineRule="exact"/>
                    <w:rPr>
                      <w:b/>
                      <w:szCs w:val="21"/>
                      <w:u w:val="single"/>
                    </w:rPr>
                  </w:pPr>
                  <w:r>
                    <w:rPr>
                      <w:b/>
                      <w:szCs w:val="21"/>
                      <w:u w:val="single"/>
                    </w:rPr>
                    <w:t>1、采取集中供热、调整能源结构等措施，除集中供热设施外，入驻企业禁建燃煤设施，减少废气污染物排放</w:t>
                  </w:r>
                </w:p>
              </w:tc>
              <w:tc>
                <w:tcPr>
                  <w:tcW w:w="1319" w:type="pct"/>
                  <w:vAlign w:val="center"/>
                </w:tcPr>
                <w:p>
                  <w:pPr>
                    <w:autoSpaceDE w:val="0"/>
                    <w:autoSpaceDN w:val="0"/>
                    <w:adjustRightInd w:val="0"/>
                    <w:snapToGrid w:val="0"/>
                    <w:spacing w:line="400" w:lineRule="exact"/>
                    <w:rPr>
                      <w:b/>
                      <w:szCs w:val="21"/>
                      <w:u w:val="single"/>
                    </w:rPr>
                  </w:pPr>
                  <w:r>
                    <w:rPr>
                      <w:b/>
                      <w:szCs w:val="21"/>
                      <w:u w:val="single"/>
                    </w:rPr>
                    <w:t>本项目使用电能作为能源，无燃煤设施。</w:t>
                  </w:r>
                </w:p>
              </w:tc>
              <w:tc>
                <w:tcPr>
                  <w:tcW w:w="304" w:type="pct"/>
                  <w:vAlign w:val="center"/>
                </w:tcPr>
                <w:p>
                  <w:pPr>
                    <w:pStyle w:val="106"/>
                    <w:spacing w:line="400" w:lineRule="exact"/>
                    <w:rPr>
                      <w:rFonts w:eastAsia="宋体"/>
                      <w:b/>
                      <w:szCs w:val="21"/>
                      <w:u w:val="single"/>
                    </w:rPr>
                  </w:pPr>
                  <w:r>
                    <w:rPr>
                      <w:rFonts w:eastAsia="宋体"/>
                      <w:b/>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pPr>
                    <w:spacing w:line="400" w:lineRule="exact"/>
                    <w:rPr>
                      <w:b/>
                      <w:szCs w:val="21"/>
                      <w:u w:val="single"/>
                    </w:rPr>
                  </w:pPr>
                </w:p>
              </w:tc>
              <w:tc>
                <w:tcPr>
                  <w:tcW w:w="317" w:type="pct"/>
                  <w:vMerge w:val="continue"/>
                </w:tcPr>
                <w:p>
                  <w:pPr>
                    <w:spacing w:line="400" w:lineRule="exact"/>
                    <w:rPr>
                      <w:b/>
                      <w:szCs w:val="21"/>
                      <w:u w:val="single"/>
                    </w:rPr>
                  </w:pPr>
                </w:p>
              </w:tc>
              <w:tc>
                <w:tcPr>
                  <w:tcW w:w="422" w:type="pct"/>
                  <w:vMerge w:val="continue"/>
                </w:tcPr>
                <w:p>
                  <w:pPr>
                    <w:spacing w:line="400" w:lineRule="exact"/>
                    <w:rPr>
                      <w:b/>
                      <w:szCs w:val="21"/>
                      <w:u w:val="single"/>
                    </w:rPr>
                  </w:pPr>
                </w:p>
              </w:tc>
              <w:tc>
                <w:tcPr>
                  <w:tcW w:w="370" w:type="pct"/>
                  <w:vMerge w:val="continue"/>
                </w:tcPr>
                <w:p>
                  <w:pPr>
                    <w:spacing w:line="400" w:lineRule="exact"/>
                    <w:rPr>
                      <w:b/>
                      <w:szCs w:val="21"/>
                      <w:u w:val="single"/>
                    </w:rPr>
                  </w:pPr>
                </w:p>
              </w:tc>
              <w:tc>
                <w:tcPr>
                  <w:tcW w:w="264" w:type="pct"/>
                  <w:vMerge w:val="continue"/>
                </w:tcPr>
                <w:p>
                  <w:pPr>
                    <w:spacing w:line="400" w:lineRule="exact"/>
                    <w:rPr>
                      <w:b/>
                      <w:szCs w:val="21"/>
                      <w:u w:val="single"/>
                    </w:rPr>
                  </w:pPr>
                </w:p>
              </w:tc>
              <w:tc>
                <w:tcPr>
                  <w:tcW w:w="1583" w:type="pct"/>
                  <w:vAlign w:val="center"/>
                </w:tcPr>
                <w:p>
                  <w:pPr>
                    <w:spacing w:line="400" w:lineRule="exact"/>
                    <w:rPr>
                      <w:b/>
                      <w:szCs w:val="21"/>
                      <w:u w:val="single"/>
                    </w:rPr>
                  </w:pPr>
                  <w:r>
                    <w:rPr>
                      <w:b/>
                      <w:szCs w:val="21"/>
                      <w:u w:val="single"/>
                    </w:rPr>
                    <w:t>2、重点行业（化工、包装印刷、工业涂装等）二氧化硫、氮氧化物、颗粒物、VOCs全面执行大气污染物特别排放限值。新改扩建设项目主要污染物排放应满足总量减排要求。</w:t>
                  </w:r>
                </w:p>
              </w:tc>
              <w:tc>
                <w:tcPr>
                  <w:tcW w:w="1319" w:type="pct"/>
                  <w:vAlign w:val="center"/>
                </w:tcPr>
                <w:p>
                  <w:pPr>
                    <w:autoSpaceDE w:val="0"/>
                    <w:autoSpaceDN w:val="0"/>
                    <w:adjustRightInd w:val="0"/>
                    <w:snapToGrid w:val="0"/>
                    <w:spacing w:line="400" w:lineRule="exact"/>
                    <w:rPr>
                      <w:b/>
                      <w:szCs w:val="21"/>
                      <w:u w:val="single"/>
                    </w:rPr>
                  </w:pPr>
                  <w:r>
                    <w:rPr>
                      <w:b/>
                      <w:szCs w:val="21"/>
                      <w:u w:val="single"/>
                    </w:rPr>
                    <w:t>本项目属于</w:t>
                  </w:r>
                  <w:r>
                    <w:rPr>
                      <w:rFonts w:hint="eastAsia"/>
                      <w:b/>
                      <w:szCs w:val="21"/>
                      <w:u w:val="single"/>
                    </w:rPr>
                    <w:t>塑料制品项目</w:t>
                  </w:r>
                  <w:r>
                    <w:rPr>
                      <w:b/>
                      <w:szCs w:val="21"/>
                      <w:u w:val="single"/>
                    </w:rPr>
                    <w:t>，VOCs</w:t>
                  </w:r>
                  <w:r>
                    <w:rPr>
                      <w:rFonts w:hint="eastAsia"/>
                      <w:b/>
                      <w:szCs w:val="21"/>
                      <w:u w:val="single"/>
                    </w:rPr>
                    <w:t>执行</w:t>
                  </w:r>
                  <w:r>
                    <w:rPr>
                      <w:rFonts w:hint="eastAsia"/>
                      <w:b/>
                      <w:u w:val="single"/>
                    </w:rPr>
                    <w:t>《合成树脂工业污染物排放标准》（GB3</w:t>
                  </w:r>
                  <w:r>
                    <w:rPr>
                      <w:rFonts w:hint="eastAsia"/>
                      <w:b/>
                      <w:szCs w:val="21"/>
                      <w:u w:val="single"/>
                    </w:rPr>
                    <w:t>1572-2015）表5特别排放限值</w:t>
                  </w:r>
                </w:p>
              </w:tc>
              <w:tc>
                <w:tcPr>
                  <w:tcW w:w="304" w:type="pct"/>
                  <w:vAlign w:val="center"/>
                </w:tcPr>
                <w:p>
                  <w:pPr>
                    <w:pStyle w:val="106"/>
                    <w:spacing w:line="400" w:lineRule="exact"/>
                    <w:rPr>
                      <w:rFonts w:eastAsia="宋体"/>
                      <w:b/>
                      <w:szCs w:val="21"/>
                      <w:u w:val="single"/>
                    </w:rPr>
                  </w:pPr>
                  <w:r>
                    <w:rPr>
                      <w:rFonts w:eastAsia="宋体"/>
                      <w:b/>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pPr>
                    <w:spacing w:line="400" w:lineRule="exact"/>
                    <w:rPr>
                      <w:b/>
                      <w:szCs w:val="21"/>
                      <w:u w:val="single"/>
                    </w:rPr>
                  </w:pPr>
                </w:p>
              </w:tc>
              <w:tc>
                <w:tcPr>
                  <w:tcW w:w="317" w:type="pct"/>
                  <w:vMerge w:val="continue"/>
                </w:tcPr>
                <w:p>
                  <w:pPr>
                    <w:spacing w:line="400" w:lineRule="exact"/>
                    <w:rPr>
                      <w:b/>
                      <w:szCs w:val="21"/>
                      <w:u w:val="single"/>
                    </w:rPr>
                  </w:pPr>
                </w:p>
              </w:tc>
              <w:tc>
                <w:tcPr>
                  <w:tcW w:w="422" w:type="pct"/>
                  <w:vMerge w:val="continue"/>
                </w:tcPr>
                <w:p>
                  <w:pPr>
                    <w:spacing w:line="400" w:lineRule="exact"/>
                    <w:rPr>
                      <w:b/>
                      <w:szCs w:val="21"/>
                      <w:u w:val="single"/>
                    </w:rPr>
                  </w:pPr>
                </w:p>
              </w:tc>
              <w:tc>
                <w:tcPr>
                  <w:tcW w:w="370" w:type="pct"/>
                  <w:vMerge w:val="continue"/>
                </w:tcPr>
                <w:p>
                  <w:pPr>
                    <w:spacing w:line="400" w:lineRule="exact"/>
                    <w:rPr>
                      <w:b/>
                      <w:szCs w:val="21"/>
                      <w:u w:val="single"/>
                    </w:rPr>
                  </w:pPr>
                </w:p>
              </w:tc>
              <w:tc>
                <w:tcPr>
                  <w:tcW w:w="264" w:type="pct"/>
                  <w:vMerge w:val="continue"/>
                </w:tcPr>
                <w:p>
                  <w:pPr>
                    <w:spacing w:line="400" w:lineRule="exact"/>
                    <w:rPr>
                      <w:b/>
                      <w:szCs w:val="21"/>
                      <w:u w:val="single"/>
                    </w:rPr>
                  </w:pPr>
                </w:p>
              </w:tc>
              <w:tc>
                <w:tcPr>
                  <w:tcW w:w="1583" w:type="pct"/>
                  <w:vAlign w:val="center"/>
                </w:tcPr>
                <w:p>
                  <w:pPr>
                    <w:spacing w:line="400" w:lineRule="exact"/>
                    <w:rPr>
                      <w:b/>
                      <w:szCs w:val="21"/>
                      <w:u w:val="single"/>
                    </w:rPr>
                  </w:pPr>
                  <w:r>
                    <w:rPr>
                      <w:b/>
                      <w:szCs w:val="21"/>
                      <w:u w:val="single"/>
                    </w:rPr>
                    <w:t>3、新建、改建、扩建涉VOCs排放项目应加强废气收集，安装高效治理设施，严格VOCs无组织排放治理。</w:t>
                  </w:r>
                </w:p>
              </w:tc>
              <w:tc>
                <w:tcPr>
                  <w:tcW w:w="1319" w:type="pct"/>
                  <w:vAlign w:val="center"/>
                </w:tcPr>
                <w:p>
                  <w:pPr>
                    <w:autoSpaceDE w:val="0"/>
                    <w:autoSpaceDN w:val="0"/>
                    <w:adjustRightInd w:val="0"/>
                    <w:snapToGrid w:val="0"/>
                    <w:spacing w:line="400" w:lineRule="exact"/>
                    <w:rPr>
                      <w:b/>
                      <w:szCs w:val="21"/>
                      <w:u w:val="single"/>
                    </w:rPr>
                  </w:pPr>
                  <w:r>
                    <w:rPr>
                      <w:rFonts w:hint="eastAsia"/>
                      <w:b/>
                      <w:szCs w:val="21"/>
                      <w:u w:val="single"/>
                    </w:rPr>
                    <w:t>有机</w:t>
                  </w:r>
                  <w:r>
                    <w:rPr>
                      <w:b/>
                      <w:szCs w:val="21"/>
                      <w:u w:val="single"/>
                    </w:rPr>
                    <w:t>废气经集气罩收集后由“</w:t>
                  </w:r>
                  <w:r>
                    <w:rPr>
                      <w:rFonts w:hint="eastAsia"/>
                      <w:b/>
                      <w:szCs w:val="21"/>
                      <w:u w:val="single"/>
                    </w:rPr>
                    <w:t>UV光氧</w:t>
                  </w:r>
                  <w:r>
                    <w:rPr>
                      <w:b/>
                      <w:szCs w:val="21"/>
                      <w:u w:val="single"/>
                    </w:rPr>
                    <w:t>+活性炭吸附装置”处理后通过15m高排气筒排放</w:t>
                  </w:r>
                </w:p>
              </w:tc>
              <w:tc>
                <w:tcPr>
                  <w:tcW w:w="304" w:type="pct"/>
                  <w:vAlign w:val="center"/>
                </w:tcPr>
                <w:p>
                  <w:pPr>
                    <w:pStyle w:val="106"/>
                    <w:spacing w:line="400" w:lineRule="exact"/>
                    <w:rPr>
                      <w:rFonts w:eastAsia="宋体"/>
                      <w:b/>
                      <w:szCs w:val="21"/>
                      <w:u w:val="single"/>
                    </w:rPr>
                  </w:pPr>
                  <w:r>
                    <w:rPr>
                      <w:rFonts w:eastAsia="宋体"/>
                      <w:b/>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pPr>
                    <w:spacing w:line="400" w:lineRule="exact"/>
                    <w:rPr>
                      <w:b/>
                      <w:szCs w:val="21"/>
                      <w:u w:val="single"/>
                    </w:rPr>
                  </w:pPr>
                </w:p>
              </w:tc>
              <w:tc>
                <w:tcPr>
                  <w:tcW w:w="317" w:type="pct"/>
                  <w:vMerge w:val="continue"/>
                </w:tcPr>
                <w:p>
                  <w:pPr>
                    <w:spacing w:line="400" w:lineRule="exact"/>
                    <w:rPr>
                      <w:b/>
                      <w:szCs w:val="21"/>
                      <w:u w:val="single"/>
                    </w:rPr>
                  </w:pPr>
                </w:p>
              </w:tc>
              <w:tc>
                <w:tcPr>
                  <w:tcW w:w="422" w:type="pct"/>
                  <w:vMerge w:val="continue"/>
                </w:tcPr>
                <w:p>
                  <w:pPr>
                    <w:spacing w:line="400" w:lineRule="exact"/>
                    <w:rPr>
                      <w:b/>
                      <w:szCs w:val="21"/>
                      <w:u w:val="single"/>
                    </w:rPr>
                  </w:pPr>
                </w:p>
              </w:tc>
              <w:tc>
                <w:tcPr>
                  <w:tcW w:w="370" w:type="pct"/>
                  <w:vMerge w:val="continue"/>
                </w:tcPr>
                <w:p>
                  <w:pPr>
                    <w:spacing w:line="400" w:lineRule="exact"/>
                    <w:rPr>
                      <w:b/>
                      <w:szCs w:val="21"/>
                      <w:u w:val="single"/>
                    </w:rPr>
                  </w:pPr>
                </w:p>
              </w:tc>
              <w:tc>
                <w:tcPr>
                  <w:tcW w:w="264" w:type="pct"/>
                  <w:vMerge w:val="continue"/>
                </w:tcPr>
                <w:p>
                  <w:pPr>
                    <w:spacing w:line="400" w:lineRule="exact"/>
                    <w:rPr>
                      <w:b/>
                      <w:szCs w:val="21"/>
                      <w:u w:val="single"/>
                    </w:rPr>
                  </w:pPr>
                </w:p>
              </w:tc>
              <w:tc>
                <w:tcPr>
                  <w:tcW w:w="1583" w:type="pct"/>
                  <w:vAlign w:val="center"/>
                </w:tcPr>
                <w:p>
                  <w:pPr>
                    <w:spacing w:line="400" w:lineRule="exact"/>
                    <w:rPr>
                      <w:b/>
                      <w:szCs w:val="21"/>
                      <w:u w:val="single"/>
                    </w:rPr>
                  </w:pPr>
                  <w:r>
                    <w:rPr>
                      <w:b/>
                      <w:szCs w:val="21"/>
                      <w:u w:val="single"/>
                    </w:rPr>
                    <w:t>4、引导整合区内摩托车整车制造企业，加强喷漆、涂装生产线污染治理力度，逐步实现VOCs在线监控联网达标排放。推进天燃气入厂入户工作，逐步取缔CNG罐，减少中间运输环节污染物排放。</w:t>
                  </w:r>
                </w:p>
              </w:tc>
              <w:tc>
                <w:tcPr>
                  <w:tcW w:w="1319" w:type="pct"/>
                  <w:vAlign w:val="center"/>
                </w:tcPr>
                <w:p>
                  <w:pPr>
                    <w:autoSpaceDE w:val="0"/>
                    <w:autoSpaceDN w:val="0"/>
                    <w:adjustRightInd w:val="0"/>
                    <w:snapToGrid w:val="0"/>
                    <w:spacing w:line="400" w:lineRule="exact"/>
                    <w:rPr>
                      <w:b/>
                      <w:szCs w:val="21"/>
                      <w:u w:val="single"/>
                    </w:rPr>
                  </w:pPr>
                  <w:r>
                    <w:rPr>
                      <w:b/>
                      <w:szCs w:val="21"/>
                      <w:u w:val="single"/>
                    </w:rPr>
                    <w:t>不涉及</w:t>
                  </w:r>
                </w:p>
              </w:tc>
              <w:tc>
                <w:tcPr>
                  <w:tcW w:w="304" w:type="pct"/>
                  <w:vAlign w:val="center"/>
                </w:tcPr>
                <w:p>
                  <w:pPr>
                    <w:pStyle w:val="106"/>
                    <w:spacing w:line="400" w:lineRule="exact"/>
                    <w:rPr>
                      <w:rFonts w:eastAsia="宋体"/>
                      <w:b/>
                      <w:szCs w:val="21"/>
                      <w:u w:val="single"/>
                    </w:rPr>
                  </w:pPr>
                  <w:r>
                    <w:rPr>
                      <w:rFonts w:eastAsia="宋体"/>
                      <w:b/>
                      <w:szCs w:val="21"/>
                      <w:u w:val="single"/>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pPr>
                    <w:spacing w:line="400" w:lineRule="exact"/>
                    <w:rPr>
                      <w:b/>
                      <w:szCs w:val="21"/>
                      <w:u w:val="single"/>
                    </w:rPr>
                  </w:pPr>
                </w:p>
              </w:tc>
              <w:tc>
                <w:tcPr>
                  <w:tcW w:w="317" w:type="pct"/>
                  <w:vMerge w:val="continue"/>
                </w:tcPr>
                <w:p>
                  <w:pPr>
                    <w:spacing w:line="400" w:lineRule="exact"/>
                    <w:rPr>
                      <w:b/>
                      <w:szCs w:val="21"/>
                      <w:u w:val="single"/>
                    </w:rPr>
                  </w:pPr>
                </w:p>
              </w:tc>
              <w:tc>
                <w:tcPr>
                  <w:tcW w:w="422" w:type="pct"/>
                  <w:vMerge w:val="continue"/>
                </w:tcPr>
                <w:p>
                  <w:pPr>
                    <w:spacing w:line="400" w:lineRule="exact"/>
                    <w:rPr>
                      <w:b/>
                      <w:szCs w:val="21"/>
                      <w:u w:val="single"/>
                    </w:rPr>
                  </w:pPr>
                </w:p>
              </w:tc>
              <w:tc>
                <w:tcPr>
                  <w:tcW w:w="370" w:type="pct"/>
                  <w:vMerge w:val="continue"/>
                </w:tcPr>
                <w:p>
                  <w:pPr>
                    <w:spacing w:line="400" w:lineRule="exact"/>
                    <w:rPr>
                      <w:b/>
                      <w:szCs w:val="21"/>
                      <w:u w:val="single"/>
                    </w:rPr>
                  </w:pPr>
                </w:p>
              </w:tc>
              <w:tc>
                <w:tcPr>
                  <w:tcW w:w="264" w:type="pct"/>
                  <w:vMerge w:val="continue"/>
                </w:tcPr>
                <w:p>
                  <w:pPr>
                    <w:spacing w:line="400" w:lineRule="exact"/>
                    <w:rPr>
                      <w:b/>
                      <w:szCs w:val="21"/>
                      <w:u w:val="single"/>
                    </w:rPr>
                  </w:pPr>
                </w:p>
              </w:tc>
              <w:tc>
                <w:tcPr>
                  <w:tcW w:w="1583" w:type="pct"/>
                  <w:vAlign w:val="center"/>
                </w:tcPr>
                <w:p>
                  <w:pPr>
                    <w:spacing w:line="400" w:lineRule="exact"/>
                    <w:rPr>
                      <w:b/>
                      <w:szCs w:val="21"/>
                      <w:u w:val="single"/>
                    </w:rPr>
                  </w:pPr>
                  <w:r>
                    <w:rPr>
                      <w:b/>
                      <w:szCs w:val="21"/>
                      <w:u w:val="single"/>
                    </w:rPr>
                    <w:t>5、入区企业废水需进入污水处理厂，不得设置直接入河的废水排放口，按照“清污分流、雨污分流、中水回用”的要求，完善配套污水管网，确保入区企业外排废水全部经管网收集后进入污水处理厂处理，出水执行《河南省黄河流域水污染物排放标准》（DB41/2087-2021）中的相关标准。</w:t>
                  </w:r>
                </w:p>
              </w:tc>
              <w:tc>
                <w:tcPr>
                  <w:tcW w:w="1319" w:type="pct"/>
                  <w:vAlign w:val="center"/>
                </w:tcPr>
                <w:p>
                  <w:pPr>
                    <w:autoSpaceDE w:val="0"/>
                    <w:autoSpaceDN w:val="0"/>
                    <w:adjustRightInd w:val="0"/>
                    <w:snapToGrid w:val="0"/>
                    <w:spacing w:line="400" w:lineRule="exact"/>
                    <w:rPr>
                      <w:b/>
                      <w:szCs w:val="21"/>
                      <w:u w:val="single"/>
                    </w:rPr>
                  </w:pPr>
                  <w:r>
                    <w:rPr>
                      <w:b/>
                      <w:szCs w:val="21"/>
                      <w:u w:val="single"/>
                    </w:rPr>
                    <w:t>本项目</w:t>
                  </w:r>
                  <w:r>
                    <w:rPr>
                      <w:rFonts w:hint="eastAsia"/>
                      <w:b/>
                      <w:szCs w:val="21"/>
                      <w:u w:val="single"/>
                    </w:rPr>
                    <w:t>无生产废水排放</w:t>
                  </w:r>
                  <w:r>
                    <w:rPr>
                      <w:b/>
                      <w:szCs w:val="21"/>
                      <w:u w:val="single"/>
                    </w:rPr>
                    <w:t>，生活污水经厂区化粪池预处理后排入市政管网。</w:t>
                  </w:r>
                </w:p>
              </w:tc>
              <w:tc>
                <w:tcPr>
                  <w:tcW w:w="304" w:type="pct"/>
                  <w:vAlign w:val="center"/>
                </w:tcPr>
                <w:p>
                  <w:pPr>
                    <w:pStyle w:val="106"/>
                    <w:spacing w:line="400" w:lineRule="exact"/>
                    <w:rPr>
                      <w:rFonts w:eastAsia="宋体"/>
                      <w:b/>
                      <w:szCs w:val="21"/>
                      <w:u w:val="single"/>
                    </w:rPr>
                  </w:pPr>
                  <w:r>
                    <w:rPr>
                      <w:rFonts w:eastAsia="宋体"/>
                      <w:b/>
                      <w:szCs w:val="21"/>
                      <w:u w:val="single"/>
                    </w:rPr>
                    <w:t>相符</w:t>
                  </w:r>
                </w:p>
              </w:tc>
            </w:tr>
          </w:tbl>
          <w:p>
            <w:pPr>
              <w:spacing w:line="520" w:lineRule="exact"/>
              <w:ind w:firstLine="480" w:firstLineChars="200"/>
            </w:pPr>
            <w:r>
              <w:rPr>
                <w:sz w:val="24"/>
              </w:rPr>
              <w:t>由以上分析可知，</w:t>
            </w:r>
            <w:r>
              <w:rPr>
                <w:rFonts w:hint="eastAsia"/>
                <w:sz w:val="24"/>
              </w:rPr>
              <w:t>本项目符合洛阳市人民政府《关于实施“三线一单”生态环境分区管控的意见》（洛政〔2021〕7号）以及洛阳市生态环境局《关于发布洛阳市“三线一单”生态环境准入清单（试行）的函》（洛市政〔2021〕58号）制定生态环境准</w:t>
            </w:r>
          </w:p>
        </w:tc>
      </w:tr>
    </w:tbl>
    <w:p>
      <w:pPr>
        <w:pStyle w:val="100"/>
        <w:sectPr>
          <w:type w:val="continuous"/>
          <w:pgSz w:w="16838" w:h="11906" w:orient="landscape"/>
          <w:pgMar w:top="1531" w:right="1701" w:bottom="1531" w:left="1701" w:header="851" w:footer="1077" w:gutter="0"/>
          <w:cols w:space="720" w:num="1"/>
          <w:docGrid w:linePitch="312" w:charSpace="0"/>
        </w:sectPr>
      </w:pP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000" w:type="pct"/>
            <w:vAlign w:val="center"/>
          </w:tcPr>
          <w:p>
            <w:pPr>
              <w:spacing w:line="520" w:lineRule="exact"/>
              <w:rPr>
                <w:sz w:val="24"/>
              </w:rPr>
            </w:pPr>
            <w:r>
              <w:rPr>
                <w:rFonts w:hint="eastAsia"/>
                <w:sz w:val="24"/>
              </w:rPr>
              <w:t>入清单-偃师区重点管控单元生态环境准入清单要求。</w:t>
            </w:r>
          </w:p>
          <w:p>
            <w:pPr>
              <w:pStyle w:val="100"/>
              <w:spacing w:line="460" w:lineRule="exact"/>
              <w:rPr>
                <w:bCs/>
                <w:szCs w:val="20"/>
              </w:rPr>
            </w:pPr>
            <w:r>
              <w:rPr>
                <w:rFonts w:hint="eastAsia"/>
                <w:bCs/>
                <w:szCs w:val="20"/>
              </w:rPr>
              <w:t>3</w:t>
            </w:r>
            <w:r>
              <w:rPr>
                <w:bCs/>
                <w:szCs w:val="20"/>
              </w:rPr>
              <w:t>、《黄河流域生态保护和高质量发展规划纲要》</w:t>
            </w:r>
          </w:p>
          <w:p>
            <w:pPr>
              <w:pStyle w:val="53"/>
              <w:ind w:firstLine="480"/>
              <w:rPr>
                <w:bCs/>
              </w:rPr>
            </w:pPr>
            <w:r>
              <w:rPr>
                <w:bCs/>
              </w:rPr>
              <w:t>表</w:t>
            </w:r>
            <w:r>
              <w:rPr>
                <w:rFonts w:hint="eastAsia"/>
                <w:bCs/>
              </w:rPr>
              <w:t xml:space="preserve">3        </w:t>
            </w:r>
            <w:r>
              <w:rPr>
                <w:bCs/>
              </w:rPr>
              <w:t>与《黄河流域生态保护和高质量发展规划纲要》相符性分析</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79"/>
              <w:gridCol w:w="2552"/>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46" w:type="pct"/>
                  <w:vAlign w:val="center"/>
                </w:tcPr>
                <w:p>
                  <w:pPr>
                    <w:spacing w:line="400" w:lineRule="exact"/>
                    <w:jc w:val="center"/>
                    <w:rPr>
                      <w:szCs w:val="21"/>
                    </w:rPr>
                  </w:pPr>
                  <w:r>
                    <w:rPr>
                      <w:szCs w:val="21"/>
                    </w:rPr>
                    <w:t>文件要求</w:t>
                  </w:r>
                </w:p>
              </w:tc>
              <w:tc>
                <w:tcPr>
                  <w:tcW w:w="1445" w:type="pct"/>
                  <w:vAlign w:val="center"/>
                </w:tcPr>
                <w:p>
                  <w:pPr>
                    <w:spacing w:line="400" w:lineRule="exact"/>
                    <w:jc w:val="center"/>
                    <w:rPr>
                      <w:szCs w:val="21"/>
                      <w:highlight w:val="yellow"/>
                    </w:rPr>
                  </w:pPr>
                  <w:r>
                    <w:rPr>
                      <w:szCs w:val="21"/>
                    </w:rPr>
                    <w:t>项目特点</w:t>
                  </w:r>
                </w:p>
              </w:tc>
              <w:tc>
                <w:tcPr>
                  <w:tcW w:w="509" w:type="pct"/>
                  <w:vAlign w:val="center"/>
                </w:tcPr>
                <w:p>
                  <w:pPr>
                    <w:spacing w:line="400" w:lineRule="exact"/>
                    <w:jc w:val="center"/>
                    <w:rPr>
                      <w:szCs w:val="21"/>
                    </w:rPr>
                  </w:pPr>
                  <w:r>
                    <w:rPr>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46" w:type="pct"/>
                  <w:vAlign w:val="center"/>
                </w:tcPr>
                <w:p>
                  <w:pPr>
                    <w:spacing w:line="400" w:lineRule="exact"/>
                    <w:jc w:val="center"/>
                    <w:rPr>
                      <w:szCs w:val="21"/>
                    </w:rPr>
                  </w:pPr>
                  <w:r>
                    <w:rPr>
                      <w:szCs w:val="21"/>
                    </w:rPr>
                    <w:t>第二节加大工业污染协同治理力度</w:t>
                  </w:r>
                </w:p>
                <w:p>
                  <w:pPr>
                    <w:spacing w:line="400" w:lineRule="exact"/>
                    <w:ind w:firstLine="420" w:firstLineChars="200"/>
                    <w:rPr>
                      <w:szCs w:val="21"/>
                    </w:rPr>
                  </w:pPr>
                  <w:r>
                    <w:rPr>
                      <w:szCs w:val="21"/>
                    </w:rPr>
                    <w:t>推动沿黄一定范围内高耗水、高污染企业迁入合规园区，加快钢铁、煤电超低排放改造，开展煤炭、火电、钢铁、焦化、化工、有色等行业强制性清洁生产，强化工业炉窑和重点行业挥发性有机物综合治理，实行生态敏感脆弱区工业行业污染物特别排放限值要求。严禁在黄河干流及主要支流临岸一定范围内新建“两高一资”项目及相关产业园区。开展黄河干支流入河排污口专项整治行动，加快构建覆盖所有排污口的在线监测系统，规范入河排污口设置审核。严格落实排污许可制度，沿黄所有固定排污源要依法按证排污。沿黄工业园区全部建成污水集中处理设施并稳定达标排放，严控工业废水未经处理或未有效处理直接排入城镇污水处理系统，严厉打击向河湖、沙漠、湿地等偷排、直排行为。加强工业废弃物风险管控和历史遗留重金属污染区域治理，以危险废物为重点开展固体废物综合整治行动。加强生态环境风险防范，有效应对突发环境事件。健全环境信息强制性披露制度。</w:t>
                  </w:r>
                </w:p>
              </w:tc>
              <w:tc>
                <w:tcPr>
                  <w:tcW w:w="1445" w:type="pct"/>
                  <w:vAlign w:val="center"/>
                </w:tcPr>
                <w:p>
                  <w:pPr>
                    <w:spacing w:line="400" w:lineRule="exact"/>
                    <w:rPr>
                      <w:szCs w:val="21"/>
                      <w:highlight w:val="yellow"/>
                    </w:rPr>
                  </w:pPr>
                  <w:r>
                    <w:t>本项目为</w:t>
                  </w:r>
                  <w:r>
                    <w:rPr>
                      <w:rFonts w:hint="eastAsia"/>
                    </w:rPr>
                    <w:t>新建塑料制品业项目</w:t>
                  </w:r>
                  <w:r>
                    <w:t>，不属于</w:t>
                  </w:r>
                  <w:r>
                    <w:rPr>
                      <w:szCs w:val="21"/>
                    </w:rPr>
                    <w:t>“两高一资”项目；本项目</w:t>
                  </w:r>
                  <w:r>
                    <w:rPr>
                      <w:rFonts w:hint="eastAsia"/>
                      <w:szCs w:val="21"/>
                    </w:rPr>
                    <w:t>粉尘经布袋除尘器处理后通过15m高排气筒排放；</w:t>
                  </w:r>
                  <w:r>
                    <w:rPr>
                      <w:szCs w:val="21"/>
                    </w:rPr>
                    <w:t>有机废气经集气系统收集后经</w:t>
                  </w:r>
                  <w:r>
                    <w:rPr>
                      <w:rFonts w:hint="eastAsia"/>
                      <w:szCs w:val="21"/>
                    </w:rPr>
                    <w:t>UV光氧</w:t>
                  </w:r>
                  <w:r>
                    <w:rPr>
                      <w:szCs w:val="21"/>
                    </w:rPr>
                    <w:t>+活性炭吸附装置处理通过</w:t>
                  </w:r>
                  <w:r>
                    <w:rPr>
                      <w:rFonts w:hint="eastAsia"/>
                      <w:szCs w:val="21"/>
                    </w:rPr>
                    <w:t>15</w:t>
                  </w:r>
                  <w:r>
                    <w:rPr>
                      <w:szCs w:val="21"/>
                    </w:rPr>
                    <w:t>m高排气筒排放</w:t>
                  </w:r>
                  <w:r>
                    <w:rPr>
                      <w:rFonts w:hint="eastAsia"/>
                      <w:szCs w:val="21"/>
                    </w:rPr>
                    <w:t>，执行</w:t>
                  </w:r>
                  <w:r>
                    <w:rPr>
                      <w:rFonts w:hint="eastAsia"/>
                    </w:rPr>
                    <w:t>《合成树脂工业污染物排放标准》（GB3</w:t>
                  </w:r>
                  <w:r>
                    <w:rPr>
                      <w:rFonts w:hint="eastAsia"/>
                      <w:szCs w:val="21"/>
                    </w:rPr>
                    <w:t>1572-2015）表5特别排放限值；生活污水经化粪池预理后，经市政管网排入偃师市第三污水处理厂。</w:t>
                  </w:r>
                  <w:r>
                    <w:rPr>
                      <w:szCs w:val="21"/>
                    </w:rPr>
                    <w:t>危险废物厂区危废暂存间暂存后委托有资质单位处置。</w:t>
                  </w:r>
                </w:p>
              </w:tc>
              <w:tc>
                <w:tcPr>
                  <w:tcW w:w="509" w:type="pct"/>
                  <w:vAlign w:val="center"/>
                </w:tcPr>
                <w:p>
                  <w:pPr>
                    <w:spacing w:line="400" w:lineRule="exact"/>
                    <w:jc w:val="center"/>
                    <w:rPr>
                      <w:szCs w:val="21"/>
                    </w:rPr>
                  </w:pPr>
                  <w:r>
                    <w:rPr>
                      <w:szCs w:val="21"/>
                    </w:rPr>
                    <w:t>相符</w:t>
                  </w:r>
                </w:p>
              </w:tc>
            </w:tr>
          </w:tbl>
          <w:p>
            <w:pPr>
              <w:pStyle w:val="51"/>
              <w:ind w:firstLine="480"/>
              <w:rPr>
                <w:bCs/>
              </w:rPr>
            </w:pPr>
            <w:r>
              <w:rPr>
                <w:bCs/>
              </w:rPr>
              <w:t>由上表可知，本项目满足《黄河流域生态保护和高质量发展规划纲要》相关要求。</w:t>
            </w:r>
          </w:p>
          <w:p>
            <w:pPr>
              <w:pStyle w:val="100"/>
              <w:spacing w:line="460" w:lineRule="exact"/>
              <w:rPr>
                <w:bCs/>
                <w:szCs w:val="20"/>
              </w:rPr>
            </w:pPr>
            <w:r>
              <w:rPr>
                <w:rFonts w:hint="eastAsia"/>
                <w:bCs/>
                <w:szCs w:val="20"/>
              </w:rPr>
              <w:t>4</w:t>
            </w:r>
            <w:r>
              <w:rPr>
                <w:bCs/>
                <w:szCs w:val="20"/>
              </w:rPr>
              <w:t>、《</w:t>
            </w:r>
            <w:r>
              <w:rPr>
                <w:rFonts w:hint="eastAsia"/>
                <w:bCs/>
                <w:szCs w:val="20"/>
              </w:rPr>
              <w:t>黄河生态保护治理攻坚战行动方案</w:t>
            </w:r>
            <w:r>
              <w:rPr>
                <w:bCs/>
                <w:szCs w:val="20"/>
              </w:rPr>
              <w:t>》</w:t>
            </w:r>
            <w:r>
              <w:rPr>
                <w:rFonts w:hint="eastAsia"/>
                <w:bCs/>
                <w:szCs w:val="20"/>
              </w:rPr>
              <w:t>（环综合〔2022〕51号）</w:t>
            </w:r>
          </w:p>
          <w:p>
            <w:pPr>
              <w:pStyle w:val="53"/>
              <w:ind w:firstLine="480"/>
              <w:rPr>
                <w:bCs/>
              </w:rPr>
            </w:pPr>
            <w:r>
              <w:rPr>
                <w:bCs/>
              </w:rPr>
              <w:t>表</w:t>
            </w:r>
            <w:r>
              <w:rPr>
                <w:rFonts w:hint="eastAsia"/>
                <w:bCs/>
              </w:rPr>
              <w:t>4</w:t>
            </w:r>
            <w:r>
              <w:rPr>
                <w:bCs/>
              </w:rPr>
              <w:t>与</w:t>
            </w:r>
            <w:r>
              <w:rPr>
                <w:rFonts w:hint="eastAsia"/>
                <w:bCs/>
              </w:rPr>
              <w:t>《黄河生态保护治理攻坚战行动方案》(环综合〔2022〕51号)</w:t>
            </w:r>
            <w:r>
              <w:rPr>
                <w:bCs/>
              </w:rPr>
              <w:t>相符性分析</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63"/>
              <w:gridCol w:w="2167"/>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207" w:type="pct"/>
                  <w:vAlign w:val="center"/>
                </w:tcPr>
                <w:p>
                  <w:pPr>
                    <w:spacing w:line="400" w:lineRule="exact"/>
                    <w:jc w:val="center"/>
                    <w:rPr>
                      <w:szCs w:val="21"/>
                    </w:rPr>
                  </w:pPr>
                  <w:r>
                    <w:rPr>
                      <w:szCs w:val="21"/>
                    </w:rPr>
                    <w:t>文件要求</w:t>
                  </w:r>
                </w:p>
              </w:tc>
              <w:tc>
                <w:tcPr>
                  <w:tcW w:w="1227" w:type="pct"/>
                  <w:vAlign w:val="center"/>
                </w:tcPr>
                <w:p>
                  <w:pPr>
                    <w:spacing w:line="400" w:lineRule="exact"/>
                    <w:jc w:val="center"/>
                    <w:rPr>
                      <w:szCs w:val="21"/>
                      <w:highlight w:val="yellow"/>
                    </w:rPr>
                  </w:pPr>
                  <w:r>
                    <w:rPr>
                      <w:szCs w:val="21"/>
                    </w:rPr>
                    <w:t>项目特点</w:t>
                  </w:r>
                </w:p>
              </w:tc>
              <w:tc>
                <w:tcPr>
                  <w:tcW w:w="566" w:type="pct"/>
                  <w:vAlign w:val="center"/>
                </w:tcPr>
                <w:p>
                  <w:pPr>
                    <w:spacing w:line="400" w:lineRule="exact"/>
                    <w:jc w:val="center"/>
                    <w:rPr>
                      <w:szCs w:val="21"/>
                    </w:rPr>
                  </w:pPr>
                  <w:r>
                    <w:rPr>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207" w:type="pct"/>
                  <w:vAlign w:val="center"/>
                </w:tcPr>
                <w:p>
                  <w:pPr>
                    <w:spacing w:line="400" w:lineRule="exact"/>
                    <w:ind w:firstLine="420" w:firstLineChars="200"/>
                    <w:rPr>
                      <w:szCs w:val="21"/>
                    </w:rPr>
                  </w:pPr>
                  <w:r>
                    <w:rPr>
                      <w:rFonts w:hint="eastAsia"/>
                      <w:szCs w:val="21"/>
                    </w:rPr>
                    <w:t>强化生态环境分区管控。落实生态保护红线、环境质量底线、资源利用上线硬约束，充分衔接国土空间规划和用途管制要求，因地制宜建立差别化生态环境准入清单，加快推进“三线一单”（生态保护红线、环境质量底线、资源利用上线和生态环境准入清单）成果应用。严格规划环评审查、节能审查、节水评价和项目环评准入，严控严管新增高污染、高耗能、高排放、高耗水企业。严控钢铁、煤化工、石化、有色金属等行业规模，依法依规淘汰落后产能和化解过剩产能。禁止在黄河干支流岸线一定范围内新建、扩建化工园区和化工项目。严禁“挖湖造景”等不合理用水需求。</w:t>
                  </w:r>
                </w:p>
              </w:tc>
              <w:tc>
                <w:tcPr>
                  <w:tcW w:w="1227" w:type="pct"/>
                  <w:vAlign w:val="center"/>
                </w:tcPr>
                <w:p>
                  <w:pPr>
                    <w:spacing w:line="400" w:lineRule="exact"/>
                    <w:rPr>
                      <w:szCs w:val="21"/>
                      <w:highlight w:val="yellow"/>
                    </w:rPr>
                  </w:pPr>
                  <w:r>
                    <w:t>本项目为</w:t>
                  </w:r>
                  <w:r>
                    <w:rPr>
                      <w:rFonts w:hint="eastAsia"/>
                    </w:rPr>
                    <w:t>新建塑料制品业项目</w:t>
                  </w:r>
                  <w:r>
                    <w:t>，不属于</w:t>
                  </w:r>
                  <w:r>
                    <w:rPr>
                      <w:szCs w:val="21"/>
                    </w:rPr>
                    <w:t>“两高一资”项目；本项目</w:t>
                  </w:r>
                  <w:r>
                    <w:rPr>
                      <w:rFonts w:hint="eastAsia"/>
                      <w:szCs w:val="21"/>
                    </w:rPr>
                    <w:t>选址位于</w:t>
                  </w:r>
                  <w:r>
                    <w:rPr>
                      <w:rFonts w:hint="eastAsia"/>
                    </w:rPr>
                    <w:t>偃师市产业集聚区南园，选址符合</w:t>
                  </w:r>
                  <w:r>
                    <w:rPr>
                      <w:rFonts w:hint="eastAsia"/>
                      <w:szCs w:val="21"/>
                    </w:rPr>
                    <w:t>“三线一单”要求。</w:t>
                  </w:r>
                </w:p>
              </w:tc>
              <w:tc>
                <w:tcPr>
                  <w:tcW w:w="566" w:type="pct"/>
                  <w:vAlign w:val="center"/>
                </w:tcPr>
                <w:p>
                  <w:pPr>
                    <w:spacing w:line="400" w:lineRule="exact"/>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207" w:type="pct"/>
                  <w:vAlign w:val="center"/>
                </w:tcPr>
                <w:p>
                  <w:pPr>
                    <w:pStyle w:val="19"/>
                    <w:shd w:val="clear" w:color="auto" w:fill="FFFFFF"/>
                    <w:spacing w:before="0" w:beforeAutospacing="0" w:after="0" w:afterAutospacing="0" w:line="415" w:lineRule="atLeast"/>
                    <w:rPr>
                      <w:szCs w:val="21"/>
                    </w:rPr>
                  </w:pPr>
                  <w:r>
                    <w:rPr>
                      <w:rFonts w:hint="eastAsia" w:ascii="Times New Roman" w:hAnsi="Times New Roman"/>
                      <w:kern w:val="2"/>
                      <w:sz w:val="21"/>
                      <w:szCs w:val="21"/>
                    </w:rPr>
                    <w:t>加快工业企业清洁生产和污染治理。推动构建以排污许可制为核心的固定污染源监管制度体系，开展排污许可提质增效工作。推动钢铁、焦化、化工、有色金属、造纸、印染、原料药制造、农副食品加工等重点行业实施清洁生产改造，开展自愿性清洁生产评价和认证，严格实施“双超双有高耗能”企业强制性清洁生产审核。鼓励有条件的地区开展行业、园区和产业集群整体审核试点。推动化工企业迁入合规园区，新建化工、有色金属、原料药制造等企业，应布局在符合产业定位和准入要求的合规园区，工业园区应按规定建成污水集中处理设施，依法安装自动在线监控装置并与生态环境主管部门联网。推进沿黄省区工业园区水污染整治。到2025年，沿黄工业园区全部建成污水集中处理设施并稳定达标排放。加快推进工业污废水全收集、全处理，严格煤矿等行业高浓盐水管理，推动实现工业废水稳定达标排放。严控工业废水未经处理或未有效处理直接排入城镇污水处理系统，严厉打击向河湖、沙漠、湿地、地下水等偷排、直排行为。</w:t>
                  </w:r>
                </w:p>
              </w:tc>
              <w:tc>
                <w:tcPr>
                  <w:tcW w:w="1227" w:type="pct"/>
                  <w:vAlign w:val="center"/>
                </w:tcPr>
                <w:p>
                  <w:pPr>
                    <w:spacing w:line="400" w:lineRule="exact"/>
                  </w:pPr>
                  <w:r>
                    <w:t>本项目为</w:t>
                  </w:r>
                  <w:r>
                    <w:rPr>
                      <w:rFonts w:hint="eastAsia"/>
                    </w:rPr>
                    <w:t>新建塑料制品业项目</w:t>
                  </w:r>
                  <w:r>
                    <w:t>，不属于</w:t>
                  </w:r>
                  <w:r>
                    <w:rPr>
                      <w:rFonts w:hint="eastAsia"/>
                      <w:szCs w:val="21"/>
                    </w:rPr>
                    <w:t>左列行业</w:t>
                  </w:r>
                  <w:r>
                    <w:rPr>
                      <w:szCs w:val="21"/>
                    </w:rPr>
                    <w:t>；本项目</w:t>
                  </w:r>
                  <w:r>
                    <w:rPr>
                      <w:rFonts w:hint="eastAsia"/>
                      <w:szCs w:val="21"/>
                    </w:rPr>
                    <w:t>选址位于</w:t>
                  </w:r>
                  <w:r>
                    <w:rPr>
                      <w:rFonts w:hint="eastAsia"/>
                    </w:rPr>
                    <w:t>偃师市产业集聚区南园，生活污水经化粪池处理后</w:t>
                  </w:r>
                  <w:r>
                    <w:rPr>
                      <w:rFonts w:hint="eastAsia"/>
                      <w:szCs w:val="21"/>
                    </w:rPr>
                    <w:t>经市政管网排入偃师市第三污水处理厂</w:t>
                  </w:r>
                </w:p>
              </w:tc>
              <w:tc>
                <w:tcPr>
                  <w:tcW w:w="566" w:type="pct"/>
                  <w:vAlign w:val="center"/>
                </w:tcPr>
                <w:p>
                  <w:pPr>
                    <w:spacing w:line="400" w:lineRule="exact"/>
                    <w:jc w:val="center"/>
                    <w:rPr>
                      <w:szCs w:val="21"/>
                    </w:rPr>
                  </w:pPr>
                  <w:r>
                    <w:rPr>
                      <w:rFonts w:hint="eastAsia"/>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207" w:type="pct"/>
                  <w:vAlign w:val="center"/>
                </w:tcPr>
                <w:p>
                  <w:pPr>
                    <w:pStyle w:val="19"/>
                    <w:shd w:val="clear" w:color="auto" w:fill="FFFFFF"/>
                    <w:spacing w:before="0" w:beforeAutospacing="0" w:after="0" w:afterAutospacing="0" w:line="415" w:lineRule="atLeast"/>
                    <w:rPr>
                      <w:rFonts w:ascii="微软雅黑" w:hAnsi="微软雅黑" w:eastAsia="微软雅黑"/>
                      <w:sz w:val="21"/>
                      <w:szCs w:val="21"/>
                      <w:highlight w:val="yellow"/>
                    </w:rPr>
                  </w:pPr>
                  <w:r>
                    <w:rPr>
                      <w:rFonts w:hint="eastAsia" w:ascii="Times New Roman" w:hAnsi="Times New Roman"/>
                      <w:kern w:val="2"/>
                      <w:sz w:val="21"/>
                      <w:szCs w:val="21"/>
                    </w:rPr>
                    <w:t>强化固体废物协同控制与污染防治。选择一批“无废城市”开展协同增效试点，在固体废物处置全过程中协同推进碳减排。建设固体废物跨区域回收利用示范基地，推动区域固体废物集中利用处置能力共享。持续推进流域“清废行动”，加快推进沿黄省区干支流固体废物倾倒排查整治工作，全面整治固体废物非法堆存。推动省域内危险废物处置能力与产废情况总体匹配，鼓励主要产业基地根据需要配套建设危险废物集中利用处置设施，支持有条件的地区建设区域性特殊危险废物集中处置中心。加快完善医疗废物收集转运处置体系，推动地级及以上城市医疗废物集中处置设施建设，健全县域医疗废物收集转运处置体系，补齐医疗废物收集处理设施短板。</w:t>
                  </w:r>
                </w:p>
              </w:tc>
              <w:tc>
                <w:tcPr>
                  <w:tcW w:w="1227" w:type="pct"/>
                  <w:vAlign w:val="center"/>
                </w:tcPr>
                <w:p>
                  <w:pPr>
                    <w:spacing w:line="400" w:lineRule="exact"/>
                  </w:pPr>
                  <w:r>
                    <w:rPr>
                      <w:rFonts w:hint="eastAsia"/>
                      <w:szCs w:val="21"/>
                    </w:rPr>
                    <w:t>本项目</w:t>
                  </w:r>
                  <w:r>
                    <w:rPr>
                      <w:szCs w:val="21"/>
                    </w:rPr>
                    <w:t>危险废物</w:t>
                  </w:r>
                  <w:r>
                    <w:rPr>
                      <w:rFonts w:hint="eastAsia"/>
                      <w:szCs w:val="21"/>
                    </w:rPr>
                    <w:t>在</w:t>
                  </w:r>
                  <w:r>
                    <w:rPr>
                      <w:szCs w:val="21"/>
                    </w:rPr>
                    <w:t>厂区危废暂存间</w:t>
                  </w:r>
                  <w:r>
                    <w:rPr>
                      <w:rFonts w:hint="eastAsia"/>
                      <w:szCs w:val="21"/>
                    </w:rPr>
                    <w:t>内</w:t>
                  </w:r>
                  <w:r>
                    <w:rPr>
                      <w:szCs w:val="21"/>
                    </w:rPr>
                    <w:t>暂存后委托有资质单位处置。</w:t>
                  </w:r>
                </w:p>
              </w:tc>
              <w:tc>
                <w:tcPr>
                  <w:tcW w:w="566" w:type="pct"/>
                  <w:vAlign w:val="center"/>
                </w:tcPr>
                <w:p>
                  <w:pPr>
                    <w:spacing w:line="400" w:lineRule="exact"/>
                    <w:jc w:val="center"/>
                    <w:rPr>
                      <w:szCs w:val="21"/>
                    </w:rPr>
                  </w:pPr>
                  <w:r>
                    <w:rPr>
                      <w:rFonts w:hint="eastAsia"/>
                      <w:szCs w:val="21"/>
                    </w:rPr>
                    <w:t>符合</w:t>
                  </w:r>
                </w:p>
              </w:tc>
            </w:tr>
          </w:tbl>
          <w:p>
            <w:pPr>
              <w:pStyle w:val="51"/>
              <w:ind w:firstLine="480"/>
              <w:rPr>
                <w:bCs/>
              </w:rPr>
            </w:pPr>
            <w:r>
              <w:rPr>
                <w:bCs/>
              </w:rPr>
              <w:t>由上表可知，本项目满足</w:t>
            </w:r>
            <w:r>
              <w:rPr>
                <w:rFonts w:hint="eastAsia"/>
                <w:bCs/>
              </w:rPr>
              <w:t>《黄河生态保护治理攻坚战行动方案》(环综合〔2022〕51号)</w:t>
            </w:r>
            <w:r>
              <w:rPr>
                <w:bCs/>
              </w:rPr>
              <w:t>相关要求。</w:t>
            </w:r>
          </w:p>
          <w:p>
            <w:pPr>
              <w:pStyle w:val="100"/>
              <w:spacing w:line="460" w:lineRule="exact"/>
              <w:rPr>
                <w:bCs/>
                <w:szCs w:val="20"/>
              </w:rPr>
            </w:pPr>
            <w:r>
              <w:rPr>
                <w:rFonts w:hint="eastAsia"/>
                <w:bCs/>
                <w:szCs w:val="20"/>
              </w:rPr>
              <w:t>5、本项目与洛阳市人民政府关于印发《洛阳市“十四五”生态环境保护和生态经济发展规划的通知》（洛政〔2022〕32号）相符性分析</w:t>
            </w:r>
          </w:p>
          <w:p>
            <w:pPr>
              <w:pStyle w:val="48"/>
              <w:ind w:firstLine="480"/>
            </w:pPr>
            <w:r>
              <w:rPr>
                <w:rFonts w:hint="eastAsia"/>
              </w:rPr>
              <w:t>表5</w:t>
            </w:r>
            <w:r>
              <w:t xml:space="preserve"> </w:t>
            </w:r>
            <w:r>
              <w:rPr>
                <w:rFonts w:hint="eastAsia"/>
              </w:rPr>
              <w:t>洛阳市“十四五”生态环境保护和生态经济发展规划符合性分析</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30"/>
              <w:gridCol w:w="1600"/>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28" w:type="pct"/>
                  <w:vAlign w:val="center"/>
                </w:tcPr>
                <w:p>
                  <w:pPr>
                    <w:spacing w:line="400" w:lineRule="exact"/>
                    <w:jc w:val="center"/>
                    <w:rPr>
                      <w:szCs w:val="21"/>
                    </w:rPr>
                  </w:pPr>
                  <w:r>
                    <w:rPr>
                      <w:rFonts w:hint="eastAsia"/>
                      <w:szCs w:val="21"/>
                    </w:rPr>
                    <w:t>管控要求</w:t>
                  </w:r>
                </w:p>
              </w:tc>
              <w:tc>
                <w:tcPr>
                  <w:tcW w:w="906" w:type="pct"/>
                  <w:vAlign w:val="center"/>
                </w:tcPr>
                <w:p>
                  <w:pPr>
                    <w:spacing w:line="400" w:lineRule="exact"/>
                    <w:jc w:val="center"/>
                    <w:rPr>
                      <w:szCs w:val="21"/>
                      <w:highlight w:val="yellow"/>
                    </w:rPr>
                  </w:pPr>
                  <w:r>
                    <w:rPr>
                      <w:rFonts w:hint="eastAsia"/>
                      <w:szCs w:val="21"/>
                    </w:rPr>
                    <w:t>本项目情况</w:t>
                  </w:r>
                </w:p>
              </w:tc>
              <w:tc>
                <w:tcPr>
                  <w:tcW w:w="566" w:type="pct"/>
                  <w:vAlign w:val="center"/>
                </w:tcPr>
                <w:p>
                  <w:pPr>
                    <w:spacing w:line="400" w:lineRule="exact"/>
                    <w:jc w:val="center"/>
                    <w:rPr>
                      <w:szCs w:val="21"/>
                    </w:rPr>
                  </w:pPr>
                  <w:r>
                    <w:rPr>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528" w:type="pct"/>
                  <w:vAlign w:val="center"/>
                </w:tcPr>
                <w:p>
                  <w:pPr>
                    <w:spacing w:line="400" w:lineRule="exact"/>
                    <w:jc w:val="center"/>
                    <w:rPr>
                      <w:szCs w:val="21"/>
                    </w:rPr>
                  </w:pPr>
                  <w:r>
                    <w:rPr>
                      <w:rFonts w:hint="eastAsia"/>
                      <w:szCs w:val="21"/>
                    </w:rPr>
                    <w:t>第五章、推进生态环境提升行动，深化污染防治</w:t>
                  </w:r>
                </w:p>
                <w:p>
                  <w:pPr>
                    <w:spacing w:line="400" w:lineRule="exact"/>
                    <w:ind w:firstLine="420" w:firstLineChars="200"/>
                    <w:rPr>
                      <w:szCs w:val="21"/>
                    </w:rPr>
                  </w:pPr>
                  <w:r>
                    <w:rPr>
                      <w:rFonts w:hint="eastAsia"/>
                      <w:szCs w:val="21"/>
                    </w:rPr>
                    <w:t>加强VOCs 全过程治理。严格VOCs 产品准入和监控，推进重点行业VOCs 污染物全过程综合整治。按照“可替尽替、应代尽代”的原则，全面推进使用低VOCs 含量涂料、油墨、胶粘剂、清洗剂等。建立低VOCs 含量产品标志制度和源头替代力度，加大抽检力度。加大工业涂装、包装印刷、家具制造等行业源头替代力度，在化工行业推广使用低（无）VOCs 含量、低反应活性的原辅材料，加快芳香烃、含卤素有机化合物的绿色替代。</w:t>
                  </w:r>
                </w:p>
                <w:p>
                  <w:pPr>
                    <w:spacing w:line="400" w:lineRule="exact"/>
                    <w:ind w:firstLine="420" w:firstLineChars="200"/>
                    <w:rPr>
                      <w:szCs w:val="21"/>
                    </w:rPr>
                  </w:pPr>
                  <w:r>
                    <w:rPr>
                      <w:rFonts w:hint="eastAsia"/>
                      <w:szCs w:val="21"/>
                    </w:rPr>
                    <w:t>强化重点行业VOCs 治理减排，实施VOCs 排放总量控制。逐步取消炼油、石化、煤化工、制药、农药、化工、工业涂装、包装印刷等企业非必要的VOCs 废气排放系统旁路（因安全生产等原因除外）。引导重点行业合理安排停检修计划，减少非正常工况VOCs 排放。深化工业园区和企业集群综合治理，加快推进涉VOCs 工业园区“绿岛”项目，鼓励其他具备条件、有需求的开发区规划建设喷涂中心、活性炭回收再生处理中心、溶剂处理中心等“共享工厂”。加强VOCs 无组织排放控制，实施含VOCs 物料全方位、全链条、全环节管理，强化储存、转移和输送、设备与管线组件泄漏、敞开液面逸散以及工艺过程等无组织排放环节的污染收集处理。建筑涂装行业全面使用符合环保要求的涂料产品，加强汽修行业VOCs 综合治理。</w:t>
                  </w:r>
                </w:p>
              </w:tc>
              <w:tc>
                <w:tcPr>
                  <w:tcW w:w="906" w:type="pct"/>
                  <w:vAlign w:val="center"/>
                </w:tcPr>
                <w:p>
                  <w:pPr>
                    <w:spacing w:line="400" w:lineRule="exact"/>
                    <w:rPr>
                      <w:szCs w:val="21"/>
                      <w:highlight w:val="yellow"/>
                    </w:rPr>
                  </w:pPr>
                  <w:r>
                    <w:t>本项目为</w:t>
                  </w:r>
                  <w:r>
                    <w:rPr>
                      <w:rFonts w:hint="eastAsia"/>
                    </w:rPr>
                    <w:t>新建塑料制品业项目</w:t>
                  </w:r>
                  <w:r>
                    <w:t>，</w:t>
                  </w:r>
                  <w:r>
                    <w:rPr>
                      <w:rFonts w:hint="eastAsia"/>
                      <w:szCs w:val="21"/>
                    </w:rPr>
                    <w:t>不使用涂料、油墨、胶粘剂、清洗剂等</w:t>
                  </w:r>
                  <w:r>
                    <w:rPr>
                      <w:szCs w:val="21"/>
                    </w:rPr>
                    <w:t>；本项目有机废气经集气系统收集后经</w:t>
                  </w:r>
                  <w:r>
                    <w:rPr>
                      <w:rFonts w:hint="eastAsia"/>
                      <w:szCs w:val="21"/>
                    </w:rPr>
                    <w:t>UV光氧</w:t>
                  </w:r>
                  <w:r>
                    <w:rPr>
                      <w:szCs w:val="21"/>
                    </w:rPr>
                    <w:t>+活性炭吸附装置处理通过</w:t>
                  </w:r>
                  <w:r>
                    <w:rPr>
                      <w:rFonts w:hint="eastAsia"/>
                      <w:szCs w:val="21"/>
                    </w:rPr>
                    <w:t>15</w:t>
                  </w:r>
                  <w:r>
                    <w:rPr>
                      <w:szCs w:val="21"/>
                    </w:rPr>
                    <w:t>m高排气筒排放</w:t>
                  </w:r>
                  <w:r>
                    <w:rPr>
                      <w:rFonts w:hint="eastAsia"/>
                      <w:szCs w:val="21"/>
                    </w:rPr>
                    <w:t>，执行</w:t>
                  </w:r>
                  <w:r>
                    <w:rPr>
                      <w:rFonts w:hint="eastAsia"/>
                    </w:rPr>
                    <w:t>《合成树脂工业污染物排放标准》（GB31572-2015）表5特别排放限值</w:t>
                  </w:r>
                  <w:r>
                    <w:rPr>
                      <w:rFonts w:hint="eastAsia"/>
                      <w:szCs w:val="21"/>
                    </w:rPr>
                    <w:t xml:space="preserve">。 </w:t>
                  </w:r>
                </w:p>
              </w:tc>
              <w:tc>
                <w:tcPr>
                  <w:tcW w:w="566" w:type="pct"/>
                  <w:vAlign w:val="center"/>
                </w:tcPr>
                <w:p>
                  <w:pPr>
                    <w:spacing w:line="400" w:lineRule="exact"/>
                    <w:jc w:val="center"/>
                    <w:rPr>
                      <w:szCs w:val="21"/>
                    </w:rPr>
                  </w:pPr>
                  <w:r>
                    <w:rPr>
                      <w:szCs w:val="21"/>
                    </w:rPr>
                    <w:t>相符</w:t>
                  </w:r>
                </w:p>
              </w:tc>
            </w:tr>
          </w:tbl>
          <w:p>
            <w:pPr>
              <w:pStyle w:val="51"/>
              <w:ind w:firstLine="480"/>
              <w:rPr>
                <w:bCs/>
              </w:rPr>
            </w:pPr>
            <w:r>
              <w:rPr>
                <w:bCs/>
              </w:rPr>
              <w:t>由上表可知，本项目满足</w:t>
            </w:r>
            <w:r>
              <w:rPr>
                <w:rFonts w:hint="eastAsia"/>
                <w:bCs/>
              </w:rPr>
              <w:t>《洛阳市“十四五”生态环境保护和生态经济发展规划的通知》（洛政〔2022〕32号）</w:t>
            </w:r>
            <w:r>
              <w:rPr>
                <w:bCs/>
              </w:rPr>
              <w:t>相关要求。</w:t>
            </w:r>
          </w:p>
          <w:p>
            <w:pPr>
              <w:pStyle w:val="100"/>
            </w:pPr>
            <w:r>
              <w:rPr>
                <w:rFonts w:hint="eastAsia"/>
              </w:rPr>
              <w:t>6</w:t>
            </w:r>
            <w:r>
              <w:rPr>
                <w:rFonts w:hAnsi="宋体"/>
              </w:rPr>
              <w:t>、</w:t>
            </w:r>
            <w:bookmarkStart w:id="2" w:name="OLE_LINK10"/>
            <w:bookmarkStart w:id="3" w:name="OLE_LINK9"/>
            <w:r>
              <w:rPr>
                <w:rFonts w:hAnsi="宋体"/>
              </w:rPr>
              <w:t>《偃师区</w:t>
            </w:r>
            <w:r>
              <w:t>2022</w:t>
            </w:r>
            <w:r>
              <w:rPr>
                <w:rFonts w:hAnsi="宋体"/>
              </w:rPr>
              <w:t>年大气、水、土壤污染防治攻坚战及农业农村污染治理攻坚战实施方案》（偃环攻坚办〔</w:t>
            </w:r>
            <w:r>
              <w:t>2022</w:t>
            </w:r>
            <w:r>
              <w:rPr>
                <w:rFonts w:hAnsi="宋体"/>
              </w:rPr>
              <w:t>〕</w:t>
            </w:r>
            <w:r>
              <w:t>8</w:t>
            </w:r>
            <w:r>
              <w:rPr>
                <w:rFonts w:hAnsi="宋体"/>
              </w:rPr>
              <w:t>号）</w:t>
            </w:r>
            <w:bookmarkEnd w:id="2"/>
            <w:bookmarkEnd w:id="3"/>
          </w:p>
          <w:p>
            <w:pPr>
              <w:pStyle w:val="48"/>
              <w:ind w:firstLine="480"/>
            </w:pPr>
            <w:r>
              <w:rPr>
                <w:rStyle w:val="52"/>
              </w:rPr>
              <w:t>表</w:t>
            </w:r>
            <w:r>
              <w:rPr>
                <w:rStyle w:val="52"/>
                <w:rFonts w:hint="eastAsia"/>
              </w:rPr>
              <w:t>6</w:t>
            </w:r>
            <w:r>
              <w:t xml:space="preserve">  与《偃师区2022年大气、水、土壤污染防治攻坚战及农业农村污染治理攻坚战实施方案》（偃环攻坚办〔2022〕8号）相符性分析</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5069"/>
              <w:gridCol w:w="2864"/>
              <w:gridCol w:w="9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c>
                <w:tcPr>
                  <w:tcW w:w="2869" w:type="pct"/>
                  <w:tcMar>
                    <w:top w:w="57" w:type="dxa"/>
                    <w:bottom w:w="57" w:type="dxa"/>
                  </w:tcMar>
                  <w:vAlign w:val="center"/>
                </w:tcPr>
                <w:p>
                  <w:pPr>
                    <w:spacing w:line="400" w:lineRule="exact"/>
                    <w:jc w:val="center"/>
                    <w:rPr>
                      <w:szCs w:val="21"/>
                    </w:rPr>
                  </w:pPr>
                  <w:r>
                    <w:rPr>
                      <w:szCs w:val="21"/>
                    </w:rPr>
                    <w:t>偃师区2022年大气污染防治攻坚战实施方案</w:t>
                  </w:r>
                </w:p>
              </w:tc>
              <w:tc>
                <w:tcPr>
                  <w:tcW w:w="1621" w:type="pct"/>
                  <w:tcMar>
                    <w:top w:w="57" w:type="dxa"/>
                    <w:bottom w:w="57" w:type="dxa"/>
                  </w:tcMar>
                  <w:vAlign w:val="center"/>
                </w:tcPr>
                <w:p>
                  <w:pPr>
                    <w:spacing w:line="400" w:lineRule="exact"/>
                    <w:jc w:val="center"/>
                    <w:rPr>
                      <w:highlight w:val="yellow"/>
                    </w:rPr>
                  </w:pPr>
                  <w:r>
                    <w:rPr>
                      <w:szCs w:val="21"/>
                    </w:rPr>
                    <w:t>项目情况</w:t>
                  </w:r>
                </w:p>
              </w:tc>
              <w:tc>
                <w:tcPr>
                  <w:tcW w:w="510" w:type="pct"/>
                  <w:tcMar>
                    <w:top w:w="57" w:type="dxa"/>
                    <w:bottom w:w="57" w:type="dxa"/>
                  </w:tcMar>
                  <w:vAlign w:val="center"/>
                </w:tcPr>
                <w:p>
                  <w:pPr>
                    <w:spacing w:line="400" w:lineRule="exact"/>
                    <w:jc w:val="center"/>
                    <w:rPr>
                      <w:szCs w:val="21"/>
                    </w:rPr>
                  </w:pPr>
                  <w:r>
                    <w:rPr>
                      <w:szCs w:val="21"/>
                    </w:rPr>
                    <w:t>相符性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c>
                <w:tcPr>
                  <w:tcW w:w="5000" w:type="pct"/>
                  <w:gridSpan w:val="3"/>
                  <w:tcMar>
                    <w:top w:w="57" w:type="dxa"/>
                    <w:bottom w:w="57" w:type="dxa"/>
                  </w:tcMar>
                  <w:vAlign w:val="center"/>
                </w:tcPr>
                <w:p>
                  <w:pPr>
                    <w:spacing w:line="400" w:lineRule="exact"/>
                    <w:jc w:val="center"/>
                    <w:rPr>
                      <w:szCs w:val="21"/>
                    </w:rPr>
                  </w:pPr>
                  <w:r>
                    <w:rPr>
                      <w:szCs w:val="21"/>
                    </w:rPr>
                    <w:t>（一）调整优化产业结构，推动产业绿色升级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c>
                <w:tcPr>
                  <w:tcW w:w="2869" w:type="pct"/>
                  <w:tcMar>
                    <w:top w:w="57" w:type="dxa"/>
                    <w:bottom w:w="57" w:type="dxa"/>
                  </w:tcMar>
                  <w:vAlign w:val="center"/>
                </w:tcPr>
                <w:p>
                  <w:pPr>
                    <w:spacing w:line="400" w:lineRule="exact"/>
                    <w:rPr>
                      <w:szCs w:val="21"/>
                    </w:rPr>
                  </w:pPr>
                  <w:r>
                    <w:rPr>
                      <w:szCs w:val="21"/>
                    </w:rPr>
                    <w:t>严格落实“三线一单”、规划环评以及区域污染物削 减制度，强化项目环评及“三同时”管理，国家、省绩效分级重点行业的新建、扩建项目达到 A 级水平，改建项目达到 B 级以上绩效水平。</w:t>
                  </w:r>
                </w:p>
              </w:tc>
              <w:tc>
                <w:tcPr>
                  <w:tcW w:w="1621" w:type="pct"/>
                  <w:tcMar>
                    <w:top w:w="57" w:type="dxa"/>
                    <w:bottom w:w="57" w:type="dxa"/>
                  </w:tcMar>
                  <w:vAlign w:val="center"/>
                </w:tcPr>
                <w:p>
                  <w:pPr>
                    <w:spacing w:line="400" w:lineRule="exact"/>
                    <w:jc w:val="center"/>
                    <w:rPr>
                      <w:szCs w:val="21"/>
                      <w:highlight w:val="yellow"/>
                    </w:rPr>
                  </w:pPr>
                  <w:r>
                    <w:t>本项目</w:t>
                  </w:r>
                  <w:r>
                    <w:rPr>
                      <w:rFonts w:hint="eastAsia"/>
                    </w:rPr>
                    <w:t>新建塑料制品业项目</w:t>
                  </w:r>
                  <w:r>
                    <w:t>，项目建设符合</w:t>
                  </w:r>
                  <w:r>
                    <w:rPr>
                      <w:szCs w:val="21"/>
                    </w:rPr>
                    <w:t>产业政策、"三线一单"等</w:t>
                  </w:r>
                  <w:r>
                    <w:t>要求；</w:t>
                  </w:r>
                  <w:r>
                    <w:rPr>
                      <w:rFonts w:hint="eastAsia"/>
                    </w:rPr>
                    <w:t>项目建设按照塑料制品业</w:t>
                  </w:r>
                  <w:r>
                    <w:rPr>
                      <w:szCs w:val="21"/>
                    </w:rPr>
                    <w:t>A 级水平</w:t>
                  </w:r>
                  <w:r>
                    <w:rPr>
                      <w:rFonts w:hint="eastAsia"/>
                    </w:rPr>
                    <w:t>指标要求进行建设</w:t>
                  </w:r>
                </w:p>
              </w:tc>
              <w:tc>
                <w:tcPr>
                  <w:tcW w:w="510" w:type="pct"/>
                  <w:tcMar>
                    <w:top w:w="57" w:type="dxa"/>
                    <w:bottom w:w="57" w:type="dxa"/>
                  </w:tcMar>
                  <w:vAlign w:val="center"/>
                </w:tcPr>
                <w:p>
                  <w:pPr>
                    <w:spacing w:line="40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c>
                <w:tcPr>
                  <w:tcW w:w="5000" w:type="pct"/>
                  <w:gridSpan w:val="3"/>
                  <w:tcMar>
                    <w:top w:w="57" w:type="dxa"/>
                    <w:bottom w:w="57" w:type="dxa"/>
                  </w:tcMar>
                  <w:vAlign w:val="center"/>
                </w:tcPr>
                <w:p>
                  <w:pPr>
                    <w:spacing w:line="400" w:lineRule="exact"/>
                    <w:jc w:val="center"/>
                    <w:rPr>
                      <w:szCs w:val="21"/>
                    </w:rPr>
                  </w:pPr>
                  <w:r>
                    <w:rPr>
                      <w:szCs w:val="21"/>
                    </w:rPr>
                    <w:t>（六）强化挥发性有机物治理，打好臭氧污染防治攻坚战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c>
                <w:tcPr>
                  <w:tcW w:w="2869" w:type="pct"/>
                  <w:tcMar>
                    <w:top w:w="57" w:type="dxa"/>
                    <w:bottom w:w="57" w:type="dxa"/>
                  </w:tcMar>
                  <w:vAlign w:val="center"/>
                </w:tcPr>
                <w:p>
                  <w:pPr>
                    <w:spacing w:line="400" w:lineRule="exact"/>
                    <w:rPr>
                      <w:szCs w:val="21"/>
                    </w:rPr>
                  </w:pPr>
                  <w:r>
                    <w:rPr>
                      <w:szCs w:val="21"/>
                    </w:rPr>
                    <w:t>（1）对汽车制造、木质家具制造、包装印刷、钢结构制造、工程机械等行业溶剂型涂料、油墨、胶黏剂、清洗剂使用企业制定低VOCs含量原辅材料替代计划。原辅材料实施源头替代的企业，在重污染天气应急管控期间可实施自主减排。</w:t>
                  </w:r>
                </w:p>
              </w:tc>
              <w:tc>
                <w:tcPr>
                  <w:tcW w:w="1621" w:type="pct"/>
                  <w:tcMar>
                    <w:top w:w="57" w:type="dxa"/>
                    <w:bottom w:w="57" w:type="dxa"/>
                  </w:tcMar>
                  <w:vAlign w:val="center"/>
                </w:tcPr>
                <w:p>
                  <w:pPr>
                    <w:spacing w:line="400" w:lineRule="exact"/>
                    <w:jc w:val="center"/>
                    <w:rPr>
                      <w:highlight w:val="yellow"/>
                    </w:rPr>
                  </w:pPr>
                  <w:r>
                    <w:rPr>
                      <w:rFonts w:hint="eastAsia"/>
                    </w:rPr>
                    <w:t>本项目</w:t>
                  </w:r>
                  <w:r>
                    <w:rPr>
                      <w:rFonts w:hint="eastAsia"/>
                      <w:szCs w:val="21"/>
                    </w:rPr>
                    <w:t>不使用涂料、油墨、胶粘剂、清洗剂等</w:t>
                  </w:r>
                  <w:r>
                    <w:rPr>
                      <w:rFonts w:hint="eastAsia"/>
                    </w:rPr>
                    <w:t>。</w:t>
                  </w:r>
                </w:p>
              </w:tc>
              <w:tc>
                <w:tcPr>
                  <w:tcW w:w="510" w:type="pct"/>
                  <w:tcMar>
                    <w:top w:w="57" w:type="dxa"/>
                    <w:bottom w:w="57" w:type="dxa"/>
                  </w:tcMar>
                  <w:vAlign w:val="center"/>
                </w:tcPr>
                <w:p>
                  <w:pPr>
                    <w:spacing w:line="40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c>
                <w:tcPr>
                  <w:tcW w:w="2869" w:type="pct"/>
                  <w:tcMar>
                    <w:top w:w="57" w:type="dxa"/>
                    <w:bottom w:w="57" w:type="dxa"/>
                  </w:tcMar>
                  <w:vAlign w:val="center"/>
                </w:tcPr>
                <w:p>
                  <w:pPr>
                    <w:spacing w:line="400" w:lineRule="exact"/>
                    <w:rPr>
                      <w:szCs w:val="21"/>
                    </w:rPr>
                  </w:pPr>
                  <w:r>
                    <w:rPr>
                      <w:szCs w:val="21"/>
                    </w:rPr>
                    <w:t>开展简易低效VOCs治理设施升级改造。各县区组织对涉VOCs企业治理设施建设情况、工艺类型、处理能力、运行情况、耗材或药剂更换情况、能源消耗情况和废过滤棉、废催化剂、废吸附剂、废吸收剂、废有机溶剂等二次污染物规范化处置情况进行全面检查，对治理设施设计不规范、与生产系统不匹配，单独使用光催化、光氧化、低温等离子等低效技术，治理设施建设和运行效果差的，建立清单台账，力争2022年6月底前基本完成升级改造并开展检测验收，严把工程质量，确保稳定达标排放</w:t>
                  </w:r>
                </w:p>
              </w:tc>
              <w:tc>
                <w:tcPr>
                  <w:tcW w:w="1621" w:type="pct"/>
                  <w:tcMar>
                    <w:top w:w="57" w:type="dxa"/>
                    <w:bottom w:w="57" w:type="dxa"/>
                  </w:tcMar>
                  <w:vAlign w:val="center"/>
                </w:tcPr>
                <w:p>
                  <w:pPr>
                    <w:spacing w:line="400" w:lineRule="exact"/>
                    <w:jc w:val="center"/>
                  </w:pPr>
                  <w:r>
                    <w:t>本项目为</w:t>
                  </w:r>
                  <w:r>
                    <w:rPr>
                      <w:rFonts w:hint="eastAsia"/>
                    </w:rPr>
                    <w:t>新建塑料制品业项目</w:t>
                  </w:r>
                  <w:r>
                    <w:t>，</w:t>
                  </w:r>
                  <w:r>
                    <w:rPr>
                      <w:szCs w:val="21"/>
                    </w:rPr>
                    <w:t>有机废气经集气系统收集后经</w:t>
                  </w:r>
                  <w:r>
                    <w:rPr>
                      <w:rFonts w:hint="eastAsia"/>
                      <w:szCs w:val="21"/>
                    </w:rPr>
                    <w:t>UV光氧</w:t>
                  </w:r>
                  <w:r>
                    <w:rPr>
                      <w:szCs w:val="21"/>
                    </w:rPr>
                    <w:t>+活性炭吸附装置处理通过</w:t>
                  </w:r>
                  <w:r>
                    <w:rPr>
                      <w:rFonts w:hint="eastAsia"/>
                      <w:szCs w:val="21"/>
                    </w:rPr>
                    <w:t>15</w:t>
                  </w:r>
                  <w:r>
                    <w:rPr>
                      <w:szCs w:val="21"/>
                    </w:rPr>
                    <w:t>m高排气筒排放</w:t>
                  </w:r>
                  <w:r>
                    <w:rPr>
                      <w:rFonts w:hint="eastAsia"/>
                      <w:szCs w:val="21"/>
                    </w:rPr>
                    <w:t>，执行</w:t>
                  </w:r>
                  <w:r>
                    <w:rPr>
                      <w:rFonts w:hint="eastAsia"/>
                    </w:rPr>
                    <w:t>《合成树脂工业污染物排放标准》（GB31572-2015）表5特别排放限值</w:t>
                  </w:r>
                  <w:r>
                    <w:rPr>
                      <w:rFonts w:hint="eastAsia"/>
                      <w:szCs w:val="21"/>
                    </w:rPr>
                    <w:t>；</w:t>
                  </w:r>
                  <w:r>
                    <w:t>治理设施产生的废活性炭在危废暂存间分区暂存，定期交由有资质的单位进行处理。</w:t>
                  </w:r>
                </w:p>
              </w:tc>
              <w:tc>
                <w:tcPr>
                  <w:tcW w:w="510" w:type="pct"/>
                  <w:tcMar>
                    <w:top w:w="57" w:type="dxa"/>
                    <w:bottom w:w="57" w:type="dxa"/>
                  </w:tcMar>
                  <w:vAlign w:val="center"/>
                </w:tcPr>
                <w:p>
                  <w:pPr>
                    <w:spacing w:line="40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c>
                <w:tcPr>
                  <w:tcW w:w="2869" w:type="pct"/>
                  <w:tcMar>
                    <w:top w:w="57" w:type="dxa"/>
                    <w:bottom w:w="57" w:type="dxa"/>
                  </w:tcMar>
                  <w:vAlign w:val="center"/>
                </w:tcPr>
                <w:p>
                  <w:pPr>
                    <w:spacing w:line="400" w:lineRule="exact"/>
                    <w:rPr>
                      <w:szCs w:val="21"/>
                    </w:rPr>
                  </w:pPr>
                  <w:r>
                    <w:rPr>
                      <w:szCs w:val="21"/>
                    </w:rPr>
                    <w:t>提升VOCs无组织排放治理水平。2022年5月底前全面排查含VOCs物料储存、转移和输送、设备与管线组件、敞开液面以及工艺过程等环节无组织排放情况，组织开展VOCs抽测，开展工业涂装、印刷行业挥发性有机物排放标准执行情况检查，对达不到相关标准要求的问题进行整治。工业涂装、包装印刷等行业重点治理集气罩收集效果差、含VOCs原辅材料和废料储存不密闭等问题。对无法实现低VOCs原辅材料替代的工序，在保证安全情况下，应在密闭设备、密闭空间作业或安装二次密闭设施，收集处理VOCs废气。</w:t>
                  </w:r>
                </w:p>
              </w:tc>
              <w:tc>
                <w:tcPr>
                  <w:tcW w:w="1621" w:type="pct"/>
                  <w:tcMar>
                    <w:top w:w="57" w:type="dxa"/>
                    <w:bottom w:w="57" w:type="dxa"/>
                  </w:tcMar>
                  <w:vAlign w:val="center"/>
                </w:tcPr>
                <w:p>
                  <w:pPr>
                    <w:spacing w:line="400" w:lineRule="exact"/>
                    <w:jc w:val="center"/>
                  </w:pPr>
                  <w:r>
                    <w:rPr>
                      <w:rFonts w:hint="eastAsia"/>
                      <w:szCs w:val="21"/>
                    </w:rPr>
                    <w:t>本项目属于</w:t>
                  </w:r>
                  <w:r>
                    <w:rPr>
                      <w:rFonts w:hint="eastAsia"/>
                    </w:rPr>
                    <w:t>塑料制品业项目</w:t>
                  </w:r>
                  <w:r>
                    <w:t>，项目生产车间全封闭，原料采用纤袋存放，物料的转移均在密闭生产车间内进行；为提高VOCs收集效率，本项目</w:t>
                  </w:r>
                  <w:r>
                    <w:rPr>
                      <w:rFonts w:hint="eastAsia"/>
                    </w:rPr>
                    <w:t>有机废气经</w:t>
                  </w:r>
                  <w:r>
                    <w:t>集气罩</w:t>
                  </w:r>
                  <w:r>
                    <w:rPr>
                      <w:rFonts w:hint="eastAsia"/>
                    </w:rPr>
                    <w:t>收集后</w:t>
                  </w:r>
                  <w:r>
                    <w:t>，经1套“</w:t>
                  </w:r>
                  <w:r>
                    <w:rPr>
                      <w:rFonts w:hint="eastAsia"/>
                      <w:szCs w:val="21"/>
                    </w:rPr>
                    <w:t>UV光氧</w:t>
                  </w:r>
                  <w:r>
                    <w:t>+活性炭吸附装”处理后通过</w:t>
                  </w:r>
                  <w:r>
                    <w:rPr>
                      <w:rFonts w:hint="eastAsia"/>
                    </w:rPr>
                    <w:t>15</w:t>
                  </w:r>
                  <w:r>
                    <w:t>m高排气筒排放</w:t>
                  </w:r>
                </w:p>
              </w:tc>
              <w:tc>
                <w:tcPr>
                  <w:tcW w:w="510" w:type="pct"/>
                  <w:tcMar>
                    <w:top w:w="57" w:type="dxa"/>
                    <w:bottom w:w="57" w:type="dxa"/>
                  </w:tcMar>
                  <w:vAlign w:val="center"/>
                </w:tcPr>
                <w:p>
                  <w:pPr>
                    <w:spacing w:line="400" w:lineRule="exact"/>
                    <w:jc w:val="center"/>
                    <w:rPr>
                      <w:szCs w:val="21"/>
                    </w:rPr>
                  </w:pPr>
                  <w:r>
                    <w:rPr>
                      <w:szCs w:val="21"/>
                    </w:rPr>
                    <w:t>相符</w:t>
                  </w:r>
                </w:p>
              </w:tc>
            </w:tr>
          </w:tbl>
          <w:p>
            <w:pPr>
              <w:pStyle w:val="108"/>
              <w:spacing w:line="520" w:lineRule="exact"/>
              <w:ind w:firstLine="480" w:firstLineChars="200"/>
              <w:rPr>
                <w:rFonts w:cs="Times New Roman"/>
                <w:b w:val="0"/>
                <w:sz w:val="24"/>
                <w:szCs w:val="24"/>
              </w:rPr>
            </w:pPr>
            <w:r>
              <w:rPr>
                <w:rFonts w:cs="Times New Roman"/>
                <w:b w:val="0"/>
                <w:sz w:val="24"/>
                <w:szCs w:val="24"/>
              </w:rPr>
              <w:t>由上表可知，本项目符合《偃师区2022年大气、水、土壤污染防治攻坚战及农业农村污染治理攻坚战实施方案》（偃环攻坚办〔2022〕8号）相关要求。</w:t>
            </w:r>
          </w:p>
          <w:p>
            <w:pPr>
              <w:pStyle w:val="53"/>
              <w:ind w:firstLine="0" w:firstLineChars="0"/>
              <w:rPr>
                <w:rFonts w:eastAsia="宋体"/>
                <w:bCs/>
              </w:rPr>
            </w:pPr>
            <w:r>
              <w:rPr>
                <w:rFonts w:hint="eastAsia" w:eastAsia="宋体"/>
                <w:bCs/>
              </w:rPr>
              <w:t>7</w:t>
            </w:r>
            <w:r>
              <w:rPr>
                <w:rFonts w:hAnsi="宋体" w:eastAsia="宋体"/>
                <w:bCs/>
              </w:rPr>
              <w:t>、洛阳市偃师区环境污染防治攻坚战领导小组办公室关于印发《偃师区</w:t>
            </w:r>
            <w:r>
              <w:rPr>
                <w:rFonts w:eastAsia="宋体"/>
                <w:bCs/>
              </w:rPr>
              <w:t>2022</w:t>
            </w:r>
            <w:r>
              <w:rPr>
                <w:rFonts w:hAnsi="宋体" w:eastAsia="宋体"/>
                <w:bCs/>
              </w:rPr>
              <w:t>年挥发性有机物污染防治实施方案》的通知（偃环攻坚办【</w:t>
            </w:r>
            <w:r>
              <w:rPr>
                <w:rFonts w:eastAsia="宋体"/>
                <w:bCs/>
              </w:rPr>
              <w:t>2022</w:t>
            </w:r>
            <w:r>
              <w:rPr>
                <w:rFonts w:hAnsi="宋体" w:eastAsia="宋体"/>
                <w:bCs/>
              </w:rPr>
              <w:t>】</w:t>
            </w:r>
            <w:r>
              <w:rPr>
                <w:rFonts w:eastAsia="宋体"/>
                <w:bCs/>
              </w:rPr>
              <w:t>7</w:t>
            </w:r>
            <w:r>
              <w:rPr>
                <w:rFonts w:hAnsi="宋体" w:eastAsia="宋体"/>
                <w:bCs/>
              </w:rPr>
              <w:t>号）</w:t>
            </w:r>
          </w:p>
          <w:p>
            <w:pPr>
              <w:pStyle w:val="48"/>
              <w:ind w:firstLine="480"/>
            </w:pPr>
            <w:r>
              <w:t>表</w:t>
            </w:r>
            <w:r>
              <w:rPr>
                <w:rFonts w:hint="eastAsia"/>
              </w:rPr>
              <w:t xml:space="preserve">7 </w:t>
            </w:r>
            <w:r>
              <w:t>与《偃师区2022年挥发性有机物污染防治实施方案》（偃环攻坚办【2022】7号）相符性分析</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
              <w:gridCol w:w="4468"/>
              <w:gridCol w:w="2497"/>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20" w:type="pct"/>
                  <w:gridSpan w:val="2"/>
                  <w:vAlign w:val="center"/>
                </w:tcPr>
                <w:p>
                  <w:pPr>
                    <w:spacing w:line="400" w:lineRule="exact"/>
                    <w:jc w:val="center"/>
                    <w:rPr>
                      <w:szCs w:val="21"/>
                    </w:rPr>
                  </w:pPr>
                  <w:r>
                    <w:rPr>
                      <w:szCs w:val="21"/>
                    </w:rPr>
                    <w:t>文件要求</w:t>
                  </w:r>
                </w:p>
              </w:tc>
              <w:tc>
                <w:tcPr>
                  <w:tcW w:w="1414" w:type="pct"/>
                  <w:vAlign w:val="center"/>
                </w:tcPr>
                <w:p>
                  <w:pPr>
                    <w:spacing w:line="400" w:lineRule="exact"/>
                    <w:jc w:val="center"/>
                    <w:rPr>
                      <w:szCs w:val="21"/>
                      <w:highlight w:val="yellow"/>
                    </w:rPr>
                  </w:pPr>
                  <w:r>
                    <w:rPr>
                      <w:szCs w:val="21"/>
                    </w:rPr>
                    <w:t>项目特点</w:t>
                  </w:r>
                </w:p>
              </w:tc>
              <w:tc>
                <w:tcPr>
                  <w:tcW w:w="566" w:type="pct"/>
                  <w:vAlign w:val="center"/>
                </w:tcPr>
                <w:p>
                  <w:pPr>
                    <w:spacing w:line="400" w:lineRule="exact"/>
                    <w:jc w:val="center"/>
                    <w:rPr>
                      <w:szCs w:val="21"/>
                    </w:rPr>
                  </w:pPr>
                  <w:r>
                    <w:rPr>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0" w:type="pct"/>
                  <w:vAlign w:val="center"/>
                </w:tcPr>
                <w:p>
                  <w:pPr>
                    <w:spacing w:line="400" w:lineRule="exact"/>
                    <w:jc w:val="center"/>
                    <w:rPr>
                      <w:szCs w:val="21"/>
                    </w:rPr>
                  </w:pPr>
                  <w:r>
                    <w:rPr>
                      <w:szCs w:val="21"/>
                    </w:rPr>
                    <w:t>(一)巩固完善低VOCs含量原辅材料源头替代工作</w:t>
                  </w:r>
                </w:p>
              </w:tc>
              <w:tc>
                <w:tcPr>
                  <w:tcW w:w="2530" w:type="pct"/>
                  <w:vAlign w:val="center"/>
                </w:tcPr>
                <w:p>
                  <w:pPr>
                    <w:spacing w:line="400" w:lineRule="exact"/>
                    <w:rPr>
                      <w:szCs w:val="21"/>
                    </w:rPr>
                  </w:pPr>
                  <w:r>
                    <w:rPr>
                      <w:szCs w:val="21"/>
                    </w:rPr>
                    <w:t>完善工业企业源头替代工作。对近几年来在汽车制造、木制家具制造、包装印刷、钢结构制造、工程机械等行业，使用涂料、油墨、胶黏剂、清洗剂的企业使用低VOCs含量原辅材料工作进行动态排查，核查替代计划落实情况，记录含VOCs含量原辅材料的产品名称、VOCs含量和使用量等，建立管理台账。定期对含VOCs产品生产、销售、进口、使用企业开展抽检抽查，检查产品VOCs含量检测报告，并抽测部分批次产品。</w:t>
                  </w:r>
                </w:p>
              </w:tc>
              <w:tc>
                <w:tcPr>
                  <w:tcW w:w="1414" w:type="pct"/>
                  <w:vAlign w:val="center"/>
                </w:tcPr>
                <w:p>
                  <w:pPr>
                    <w:spacing w:line="400" w:lineRule="exact"/>
                    <w:rPr>
                      <w:szCs w:val="21"/>
                      <w:highlight w:val="yellow"/>
                    </w:rPr>
                  </w:pPr>
                  <w:r>
                    <w:rPr>
                      <w:rFonts w:hint="eastAsia"/>
                    </w:rPr>
                    <w:t>本项目</w:t>
                  </w:r>
                  <w:r>
                    <w:rPr>
                      <w:rFonts w:hint="eastAsia"/>
                      <w:szCs w:val="21"/>
                    </w:rPr>
                    <w:t>不使用涂料、油墨、胶粘剂、清洗剂等</w:t>
                  </w:r>
                </w:p>
              </w:tc>
              <w:tc>
                <w:tcPr>
                  <w:tcW w:w="566" w:type="pct"/>
                  <w:vAlign w:val="center"/>
                </w:tcPr>
                <w:p>
                  <w:pPr>
                    <w:spacing w:line="400" w:lineRule="exact"/>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0" w:type="pct"/>
                  <w:vAlign w:val="center"/>
                </w:tcPr>
                <w:p>
                  <w:pPr>
                    <w:spacing w:line="400" w:lineRule="exact"/>
                    <w:jc w:val="center"/>
                    <w:rPr>
                      <w:szCs w:val="21"/>
                    </w:rPr>
                  </w:pPr>
                  <w:r>
                    <w:rPr>
                      <w:szCs w:val="21"/>
                    </w:rPr>
                    <w:t>(二)强化无组织排放过程控制</w:t>
                  </w:r>
                </w:p>
              </w:tc>
              <w:tc>
                <w:tcPr>
                  <w:tcW w:w="2530" w:type="pct"/>
                  <w:vAlign w:val="center"/>
                </w:tcPr>
                <w:p>
                  <w:pPr>
                    <w:spacing w:line="400" w:lineRule="exact"/>
                    <w:rPr>
                      <w:szCs w:val="21"/>
                    </w:rPr>
                  </w:pPr>
                  <w:r>
                    <w:rPr>
                      <w:szCs w:val="21"/>
                    </w:rPr>
                    <w:t>加强无组织排放废气收集。产生VOCs的生产环节优先采用密闭设备、在密闭空间中操作或采用全密闭集气罩收集方式，并保持负压运行。无尘等级要求需设置成正压的车间,要建设内层正压、外层微负压的双层整体密闭收集空间。对采用局部收集方式的企业，距废气收集系统排风罩开口面最远处的VOCs无组织排放位置控制风速不低于0.3m/s；推广以生产线或设备为单位设置隔间，收集风量应确保隔间保持微负压。废气收集系统的输送管道应密闭、无破损。……含VOCs物料输送原则上采用重力流或泵送方式；有机液体进料应采用底部、浸入管给料方式；固体物料投加逐步推进采用密闭式投料装置。……使用VOCs质量占比大于等于10%的涂料、油墨、胶粘剂、稀释剂、清洗剂等物料存储、调配、转移、输送等环节应密闭。</w:t>
                  </w:r>
                </w:p>
              </w:tc>
              <w:tc>
                <w:tcPr>
                  <w:tcW w:w="1414" w:type="pct"/>
                  <w:vAlign w:val="center"/>
                </w:tcPr>
                <w:p>
                  <w:pPr>
                    <w:spacing w:line="400" w:lineRule="exact"/>
                    <w:rPr>
                      <w:szCs w:val="21"/>
                      <w:highlight w:val="yellow"/>
                    </w:rPr>
                  </w:pPr>
                  <w:r>
                    <w:rPr>
                      <w:rFonts w:hint="eastAsia"/>
                      <w:szCs w:val="21"/>
                    </w:rPr>
                    <w:t>本项目属于</w:t>
                  </w:r>
                  <w:r>
                    <w:rPr>
                      <w:rFonts w:hint="eastAsia"/>
                    </w:rPr>
                    <w:t>新建塑料制品业项目</w:t>
                  </w:r>
                  <w:r>
                    <w:t>，项目生产车间全封闭，各种物料的转移均在密闭生产车间内进行；为提高VOCs收集效率，本项目</w:t>
                  </w:r>
                  <w:r>
                    <w:rPr>
                      <w:rFonts w:hint="eastAsia"/>
                    </w:rPr>
                    <w:t>有机废气经</w:t>
                  </w:r>
                  <w:r>
                    <w:t>集气罩</w:t>
                  </w:r>
                  <w:r>
                    <w:rPr>
                      <w:rFonts w:hint="eastAsia"/>
                    </w:rPr>
                    <w:t>收集后</w:t>
                  </w:r>
                  <w:r>
                    <w:t>，经1套“</w:t>
                  </w:r>
                  <w:r>
                    <w:rPr>
                      <w:rFonts w:hint="eastAsia"/>
                      <w:szCs w:val="21"/>
                    </w:rPr>
                    <w:t>UV光氧</w:t>
                  </w:r>
                  <w:r>
                    <w:t>+活性炭吸附装”处理后通过</w:t>
                  </w:r>
                  <w:r>
                    <w:rPr>
                      <w:rFonts w:hint="eastAsia"/>
                    </w:rPr>
                    <w:t>15</w:t>
                  </w:r>
                  <w:r>
                    <w:t>m高排气筒排放</w:t>
                  </w:r>
                  <w:r>
                    <w:rPr>
                      <w:rFonts w:hint="eastAsia"/>
                    </w:rPr>
                    <w:t>。</w:t>
                  </w:r>
                  <w:r>
                    <w:rPr>
                      <w:bCs/>
                    </w:rPr>
                    <w:t>根据风量核算，集气罩边缘</w:t>
                  </w:r>
                  <w:r>
                    <w:t>控制风速不低于0.3m/s，本项目</w:t>
                  </w:r>
                  <w:r>
                    <w:rPr>
                      <w:rFonts w:hint="eastAsia"/>
                    </w:rPr>
                    <w:t>最小控制</w:t>
                  </w:r>
                  <w:r>
                    <w:t>风速取0.5m/s。</w:t>
                  </w:r>
                </w:p>
              </w:tc>
              <w:tc>
                <w:tcPr>
                  <w:tcW w:w="566" w:type="pct"/>
                  <w:vAlign w:val="center"/>
                </w:tcPr>
                <w:p>
                  <w:pPr>
                    <w:spacing w:line="400" w:lineRule="exact"/>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0" w:type="pct"/>
                  <w:vAlign w:val="center"/>
                </w:tcPr>
                <w:p>
                  <w:pPr>
                    <w:spacing w:line="400" w:lineRule="exact"/>
                    <w:jc w:val="center"/>
                    <w:rPr>
                      <w:szCs w:val="21"/>
                    </w:rPr>
                  </w:pPr>
                  <w:r>
                    <w:rPr>
                      <w:szCs w:val="21"/>
                    </w:rPr>
                    <w:t>(三)强化工业企业V0Cs 治理</w:t>
                  </w:r>
                </w:p>
              </w:tc>
              <w:tc>
                <w:tcPr>
                  <w:tcW w:w="2530" w:type="pct"/>
                  <w:vAlign w:val="center"/>
                </w:tcPr>
                <w:p>
                  <w:pPr>
                    <w:spacing w:line="400" w:lineRule="exact"/>
                    <w:rPr>
                      <w:szCs w:val="21"/>
                    </w:rPr>
                  </w:pPr>
                  <w:r>
                    <w:rPr>
                      <w:szCs w:val="21"/>
                    </w:rPr>
                    <w:t>全面淘汰低效治理设施。各镇（街道）进一步排查单一低温等离子、光氧化、光催化、一次性活性炭吸附以及非水溶性VOCs废气采用单一喷淋吸收等低效治理技术，对于治理成效差、无法稳定达标排放的涉VOCs企业，应通过更换高效治理工艺、提升现有治理设施工程质量、依法关停等方式实施分类整治。推动VOCs排放量大，排放物质</w:t>
                  </w:r>
                  <w:r>
                    <w:rPr>
                      <w:bCs/>
                      <w:szCs w:val="21"/>
                    </w:rPr>
                    <w:t>芳香烃(如涂装、塑料等)、醛类(如家具、木材、纺织等)等为主的企业</w:t>
                  </w:r>
                  <w:r>
                    <w:rPr>
                      <w:szCs w:val="21"/>
                    </w:rPr>
                    <w:t>，排查薄弱环节，制定"一企一策"治理方案。督促未按要求更换活性炭的企业及时更换，对于VOCs治理设施产生的废过滤棉、废催化剂、废吸附剂、废吸收剂、废有机溶剂等二次污染物，应交有资质的单位处理处置。</w:t>
                  </w:r>
                </w:p>
                <w:p>
                  <w:pPr>
                    <w:spacing w:line="400" w:lineRule="exact"/>
                    <w:rPr>
                      <w:szCs w:val="21"/>
                    </w:rPr>
                  </w:pPr>
                  <w:r>
                    <w:rPr>
                      <w:szCs w:val="21"/>
                    </w:rPr>
                    <w:t>采用活性炭吸附设施的企业应对活性炭质量严格把关，采用颗粒活性炭作为吸附剂时,其碘值不低于800mg/g；采用蜂窝活性炭作为吸附剂时，其碘值不低于650mg/g；采用活性炭纤维作为吸附剂时，其比表面积不低于1100m²/g(BET法)。一次性活性炭吸附工艺宜采用颗粒活性炭作为吸附剂。</w:t>
                  </w:r>
                </w:p>
              </w:tc>
              <w:tc>
                <w:tcPr>
                  <w:tcW w:w="1414" w:type="pct"/>
                  <w:vAlign w:val="center"/>
                </w:tcPr>
                <w:p>
                  <w:pPr>
                    <w:spacing w:line="400" w:lineRule="exact"/>
                    <w:rPr>
                      <w:highlight w:val="yellow"/>
                    </w:rPr>
                  </w:pPr>
                  <w:r>
                    <w:t>本项目有机废气经“</w:t>
                  </w:r>
                  <w:r>
                    <w:rPr>
                      <w:rFonts w:hint="eastAsia"/>
                      <w:szCs w:val="21"/>
                    </w:rPr>
                    <w:t>UV光氧</w:t>
                  </w:r>
                  <w:r>
                    <w:t>+活性炭吸附装置”处理+</w:t>
                  </w:r>
                  <w:r>
                    <w:rPr>
                      <w:rFonts w:hint="eastAsia"/>
                    </w:rPr>
                    <w:t>15</w:t>
                  </w:r>
                  <w:r>
                    <w:t>m高排气筒排放。</w:t>
                  </w:r>
                  <w:r>
                    <w:rPr>
                      <w:szCs w:val="21"/>
                    </w:rPr>
                    <w:t>VOCs</w:t>
                  </w:r>
                  <w:r>
                    <w:t>治理设施产生的废活性炭在危废暂存间分区暂存，定期交由有资质单位处置或转运。</w:t>
                  </w:r>
                  <w:r>
                    <w:rPr>
                      <w:szCs w:val="21"/>
                    </w:rPr>
                    <w:t>本</w:t>
                  </w:r>
                  <w:r>
                    <w:t>项目</w:t>
                  </w:r>
                  <w:r>
                    <w:rPr>
                      <w:szCs w:val="21"/>
                    </w:rPr>
                    <w:t>采用颗粒活性炭作为吸附剂，其碘值不低于800mg/g</w:t>
                  </w:r>
                </w:p>
              </w:tc>
              <w:tc>
                <w:tcPr>
                  <w:tcW w:w="566" w:type="pct"/>
                  <w:vAlign w:val="center"/>
                </w:tcPr>
                <w:p>
                  <w:pPr>
                    <w:spacing w:line="400" w:lineRule="exact"/>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90" w:type="pct"/>
                  <w:vAlign w:val="center"/>
                </w:tcPr>
                <w:p>
                  <w:pPr>
                    <w:spacing w:line="400" w:lineRule="exact"/>
                    <w:jc w:val="center"/>
                    <w:rPr>
                      <w:szCs w:val="21"/>
                    </w:rPr>
                  </w:pPr>
                  <w:r>
                    <w:rPr>
                      <w:szCs w:val="21"/>
                    </w:rPr>
                    <w:t>(五)完善监测监控体系</w:t>
                  </w:r>
                </w:p>
              </w:tc>
              <w:tc>
                <w:tcPr>
                  <w:tcW w:w="2530" w:type="pct"/>
                  <w:vAlign w:val="center"/>
                </w:tcPr>
                <w:p>
                  <w:pPr>
                    <w:spacing w:line="400" w:lineRule="exact"/>
                    <w:rPr>
                      <w:szCs w:val="21"/>
                    </w:rPr>
                  </w:pPr>
                  <w:r>
                    <w:rPr>
                      <w:szCs w:val="21"/>
                    </w:rPr>
                    <w:t>开展监测工作。8月底前,完成省重点行业企业VOCs监测工作；9月底前完成其余重点企业的VOCs专项监测工作；对企业自行监测及第三方检测机构强化监督管理。进一步加强排查，对挥发性有机物排污单位风量大于10000m</w:t>
                  </w:r>
                  <w:r>
                    <w:rPr>
                      <w:szCs w:val="21"/>
                      <w:vertAlign w:val="superscript"/>
                    </w:rPr>
                    <w:t>2</w:t>
                  </w:r>
                  <w:r>
                    <w:rPr>
                      <w:szCs w:val="21"/>
                    </w:rPr>
                    <w:t>/h或挥发性有机物产生量大于2kg/h以上的主要排放口须安装非甲烷总烃在线监测设施(FID检测器)。</w:t>
                  </w:r>
                </w:p>
              </w:tc>
              <w:tc>
                <w:tcPr>
                  <w:tcW w:w="1414" w:type="pct"/>
                  <w:vAlign w:val="center"/>
                </w:tcPr>
                <w:p>
                  <w:pPr>
                    <w:spacing w:line="400" w:lineRule="exact"/>
                    <w:rPr>
                      <w:highlight w:val="yellow"/>
                    </w:rPr>
                  </w:pPr>
                  <w:r>
                    <w:rPr>
                      <w:rFonts w:hint="eastAsia"/>
                      <w:szCs w:val="21"/>
                    </w:rPr>
                    <w:t>本项目属于</w:t>
                  </w:r>
                  <w:r>
                    <w:rPr>
                      <w:rFonts w:hint="eastAsia"/>
                    </w:rPr>
                    <w:t>新建塑料制品业项目</w:t>
                  </w:r>
                  <w:r>
                    <w:t>，属于重点行业，但废气排放口均为一般排放口，无需安装VOCs排放</w:t>
                  </w:r>
                  <w:r>
                    <w:rPr>
                      <w:szCs w:val="21"/>
                    </w:rPr>
                    <w:t>在线监测设施</w:t>
                  </w:r>
                  <w:r>
                    <w:t>。</w:t>
                  </w:r>
                </w:p>
              </w:tc>
              <w:tc>
                <w:tcPr>
                  <w:tcW w:w="566" w:type="pct"/>
                  <w:vAlign w:val="center"/>
                </w:tcPr>
                <w:p>
                  <w:pPr>
                    <w:spacing w:line="400" w:lineRule="exact"/>
                    <w:jc w:val="center"/>
                    <w:rPr>
                      <w:szCs w:val="21"/>
                    </w:rPr>
                  </w:pPr>
                  <w:r>
                    <w:rPr>
                      <w:szCs w:val="21"/>
                    </w:rPr>
                    <w:t>相符</w:t>
                  </w:r>
                </w:p>
              </w:tc>
            </w:tr>
          </w:tbl>
          <w:p>
            <w:pPr>
              <w:pStyle w:val="51"/>
              <w:ind w:firstLine="480"/>
              <w:rPr>
                <w:bCs/>
              </w:rPr>
            </w:pPr>
            <w:r>
              <w:rPr>
                <w:bCs/>
              </w:rPr>
              <w:t>由上表可知，本项目满足《偃师区2022年挥发性有机物污染防治实施方案》（偃环攻坚办【2022】7号）相关要求。</w:t>
            </w:r>
          </w:p>
          <w:p>
            <w:pPr>
              <w:pStyle w:val="48"/>
              <w:ind w:firstLine="0" w:firstLineChars="0"/>
              <w:rPr>
                <w:b/>
                <w:u w:val="single"/>
              </w:rPr>
            </w:pPr>
            <w:r>
              <w:rPr>
                <w:rFonts w:hint="eastAsia"/>
                <w:b/>
                <w:u w:val="single"/>
              </w:rPr>
              <w:t>8</w:t>
            </w:r>
            <w:r>
              <w:rPr>
                <w:rFonts w:hAnsi="黑体"/>
                <w:b/>
                <w:u w:val="single"/>
              </w:rPr>
              <w:t>、《河南省生态环境厅关于做好</w:t>
            </w:r>
            <w:r>
              <w:rPr>
                <w:b/>
                <w:u w:val="single"/>
              </w:rPr>
              <w:t>2021</w:t>
            </w:r>
            <w:r>
              <w:rPr>
                <w:rFonts w:hAnsi="黑体"/>
                <w:b/>
                <w:u w:val="single"/>
              </w:rPr>
              <w:t>年重点行业绩效分级和重污染天气应急减排清单修订工作的通知》（豫环文〔</w:t>
            </w:r>
            <w:r>
              <w:rPr>
                <w:b/>
                <w:u w:val="single"/>
              </w:rPr>
              <w:t>2021</w:t>
            </w:r>
            <w:r>
              <w:rPr>
                <w:rFonts w:hAnsi="黑体"/>
                <w:b/>
                <w:u w:val="single"/>
              </w:rPr>
              <w:t>〕</w:t>
            </w:r>
            <w:r>
              <w:rPr>
                <w:b/>
                <w:u w:val="single"/>
              </w:rPr>
              <w:t>94</w:t>
            </w:r>
            <w:r>
              <w:rPr>
                <w:rFonts w:hAnsi="黑体"/>
                <w:b/>
                <w:u w:val="single"/>
              </w:rPr>
              <w:t>号）</w:t>
            </w:r>
          </w:p>
          <w:p>
            <w:pPr>
              <w:pStyle w:val="48"/>
              <w:pageBreakBefore w:val="0"/>
              <w:ind w:firstLine="482"/>
              <w:rPr>
                <w:b/>
                <w:u w:val="single"/>
              </w:rPr>
            </w:pPr>
            <w:r>
              <w:rPr>
                <w:rFonts w:hAnsi="黑体"/>
                <w:b/>
                <w:u w:val="single"/>
              </w:rPr>
              <w:t>表</w:t>
            </w:r>
            <w:r>
              <w:rPr>
                <w:rFonts w:hint="eastAsia"/>
                <w:b/>
                <w:u w:val="single"/>
              </w:rPr>
              <w:t>8</w:t>
            </w:r>
            <w:r>
              <w:rPr>
                <w:b/>
                <w:u w:val="single"/>
              </w:rPr>
              <w:t xml:space="preserve">  </w:t>
            </w:r>
            <w:r>
              <w:rPr>
                <w:rFonts w:hint="eastAsia" w:hAnsi="黑体"/>
                <w:b/>
                <w:u w:val="single"/>
              </w:rPr>
              <w:t>与《河南省生态环境厅关于做好2021年重点行业绩效分级和重污染天气应急减排清单修订工作的通知》（豫环文〔2021〕94号）相符性分析</w:t>
            </w:r>
          </w:p>
          <w:tbl>
            <w:tblPr>
              <w:tblStyle w:val="22"/>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62"/>
              <w:gridCol w:w="4144"/>
              <w:gridCol w:w="3036"/>
              <w:gridCol w:w="77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840" w:type="pct"/>
                  <w:gridSpan w:val="2"/>
                  <w:vAlign w:val="center"/>
                </w:tcPr>
                <w:p>
                  <w:pPr>
                    <w:spacing w:line="400" w:lineRule="exact"/>
                    <w:jc w:val="center"/>
                    <w:rPr>
                      <w:b/>
                      <w:szCs w:val="21"/>
                      <w:u w:val="single"/>
                    </w:rPr>
                  </w:pPr>
                  <w:r>
                    <w:rPr>
                      <w:rFonts w:hAnsi="宋体"/>
                      <w:b/>
                      <w:szCs w:val="21"/>
                      <w:u w:val="single"/>
                    </w:rPr>
                    <w:t>塑料制品行业绩效分级指标</w:t>
                  </w:r>
                  <w:r>
                    <w:rPr>
                      <w:rFonts w:hAnsi="宋体"/>
                      <w:b/>
                      <w:u w:val="single"/>
                    </w:rPr>
                    <w:t>（</w:t>
                  </w:r>
                  <w:r>
                    <w:rPr>
                      <w:b/>
                      <w:u w:val="single"/>
                    </w:rPr>
                    <w:t>A</w:t>
                  </w:r>
                  <w:r>
                    <w:rPr>
                      <w:rFonts w:hAnsi="宋体"/>
                      <w:b/>
                      <w:u w:val="single"/>
                    </w:rPr>
                    <w:t>级企业）</w:t>
                  </w:r>
                </w:p>
              </w:tc>
              <w:tc>
                <w:tcPr>
                  <w:tcW w:w="1722" w:type="pct"/>
                  <w:vAlign w:val="center"/>
                </w:tcPr>
                <w:p>
                  <w:pPr>
                    <w:spacing w:line="400" w:lineRule="exact"/>
                    <w:jc w:val="center"/>
                    <w:rPr>
                      <w:b/>
                      <w:szCs w:val="21"/>
                      <w:u w:val="single"/>
                    </w:rPr>
                  </w:pPr>
                  <w:r>
                    <w:rPr>
                      <w:rFonts w:hAnsi="宋体"/>
                      <w:b/>
                      <w:szCs w:val="21"/>
                      <w:u w:val="single"/>
                    </w:rPr>
                    <w:t>本项目情况</w:t>
                  </w:r>
                </w:p>
              </w:tc>
              <w:tc>
                <w:tcPr>
                  <w:tcW w:w="438" w:type="pct"/>
                  <w:vAlign w:val="center"/>
                </w:tcPr>
                <w:p>
                  <w:pPr>
                    <w:spacing w:line="400" w:lineRule="exact"/>
                    <w:jc w:val="center"/>
                    <w:rPr>
                      <w:b/>
                      <w:szCs w:val="21"/>
                      <w:u w:val="single"/>
                    </w:rPr>
                  </w:pPr>
                  <w:r>
                    <w:rPr>
                      <w:rFonts w:hAnsi="宋体"/>
                      <w:b/>
                      <w:szCs w:val="21"/>
                      <w:u w:val="single"/>
                    </w:rPr>
                    <w:t>是否</w:t>
                  </w:r>
                </w:p>
                <w:p>
                  <w:pPr>
                    <w:spacing w:line="400" w:lineRule="exact"/>
                    <w:jc w:val="center"/>
                    <w:rPr>
                      <w:b/>
                      <w:szCs w:val="21"/>
                      <w:highlight w:val="yellow"/>
                      <w:u w:val="single"/>
                    </w:rPr>
                  </w:pPr>
                  <w:r>
                    <w:rPr>
                      <w:rFonts w:hAnsi="宋体"/>
                      <w:b/>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Align w:val="center"/>
                </w:tcPr>
                <w:p>
                  <w:pPr>
                    <w:spacing w:line="400" w:lineRule="exact"/>
                    <w:jc w:val="center"/>
                    <w:rPr>
                      <w:b/>
                      <w:szCs w:val="21"/>
                      <w:highlight w:val="yellow"/>
                      <w:u w:val="single"/>
                    </w:rPr>
                  </w:pPr>
                  <w:r>
                    <w:rPr>
                      <w:rFonts w:hAnsi="宋体"/>
                      <w:b/>
                      <w:szCs w:val="21"/>
                      <w:u w:val="single"/>
                    </w:rPr>
                    <w:t>原料、能源类型</w:t>
                  </w:r>
                </w:p>
              </w:tc>
              <w:tc>
                <w:tcPr>
                  <w:tcW w:w="2351" w:type="pct"/>
                  <w:vAlign w:val="center"/>
                </w:tcPr>
                <w:p>
                  <w:pPr>
                    <w:spacing w:line="400" w:lineRule="exact"/>
                    <w:jc w:val="left"/>
                    <w:rPr>
                      <w:b/>
                      <w:szCs w:val="21"/>
                      <w:u w:val="single"/>
                    </w:rPr>
                  </w:pPr>
                  <w:r>
                    <w:rPr>
                      <w:b/>
                      <w:szCs w:val="21"/>
                      <w:u w:val="single"/>
                    </w:rPr>
                    <w:t xml:space="preserve">1. </w:t>
                  </w:r>
                  <w:r>
                    <w:rPr>
                      <w:rFonts w:hAnsi="宋体"/>
                      <w:b/>
                      <w:szCs w:val="21"/>
                      <w:u w:val="single"/>
                    </w:rPr>
                    <w:t>原料全部使用非再生料（即使用原包料，非废旧塑料）；</w:t>
                  </w:r>
                </w:p>
                <w:p>
                  <w:pPr>
                    <w:spacing w:line="400" w:lineRule="exact"/>
                    <w:jc w:val="left"/>
                    <w:rPr>
                      <w:b/>
                      <w:szCs w:val="21"/>
                      <w:u w:val="single"/>
                    </w:rPr>
                  </w:pPr>
                  <w:r>
                    <w:rPr>
                      <w:b/>
                      <w:szCs w:val="21"/>
                      <w:u w:val="single"/>
                    </w:rPr>
                    <w:t xml:space="preserve">2. </w:t>
                  </w:r>
                  <w:r>
                    <w:rPr>
                      <w:rFonts w:hAnsi="宋体"/>
                      <w:b/>
                      <w:szCs w:val="21"/>
                      <w:u w:val="single"/>
                    </w:rPr>
                    <w:t>能源使用电、天然气、液化石油气等能源。</w:t>
                  </w:r>
                </w:p>
              </w:tc>
              <w:tc>
                <w:tcPr>
                  <w:tcW w:w="1722" w:type="pct"/>
                  <w:vAlign w:val="center"/>
                </w:tcPr>
                <w:p>
                  <w:pPr>
                    <w:spacing w:line="400" w:lineRule="exact"/>
                    <w:jc w:val="center"/>
                    <w:rPr>
                      <w:b/>
                      <w:szCs w:val="21"/>
                      <w:u w:val="single"/>
                    </w:rPr>
                  </w:pPr>
                  <w:r>
                    <w:rPr>
                      <w:rFonts w:hAnsi="宋体"/>
                      <w:b/>
                      <w:szCs w:val="21"/>
                      <w:u w:val="single"/>
                    </w:rPr>
                    <w:t>本项目原料为基布</w:t>
                  </w:r>
                  <w:r>
                    <w:rPr>
                      <w:rFonts w:hint="eastAsia" w:hAnsi="宋体"/>
                      <w:b/>
                      <w:szCs w:val="21"/>
                      <w:u w:val="single"/>
                    </w:rPr>
                    <w:t>、聚乙烯颗粒和聚丙烯颗粒，不使用再生料</w:t>
                  </w:r>
                  <w:r>
                    <w:rPr>
                      <w:rFonts w:hAnsi="宋体"/>
                      <w:b/>
                      <w:szCs w:val="21"/>
                      <w:u w:val="single"/>
                    </w:rPr>
                    <w:t>，使用能源为电能</w:t>
                  </w:r>
                </w:p>
              </w:tc>
              <w:tc>
                <w:tcPr>
                  <w:tcW w:w="438" w:type="pct"/>
                  <w:vAlign w:val="center"/>
                </w:tcPr>
                <w:p>
                  <w:pPr>
                    <w:spacing w:line="400" w:lineRule="exact"/>
                    <w:jc w:val="center"/>
                    <w:rPr>
                      <w:b/>
                      <w:szCs w:val="21"/>
                      <w:highlight w:val="yellow"/>
                      <w:u w:val="single"/>
                    </w:rPr>
                  </w:pPr>
                  <w:r>
                    <w:rPr>
                      <w:rFonts w:hAnsi="宋体"/>
                      <w:b/>
                      <w:bCs/>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Align w:val="center"/>
                </w:tcPr>
                <w:p>
                  <w:pPr>
                    <w:spacing w:line="400" w:lineRule="exact"/>
                    <w:jc w:val="center"/>
                    <w:rPr>
                      <w:b/>
                      <w:szCs w:val="21"/>
                      <w:u w:val="single"/>
                    </w:rPr>
                  </w:pPr>
                  <w:r>
                    <w:rPr>
                      <w:rFonts w:hAnsi="宋体"/>
                      <w:b/>
                      <w:szCs w:val="21"/>
                      <w:u w:val="single"/>
                    </w:rPr>
                    <w:t>生产工艺及</w:t>
                  </w:r>
                </w:p>
                <w:p>
                  <w:pPr>
                    <w:spacing w:line="400" w:lineRule="exact"/>
                    <w:jc w:val="center"/>
                    <w:rPr>
                      <w:b/>
                      <w:szCs w:val="21"/>
                      <w:u w:val="single"/>
                    </w:rPr>
                  </w:pPr>
                  <w:r>
                    <w:rPr>
                      <w:rFonts w:hAnsi="宋体"/>
                      <w:b/>
                      <w:szCs w:val="21"/>
                      <w:u w:val="single"/>
                    </w:rPr>
                    <w:t>装备水平</w:t>
                  </w:r>
                </w:p>
              </w:tc>
              <w:tc>
                <w:tcPr>
                  <w:tcW w:w="2351" w:type="pct"/>
                  <w:vAlign w:val="center"/>
                </w:tcPr>
                <w:p>
                  <w:pPr>
                    <w:spacing w:line="400" w:lineRule="exact"/>
                    <w:jc w:val="left"/>
                    <w:rPr>
                      <w:b/>
                      <w:szCs w:val="21"/>
                      <w:u w:val="single"/>
                    </w:rPr>
                  </w:pPr>
                  <w:r>
                    <w:rPr>
                      <w:b/>
                      <w:szCs w:val="21"/>
                      <w:u w:val="single"/>
                    </w:rPr>
                    <w:t>1.</w:t>
                  </w:r>
                  <w:r>
                    <w:rPr>
                      <w:rFonts w:hAnsi="宋体"/>
                      <w:b/>
                      <w:szCs w:val="21"/>
                      <w:u w:val="single"/>
                    </w:rPr>
                    <w:t>属于《产业结构调整指导目录（</w:t>
                  </w:r>
                  <w:r>
                    <w:rPr>
                      <w:b/>
                      <w:szCs w:val="21"/>
                      <w:u w:val="single"/>
                    </w:rPr>
                    <w:t xml:space="preserve">2019 </w:t>
                  </w:r>
                  <w:r>
                    <w:rPr>
                      <w:rFonts w:hAnsi="宋体"/>
                      <w:b/>
                      <w:szCs w:val="21"/>
                      <w:u w:val="single"/>
                    </w:rPr>
                    <w:t>年版）》鼓励类和允许类；</w:t>
                  </w:r>
                  <w:r>
                    <w:rPr>
                      <w:b/>
                      <w:szCs w:val="21"/>
                      <w:u w:val="single"/>
                    </w:rPr>
                    <w:t>2.</w:t>
                  </w:r>
                  <w:r>
                    <w:rPr>
                      <w:rFonts w:hAnsi="宋体"/>
                      <w:b/>
                      <w:szCs w:val="21"/>
                      <w:u w:val="single"/>
                    </w:rPr>
                    <w:t>符合相关行业产业政策；</w:t>
                  </w:r>
                  <w:r>
                    <w:rPr>
                      <w:b/>
                      <w:szCs w:val="21"/>
                      <w:u w:val="single"/>
                    </w:rPr>
                    <w:t>3.</w:t>
                  </w:r>
                  <w:r>
                    <w:rPr>
                      <w:rFonts w:hAnsi="宋体"/>
                      <w:b/>
                      <w:szCs w:val="21"/>
                      <w:u w:val="single"/>
                    </w:rPr>
                    <w:t>符合河南省相关政策要求；</w:t>
                  </w:r>
                  <w:r>
                    <w:rPr>
                      <w:b/>
                      <w:szCs w:val="21"/>
                      <w:u w:val="single"/>
                    </w:rPr>
                    <w:t>4.</w:t>
                  </w:r>
                  <w:r>
                    <w:rPr>
                      <w:rFonts w:hAnsi="宋体"/>
                      <w:b/>
                      <w:szCs w:val="21"/>
                      <w:u w:val="single"/>
                    </w:rPr>
                    <w:t>符合市级规划。</w:t>
                  </w:r>
                </w:p>
              </w:tc>
              <w:tc>
                <w:tcPr>
                  <w:tcW w:w="1722" w:type="pct"/>
                  <w:vAlign w:val="center"/>
                </w:tcPr>
                <w:p>
                  <w:pPr>
                    <w:spacing w:line="400" w:lineRule="exact"/>
                    <w:rPr>
                      <w:b/>
                      <w:szCs w:val="21"/>
                      <w:u w:val="single"/>
                    </w:rPr>
                  </w:pPr>
                  <w:r>
                    <w:rPr>
                      <w:rFonts w:hAnsi="宋体"/>
                      <w:b/>
                      <w:szCs w:val="21"/>
                      <w:u w:val="single"/>
                    </w:rPr>
                    <w:t>本项目属于《产业结构调整指导目录（</w:t>
                  </w:r>
                  <w:r>
                    <w:rPr>
                      <w:b/>
                      <w:szCs w:val="21"/>
                      <w:u w:val="single"/>
                    </w:rPr>
                    <w:t>2019</w:t>
                  </w:r>
                  <w:r>
                    <w:rPr>
                      <w:rFonts w:hAnsi="宋体"/>
                      <w:b/>
                      <w:szCs w:val="21"/>
                      <w:u w:val="single"/>
                    </w:rPr>
                    <w:t>年版）》中允许类项目，生产设备均不在《高耗能落后机电设备（产品）淘汰目录（第一批</w:t>
                  </w:r>
                  <w:r>
                    <w:rPr>
                      <w:b/>
                      <w:szCs w:val="21"/>
                      <w:u w:val="single"/>
                    </w:rPr>
                    <w:t>~</w:t>
                  </w:r>
                  <w:r>
                    <w:rPr>
                      <w:rFonts w:hAnsi="宋体"/>
                      <w:b/>
                      <w:szCs w:val="21"/>
                      <w:u w:val="single"/>
                    </w:rPr>
                    <w:t>第四批）》以及《河南省部分工业行业淘汰落后生产工艺装备和产品目录》中；同时符合河南省、洛阳市相关政策规划</w:t>
                  </w:r>
                </w:p>
              </w:tc>
              <w:tc>
                <w:tcPr>
                  <w:tcW w:w="438" w:type="pct"/>
                  <w:vAlign w:val="center"/>
                </w:tcPr>
                <w:p>
                  <w:pPr>
                    <w:spacing w:line="400" w:lineRule="exact"/>
                    <w:jc w:val="center"/>
                    <w:rPr>
                      <w:b/>
                      <w:szCs w:val="21"/>
                      <w:highlight w:val="yellow"/>
                      <w:u w:val="single"/>
                    </w:rPr>
                  </w:pPr>
                  <w:r>
                    <w:rPr>
                      <w:rFonts w:hAnsi="宋体"/>
                      <w:b/>
                      <w:bCs/>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Merge w:val="restart"/>
                  <w:vAlign w:val="center"/>
                </w:tcPr>
                <w:p>
                  <w:pPr>
                    <w:spacing w:line="400" w:lineRule="exact"/>
                    <w:jc w:val="center"/>
                    <w:rPr>
                      <w:b/>
                      <w:szCs w:val="21"/>
                      <w:highlight w:val="yellow"/>
                      <w:u w:val="single"/>
                    </w:rPr>
                  </w:pPr>
                  <w:r>
                    <w:rPr>
                      <w:rFonts w:hAnsi="宋体"/>
                      <w:b/>
                      <w:szCs w:val="21"/>
                      <w:u w:val="single"/>
                    </w:rPr>
                    <w:t>废气收集及处理工艺</w:t>
                  </w:r>
                </w:p>
              </w:tc>
              <w:tc>
                <w:tcPr>
                  <w:tcW w:w="2351" w:type="pct"/>
                  <w:vAlign w:val="center"/>
                </w:tcPr>
                <w:p>
                  <w:pPr>
                    <w:spacing w:line="400" w:lineRule="exact"/>
                    <w:rPr>
                      <w:b/>
                      <w:szCs w:val="21"/>
                      <w:highlight w:val="yellow"/>
                      <w:u w:val="single"/>
                    </w:rPr>
                  </w:pPr>
                  <w:r>
                    <w:rPr>
                      <w:b/>
                      <w:szCs w:val="21"/>
                      <w:u w:val="single"/>
                    </w:rPr>
                    <w:t>1.</w:t>
                  </w:r>
                  <w:r>
                    <w:rPr>
                      <w:rFonts w:hAnsi="宋体"/>
                      <w:b/>
                      <w:szCs w:val="21"/>
                      <w:u w:val="single"/>
                    </w:rPr>
                    <w:t>投料、挤塑、注塑、滚塑、吹塑、压延、挤出、造粒、热定型、冷却、发泡、熟化、干燥等涉</w:t>
                  </w:r>
                  <w:r>
                    <w:rPr>
                      <w:b/>
                      <w:szCs w:val="21"/>
                      <w:u w:val="single"/>
                    </w:rPr>
                    <w:t xml:space="preserve"> VOCs </w:t>
                  </w:r>
                  <w:r>
                    <w:rPr>
                      <w:rFonts w:hAnsi="宋体"/>
                      <w:b/>
                      <w:szCs w:val="21"/>
                      <w:u w:val="single"/>
                    </w:rPr>
                    <w:t>工序采用密闭设备或在密闭空间内操作，废气有效收集至</w:t>
                  </w:r>
                  <w:r>
                    <w:rPr>
                      <w:b/>
                      <w:szCs w:val="21"/>
                      <w:u w:val="single"/>
                    </w:rPr>
                    <w:t xml:space="preserve"> VOCs </w:t>
                  </w:r>
                  <w:r>
                    <w:rPr>
                      <w:rFonts w:hAnsi="宋体"/>
                      <w:b/>
                      <w:szCs w:val="21"/>
                      <w:u w:val="single"/>
                    </w:rPr>
                    <w:t>废气处理系统，车间外无异味；采用局部集气罩的，距集气罩开口面最远处的</w:t>
                  </w:r>
                  <w:r>
                    <w:rPr>
                      <w:b/>
                      <w:szCs w:val="21"/>
                      <w:u w:val="single"/>
                    </w:rPr>
                    <w:t xml:space="preserve"> VOCs </w:t>
                  </w:r>
                  <w:r>
                    <w:rPr>
                      <w:rFonts w:hAnsi="宋体"/>
                      <w:b/>
                      <w:szCs w:val="21"/>
                      <w:u w:val="single"/>
                    </w:rPr>
                    <w:t>无组织排放位置，控制风速不低于</w:t>
                  </w:r>
                  <w:r>
                    <w:rPr>
                      <w:b/>
                      <w:szCs w:val="21"/>
                      <w:u w:val="single"/>
                    </w:rPr>
                    <w:t xml:space="preserve"> 0.3 </w:t>
                  </w:r>
                  <w:r>
                    <w:rPr>
                      <w:rFonts w:hAnsi="宋体"/>
                      <w:b/>
                      <w:szCs w:val="21"/>
                      <w:u w:val="single"/>
                    </w:rPr>
                    <w:t>米</w:t>
                  </w:r>
                  <w:r>
                    <w:rPr>
                      <w:b/>
                      <w:szCs w:val="21"/>
                      <w:u w:val="single"/>
                    </w:rPr>
                    <w:t>/</w:t>
                  </w:r>
                  <w:r>
                    <w:rPr>
                      <w:rFonts w:hAnsi="宋体"/>
                      <w:b/>
                      <w:szCs w:val="21"/>
                      <w:u w:val="single"/>
                    </w:rPr>
                    <w:t>秒；</w:t>
                  </w:r>
                </w:p>
              </w:tc>
              <w:tc>
                <w:tcPr>
                  <w:tcW w:w="1722" w:type="pct"/>
                  <w:vAlign w:val="center"/>
                </w:tcPr>
                <w:p>
                  <w:pPr>
                    <w:spacing w:line="400" w:lineRule="exact"/>
                    <w:rPr>
                      <w:b/>
                      <w:szCs w:val="21"/>
                      <w:highlight w:val="yellow"/>
                      <w:u w:val="single"/>
                    </w:rPr>
                  </w:pPr>
                  <w:r>
                    <w:rPr>
                      <w:b/>
                      <w:szCs w:val="21"/>
                      <w:u w:val="single"/>
                    </w:rPr>
                    <w:t>1</w:t>
                  </w:r>
                  <w:r>
                    <w:rPr>
                      <w:rFonts w:hAnsi="宋体"/>
                      <w:b/>
                      <w:szCs w:val="21"/>
                      <w:u w:val="single"/>
                    </w:rPr>
                    <w:t>、本项目</w:t>
                  </w:r>
                  <w:r>
                    <w:rPr>
                      <w:rFonts w:hint="eastAsia" w:hAnsi="宋体"/>
                      <w:b/>
                      <w:szCs w:val="21"/>
                      <w:u w:val="single"/>
                    </w:rPr>
                    <w:t>覆膜工序置于密闭车间内进行，覆膜</w:t>
                  </w:r>
                  <w:r>
                    <w:rPr>
                      <w:rFonts w:hAnsi="宋体"/>
                      <w:b/>
                      <w:szCs w:val="21"/>
                      <w:u w:val="single"/>
                    </w:rPr>
                    <w:t>废气</w:t>
                  </w:r>
                  <w:r>
                    <w:rPr>
                      <w:rFonts w:hint="eastAsia" w:hAnsi="宋体"/>
                      <w:b/>
                      <w:szCs w:val="21"/>
                      <w:u w:val="single"/>
                    </w:rPr>
                    <w:t>经集气罩收集后</w:t>
                  </w:r>
                  <w:r>
                    <w:rPr>
                      <w:rFonts w:hAnsi="宋体"/>
                      <w:b/>
                      <w:szCs w:val="21"/>
                      <w:u w:val="single"/>
                    </w:rPr>
                    <w:t>引入</w:t>
                  </w:r>
                  <w:r>
                    <w:rPr>
                      <w:rFonts w:hint="eastAsia"/>
                      <w:b/>
                      <w:szCs w:val="21"/>
                      <w:u w:val="single"/>
                    </w:rPr>
                    <w:t>UV光氧</w:t>
                  </w:r>
                  <w:r>
                    <w:rPr>
                      <w:b/>
                      <w:szCs w:val="21"/>
                      <w:u w:val="single"/>
                    </w:rPr>
                    <w:t>+</w:t>
                  </w:r>
                  <w:r>
                    <w:rPr>
                      <w:rFonts w:hAnsi="宋体"/>
                      <w:b/>
                      <w:szCs w:val="21"/>
                      <w:u w:val="single"/>
                    </w:rPr>
                    <w:t>活性氧装置进行处理，后经</w:t>
                  </w:r>
                  <w:r>
                    <w:rPr>
                      <w:b/>
                      <w:szCs w:val="21"/>
                      <w:u w:val="single"/>
                    </w:rPr>
                    <w:t>15m</w:t>
                  </w:r>
                  <w:r>
                    <w:rPr>
                      <w:rFonts w:hAnsi="宋体"/>
                      <w:b/>
                      <w:szCs w:val="21"/>
                      <w:u w:val="single"/>
                    </w:rPr>
                    <w:t>排气筒排放，最小控制风速为</w:t>
                  </w:r>
                  <w:r>
                    <w:rPr>
                      <w:b/>
                      <w:szCs w:val="21"/>
                      <w:u w:val="single"/>
                    </w:rPr>
                    <w:t>0.5m/s</w:t>
                  </w:r>
                  <w:r>
                    <w:rPr>
                      <w:rFonts w:hAnsi="宋体"/>
                      <w:b/>
                      <w:szCs w:val="21"/>
                      <w:u w:val="single"/>
                    </w:rPr>
                    <w:t>；</w:t>
                  </w:r>
                </w:p>
              </w:tc>
              <w:tc>
                <w:tcPr>
                  <w:tcW w:w="438" w:type="pct"/>
                  <w:vAlign w:val="center"/>
                </w:tcPr>
                <w:p>
                  <w:pPr>
                    <w:spacing w:line="400" w:lineRule="exact"/>
                    <w:jc w:val="center"/>
                    <w:rPr>
                      <w:b/>
                      <w:szCs w:val="21"/>
                      <w:highlight w:val="yellow"/>
                      <w:u w:val="single"/>
                    </w:rPr>
                  </w:pPr>
                  <w:r>
                    <w:rPr>
                      <w:rFonts w:hAnsi="宋体"/>
                      <w:b/>
                      <w:bCs/>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Merge w:val="continue"/>
                  <w:vAlign w:val="center"/>
                </w:tcPr>
                <w:p>
                  <w:pPr>
                    <w:spacing w:line="400" w:lineRule="exact"/>
                    <w:jc w:val="center"/>
                    <w:rPr>
                      <w:b/>
                      <w:szCs w:val="21"/>
                      <w:u w:val="single"/>
                    </w:rPr>
                  </w:pPr>
                </w:p>
              </w:tc>
              <w:tc>
                <w:tcPr>
                  <w:tcW w:w="2351" w:type="pct"/>
                  <w:vAlign w:val="center"/>
                </w:tcPr>
                <w:p>
                  <w:pPr>
                    <w:spacing w:line="400" w:lineRule="exact"/>
                    <w:rPr>
                      <w:b/>
                      <w:szCs w:val="21"/>
                      <w:u w:val="single"/>
                    </w:rPr>
                  </w:pPr>
                  <w:r>
                    <w:rPr>
                      <w:b/>
                      <w:szCs w:val="21"/>
                      <w:u w:val="single"/>
                    </w:rPr>
                    <w:t xml:space="preserve">2.VOCs </w:t>
                  </w:r>
                  <w:r>
                    <w:rPr>
                      <w:rFonts w:hAnsi="宋体"/>
                      <w:b/>
                      <w:szCs w:val="21"/>
                      <w:u w:val="single"/>
                    </w:rPr>
                    <w:t>治理采用燃烧工艺（包括直接燃烧、催化燃烧和蓄热燃烧），或静电、吸附、低温等离子、生物法等两级及以上组合工艺处理（采用一次性活性炭吸附的，活性炭碘值在</w:t>
                  </w:r>
                  <w:r>
                    <w:rPr>
                      <w:b/>
                      <w:szCs w:val="21"/>
                      <w:u w:val="single"/>
                    </w:rPr>
                    <w:t xml:space="preserve"> 800mg/g </w:t>
                  </w:r>
                  <w:r>
                    <w:rPr>
                      <w:rFonts w:hAnsi="宋体"/>
                      <w:b/>
                      <w:szCs w:val="21"/>
                      <w:u w:val="single"/>
                    </w:rPr>
                    <w:t>及以上）；</w:t>
                  </w:r>
                </w:p>
              </w:tc>
              <w:tc>
                <w:tcPr>
                  <w:tcW w:w="1722" w:type="pct"/>
                  <w:vAlign w:val="center"/>
                </w:tcPr>
                <w:p>
                  <w:pPr>
                    <w:spacing w:line="400" w:lineRule="exact"/>
                    <w:rPr>
                      <w:b/>
                      <w:szCs w:val="21"/>
                      <w:u w:val="single"/>
                    </w:rPr>
                  </w:pPr>
                  <w:r>
                    <w:rPr>
                      <w:b/>
                      <w:szCs w:val="21"/>
                      <w:u w:val="single"/>
                    </w:rPr>
                    <w:t>2</w:t>
                  </w:r>
                  <w:r>
                    <w:rPr>
                      <w:rFonts w:hAnsi="宋体"/>
                      <w:b/>
                      <w:szCs w:val="21"/>
                      <w:u w:val="single"/>
                    </w:rPr>
                    <w:t>、项目投产后，</w:t>
                  </w:r>
                  <w:r>
                    <w:rPr>
                      <w:b/>
                      <w:szCs w:val="21"/>
                      <w:u w:val="single"/>
                    </w:rPr>
                    <w:t>VOCs</w:t>
                  </w:r>
                  <w:r>
                    <w:rPr>
                      <w:rFonts w:hAnsi="宋体"/>
                      <w:b/>
                      <w:szCs w:val="21"/>
                      <w:u w:val="single"/>
                    </w:rPr>
                    <w:t>采用</w:t>
                  </w:r>
                  <w:r>
                    <w:rPr>
                      <w:rFonts w:hint="eastAsia"/>
                      <w:b/>
                      <w:szCs w:val="21"/>
                      <w:u w:val="single"/>
                    </w:rPr>
                    <w:t>UV光氧</w:t>
                  </w:r>
                  <w:r>
                    <w:rPr>
                      <w:b/>
                      <w:szCs w:val="21"/>
                      <w:u w:val="single"/>
                    </w:rPr>
                    <w:t>+</w:t>
                  </w:r>
                  <w:r>
                    <w:rPr>
                      <w:rFonts w:hAnsi="宋体"/>
                      <w:b/>
                      <w:szCs w:val="21"/>
                      <w:u w:val="single"/>
                    </w:rPr>
                    <w:t>活性炭吸附处理工艺，使用活性炭碘值在</w:t>
                  </w:r>
                  <w:r>
                    <w:rPr>
                      <w:b/>
                      <w:szCs w:val="21"/>
                      <w:u w:val="single"/>
                    </w:rPr>
                    <w:t>800mg/g</w:t>
                  </w:r>
                  <w:r>
                    <w:rPr>
                      <w:rFonts w:hAnsi="宋体"/>
                      <w:b/>
                      <w:szCs w:val="21"/>
                      <w:u w:val="single"/>
                    </w:rPr>
                    <w:t>及以上；</w:t>
                  </w:r>
                </w:p>
              </w:tc>
              <w:tc>
                <w:tcPr>
                  <w:tcW w:w="438" w:type="pct"/>
                  <w:vAlign w:val="center"/>
                </w:tcPr>
                <w:p>
                  <w:pPr>
                    <w:spacing w:line="400" w:lineRule="exact"/>
                    <w:jc w:val="center"/>
                    <w:rPr>
                      <w:b/>
                      <w:bCs/>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Merge w:val="continue"/>
                  <w:vAlign w:val="center"/>
                </w:tcPr>
                <w:p>
                  <w:pPr>
                    <w:spacing w:line="400" w:lineRule="exact"/>
                    <w:jc w:val="center"/>
                    <w:rPr>
                      <w:b/>
                      <w:szCs w:val="21"/>
                      <w:u w:val="single"/>
                    </w:rPr>
                  </w:pPr>
                </w:p>
              </w:tc>
              <w:tc>
                <w:tcPr>
                  <w:tcW w:w="2351" w:type="pct"/>
                  <w:vAlign w:val="center"/>
                </w:tcPr>
                <w:p>
                  <w:pPr>
                    <w:spacing w:line="400" w:lineRule="exact"/>
                    <w:rPr>
                      <w:b/>
                      <w:szCs w:val="21"/>
                      <w:u w:val="single"/>
                    </w:rPr>
                  </w:pPr>
                  <w:r>
                    <w:rPr>
                      <w:b/>
                      <w:szCs w:val="21"/>
                      <w:u w:val="single"/>
                    </w:rPr>
                    <w:t>3</w:t>
                  </w:r>
                  <w:r>
                    <w:rPr>
                      <w:rFonts w:hAnsi="宋体"/>
                      <w:b/>
                      <w:szCs w:val="21"/>
                      <w:u w:val="single"/>
                    </w:rPr>
                    <w:t>、粉状物料投加、配混应在封闭车间内进行，</w:t>
                  </w:r>
                  <w:r>
                    <w:rPr>
                      <w:b/>
                      <w:szCs w:val="21"/>
                      <w:u w:val="single"/>
                    </w:rPr>
                    <w:t xml:space="preserve">PM </w:t>
                  </w:r>
                  <w:r>
                    <w:rPr>
                      <w:rFonts w:hAnsi="宋体"/>
                      <w:b/>
                      <w:szCs w:val="21"/>
                      <w:u w:val="single"/>
                    </w:rPr>
                    <w:t>有效收集，并采用袋式除尘等高效除尘技术；</w:t>
                  </w:r>
                </w:p>
              </w:tc>
              <w:tc>
                <w:tcPr>
                  <w:tcW w:w="1722" w:type="pct"/>
                  <w:vAlign w:val="center"/>
                </w:tcPr>
                <w:p>
                  <w:pPr>
                    <w:spacing w:line="400" w:lineRule="exact"/>
                    <w:rPr>
                      <w:b/>
                      <w:szCs w:val="21"/>
                      <w:u w:val="single"/>
                    </w:rPr>
                  </w:pPr>
                  <w:r>
                    <w:rPr>
                      <w:rFonts w:hint="eastAsia" w:hAnsi="宋体"/>
                      <w:b/>
                      <w:szCs w:val="21"/>
                      <w:u w:val="single"/>
                    </w:rPr>
                    <w:t>本项目不涉及粉状物料，颗粒料搅拌粉尘经搅拌罐呼吸孔进入布袋除尘器内进行处理</w:t>
                  </w:r>
                </w:p>
              </w:tc>
              <w:tc>
                <w:tcPr>
                  <w:tcW w:w="438" w:type="pct"/>
                  <w:vAlign w:val="center"/>
                </w:tcPr>
                <w:p>
                  <w:pPr>
                    <w:spacing w:line="400" w:lineRule="exact"/>
                    <w:jc w:val="center"/>
                    <w:rPr>
                      <w:b/>
                      <w:bCs/>
                      <w:szCs w:val="21"/>
                      <w:u w:val="single"/>
                    </w:rPr>
                  </w:pPr>
                  <w:r>
                    <w:rPr>
                      <w:rFonts w:hAnsi="宋体"/>
                      <w:b/>
                      <w:bCs/>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Merge w:val="continue"/>
                  <w:vAlign w:val="center"/>
                </w:tcPr>
                <w:p>
                  <w:pPr>
                    <w:spacing w:line="400" w:lineRule="exact"/>
                    <w:jc w:val="center"/>
                    <w:rPr>
                      <w:b/>
                      <w:szCs w:val="21"/>
                      <w:u w:val="single"/>
                    </w:rPr>
                  </w:pPr>
                </w:p>
              </w:tc>
              <w:tc>
                <w:tcPr>
                  <w:tcW w:w="2351" w:type="pct"/>
                  <w:vAlign w:val="center"/>
                </w:tcPr>
                <w:p>
                  <w:pPr>
                    <w:spacing w:line="400" w:lineRule="exact"/>
                    <w:rPr>
                      <w:b/>
                      <w:szCs w:val="21"/>
                      <w:u w:val="single"/>
                    </w:rPr>
                  </w:pPr>
                  <w:r>
                    <w:rPr>
                      <w:b/>
                      <w:szCs w:val="21"/>
                      <w:u w:val="single"/>
                    </w:rPr>
                    <w:t>4</w:t>
                  </w:r>
                  <w:r>
                    <w:rPr>
                      <w:rFonts w:hAnsi="宋体"/>
                      <w:b/>
                      <w:szCs w:val="21"/>
                      <w:u w:val="single"/>
                    </w:rPr>
                    <w:t>、废吸附剂应密闭的包装袋或容器储存、转运，并建立储存、处置台账；</w:t>
                  </w:r>
                </w:p>
              </w:tc>
              <w:tc>
                <w:tcPr>
                  <w:tcW w:w="1722" w:type="pct"/>
                  <w:vAlign w:val="center"/>
                </w:tcPr>
                <w:p>
                  <w:pPr>
                    <w:spacing w:line="400" w:lineRule="exact"/>
                    <w:rPr>
                      <w:b/>
                      <w:szCs w:val="21"/>
                      <w:u w:val="single"/>
                    </w:rPr>
                  </w:pPr>
                  <w:r>
                    <w:rPr>
                      <w:rFonts w:hAnsi="宋体"/>
                      <w:b/>
                      <w:szCs w:val="21"/>
                      <w:u w:val="single"/>
                    </w:rPr>
                    <w:t>本项目废活性炭经覆膜编织袋包装后暂存于危废间，并建立储存、处置台账；</w:t>
                  </w:r>
                </w:p>
              </w:tc>
              <w:tc>
                <w:tcPr>
                  <w:tcW w:w="438" w:type="pct"/>
                  <w:vAlign w:val="center"/>
                </w:tcPr>
                <w:p>
                  <w:pPr>
                    <w:spacing w:line="400" w:lineRule="exact"/>
                    <w:jc w:val="center"/>
                    <w:rPr>
                      <w:b/>
                      <w:bCs/>
                      <w:szCs w:val="21"/>
                      <w:u w:val="single"/>
                    </w:rPr>
                  </w:pPr>
                  <w:r>
                    <w:rPr>
                      <w:rFonts w:hAnsi="宋体"/>
                      <w:b/>
                      <w:bCs/>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Merge w:val="continue"/>
                  <w:vAlign w:val="center"/>
                </w:tcPr>
                <w:p>
                  <w:pPr>
                    <w:spacing w:line="400" w:lineRule="exact"/>
                    <w:jc w:val="center"/>
                    <w:rPr>
                      <w:b/>
                      <w:szCs w:val="21"/>
                      <w:u w:val="single"/>
                    </w:rPr>
                  </w:pPr>
                </w:p>
              </w:tc>
              <w:tc>
                <w:tcPr>
                  <w:tcW w:w="2351" w:type="pct"/>
                  <w:vAlign w:val="center"/>
                </w:tcPr>
                <w:p>
                  <w:pPr>
                    <w:spacing w:line="400" w:lineRule="exact"/>
                    <w:rPr>
                      <w:b/>
                      <w:szCs w:val="21"/>
                      <w:u w:val="single"/>
                    </w:rPr>
                  </w:pPr>
                  <w:r>
                    <w:rPr>
                      <w:b/>
                      <w:szCs w:val="21"/>
                      <w:u w:val="single"/>
                    </w:rPr>
                    <w:t>5</w:t>
                  </w:r>
                  <w:r>
                    <w:rPr>
                      <w:rFonts w:hAnsi="宋体"/>
                      <w:b/>
                      <w:szCs w:val="21"/>
                      <w:u w:val="single"/>
                    </w:rPr>
                    <w:t>、</w:t>
                  </w:r>
                  <w:r>
                    <w:rPr>
                      <w:b/>
                      <w:szCs w:val="21"/>
                      <w:u w:val="single"/>
                    </w:rPr>
                    <w:t xml:space="preserve">NOx </w:t>
                  </w:r>
                  <w:r>
                    <w:rPr>
                      <w:rFonts w:hAnsi="宋体"/>
                      <w:b/>
                      <w:szCs w:val="21"/>
                      <w:u w:val="single"/>
                    </w:rPr>
                    <w:t>治理采用低氮燃烧、</w:t>
                  </w:r>
                  <w:r>
                    <w:rPr>
                      <w:b/>
                      <w:szCs w:val="21"/>
                      <w:u w:val="single"/>
                    </w:rPr>
                    <w:t xml:space="preserve">SNCR/SCR </w:t>
                  </w:r>
                  <w:r>
                    <w:rPr>
                      <w:rFonts w:hAnsi="宋体"/>
                      <w:b/>
                      <w:szCs w:val="21"/>
                      <w:u w:val="single"/>
                    </w:rPr>
                    <w:t>等适宜技术。</w:t>
                  </w:r>
                </w:p>
              </w:tc>
              <w:tc>
                <w:tcPr>
                  <w:tcW w:w="1722" w:type="pct"/>
                  <w:vAlign w:val="center"/>
                </w:tcPr>
                <w:p>
                  <w:pPr>
                    <w:spacing w:line="400" w:lineRule="exact"/>
                    <w:rPr>
                      <w:b/>
                      <w:szCs w:val="21"/>
                      <w:u w:val="single"/>
                    </w:rPr>
                  </w:pPr>
                  <w:r>
                    <w:rPr>
                      <w:rFonts w:hAnsi="宋体"/>
                      <w:b/>
                      <w:szCs w:val="21"/>
                      <w:u w:val="single"/>
                    </w:rPr>
                    <w:t>不涉及</w:t>
                  </w:r>
                </w:p>
              </w:tc>
              <w:tc>
                <w:tcPr>
                  <w:tcW w:w="438" w:type="pct"/>
                  <w:vAlign w:val="center"/>
                </w:tcPr>
                <w:p>
                  <w:pPr>
                    <w:spacing w:line="400" w:lineRule="exact"/>
                    <w:jc w:val="center"/>
                    <w:rPr>
                      <w:b/>
                      <w:bCs/>
                      <w:szCs w:val="21"/>
                      <w:u w:val="single"/>
                    </w:rPr>
                  </w:pPr>
                  <w:r>
                    <w:rPr>
                      <w:rFonts w:hAnsi="宋体"/>
                      <w:b/>
                      <w:bCs/>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Merge w:val="restart"/>
                  <w:vAlign w:val="center"/>
                </w:tcPr>
                <w:p>
                  <w:pPr>
                    <w:spacing w:line="400" w:lineRule="exact"/>
                    <w:jc w:val="center"/>
                    <w:rPr>
                      <w:b/>
                      <w:szCs w:val="21"/>
                      <w:highlight w:val="yellow"/>
                      <w:u w:val="single"/>
                    </w:rPr>
                  </w:pPr>
                  <w:r>
                    <w:rPr>
                      <w:rFonts w:hAnsi="宋体"/>
                      <w:b/>
                      <w:szCs w:val="21"/>
                      <w:u w:val="single"/>
                    </w:rPr>
                    <w:t>无组织管控</w:t>
                  </w:r>
                </w:p>
              </w:tc>
              <w:tc>
                <w:tcPr>
                  <w:tcW w:w="2351" w:type="pct"/>
                  <w:vAlign w:val="center"/>
                </w:tcPr>
                <w:p>
                  <w:pPr>
                    <w:spacing w:line="400" w:lineRule="exact"/>
                    <w:rPr>
                      <w:b/>
                      <w:szCs w:val="21"/>
                      <w:highlight w:val="yellow"/>
                      <w:u w:val="single"/>
                    </w:rPr>
                  </w:pPr>
                  <w:r>
                    <w:rPr>
                      <w:b/>
                      <w:szCs w:val="21"/>
                      <w:u w:val="single"/>
                    </w:rPr>
                    <w:t xml:space="preserve">1.VOCs </w:t>
                  </w:r>
                  <w:r>
                    <w:rPr>
                      <w:rFonts w:hAnsi="宋体"/>
                      <w:b/>
                      <w:szCs w:val="21"/>
                      <w:u w:val="single"/>
                    </w:rPr>
                    <w:t>物料存储于密闭的容器、包装袋、储罐、储库、料仓中；盛装</w:t>
                  </w:r>
                  <w:r>
                    <w:rPr>
                      <w:b/>
                      <w:szCs w:val="21"/>
                      <w:u w:val="single"/>
                    </w:rPr>
                    <w:t xml:space="preserve"> VOCs </w:t>
                  </w:r>
                  <w:r>
                    <w:rPr>
                      <w:rFonts w:hAnsi="宋体"/>
                      <w:b/>
                      <w:szCs w:val="21"/>
                      <w:u w:val="single"/>
                    </w:rPr>
                    <w:t>物料的容器或包装袋存放于室内；盛装</w:t>
                  </w:r>
                  <w:r>
                    <w:rPr>
                      <w:b/>
                      <w:szCs w:val="21"/>
                      <w:u w:val="single"/>
                    </w:rPr>
                    <w:t xml:space="preserve"> VOCs </w:t>
                  </w:r>
                  <w:r>
                    <w:rPr>
                      <w:rFonts w:hAnsi="宋体"/>
                      <w:b/>
                      <w:szCs w:val="21"/>
                      <w:u w:val="single"/>
                    </w:rPr>
                    <w:t>物料的容器或包装袋在非取用状态时应加盖、封口，保持密闭；</w:t>
                  </w:r>
                </w:p>
              </w:tc>
              <w:tc>
                <w:tcPr>
                  <w:tcW w:w="1722" w:type="pct"/>
                  <w:vAlign w:val="center"/>
                </w:tcPr>
                <w:p>
                  <w:pPr>
                    <w:spacing w:line="400" w:lineRule="exact"/>
                    <w:rPr>
                      <w:b/>
                      <w:szCs w:val="21"/>
                      <w:highlight w:val="yellow"/>
                      <w:u w:val="single"/>
                    </w:rPr>
                  </w:pPr>
                  <w:r>
                    <w:rPr>
                      <w:b/>
                      <w:szCs w:val="21"/>
                      <w:u w:val="single"/>
                    </w:rPr>
                    <w:t>1</w:t>
                  </w:r>
                  <w:r>
                    <w:rPr>
                      <w:rFonts w:hAnsi="宋体"/>
                      <w:b/>
                      <w:szCs w:val="21"/>
                      <w:u w:val="single"/>
                    </w:rPr>
                    <w:t>、本项目物料存储于密闭的包装袋内，且存放于室内。</w:t>
                  </w:r>
                </w:p>
              </w:tc>
              <w:tc>
                <w:tcPr>
                  <w:tcW w:w="438" w:type="pct"/>
                  <w:vAlign w:val="center"/>
                </w:tcPr>
                <w:p>
                  <w:pPr>
                    <w:spacing w:line="400" w:lineRule="exact"/>
                    <w:jc w:val="center"/>
                    <w:rPr>
                      <w:b/>
                      <w:szCs w:val="21"/>
                      <w:highlight w:val="yellow"/>
                      <w:u w:val="single"/>
                    </w:rPr>
                  </w:pPr>
                  <w:r>
                    <w:rPr>
                      <w:rFonts w:hAnsi="宋体"/>
                      <w:b/>
                      <w:bCs/>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Merge w:val="continue"/>
                  <w:vAlign w:val="center"/>
                </w:tcPr>
                <w:p>
                  <w:pPr>
                    <w:spacing w:line="400" w:lineRule="exact"/>
                    <w:jc w:val="center"/>
                    <w:rPr>
                      <w:b/>
                      <w:szCs w:val="21"/>
                      <w:u w:val="single"/>
                    </w:rPr>
                  </w:pPr>
                </w:p>
              </w:tc>
              <w:tc>
                <w:tcPr>
                  <w:tcW w:w="2351" w:type="pct"/>
                  <w:vAlign w:val="center"/>
                </w:tcPr>
                <w:p>
                  <w:pPr>
                    <w:spacing w:line="400" w:lineRule="exact"/>
                    <w:rPr>
                      <w:b/>
                      <w:szCs w:val="21"/>
                      <w:u w:val="single"/>
                    </w:rPr>
                  </w:pPr>
                  <w:r>
                    <w:rPr>
                      <w:b/>
                      <w:szCs w:val="21"/>
                      <w:u w:val="single"/>
                    </w:rPr>
                    <w:t>2.</w:t>
                  </w:r>
                  <w:r>
                    <w:rPr>
                      <w:rFonts w:hAnsi="宋体"/>
                      <w:b/>
                      <w:szCs w:val="21"/>
                      <w:u w:val="single"/>
                    </w:rPr>
                    <w:t>粉状物料采用气力输送、管状带式输送机、螺旋输送机等自动化、密闭输送方式；粒状物料采用密闭的包装袋、容器或罐车进行物料转移；液态</w:t>
                  </w:r>
                  <w:r>
                    <w:rPr>
                      <w:b/>
                      <w:szCs w:val="21"/>
                      <w:u w:val="single"/>
                    </w:rPr>
                    <w:t xml:space="preserve"> VOCs </w:t>
                  </w:r>
                  <w:r>
                    <w:rPr>
                      <w:rFonts w:hAnsi="宋体"/>
                      <w:b/>
                      <w:szCs w:val="21"/>
                      <w:u w:val="single"/>
                    </w:rPr>
                    <w:t>物料采用密闭容器或罐车输送；</w:t>
                  </w:r>
                </w:p>
              </w:tc>
              <w:tc>
                <w:tcPr>
                  <w:tcW w:w="1722" w:type="pct"/>
                  <w:vAlign w:val="center"/>
                </w:tcPr>
                <w:p>
                  <w:pPr>
                    <w:spacing w:line="400" w:lineRule="exact"/>
                    <w:rPr>
                      <w:b/>
                      <w:szCs w:val="21"/>
                      <w:u w:val="single"/>
                    </w:rPr>
                  </w:pPr>
                  <w:r>
                    <w:rPr>
                      <w:b/>
                      <w:szCs w:val="21"/>
                      <w:u w:val="single"/>
                    </w:rPr>
                    <w:t>2</w:t>
                  </w:r>
                  <w:r>
                    <w:rPr>
                      <w:rFonts w:hAnsi="宋体"/>
                      <w:b/>
                      <w:szCs w:val="21"/>
                      <w:u w:val="single"/>
                    </w:rPr>
                    <w:t>、本项目</w:t>
                  </w:r>
                  <w:r>
                    <w:rPr>
                      <w:rFonts w:hint="eastAsia" w:hAnsi="宋体"/>
                      <w:b/>
                      <w:szCs w:val="21"/>
                      <w:u w:val="single"/>
                    </w:rPr>
                    <w:t>不涉及粉状物料和液态物料，</w:t>
                  </w:r>
                  <w:r>
                    <w:rPr>
                      <w:rFonts w:hAnsi="宋体"/>
                      <w:b/>
                      <w:szCs w:val="21"/>
                      <w:u w:val="single"/>
                    </w:rPr>
                    <w:t>粒状物料采用密闭的包装袋进行物料转移</w:t>
                  </w:r>
                </w:p>
              </w:tc>
              <w:tc>
                <w:tcPr>
                  <w:tcW w:w="438" w:type="pct"/>
                  <w:vAlign w:val="center"/>
                </w:tcPr>
                <w:p>
                  <w:pPr>
                    <w:spacing w:line="400" w:lineRule="exact"/>
                    <w:jc w:val="center"/>
                    <w:rPr>
                      <w:b/>
                      <w:bCs/>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Merge w:val="continue"/>
                  <w:vAlign w:val="center"/>
                </w:tcPr>
                <w:p>
                  <w:pPr>
                    <w:spacing w:line="400" w:lineRule="exact"/>
                    <w:jc w:val="center"/>
                    <w:rPr>
                      <w:b/>
                      <w:szCs w:val="21"/>
                      <w:u w:val="single"/>
                    </w:rPr>
                  </w:pPr>
                </w:p>
              </w:tc>
              <w:tc>
                <w:tcPr>
                  <w:tcW w:w="2351" w:type="pct"/>
                  <w:vAlign w:val="center"/>
                </w:tcPr>
                <w:p>
                  <w:pPr>
                    <w:spacing w:line="400" w:lineRule="exact"/>
                    <w:rPr>
                      <w:b/>
                      <w:szCs w:val="21"/>
                      <w:u w:val="single"/>
                    </w:rPr>
                  </w:pPr>
                  <w:r>
                    <w:rPr>
                      <w:b/>
                      <w:szCs w:val="21"/>
                      <w:u w:val="single"/>
                    </w:rPr>
                    <w:t>3.</w:t>
                  </w:r>
                  <w:r>
                    <w:rPr>
                      <w:rFonts w:hAnsi="宋体"/>
                      <w:b/>
                      <w:szCs w:val="21"/>
                      <w:u w:val="single"/>
                    </w:rPr>
                    <w:t>产生</w:t>
                  </w:r>
                  <w:r>
                    <w:rPr>
                      <w:b/>
                      <w:szCs w:val="21"/>
                      <w:u w:val="single"/>
                    </w:rPr>
                    <w:t xml:space="preserve"> VOCs </w:t>
                  </w:r>
                  <w:r>
                    <w:rPr>
                      <w:rFonts w:hAnsi="宋体"/>
                      <w:b/>
                      <w:szCs w:val="21"/>
                      <w:u w:val="single"/>
                    </w:rPr>
                    <w:t>的生产工序和装置应设置有效集气装置并引至</w:t>
                  </w:r>
                  <w:r>
                    <w:rPr>
                      <w:b/>
                      <w:szCs w:val="21"/>
                      <w:u w:val="single"/>
                    </w:rPr>
                    <w:t xml:space="preserve">VOCs </w:t>
                  </w:r>
                  <w:r>
                    <w:rPr>
                      <w:rFonts w:hAnsi="宋体"/>
                      <w:b/>
                      <w:szCs w:val="21"/>
                      <w:u w:val="single"/>
                    </w:rPr>
                    <w:t>末端处理设施；</w:t>
                  </w:r>
                </w:p>
              </w:tc>
              <w:tc>
                <w:tcPr>
                  <w:tcW w:w="1722" w:type="pct"/>
                  <w:vAlign w:val="center"/>
                </w:tcPr>
                <w:p>
                  <w:pPr>
                    <w:spacing w:line="400" w:lineRule="exact"/>
                    <w:rPr>
                      <w:b/>
                      <w:szCs w:val="21"/>
                      <w:u w:val="single"/>
                    </w:rPr>
                  </w:pPr>
                  <w:r>
                    <w:rPr>
                      <w:rFonts w:hAnsi="宋体"/>
                      <w:b/>
                      <w:szCs w:val="21"/>
                      <w:u w:val="single"/>
                    </w:rPr>
                    <w:t>本项目在</w:t>
                  </w:r>
                  <w:r>
                    <w:rPr>
                      <w:rFonts w:hint="eastAsia" w:hAnsi="宋体"/>
                      <w:b/>
                      <w:szCs w:val="21"/>
                      <w:u w:val="single"/>
                    </w:rPr>
                    <w:t>覆膜</w:t>
                  </w:r>
                  <w:r>
                    <w:rPr>
                      <w:rFonts w:hAnsi="宋体"/>
                      <w:b/>
                      <w:szCs w:val="21"/>
                      <w:u w:val="single"/>
                    </w:rPr>
                    <w:t>废气产生点设置集气罩</w:t>
                  </w:r>
                  <w:r>
                    <w:rPr>
                      <w:rFonts w:hint="eastAsia" w:hAnsi="宋体"/>
                      <w:b/>
                      <w:szCs w:val="21"/>
                      <w:u w:val="single"/>
                    </w:rPr>
                    <w:t>（集气罩完全覆盖覆膜点位）</w:t>
                  </w:r>
                  <w:r>
                    <w:rPr>
                      <w:rFonts w:hAnsi="宋体"/>
                      <w:b/>
                      <w:szCs w:val="21"/>
                      <w:u w:val="single"/>
                    </w:rPr>
                    <w:t>，</w:t>
                  </w:r>
                  <w:r>
                    <w:rPr>
                      <w:rFonts w:hAnsi="宋体"/>
                      <w:b/>
                      <w:bCs/>
                      <w:u w:val="single"/>
                    </w:rPr>
                    <w:t>后</w:t>
                  </w:r>
                  <w:r>
                    <w:rPr>
                      <w:rFonts w:hAnsi="宋体"/>
                      <w:b/>
                      <w:szCs w:val="21"/>
                      <w:u w:val="single"/>
                    </w:rPr>
                    <w:t>引入</w:t>
                  </w:r>
                  <w:r>
                    <w:rPr>
                      <w:rFonts w:hint="eastAsia"/>
                      <w:b/>
                      <w:szCs w:val="21"/>
                      <w:u w:val="single"/>
                    </w:rPr>
                    <w:t>UV光氧</w:t>
                  </w:r>
                  <w:r>
                    <w:rPr>
                      <w:b/>
                      <w:szCs w:val="21"/>
                      <w:u w:val="single"/>
                    </w:rPr>
                    <w:t>+</w:t>
                  </w:r>
                  <w:r>
                    <w:rPr>
                      <w:rFonts w:hAnsi="宋体"/>
                      <w:b/>
                      <w:szCs w:val="21"/>
                      <w:u w:val="single"/>
                    </w:rPr>
                    <w:t>活性氧装置进行处理</w:t>
                  </w:r>
                </w:p>
              </w:tc>
              <w:tc>
                <w:tcPr>
                  <w:tcW w:w="438" w:type="pct"/>
                  <w:vAlign w:val="center"/>
                </w:tcPr>
                <w:p>
                  <w:pPr>
                    <w:spacing w:line="400" w:lineRule="exact"/>
                    <w:jc w:val="center"/>
                    <w:rPr>
                      <w:b/>
                      <w:bCs/>
                      <w:szCs w:val="21"/>
                      <w:u w:val="single"/>
                    </w:rPr>
                  </w:pPr>
                  <w:r>
                    <w:rPr>
                      <w:rFonts w:hAnsi="宋体"/>
                      <w:b/>
                      <w:bCs/>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Merge w:val="continue"/>
                  <w:vAlign w:val="center"/>
                </w:tcPr>
                <w:p>
                  <w:pPr>
                    <w:spacing w:line="400" w:lineRule="exact"/>
                    <w:jc w:val="center"/>
                    <w:rPr>
                      <w:b/>
                      <w:szCs w:val="21"/>
                      <w:u w:val="single"/>
                    </w:rPr>
                  </w:pPr>
                </w:p>
              </w:tc>
              <w:tc>
                <w:tcPr>
                  <w:tcW w:w="2351" w:type="pct"/>
                  <w:vAlign w:val="center"/>
                </w:tcPr>
                <w:p>
                  <w:pPr>
                    <w:spacing w:line="400" w:lineRule="exact"/>
                    <w:rPr>
                      <w:b/>
                      <w:szCs w:val="21"/>
                      <w:u w:val="single"/>
                    </w:rPr>
                  </w:pPr>
                  <w:r>
                    <w:rPr>
                      <w:b/>
                      <w:szCs w:val="21"/>
                      <w:u w:val="single"/>
                    </w:rPr>
                    <w:t>4.</w:t>
                  </w:r>
                  <w:r>
                    <w:rPr>
                      <w:rFonts w:hAnsi="宋体"/>
                      <w:b/>
                      <w:szCs w:val="21"/>
                      <w:u w:val="single"/>
                    </w:rPr>
                    <w:t>厂区道路及车间地面硬化，车间地面、墙壁、设备顶部整洁无积尘；厂内地面全部硬化或绿化，无成片裸露土地。</w:t>
                  </w:r>
                </w:p>
              </w:tc>
              <w:tc>
                <w:tcPr>
                  <w:tcW w:w="1722" w:type="pct"/>
                  <w:vAlign w:val="center"/>
                </w:tcPr>
                <w:p>
                  <w:pPr>
                    <w:spacing w:line="400" w:lineRule="exact"/>
                    <w:rPr>
                      <w:b/>
                      <w:szCs w:val="21"/>
                      <w:u w:val="single"/>
                    </w:rPr>
                  </w:pPr>
                  <w:r>
                    <w:rPr>
                      <w:rFonts w:hAnsi="宋体"/>
                      <w:b/>
                      <w:szCs w:val="21"/>
                      <w:u w:val="single"/>
                    </w:rPr>
                    <w:t>本项目厂区干净整洁，厂区道路及车间地面硬化，车间地面、墙壁、设备顶部整洁无积尘；厂内地面全部硬化或绿化，无成片裸露土地。</w:t>
                  </w:r>
                </w:p>
              </w:tc>
              <w:tc>
                <w:tcPr>
                  <w:tcW w:w="438" w:type="pct"/>
                  <w:vAlign w:val="center"/>
                </w:tcPr>
                <w:p>
                  <w:pPr>
                    <w:spacing w:line="400" w:lineRule="exact"/>
                    <w:jc w:val="center"/>
                    <w:rPr>
                      <w:b/>
                      <w:bCs/>
                      <w:szCs w:val="21"/>
                      <w:u w:val="single"/>
                    </w:rPr>
                  </w:pPr>
                  <w:r>
                    <w:rPr>
                      <w:rFonts w:hAnsi="宋体"/>
                      <w:b/>
                      <w:bCs/>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Merge w:val="restart"/>
                  <w:vAlign w:val="center"/>
                </w:tcPr>
                <w:p>
                  <w:pPr>
                    <w:spacing w:line="400" w:lineRule="exact"/>
                    <w:jc w:val="center"/>
                    <w:rPr>
                      <w:b/>
                      <w:szCs w:val="21"/>
                      <w:u w:val="single"/>
                    </w:rPr>
                  </w:pPr>
                  <w:r>
                    <w:rPr>
                      <w:rFonts w:hAnsi="宋体"/>
                      <w:b/>
                      <w:szCs w:val="21"/>
                      <w:u w:val="single"/>
                    </w:rPr>
                    <w:t>排放限值</w:t>
                  </w:r>
                </w:p>
              </w:tc>
              <w:tc>
                <w:tcPr>
                  <w:tcW w:w="2351" w:type="pct"/>
                  <w:vAlign w:val="center"/>
                </w:tcPr>
                <w:p>
                  <w:pPr>
                    <w:spacing w:line="400" w:lineRule="exact"/>
                    <w:rPr>
                      <w:b/>
                      <w:szCs w:val="21"/>
                      <w:u w:val="single"/>
                    </w:rPr>
                  </w:pPr>
                  <w:r>
                    <w:rPr>
                      <w:b/>
                      <w:szCs w:val="21"/>
                      <w:u w:val="single"/>
                    </w:rPr>
                    <w:t>1.</w:t>
                  </w:r>
                  <w:r>
                    <w:rPr>
                      <w:rFonts w:hAnsi="宋体"/>
                      <w:b/>
                      <w:szCs w:val="21"/>
                      <w:u w:val="single"/>
                    </w:rPr>
                    <w:t>全厂有组织</w:t>
                  </w:r>
                  <w:r>
                    <w:rPr>
                      <w:b/>
                      <w:szCs w:val="21"/>
                      <w:u w:val="single"/>
                    </w:rPr>
                    <w:t xml:space="preserve"> PM</w:t>
                  </w:r>
                  <w:r>
                    <w:rPr>
                      <w:rFonts w:hAnsi="宋体"/>
                      <w:b/>
                      <w:szCs w:val="21"/>
                      <w:u w:val="single"/>
                    </w:rPr>
                    <w:t>、</w:t>
                  </w:r>
                  <w:r>
                    <w:rPr>
                      <w:b/>
                      <w:szCs w:val="21"/>
                      <w:u w:val="single"/>
                    </w:rPr>
                    <w:t>NMHC</w:t>
                  </w:r>
                  <w:r>
                    <w:rPr>
                      <w:rFonts w:hAnsi="宋体"/>
                      <w:b/>
                      <w:szCs w:val="21"/>
                      <w:u w:val="single"/>
                    </w:rPr>
                    <w:t>有组织排放浓度分别不高于</w:t>
                  </w:r>
                  <w:r>
                    <w:rPr>
                      <w:b/>
                      <w:szCs w:val="21"/>
                      <w:u w:val="single"/>
                    </w:rPr>
                    <w:t xml:space="preserve"> 10</w:t>
                  </w:r>
                  <w:r>
                    <w:rPr>
                      <w:rFonts w:hAnsi="宋体"/>
                      <w:b/>
                      <w:szCs w:val="21"/>
                      <w:u w:val="single"/>
                    </w:rPr>
                    <w:t>、</w:t>
                  </w:r>
                  <w:r>
                    <w:rPr>
                      <w:b/>
                      <w:szCs w:val="21"/>
                      <w:u w:val="single"/>
                    </w:rPr>
                    <w:t>30mg/m</w:t>
                  </w:r>
                  <w:r>
                    <w:rPr>
                      <w:b/>
                      <w:szCs w:val="21"/>
                      <w:u w:val="single"/>
                      <w:vertAlign w:val="superscript"/>
                    </w:rPr>
                    <w:t>3</w:t>
                  </w:r>
                  <w:r>
                    <w:rPr>
                      <w:rFonts w:hAnsi="宋体"/>
                      <w:b/>
                      <w:szCs w:val="21"/>
                      <w:u w:val="single"/>
                    </w:rPr>
                    <w:t>；</w:t>
                  </w:r>
                </w:p>
              </w:tc>
              <w:tc>
                <w:tcPr>
                  <w:tcW w:w="1722" w:type="pct"/>
                  <w:vAlign w:val="center"/>
                </w:tcPr>
                <w:p>
                  <w:pPr>
                    <w:spacing w:line="400" w:lineRule="exact"/>
                    <w:jc w:val="left"/>
                    <w:rPr>
                      <w:b/>
                      <w:szCs w:val="21"/>
                      <w:highlight w:val="yellow"/>
                      <w:u w:val="single"/>
                    </w:rPr>
                  </w:pPr>
                  <w:r>
                    <w:rPr>
                      <w:rFonts w:hAnsi="宋体"/>
                      <w:b/>
                      <w:szCs w:val="21"/>
                      <w:u w:val="single"/>
                    </w:rPr>
                    <w:t>项目运营后，</w:t>
                  </w:r>
                  <w:r>
                    <w:rPr>
                      <w:b/>
                      <w:szCs w:val="21"/>
                      <w:u w:val="single"/>
                    </w:rPr>
                    <w:t>PM</w:t>
                  </w:r>
                  <w:r>
                    <w:rPr>
                      <w:rFonts w:hint="eastAsia" w:hAnsi="宋体"/>
                      <w:b/>
                      <w:szCs w:val="21"/>
                      <w:u w:val="single"/>
                    </w:rPr>
                    <w:t>、</w:t>
                  </w:r>
                  <w:r>
                    <w:rPr>
                      <w:b/>
                      <w:szCs w:val="21"/>
                      <w:u w:val="single"/>
                    </w:rPr>
                    <w:t>NMHC</w:t>
                  </w:r>
                  <w:r>
                    <w:rPr>
                      <w:rFonts w:hAnsi="宋体"/>
                      <w:b/>
                      <w:szCs w:val="21"/>
                      <w:u w:val="single"/>
                    </w:rPr>
                    <w:t>达标排放</w:t>
                  </w:r>
                </w:p>
              </w:tc>
              <w:tc>
                <w:tcPr>
                  <w:tcW w:w="438" w:type="pct"/>
                  <w:vAlign w:val="center"/>
                </w:tcPr>
                <w:p>
                  <w:pPr>
                    <w:spacing w:line="400" w:lineRule="exact"/>
                    <w:jc w:val="center"/>
                    <w:rPr>
                      <w:b/>
                      <w:szCs w:val="21"/>
                      <w:highlight w:val="yellow"/>
                      <w:u w:val="single"/>
                    </w:rPr>
                  </w:pPr>
                  <w:r>
                    <w:rPr>
                      <w:rFonts w:hAnsi="宋体"/>
                      <w:b/>
                      <w:bCs/>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Merge w:val="continue"/>
                  <w:vAlign w:val="center"/>
                </w:tcPr>
                <w:p>
                  <w:pPr>
                    <w:spacing w:line="400" w:lineRule="exact"/>
                    <w:jc w:val="center"/>
                    <w:rPr>
                      <w:b/>
                      <w:szCs w:val="21"/>
                      <w:u w:val="single"/>
                    </w:rPr>
                  </w:pPr>
                </w:p>
              </w:tc>
              <w:tc>
                <w:tcPr>
                  <w:tcW w:w="2351" w:type="pct"/>
                  <w:vAlign w:val="center"/>
                </w:tcPr>
                <w:p>
                  <w:pPr>
                    <w:spacing w:line="400" w:lineRule="exact"/>
                    <w:rPr>
                      <w:b/>
                      <w:szCs w:val="21"/>
                      <w:u w:val="single"/>
                    </w:rPr>
                  </w:pPr>
                  <w:r>
                    <w:rPr>
                      <w:b/>
                      <w:szCs w:val="21"/>
                      <w:u w:val="single"/>
                    </w:rPr>
                    <w:t xml:space="preserve">2.VOCs </w:t>
                  </w:r>
                  <w:r>
                    <w:rPr>
                      <w:rFonts w:hAnsi="宋体"/>
                      <w:b/>
                      <w:szCs w:val="21"/>
                      <w:u w:val="single"/>
                    </w:rPr>
                    <w:t>治理设施同步运行率和去除率分别达到</w:t>
                  </w:r>
                  <w:r>
                    <w:rPr>
                      <w:b/>
                      <w:szCs w:val="21"/>
                      <w:u w:val="single"/>
                    </w:rPr>
                    <w:t xml:space="preserve"> 100%</w:t>
                  </w:r>
                  <w:r>
                    <w:rPr>
                      <w:rFonts w:hAnsi="宋体"/>
                      <w:b/>
                      <w:szCs w:val="21"/>
                      <w:u w:val="single"/>
                    </w:rPr>
                    <w:t>和</w:t>
                  </w:r>
                  <w:r>
                    <w:rPr>
                      <w:b/>
                      <w:szCs w:val="21"/>
                      <w:u w:val="single"/>
                    </w:rPr>
                    <w:t xml:space="preserve"> 80%</w:t>
                  </w:r>
                  <w:r>
                    <w:rPr>
                      <w:rFonts w:hAnsi="宋体"/>
                      <w:b/>
                      <w:szCs w:val="21"/>
                      <w:u w:val="single"/>
                    </w:rPr>
                    <w:t>；去除率确实达不到的，生产车间或生产设备的无组织排放监控点</w:t>
                  </w:r>
                  <w:r>
                    <w:rPr>
                      <w:b/>
                      <w:szCs w:val="21"/>
                      <w:u w:val="single"/>
                    </w:rPr>
                    <w:t xml:space="preserve"> NMHC</w:t>
                  </w:r>
                  <w:r>
                    <w:rPr>
                      <w:rFonts w:hAnsi="宋体"/>
                      <w:b/>
                      <w:szCs w:val="21"/>
                      <w:u w:val="single"/>
                    </w:rPr>
                    <w:t>浓度低于</w:t>
                  </w:r>
                  <w:r>
                    <w:rPr>
                      <w:b/>
                      <w:szCs w:val="21"/>
                      <w:u w:val="single"/>
                    </w:rPr>
                    <w:t xml:space="preserve"> 4mg/m³</w:t>
                  </w:r>
                  <w:r>
                    <w:rPr>
                      <w:rFonts w:hAnsi="宋体"/>
                      <w:b/>
                      <w:szCs w:val="21"/>
                      <w:u w:val="single"/>
                    </w:rPr>
                    <w:t>，企业边界</w:t>
                  </w:r>
                  <w:r>
                    <w:rPr>
                      <w:b/>
                      <w:szCs w:val="21"/>
                      <w:u w:val="single"/>
                    </w:rPr>
                    <w:t xml:space="preserve"> 1hNMHC </w:t>
                  </w:r>
                  <w:r>
                    <w:rPr>
                      <w:rFonts w:hAnsi="宋体"/>
                      <w:b/>
                      <w:szCs w:val="21"/>
                      <w:u w:val="single"/>
                    </w:rPr>
                    <w:t>平均浓度低于</w:t>
                  </w:r>
                  <w:r>
                    <w:rPr>
                      <w:b/>
                      <w:szCs w:val="21"/>
                      <w:u w:val="single"/>
                    </w:rPr>
                    <w:t>2mg/m³</w:t>
                  </w:r>
                  <w:r>
                    <w:rPr>
                      <w:rFonts w:hAnsi="宋体"/>
                      <w:b/>
                      <w:szCs w:val="21"/>
                      <w:u w:val="single"/>
                    </w:rPr>
                    <w:t>；</w:t>
                  </w:r>
                </w:p>
              </w:tc>
              <w:tc>
                <w:tcPr>
                  <w:tcW w:w="1722" w:type="pct"/>
                  <w:vAlign w:val="center"/>
                </w:tcPr>
                <w:p>
                  <w:pPr>
                    <w:spacing w:line="400" w:lineRule="exact"/>
                    <w:jc w:val="left"/>
                    <w:rPr>
                      <w:b/>
                      <w:szCs w:val="21"/>
                      <w:u w:val="single"/>
                    </w:rPr>
                  </w:pPr>
                  <w:r>
                    <w:rPr>
                      <w:b/>
                      <w:szCs w:val="21"/>
                      <w:u w:val="single"/>
                    </w:rPr>
                    <w:t>VOCs</w:t>
                  </w:r>
                  <w:r>
                    <w:rPr>
                      <w:rFonts w:hAnsi="宋体"/>
                      <w:b/>
                      <w:szCs w:val="21"/>
                      <w:u w:val="single"/>
                    </w:rPr>
                    <w:t>治理设施按要求同步运行率达到</w:t>
                  </w:r>
                  <w:r>
                    <w:rPr>
                      <w:b/>
                      <w:szCs w:val="21"/>
                      <w:u w:val="single"/>
                    </w:rPr>
                    <w:t>100%</w:t>
                  </w:r>
                  <w:r>
                    <w:rPr>
                      <w:rFonts w:hAnsi="宋体"/>
                      <w:b/>
                      <w:szCs w:val="21"/>
                      <w:u w:val="single"/>
                    </w:rPr>
                    <w:t>，去除达到</w:t>
                  </w:r>
                  <w:r>
                    <w:rPr>
                      <w:b/>
                      <w:szCs w:val="21"/>
                      <w:u w:val="single"/>
                    </w:rPr>
                    <w:t>80%</w:t>
                  </w:r>
                </w:p>
              </w:tc>
              <w:tc>
                <w:tcPr>
                  <w:tcW w:w="438" w:type="pct"/>
                  <w:vAlign w:val="center"/>
                </w:tcPr>
                <w:p>
                  <w:pPr>
                    <w:spacing w:line="400" w:lineRule="exact"/>
                    <w:jc w:val="center"/>
                    <w:rPr>
                      <w:b/>
                      <w:bCs/>
                      <w:szCs w:val="21"/>
                      <w:u w:val="single"/>
                    </w:rPr>
                  </w:pPr>
                  <w:r>
                    <w:rPr>
                      <w:rFonts w:hAnsi="宋体"/>
                      <w:b/>
                      <w:bCs/>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Merge w:val="continue"/>
                  <w:vAlign w:val="center"/>
                </w:tcPr>
                <w:p>
                  <w:pPr>
                    <w:spacing w:line="400" w:lineRule="exact"/>
                    <w:jc w:val="center"/>
                    <w:rPr>
                      <w:b/>
                      <w:szCs w:val="21"/>
                      <w:u w:val="single"/>
                    </w:rPr>
                  </w:pPr>
                </w:p>
              </w:tc>
              <w:tc>
                <w:tcPr>
                  <w:tcW w:w="2351" w:type="pct"/>
                  <w:vAlign w:val="center"/>
                </w:tcPr>
                <w:p>
                  <w:pPr>
                    <w:spacing w:line="400" w:lineRule="exact"/>
                    <w:rPr>
                      <w:b/>
                      <w:szCs w:val="21"/>
                      <w:u w:val="single"/>
                    </w:rPr>
                  </w:pPr>
                  <w:r>
                    <w:rPr>
                      <w:b/>
                      <w:szCs w:val="21"/>
                      <w:u w:val="single"/>
                    </w:rPr>
                    <w:t>3.</w:t>
                  </w:r>
                  <w:r>
                    <w:rPr>
                      <w:rFonts w:hAnsi="宋体"/>
                      <w:b/>
                      <w:szCs w:val="21"/>
                      <w:u w:val="single"/>
                    </w:rPr>
                    <w:t>锅炉烟气排放限值要求：</w:t>
                  </w:r>
                </w:p>
                <w:p>
                  <w:pPr>
                    <w:spacing w:line="400" w:lineRule="exact"/>
                    <w:rPr>
                      <w:b/>
                      <w:szCs w:val="21"/>
                      <w:u w:val="single"/>
                    </w:rPr>
                  </w:pPr>
                  <w:r>
                    <w:rPr>
                      <w:rFonts w:hAnsi="宋体"/>
                      <w:b/>
                      <w:szCs w:val="21"/>
                      <w:u w:val="single"/>
                    </w:rPr>
                    <w:t>（</w:t>
                  </w:r>
                  <w:r>
                    <w:rPr>
                      <w:b/>
                      <w:szCs w:val="21"/>
                      <w:u w:val="single"/>
                    </w:rPr>
                    <w:t>1</w:t>
                  </w:r>
                  <w:r>
                    <w:rPr>
                      <w:rFonts w:hAnsi="宋体"/>
                      <w:b/>
                      <w:szCs w:val="21"/>
                      <w:u w:val="single"/>
                    </w:rPr>
                    <w:t>）</w:t>
                  </w:r>
                  <w:r>
                    <w:rPr>
                      <w:b/>
                      <w:szCs w:val="21"/>
                      <w:u w:val="single"/>
                    </w:rPr>
                    <w:t>PM</w:t>
                  </w:r>
                  <w:r>
                    <w:rPr>
                      <w:rFonts w:hAnsi="宋体"/>
                      <w:b/>
                      <w:szCs w:val="21"/>
                      <w:u w:val="single"/>
                    </w:rPr>
                    <w:t>、</w:t>
                  </w:r>
                  <w:r>
                    <w:rPr>
                      <w:b/>
                      <w:szCs w:val="21"/>
                      <w:u w:val="single"/>
                    </w:rPr>
                    <w:t>SO</w:t>
                  </w:r>
                  <w:r>
                    <w:rPr>
                      <w:b/>
                      <w:szCs w:val="21"/>
                      <w:u w:val="single"/>
                      <w:vertAlign w:val="subscript"/>
                    </w:rPr>
                    <w:t>2</w:t>
                  </w:r>
                  <w:r>
                    <w:rPr>
                      <w:rFonts w:hAnsi="宋体"/>
                      <w:b/>
                      <w:szCs w:val="21"/>
                      <w:u w:val="single"/>
                    </w:rPr>
                    <w:t>、</w:t>
                  </w:r>
                  <w:r>
                    <w:rPr>
                      <w:b/>
                      <w:szCs w:val="21"/>
                      <w:u w:val="single"/>
                    </w:rPr>
                    <w:t>NO</w:t>
                  </w:r>
                  <w:r>
                    <w:rPr>
                      <w:b/>
                      <w:sz w:val="32"/>
                      <w:szCs w:val="32"/>
                      <w:u w:val="single"/>
                      <w:vertAlign w:val="subscript"/>
                    </w:rPr>
                    <w:t>x</w:t>
                  </w:r>
                  <w:r>
                    <w:rPr>
                      <w:b/>
                      <w:szCs w:val="21"/>
                      <w:u w:val="single"/>
                    </w:rPr>
                    <w:t xml:space="preserve"> </w:t>
                  </w:r>
                  <w:r>
                    <w:rPr>
                      <w:rFonts w:hAnsi="宋体"/>
                      <w:b/>
                      <w:szCs w:val="21"/>
                      <w:u w:val="single"/>
                    </w:rPr>
                    <w:t>排放浓度分别不高于：</w:t>
                  </w:r>
                  <w:r>
                    <w:rPr>
                      <w:b/>
                      <w:szCs w:val="21"/>
                      <w:u w:val="single"/>
                    </w:rPr>
                    <w:t xml:space="preserve">a) </w:t>
                  </w:r>
                  <w:r>
                    <w:rPr>
                      <w:rFonts w:hAnsi="宋体"/>
                      <w:b/>
                      <w:szCs w:val="21"/>
                      <w:u w:val="single"/>
                    </w:rPr>
                    <w:t>燃煤</w:t>
                  </w:r>
                  <w:r>
                    <w:rPr>
                      <w:b/>
                      <w:szCs w:val="21"/>
                      <w:u w:val="single"/>
                    </w:rPr>
                    <w:t>/</w:t>
                  </w:r>
                  <w:r>
                    <w:rPr>
                      <w:rFonts w:hAnsi="宋体"/>
                      <w:b/>
                      <w:szCs w:val="21"/>
                      <w:u w:val="single"/>
                    </w:rPr>
                    <w:t>生物质：</w:t>
                  </w:r>
                  <w:r>
                    <w:rPr>
                      <w:b/>
                      <w:szCs w:val="21"/>
                      <w:u w:val="single"/>
                    </w:rPr>
                    <w:t>10</w:t>
                  </w:r>
                  <w:r>
                    <w:rPr>
                      <w:rFonts w:hAnsi="宋体"/>
                      <w:b/>
                      <w:szCs w:val="21"/>
                      <w:u w:val="single"/>
                    </w:rPr>
                    <w:t>、</w:t>
                  </w:r>
                  <w:r>
                    <w:rPr>
                      <w:b/>
                      <w:szCs w:val="21"/>
                      <w:u w:val="single"/>
                    </w:rPr>
                    <w:t>35</w:t>
                  </w:r>
                  <w:r>
                    <w:rPr>
                      <w:rFonts w:hAnsi="宋体"/>
                      <w:b/>
                      <w:szCs w:val="21"/>
                      <w:u w:val="single"/>
                    </w:rPr>
                    <w:t>、</w:t>
                  </w:r>
                  <w:r>
                    <w:rPr>
                      <w:b/>
                      <w:szCs w:val="21"/>
                      <w:u w:val="single"/>
                    </w:rPr>
                    <w:t>50mg/m</w:t>
                  </w:r>
                  <w:r>
                    <w:rPr>
                      <w:b/>
                      <w:szCs w:val="21"/>
                      <w:u w:val="single"/>
                      <w:vertAlign w:val="superscript"/>
                    </w:rPr>
                    <w:t>3</w:t>
                  </w:r>
                </w:p>
                <w:p>
                  <w:pPr>
                    <w:spacing w:line="400" w:lineRule="exact"/>
                    <w:rPr>
                      <w:b/>
                      <w:szCs w:val="21"/>
                      <w:u w:val="single"/>
                    </w:rPr>
                  </w:pPr>
                  <w:r>
                    <w:rPr>
                      <w:b/>
                      <w:szCs w:val="21"/>
                      <w:u w:val="single"/>
                    </w:rPr>
                    <w:t xml:space="preserve">b) </w:t>
                  </w:r>
                  <w:r>
                    <w:rPr>
                      <w:rFonts w:hAnsi="宋体"/>
                      <w:b/>
                      <w:szCs w:val="21"/>
                      <w:u w:val="single"/>
                    </w:rPr>
                    <w:t>燃油：</w:t>
                  </w:r>
                  <w:r>
                    <w:rPr>
                      <w:b/>
                      <w:szCs w:val="21"/>
                      <w:u w:val="single"/>
                    </w:rPr>
                    <w:t>10</w:t>
                  </w:r>
                  <w:r>
                    <w:rPr>
                      <w:rFonts w:hAnsi="宋体"/>
                      <w:b/>
                      <w:szCs w:val="21"/>
                      <w:u w:val="single"/>
                    </w:rPr>
                    <w:t>、</w:t>
                  </w:r>
                  <w:r>
                    <w:rPr>
                      <w:b/>
                      <w:szCs w:val="21"/>
                      <w:u w:val="single"/>
                    </w:rPr>
                    <w:t>20</w:t>
                  </w:r>
                  <w:r>
                    <w:rPr>
                      <w:rFonts w:hAnsi="宋体"/>
                      <w:b/>
                      <w:szCs w:val="21"/>
                      <w:u w:val="single"/>
                    </w:rPr>
                    <w:t>、</w:t>
                  </w:r>
                  <w:r>
                    <w:rPr>
                      <w:b/>
                      <w:szCs w:val="21"/>
                      <w:u w:val="single"/>
                    </w:rPr>
                    <w:t>80mg/m</w:t>
                  </w:r>
                  <w:r>
                    <w:rPr>
                      <w:b/>
                      <w:szCs w:val="21"/>
                      <w:u w:val="single"/>
                      <w:vertAlign w:val="superscript"/>
                    </w:rPr>
                    <w:t>3</w:t>
                  </w:r>
                  <w:r>
                    <w:rPr>
                      <w:rFonts w:hAnsi="宋体"/>
                      <w:b/>
                      <w:szCs w:val="21"/>
                      <w:u w:val="single"/>
                    </w:rPr>
                    <w:t>（基准氧含量：燃油</w:t>
                  </w:r>
                  <w:r>
                    <w:rPr>
                      <w:b/>
                      <w:szCs w:val="21"/>
                      <w:u w:val="single"/>
                    </w:rPr>
                    <w:t xml:space="preserve"> 3.5%</w:t>
                  </w:r>
                  <w:r>
                    <w:rPr>
                      <w:rFonts w:hAnsi="宋体"/>
                      <w:b/>
                      <w:szCs w:val="21"/>
                      <w:u w:val="single"/>
                    </w:rPr>
                    <w:t>，燃煤</w:t>
                  </w:r>
                  <w:r>
                    <w:rPr>
                      <w:b/>
                      <w:szCs w:val="21"/>
                      <w:u w:val="single"/>
                    </w:rPr>
                    <w:t>/</w:t>
                  </w:r>
                  <w:r>
                    <w:rPr>
                      <w:rFonts w:hAnsi="宋体"/>
                      <w:b/>
                      <w:szCs w:val="21"/>
                      <w:u w:val="single"/>
                    </w:rPr>
                    <w:t>生物质</w:t>
                  </w:r>
                  <w:r>
                    <w:rPr>
                      <w:b/>
                      <w:szCs w:val="21"/>
                      <w:u w:val="single"/>
                    </w:rPr>
                    <w:t xml:space="preserve"> 9%</w:t>
                  </w:r>
                  <w:r>
                    <w:rPr>
                      <w:rFonts w:hAnsi="宋体"/>
                      <w:b/>
                      <w:szCs w:val="21"/>
                      <w:u w:val="single"/>
                    </w:rPr>
                    <w:t>）</w:t>
                  </w:r>
                  <w:r>
                    <w:rPr>
                      <w:b/>
                      <w:szCs w:val="21"/>
                      <w:u w:val="single"/>
                    </w:rPr>
                    <w:t xml:space="preserve"> </w:t>
                  </w:r>
                </w:p>
                <w:p>
                  <w:pPr>
                    <w:spacing w:line="400" w:lineRule="exact"/>
                    <w:rPr>
                      <w:b/>
                      <w:szCs w:val="21"/>
                      <w:u w:val="single"/>
                    </w:rPr>
                  </w:pPr>
                  <w:r>
                    <w:rPr>
                      <w:rFonts w:hAnsi="宋体"/>
                      <w:b/>
                      <w:szCs w:val="21"/>
                      <w:u w:val="single"/>
                    </w:rPr>
                    <w:t>（</w:t>
                  </w:r>
                  <w:r>
                    <w:rPr>
                      <w:b/>
                      <w:szCs w:val="21"/>
                      <w:u w:val="single"/>
                    </w:rPr>
                    <w:t>2</w:t>
                  </w:r>
                  <w:r>
                    <w:rPr>
                      <w:rFonts w:hAnsi="宋体"/>
                      <w:b/>
                      <w:szCs w:val="21"/>
                      <w:u w:val="single"/>
                    </w:rPr>
                    <w:t>）氨逃逸排放浓度不高于</w:t>
                  </w:r>
                  <w:r>
                    <w:rPr>
                      <w:b/>
                      <w:szCs w:val="21"/>
                      <w:u w:val="single"/>
                    </w:rPr>
                    <w:t xml:space="preserve"> 8mg/m</w:t>
                  </w:r>
                  <w:r>
                    <w:rPr>
                      <w:b/>
                      <w:szCs w:val="21"/>
                      <w:u w:val="single"/>
                      <w:vertAlign w:val="superscript"/>
                    </w:rPr>
                    <w:t>3</w:t>
                  </w:r>
                  <w:r>
                    <w:rPr>
                      <w:rFonts w:hAnsi="宋体"/>
                      <w:b/>
                      <w:szCs w:val="21"/>
                      <w:u w:val="single"/>
                    </w:rPr>
                    <w:t>（使用氨水、尿素作还原剂）。</w:t>
                  </w:r>
                </w:p>
              </w:tc>
              <w:tc>
                <w:tcPr>
                  <w:tcW w:w="1722" w:type="pct"/>
                  <w:vAlign w:val="center"/>
                </w:tcPr>
                <w:p>
                  <w:pPr>
                    <w:spacing w:line="400" w:lineRule="exact"/>
                    <w:jc w:val="left"/>
                    <w:rPr>
                      <w:b/>
                      <w:szCs w:val="21"/>
                      <w:u w:val="single"/>
                    </w:rPr>
                  </w:pPr>
                  <w:r>
                    <w:rPr>
                      <w:rFonts w:hAnsi="宋体"/>
                      <w:b/>
                      <w:szCs w:val="21"/>
                      <w:u w:val="single"/>
                    </w:rPr>
                    <w:t>不涉及</w:t>
                  </w:r>
                </w:p>
              </w:tc>
              <w:tc>
                <w:tcPr>
                  <w:tcW w:w="438" w:type="pct"/>
                  <w:vAlign w:val="center"/>
                </w:tcPr>
                <w:p>
                  <w:pPr>
                    <w:spacing w:line="400" w:lineRule="exact"/>
                    <w:jc w:val="center"/>
                    <w:rPr>
                      <w:b/>
                      <w:bCs/>
                      <w:szCs w:val="21"/>
                      <w:u w:val="single"/>
                    </w:rPr>
                  </w:pPr>
                  <w:r>
                    <w:rPr>
                      <w:b/>
                      <w:bCs/>
                      <w:szCs w:val="21"/>
                      <w:u w:val="singl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Merge w:val="restart"/>
                  <w:vAlign w:val="center"/>
                </w:tcPr>
                <w:p>
                  <w:pPr>
                    <w:spacing w:line="400" w:lineRule="exact"/>
                    <w:jc w:val="center"/>
                    <w:rPr>
                      <w:b/>
                      <w:szCs w:val="21"/>
                      <w:u w:val="single"/>
                    </w:rPr>
                  </w:pPr>
                  <w:r>
                    <w:rPr>
                      <w:rFonts w:hAnsi="宋体"/>
                      <w:b/>
                      <w:szCs w:val="21"/>
                      <w:u w:val="single"/>
                    </w:rPr>
                    <w:t>监测监控水平</w:t>
                  </w:r>
                </w:p>
              </w:tc>
              <w:tc>
                <w:tcPr>
                  <w:tcW w:w="2351" w:type="pct"/>
                  <w:vAlign w:val="center"/>
                </w:tcPr>
                <w:p>
                  <w:pPr>
                    <w:widowControl/>
                    <w:spacing w:line="400" w:lineRule="exact"/>
                    <w:rPr>
                      <w:b/>
                      <w:szCs w:val="21"/>
                      <w:u w:val="single"/>
                    </w:rPr>
                  </w:pPr>
                  <w:r>
                    <w:rPr>
                      <w:b/>
                      <w:kern w:val="0"/>
                      <w:szCs w:val="21"/>
                      <w:u w:val="single"/>
                    </w:rPr>
                    <w:t>1.</w:t>
                  </w:r>
                  <w:r>
                    <w:rPr>
                      <w:rFonts w:hAnsi="宋体"/>
                      <w:b/>
                      <w:kern w:val="0"/>
                      <w:szCs w:val="21"/>
                      <w:u w:val="single"/>
                    </w:rPr>
                    <w:t>有组织排放口按生态环境部门要求安装烟气排放自动监控设施（</w:t>
                  </w:r>
                  <w:r>
                    <w:rPr>
                      <w:b/>
                      <w:kern w:val="0"/>
                      <w:szCs w:val="21"/>
                      <w:u w:val="single"/>
                    </w:rPr>
                    <w:t>CEMS</w:t>
                  </w:r>
                  <w:r>
                    <w:rPr>
                      <w:rFonts w:hAnsi="宋体"/>
                      <w:b/>
                      <w:kern w:val="0"/>
                      <w:szCs w:val="21"/>
                      <w:u w:val="single"/>
                    </w:rPr>
                    <w:t>），并按要求联网；</w:t>
                  </w:r>
                </w:p>
              </w:tc>
              <w:tc>
                <w:tcPr>
                  <w:tcW w:w="1722" w:type="pct"/>
                  <w:vAlign w:val="center"/>
                </w:tcPr>
                <w:p>
                  <w:pPr>
                    <w:widowControl/>
                    <w:spacing w:line="400" w:lineRule="exact"/>
                    <w:rPr>
                      <w:b/>
                      <w:szCs w:val="21"/>
                      <w:u w:val="single"/>
                    </w:rPr>
                  </w:pPr>
                  <w:r>
                    <w:rPr>
                      <w:rFonts w:hAnsi="宋体"/>
                      <w:b/>
                      <w:kern w:val="0"/>
                      <w:szCs w:val="21"/>
                      <w:u w:val="single"/>
                    </w:rPr>
                    <w:t>本项目不属于</w:t>
                  </w:r>
                  <w:r>
                    <w:rPr>
                      <w:rFonts w:hint="eastAsia" w:hAnsi="宋体"/>
                      <w:b/>
                      <w:kern w:val="0"/>
                      <w:szCs w:val="21"/>
                      <w:u w:val="single"/>
                    </w:rPr>
                    <w:t>大气</w:t>
                  </w:r>
                  <w:r>
                    <w:rPr>
                      <w:rFonts w:hAnsi="宋体"/>
                      <w:b/>
                      <w:kern w:val="0"/>
                      <w:szCs w:val="21"/>
                      <w:u w:val="single"/>
                    </w:rPr>
                    <w:t>重点排污单位，</w:t>
                  </w:r>
                  <w:r>
                    <w:rPr>
                      <w:rFonts w:hint="eastAsia" w:hAnsi="宋体"/>
                      <w:b/>
                      <w:kern w:val="0"/>
                      <w:szCs w:val="21"/>
                      <w:u w:val="single"/>
                    </w:rPr>
                    <w:t>无需安装</w:t>
                  </w:r>
                  <w:r>
                    <w:rPr>
                      <w:rFonts w:hAnsi="宋体"/>
                      <w:b/>
                      <w:kern w:val="0"/>
                      <w:szCs w:val="21"/>
                      <w:u w:val="single"/>
                    </w:rPr>
                    <w:t>自动监控设施。</w:t>
                  </w:r>
                </w:p>
              </w:tc>
              <w:tc>
                <w:tcPr>
                  <w:tcW w:w="438" w:type="pct"/>
                  <w:vMerge w:val="restart"/>
                  <w:vAlign w:val="center"/>
                </w:tcPr>
                <w:p>
                  <w:pPr>
                    <w:spacing w:line="400" w:lineRule="exact"/>
                    <w:jc w:val="center"/>
                    <w:rPr>
                      <w:b/>
                      <w:szCs w:val="21"/>
                      <w:highlight w:val="yellow"/>
                      <w:u w:val="single"/>
                    </w:rPr>
                  </w:pPr>
                  <w:r>
                    <w:rPr>
                      <w:rFonts w:hAnsi="宋体"/>
                      <w:b/>
                      <w:bCs/>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Merge w:val="continue"/>
                  <w:vAlign w:val="center"/>
                </w:tcPr>
                <w:p>
                  <w:pPr>
                    <w:spacing w:line="400" w:lineRule="exact"/>
                    <w:jc w:val="center"/>
                    <w:rPr>
                      <w:rFonts w:hAnsi="宋体"/>
                      <w:b/>
                      <w:szCs w:val="21"/>
                      <w:u w:val="single"/>
                    </w:rPr>
                  </w:pPr>
                </w:p>
              </w:tc>
              <w:tc>
                <w:tcPr>
                  <w:tcW w:w="2351" w:type="pct"/>
                  <w:vAlign w:val="center"/>
                </w:tcPr>
                <w:p>
                  <w:pPr>
                    <w:widowControl/>
                    <w:spacing w:line="400" w:lineRule="exact"/>
                    <w:rPr>
                      <w:b/>
                      <w:kern w:val="0"/>
                      <w:szCs w:val="21"/>
                      <w:u w:val="single"/>
                    </w:rPr>
                  </w:pPr>
                  <w:r>
                    <w:rPr>
                      <w:b/>
                      <w:kern w:val="0"/>
                      <w:szCs w:val="21"/>
                      <w:u w:val="single"/>
                    </w:rPr>
                    <w:t>2.</w:t>
                  </w:r>
                  <w:r>
                    <w:rPr>
                      <w:rFonts w:hAnsi="宋体"/>
                      <w:b/>
                      <w:kern w:val="0"/>
                      <w:szCs w:val="21"/>
                      <w:u w:val="single"/>
                    </w:rPr>
                    <w:t>有组织排放口按照排污许可证要求开展自行监测；</w:t>
                  </w:r>
                </w:p>
              </w:tc>
              <w:tc>
                <w:tcPr>
                  <w:tcW w:w="1722" w:type="pct"/>
                  <w:vAlign w:val="center"/>
                </w:tcPr>
                <w:p>
                  <w:pPr>
                    <w:widowControl/>
                    <w:spacing w:line="400" w:lineRule="exact"/>
                    <w:rPr>
                      <w:b/>
                      <w:kern w:val="0"/>
                      <w:szCs w:val="21"/>
                      <w:u w:val="single"/>
                    </w:rPr>
                  </w:pPr>
                  <w:r>
                    <w:rPr>
                      <w:rFonts w:hAnsi="宋体"/>
                      <w:b/>
                      <w:kern w:val="0"/>
                      <w:szCs w:val="21"/>
                      <w:u w:val="single"/>
                    </w:rPr>
                    <w:t>项目运营后，有组织排放口按照排污许可证要求开展自行监测；</w:t>
                  </w:r>
                </w:p>
              </w:tc>
              <w:tc>
                <w:tcPr>
                  <w:tcW w:w="438" w:type="pct"/>
                  <w:vMerge w:val="continue"/>
                  <w:vAlign w:val="center"/>
                </w:tcPr>
                <w:p>
                  <w:pPr>
                    <w:spacing w:line="400" w:lineRule="exact"/>
                    <w:jc w:val="center"/>
                    <w:rPr>
                      <w:rFonts w:hAnsi="宋体"/>
                      <w:b/>
                      <w:bCs/>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Merge w:val="continue"/>
                  <w:vAlign w:val="center"/>
                </w:tcPr>
                <w:p>
                  <w:pPr>
                    <w:spacing w:line="400" w:lineRule="exact"/>
                    <w:jc w:val="center"/>
                    <w:rPr>
                      <w:rFonts w:hAnsi="宋体"/>
                      <w:b/>
                      <w:szCs w:val="21"/>
                      <w:u w:val="single"/>
                    </w:rPr>
                  </w:pPr>
                </w:p>
              </w:tc>
              <w:tc>
                <w:tcPr>
                  <w:tcW w:w="2351" w:type="pct"/>
                  <w:vAlign w:val="center"/>
                </w:tcPr>
                <w:p>
                  <w:pPr>
                    <w:widowControl/>
                    <w:spacing w:line="400" w:lineRule="exact"/>
                    <w:rPr>
                      <w:b/>
                      <w:kern w:val="0"/>
                      <w:szCs w:val="21"/>
                      <w:u w:val="single"/>
                    </w:rPr>
                  </w:pPr>
                  <w:r>
                    <w:rPr>
                      <w:b/>
                      <w:kern w:val="0"/>
                      <w:szCs w:val="21"/>
                      <w:u w:val="single"/>
                    </w:rPr>
                    <w:t>3.</w:t>
                  </w:r>
                  <w:r>
                    <w:rPr>
                      <w:rFonts w:hAnsi="宋体"/>
                      <w:b/>
                      <w:kern w:val="0"/>
                      <w:szCs w:val="21"/>
                      <w:u w:val="single"/>
                    </w:rPr>
                    <w:t>涉气生产工序、生产装置及污染治理设施按生态环境部门要求安装用电监管设备，用电监管设备与省、市生态环境部门用电监管平台联网。</w:t>
                  </w:r>
                </w:p>
              </w:tc>
              <w:tc>
                <w:tcPr>
                  <w:tcW w:w="1722" w:type="pct"/>
                  <w:vAlign w:val="center"/>
                </w:tcPr>
                <w:p>
                  <w:pPr>
                    <w:widowControl/>
                    <w:spacing w:line="400" w:lineRule="exact"/>
                    <w:rPr>
                      <w:b/>
                      <w:kern w:val="0"/>
                      <w:szCs w:val="21"/>
                      <w:u w:val="single"/>
                    </w:rPr>
                  </w:pPr>
                  <w:r>
                    <w:rPr>
                      <w:rFonts w:hAnsi="宋体"/>
                      <w:b/>
                      <w:kern w:val="0"/>
                      <w:szCs w:val="21"/>
                      <w:u w:val="single"/>
                    </w:rPr>
                    <w:t>项目运营后，涉气生产工序、生产装置及污染治理设施按生态环境部门要求安装用电监管设备，用电监管设备与省、市生态环境部门用电监管平台联网。</w:t>
                  </w:r>
                </w:p>
              </w:tc>
              <w:tc>
                <w:tcPr>
                  <w:tcW w:w="438" w:type="pct"/>
                  <w:vMerge w:val="continue"/>
                  <w:vAlign w:val="center"/>
                </w:tcPr>
                <w:p>
                  <w:pPr>
                    <w:spacing w:line="400" w:lineRule="exact"/>
                    <w:jc w:val="center"/>
                    <w:rPr>
                      <w:rFonts w:hAnsi="宋体"/>
                      <w:b/>
                      <w:bCs/>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Align w:val="center"/>
                </w:tcPr>
                <w:p>
                  <w:pPr>
                    <w:spacing w:line="400" w:lineRule="exact"/>
                    <w:jc w:val="center"/>
                    <w:rPr>
                      <w:b/>
                      <w:szCs w:val="21"/>
                      <w:u w:val="single"/>
                    </w:rPr>
                  </w:pPr>
                  <w:r>
                    <w:rPr>
                      <w:rFonts w:hAnsi="宋体"/>
                      <w:b/>
                      <w:szCs w:val="21"/>
                      <w:u w:val="single"/>
                    </w:rPr>
                    <w:t>环保</w:t>
                  </w:r>
                </w:p>
                <w:p>
                  <w:pPr>
                    <w:spacing w:line="400" w:lineRule="exact"/>
                    <w:jc w:val="center"/>
                    <w:rPr>
                      <w:b/>
                      <w:szCs w:val="21"/>
                      <w:u w:val="single"/>
                    </w:rPr>
                  </w:pPr>
                  <w:r>
                    <w:rPr>
                      <w:rFonts w:hAnsi="宋体"/>
                      <w:b/>
                      <w:szCs w:val="21"/>
                      <w:u w:val="single"/>
                    </w:rPr>
                    <w:t>档案</w:t>
                  </w:r>
                </w:p>
              </w:tc>
              <w:tc>
                <w:tcPr>
                  <w:tcW w:w="2351" w:type="pct"/>
                  <w:vAlign w:val="center"/>
                </w:tcPr>
                <w:p>
                  <w:pPr>
                    <w:widowControl/>
                    <w:spacing w:line="360" w:lineRule="auto"/>
                    <w:jc w:val="left"/>
                    <w:rPr>
                      <w:b/>
                      <w:kern w:val="0"/>
                      <w:szCs w:val="21"/>
                      <w:u w:val="single"/>
                    </w:rPr>
                  </w:pPr>
                  <w:r>
                    <w:rPr>
                      <w:b/>
                      <w:kern w:val="0"/>
                      <w:szCs w:val="21"/>
                      <w:u w:val="single"/>
                    </w:rPr>
                    <w:t>1.</w:t>
                  </w:r>
                  <w:r>
                    <w:rPr>
                      <w:rFonts w:hAnsi="宋体"/>
                      <w:b/>
                      <w:kern w:val="0"/>
                      <w:szCs w:val="21"/>
                      <w:u w:val="single"/>
                    </w:rPr>
                    <w:t>环评批复文件和竣工环保验收文件或环境现状评估备案证明；</w:t>
                  </w:r>
                </w:p>
                <w:p>
                  <w:pPr>
                    <w:widowControl/>
                    <w:spacing w:line="360" w:lineRule="auto"/>
                    <w:jc w:val="left"/>
                    <w:rPr>
                      <w:b/>
                      <w:kern w:val="0"/>
                      <w:szCs w:val="21"/>
                      <w:u w:val="single"/>
                    </w:rPr>
                  </w:pPr>
                  <w:r>
                    <w:rPr>
                      <w:b/>
                      <w:kern w:val="0"/>
                      <w:szCs w:val="21"/>
                      <w:u w:val="single"/>
                    </w:rPr>
                    <w:t>2.</w:t>
                  </w:r>
                  <w:r>
                    <w:rPr>
                      <w:rFonts w:hAnsi="宋体"/>
                      <w:b/>
                      <w:kern w:val="0"/>
                      <w:szCs w:val="21"/>
                      <w:u w:val="single"/>
                    </w:rPr>
                    <w:t>国家版排污许可证；</w:t>
                  </w:r>
                </w:p>
                <w:p>
                  <w:pPr>
                    <w:widowControl/>
                    <w:spacing w:line="360" w:lineRule="auto"/>
                    <w:jc w:val="left"/>
                    <w:rPr>
                      <w:b/>
                      <w:kern w:val="0"/>
                      <w:szCs w:val="21"/>
                      <w:u w:val="single"/>
                    </w:rPr>
                  </w:pPr>
                  <w:r>
                    <w:rPr>
                      <w:b/>
                      <w:kern w:val="0"/>
                      <w:szCs w:val="21"/>
                      <w:u w:val="single"/>
                    </w:rPr>
                    <w:t>3.</w:t>
                  </w:r>
                  <w:r>
                    <w:rPr>
                      <w:rFonts w:hAnsi="宋体"/>
                      <w:b/>
                      <w:kern w:val="0"/>
                      <w:szCs w:val="21"/>
                      <w:u w:val="single"/>
                    </w:rPr>
                    <w:t>环境管理制度（有组织、无组织排放长效管理机制，主要包括岗位责任制度、达标公示制度和定期巡查维护制度等）；</w:t>
                  </w:r>
                </w:p>
                <w:p>
                  <w:pPr>
                    <w:widowControl/>
                    <w:spacing w:line="360" w:lineRule="auto"/>
                    <w:jc w:val="left"/>
                    <w:rPr>
                      <w:b/>
                      <w:kern w:val="0"/>
                      <w:szCs w:val="21"/>
                      <w:u w:val="single"/>
                    </w:rPr>
                  </w:pPr>
                  <w:r>
                    <w:rPr>
                      <w:b/>
                      <w:kern w:val="0"/>
                      <w:szCs w:val="21"/>
                      <w:u w:val="single"/>
                    </w:rPr>
                    <w:t>4.</w:t>
                  </w:r>
                  <w:r>
                    <w:rPr>
                      <w:rFonts w:hAnsi="宋体"/>
                      <w:b/>
                      <w:kern w:val="0"/>
                      <w:szCs w:val="21"/>
                      <w:u w:val="single"/>
                    </w:rPr>
                    <w:t>废气治理设施运行管理规程；</w:t>
                  </w:r>
                </w:p>
                <w:p>
                  <w:pPr>
                    <w:widowControl/>
                    <w:spacing w:line="360" w:lineRule="auto"/>
                    <w:jc w:val="left"/>
                    <w:rPr>
                      <w:b/>
                      <w:kern w:val="0"/>
                      <w:szCs w:val="21"/>
                      <w:u w:val="single"/>
                    </w:rPr>
                  </w:pPr>
                  <w:r>
                    <w:rPr>
                      <w:b/>
                      <w:kern w:val="0"/>
                      <w:szCs w:val="21"/>
                      <w:u w:val="single"/>
                    </w:rPr>
                    <w:t>5.</w:t>
                  </w:r>
                  <w:r>
                    <w:rPr>
                      <w:rFonts w:hAnsi="宋体"/>
                      <w:b/>
                      <w:kern w:val="0"/>
                      <w:szCs w:val="21"/>
                      <w:u w:val="single"/>
                    </w:rPr>
                    <w:t>一年内废气监测报告（符合排污许可证监测项目及频次要求）</w:t>
                  </w:r>
                </w:p>
              </w:tc>
              <w:tc>
                <w:tcPr>
                  <w:tcW w:w="1722" w:type="pct"/>
                  <w:vAlign w:val="center"/>
                </w:tcPr>
                <w:p>
                  <w:pPr>
                    <w:spacing w:line="400" w:lineRule="exact"/>
                    <w:rPr>
                      <w:b/>
                      <w:kern w:val="0"/>
                      <w:szCs w:val="21"/>
                      <w:highlight w:val="yellow"/>
                      <w:u w:val="single"/>
                    </w:rPr>
                  </w:pPr>
                  <w:r>
                    <w:rPr>
                      <w:rFonts w:hAnsi="宋体"/>
                      <w:b/>
                      <w:u w:val="single"/>
                    </w:rPr>
                    <w:t>项目建成后按要求整理环保档案</w:t>
                  </w:r>
                </w:p>
              </w:tc>
              <w:tc>
                <w:tcPr>
                  <w:tcW w:w="438" w:type="pct"/>
                  <w:vAlign w:val="center"/>
                </w:tcPr>
                <w:p>
                  <w:pPr>
                    <w:spacing w:line="400" w:lineRule="exact"/>
                    <w:jc w:val="center"/>
                    <w:rPr>
                      <w:b/>
                      <w:szCs w:val="21"/>
                      <w:highlight w:val="yellow"/>
                      <w:u w:val="single"/>
                    </w:rPr>
                  </w:pPr>
                  <w:r>
                    <w:rPr>
                      <w:rFonts w:hAnsi="宋体"/>
                      <w:b/>
                      <w:bCs/>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Align w:val="center"/>
                </w:tcPr>
                <w:p>
                  <w:pPr>
                    <w:spacing w:line="400" w:lineRule="exact"/>
                    <w:jc w:val="center"/>
                    <w:rPr>
                      <w:b/>
                      <w:szCs w:val="21"/>
                      <w:u w:val="single"/>
                    </w:rPr>
                  </w:pPr>
                  <w:r>
                    <w:rPr>
                      <w:rFonts w:hAnsi="宋体"/>
                      <w:b/>
                      <w:szCs w:val="21"/>
                      <w:u w:val="single"/>
                    </w:rPr>
                    <w:t>台账</w:t>
                  </w:r>
                </w:p>
                <w:p>
                  <w:pPr>
                    <w:spacing w:line="400" w:lineRule="exact"/>
                    <w:jc w:val="center"/>
                    <w:rPr>
                      <w:b/>
                      <w:szCs w:val="21"/>
                      <w:u w:val="single"/>
                    </w:rPr>
                  </w:pPr>
                  <w:r>
                    <w:rPr>
                      <w:rFonts w:hAnsi="宋体"/>
                      <w:b/>
                      <w:szCs w:val="21"/>
                      <w:u w:val="single"/>
                    </w:rPr>
                    <w:t>记录</w:t>
                  </w:r>
                </w:p>
              </w:tc>
              <w:tc>
                <w:tcPr>
                  <w:tcW w:w="2351" w:type="pct"/>
                  <w:vAlign w:val="center"/>
                </w:tcPr>
                <w:p>
                  <w:pPr>
                    <w:widowControl/>
                    <w:spacing w:line="360" w:lineRule="auto"/>
                    <w:jc w:val="left"/>
                    <w:rPr>
                      <w:b/>
                      <w:kern w:val="0"/>
                      <w:szCs w:val="21"/>
                      <w:u w:val="single"/>
                    </w:rPr>
                  </w:pPr>
                  <w:r>
                    <w:rPr>
                      <w:b/>
                      <w:kern w:val="0"/>
                      <w:szCs w:val="21"/>
                      <w:u w:val="single"/>
                    </w:rPr>
                    <w:t>1.</w:t>
                  </w:r>
                  <w:r>
                    <w:rPr>
                      <w:rFonts w:hAnsi="宋体"/>
                      <w:b/>
                      <w:kern w:val="0"/>
                      <w:szCs w:val="21"/>
                      <w:u w:val="single"/>
                    </w:rPr>
                    <w:t>生产设施运行管理信息（生产时间、运行负荷、产品产量等）；</w:t>
                  </w:r>
                </w:p>
                <w:p>
                  <w:pPr>
                    <w:widowControl/>
                    <w:spacing w:line="360" w:lineRule="auto"/>
                    <w:jc w:val="left"/>
                    <w:rPr>
                      <w:b/>
                      <w:kern w:val="0"/>
                      <w:szCs w:val="21"/>
                      <w:u w:val="single"/>
                    </w:rPr>
                  </w:pPr>
                  <w:r>
                    <w:rPr>
                      <w:b/>
                      <w:kern w:val="0"/>
                      <w:szCs w:val="21"/>
                      <w:u w:val="single"/>
                    </w:rPr>
                    <w:t>2.</w:t>
                  </w:r>
                  <w:r>
                    <w:rPr>
                      <w:rFonts w:hAnsi="宋体"/>
                      <w:b/>
                      <w:kern w:val="0"/>
                      <w:szCs w:val="21"/>
                      <w:u w:val="single"/>
                    </w:rPr>
                    <w:t>废气污染治理设施运行管理信息；</w:t>
                  </w:r>
                </w:p>
                <w:p>
                  <w:pPr>
                    <w:widowControl/>
                    <w:spacing w:line="360" w:lineRule="auto"/>
                    <w:jc w:val="left"/>
                    <w:rPr>
                      <w:b/>
                      <w:kern w:val="0"/>
                      <w:szCs w:val="21"/>
                      <w:u w:val="single"/>
                    </w:rPr>
                  </w:pPr>
                  <w:r>
                    <w:rPr>
                      <w:b/>
                      <w:kern w:val="0"/>
                      <w:szCs w:val="21"/>
                      <w:u w:val="single"/>
                    </w:rPr>
                    <w:t>3.</w:t>
                  </w:r>
                  <w:r>
                    <w:rPr>
                      <w:rFonts w:hAnsi="宋体"/>
                      <w:b/>
                      <w:kern w:val="0"/>
                      <w:szCs w:val="21"/>
                      <w:u w:val="single"/>
                    </w:rPr>
                    <w:t>监测记录信息（主要污染排放口废气排放记录等）；</w:t>
                  </w:r>
                </w:p>
                <w:p>
                  <w:pPr>
                    <w:widowControl/>
                    <w:spacing w:line="360" w:lineRule="auto"/>
                    <w:jc w:val="left"/>
                    <w:rPr>
                      <w:b/>
                      <w:kern w:val="0"/>
                      <w:szCs w:val="21"/>
                      <w:u w:val="single"/>
                    </w:rPr>
                  </w:pPr>
                  <w:r>
                    <w:rPr>
                      <w:b/>
                      <w:kern w:val="0"/>
                      <w:szCs w:val="21"/>
                      <w:u w:val="single"/>
                    </w:rPr>
                    <w:t>4.</w:t>
                  </w:r>
                  <w:r>
                    <w:rPr>
                      <w:rFonts w:hAnsi="宋体"/>
                      <w:b/>
                      <w:kern w:val="0"/>
                      <w:szCs w:val="21"/>
                      <w:u w:val="single"/>
                    </w:rPr>
                    <w:t>主要原辅材料消耗记录；</w:t>
                  </w:r>
                </w:p>
                <w:p>
                  <w:pPr>
                    <w:widowControl/>
                    <w:spacing w:line="360" w:lineRule="auto"/>
                    <w:jc w:val="left"/>
                    <w:rPr>
                      <w:b/>
                      <w:kern w:val="0"/>
                      <w:szCs w:val="21"/>
                      <w:u w:val="single"/>
                    </w:rPr>
                  </w:pPr>
                  <w:r>
                    <w:rPr>
                      <w:b/>
                      <w:kern w:val="0"/>
                      <w:szCs w:val="21"/>
                      <w:u w:val="single"/>
                    </w:rPr>
                    <w:t>5.</w:t>
                  </w:r>
                  <w:r>
                    <w:rPr>
                      <w:rFonts w:hAnsi="宋体"/>
                      <w:b/>
                      <w:kern w:val="0"/>
                      <w:szCs w:val="21"/>
                      <w:u w:val="single"/>
                    </w:rPr>
                    <w:t>燃料消耗记录；</w:t>
                  </w:r>
                </w:p>
                <w:p>
                  <w:pPr>
                    <w:widowControl/>
                    <w:spacing w:line="360" w:lineRule="auto"/>
                    <w:jc w:val="left"/>
                    <w:rPr>
                      <w:b/>
                      <w:kern w:val="0"/>
                      <w:szCs w:val="21"/>
                      <w:u w:val="single"/>
                    </w:rPr>
                  </w:pPr>
                  <w:r>
                    <w:rPr>
                      <w:b/>
                      <w:kern w:val="0"/>
                      <w:szCs w:val="21"/>
                      <w:u w:val="single"/>
                    </w:rPr>
                    <w:t>6.</w:t>
                  </w:r>
                  <w:r>
                    <w:rPr>
                      <w:rFonts w:hAnsi="宋体"/>
                      <w:b/>
                      <w:kern w:val="0"/>
                      <w:szCs w:val="21"/>
                      <w:u w:val="single"/>
                    </w:rPr>
                    <w:t>固废、危废处理记录。</w:t>
                  </w:r>
                </w:p>
              </w:tc>
              <w:tc>
                <w:tcPr>
                  <w:tcW w:w="1722" w:type="pct"/>
                  <w:vAlign w:val="center"/>
                </w:tcPr>
                <w:p>
                  <w:pPr>
                    <w:spacing w:line="400" w:lineRule="exact"/>
                    <w:jc w:val="center"/>
                    <w:rPr>
                      <w:b/>
                      <w:szCs w:val="21"/>
                      <w:u w:val="single"/>
                    </w:rPr>
                  </w:pPr>
                  <w:r>
                    <w:rPr>
                      <w:rFonts w:hAnsi="宋体"/>
                      <w:b/>
                      <w:szCs w:val="21"/>
                      <w:u w:val="single"/>
                    </w:rPr>
                    <w:t>本项目建成投产按要求进行台账记录。</w:t>
                  </w:r>
                </w:p>
              </w:tc>
              <w:tc>
                <w:tcPr>
                  <w:tcW w:w="438" w:type="pct"/>
                  <w:vAlign w:val="center"/>
                </w:tcPr>
                <w:p>
                  <w:pPr>
                    <w:spacing w:line="400" w:lineRule="exact"/>
                    <w:jc w:val="center"/>
                    <w:rPr>
                      <w:b/>
                      <w:szCs w:val="21"/>
                      <w:highlight w:val="yellow"/>
                      <w:u w:val="single"/>
                    </w:rPr>
                  </w:pPr>
                  <w:r>
                    <w:rPr>
                      <w:rFonts w:hAnsi="宋体"/>
                      <w:b/>
                      <w:bCs/>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Align w:val="center"/>
                </w:tcPr>
                <w:p>
                  <w:pPr>
                    <w:spacing w:line="400" w:lineRule="exact"/>
                    <w:jc w:val="center"/>
                    <w:rPr>
                      <w:b/>
                      <w:szCs w:val="21"/>
                      <w:u w:val="single"/>
                    </w:rPr>
                  </w:pPr>
                  <w:r>
                    <w:rPr>
                      <w:rFonts w:hAnsi="宋体"/>
                      <w:b/>
                      <w:szCs w:val="21"/>
                      <w:u w:val="single"/>
                    </w:rPr>
                    <w:t>人员</w:t>
                  </w:r>
                </w:p>
                <w:p>
                  <w:pPr>
                    <w:spacing w:line="400" w:lineRule="exact"/>
                    <w:jc w:val="center"/>
                    <w:rPr>
                      <w:b/>
                      <w:szCs w:val="21"/>
                      <w:u w:val="single"/>
                    </w:rPr>
                  </w:pPr>
                  <w:r>
                    <w:rPr>
                      <w:rFonts w:hAnsi="宋体"/>
                      <w:b/>
                      <w:szCs w:val="21"/>
                      <w:u w:val="single"/>
                    </w:rPr>
                    <w:t>配置</w:t>
                  </w:r>
                </w:p>
              </w:tc>
              <w:tc>
                <w:tcPr>
                  <w:tcW w:w="2351" w:type="pct"/>
                  <w:vAlign w:val="center"/>
                </w:tcPr>
                <w:p>
                  <w:pPr>
                    <w:spacing w:line="400" w:lineRule="exact"/>
                    <w:jc w:val="center"/>
                    <w:rPr>
                      <w:b/>
                      <w:kern w:val="0"/>
                      <w:szCs w:val="21"/>
                      <w:u w:val="single"/>
                    </w:rPr>
                  </w:pPr>
                  <w:r>
                    <w:rPr>
                      <w:rFonts w:hAnsi="宋体"/>
                      <w:b/>
                      <w:szCs w:val="21"/>
                      <w:u w:val="single"/>
                    </w:rPr>
                    <w:t>配备专职环保人员，并具备相应的环境管理能力（学历、培训、从业经验等）。</w:t>
                  </w:r>
                </w:p>
              </w:tc>
              <w:tc>
                <w:tcPr>
                  <w:tcW w:w="1722" w:type="pct"/>
                  <w:vAlign w:val="center"/>
                </w:tcPr>
                <w:p>
                  <w:pPr>
                    <w:spacing w:line="400" w:lineRule="exact"/>
                    <w:jc w:val="center"/>
                    <w:rPr>
                      <w:b/>
                      <w:szCs w:val="21"/>
                      <w:u w:val="single"/>
                    </w:rPr>
                  </w:pPr>
                  <w:r>
                    <w:rPr>
                      <w:rFonts w:hAnsi="宋体"/>
                      <w:b/>
                      <w:szCs w:val="21"/>
                      <w:u w:val="single"/>
                    </w:rPr>
                    <w:t>项目配备专职环保人员，并具备相应的环境管理能力。</w:t>
                  </w:r>
                </w:p>
              </w:tc>
              <w:tc>
                <w:tcPr>
                  <w:tcW w:w="438" w:type="pct"/>
                  <w:vAlign w:val="center"/>
                </w:tcPr>
                <w:p>
                  <w:pPr>
                    <w:spacing w:line="400" w:lineRule="exact"/>
                    <w:jc w:val="center"/>
                    <w:rPr>
                      <w:b/>
                      <w:szCs w:val="21"/>
                      <w:highlight w:val="yellow"/>
                      <w:u w:val="single"/>
                    </w:rPr>
                  </w:pPr>
                  <w:r>
                    <w:rPr>
                      <w:rFonts w:hAnsi="宋体"/>
                      <w:b/>
                      <w:bCs/>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Align w:val="center"/>
                </w:tcPr>
                <w:p>
                  <w:pPr>
                    <w:spacing w:line="400" w:lineRule="exact"/>
                    <w:jc w:val="center"/>
                    <w:rPr>
                      <w:b/>
                      <w:szCs w:val="21"/>
                      <w:u w:val="single"/>
                    </w:rPr>
                  </w:pPr>
                  <w:r>
                    <w:rPr>
                      <w:rFonts w:hAnsi="宋体"/>
                      <w:b/>
                      <w:szCs w:val="21"/>
                      <w:u w:val="single"/>
                    </w:rPr>
                    <w:t>运输方式</w:t>
                  </w:r>
                </w:p>
              </w:tc>
              <w:tc>
                <w:tcPr>
                  <w:tcW w:w="2351" w:type="pct"/>
                  <w:vAlign w:val="center"/>
                </w:tcPr>
                <w:p>
                  <w:pPr>
                    <w:widowControl/>
                    <w:spacing w:line="360" w:lineRule="auto"/>
                    <w:jc w:val="left"/>
                    <w:rPr>
                      <w:b/>
                      <w:kern w:val="0"/>
                      <w:szCs w:val="21"/>
                      <w:u w:val="single"/>
                    </w:rPr>
                  </w:pPr>
                  <w:r>
                    <w:rPr>
                      <w:b/>
                      <w:kern w:val="0"/>
                      <w:szCs w:val="21"/>
                      <w:u w:val="single"/>
                    </w:rPr>
                    <w:t>1.</w:t>
                  </w:r>
                  <w:r>
                    <w:rPr>
                      <w:rFonts w:hAnsi="宋体"/>
                      <w:b/>
                      <w:kern w:val="0"/>
                      <w:szCs w:val="21"/>
                      <w:u w:val="single"/>
                    </w:rPr>
                    <w:t>公路运输使用国五及以上排放标准的重型载货车辆（含燃气）或新能源车辆比例不低于</w:t>
                  </w:r>
                  <w:r>
                    <w:rPr>
                      <w:b/>
                      <w:kern w:val="0"/>
                      <w:szCs w:val="21"/>
                      <w:u w:val="single"/>
                    </w:rPr>
                    <w:t>80%</w:t>
                  </w:r>
                  <w:r>
                    <w:rPr>
                      <w:rFonts w:hAnsi="宋体"/>
                      <w:b/>
                      <w:kern w:val="0"/>
                      <w:szCs w:val="21"/>
                      <w:u w:val="single"/>
                    </w:rPr>
                    <w:t>，其他车辆达到国四排放标准；</w:t>
                  </w:r>
                </w:p>
                <w:p>
                  <w:pPr>
                    <w:widowControl/>
                    <w:spacing w:line="360" w:lineRule="auto"/>
                    <w:jc w:val="left"/>
                    <w:rPr>
                      <w:b/>
                      <w:kern w:val="0"/>
                      <w:szCs w:val="21"/>
                      <w:u w:val="single"/>
                    </w:rPr>
                  </w:pPr>
                  <w:r>
                    <w:rPr>
                      <w:b/>
                      <w:kern w:val="0"/>
                      <w:szCs w:val="21"/>
                      <w:u w:val="single"/>
                    </w:rPr>
                    <w:t>2.</w:t>
                  </w:r>
                  <w:r>
                    <w:rPr>
                      <w:rFonts w:hAnsi="宋体"/>
                      <w:b/>
                      <w:kern w:val="0"/>
                      <w:szCs w:val="21"/>
                      <w:u w:val="single"/>
                    </w:rPr>
                    <w:t>厂内运输车辆达到国五及以上排放标准（含燃气）或使用新能源车辆比例不低于</w:t>
                  </w:r>
                  <w:r>
                    <w:rPr>
                      <w:b/>
                      <w:kern w:val="0"/>
                      <w:szCs w:val="21"/>
                      <w:u w:val="single"/>
                    </w:rPr>
                    <w:t xml:space="preserve"> 80%</w:t>
                  </w:r>
                  <w:r>
                    <w:rPr>
                      <w:rFonts w:hAnsi="宋体"/>
                      <w:b/>
                      <w:kern w:val="0"/>
                      <w:szCs w:val="21"/>
                      <w:u w:val="single"/>
                    </w:rPr>
                    <w:t>，其他车辆达到国四排放标准；</w:t>
                  </w:r>
                </w:p>
                <w:p>
                  <w:pPr>
                    <w:widowControl/>
                    <w:spacing w:line="360" w:lineRule="auto"/>
                    <w:jc w:val="left"/>
                    <w:rPr>
                      <w:b/>
                      <w:kern w:val="0"/>
                      <w:szCs w:val="21"/>
                      <w:u w:val="single"/>
                    </w:rPr>
                  </w:pPr>
                  <w:r>
                    <w:rPr>
                      <w:b/>
                      <w:kern w:val="0"/>
                      <w:szCs w:val="21"/>
                      <w:u w:val="single"/>
                    </w:rPr>
                    <w:t>3.</w:t>
                  </w:r>
                  <w:r>
                    <w:rPr>
                      <w:rFonts w:hAnsi="宋体"/>
                      <w:b/>
                      <w:kern w:val="0"/>
                      <w:szCs w:val="21"/>
                      <w:u w:val="single"/>
                    </w:rPr>
                    <w:t>厂内非道路移动机械达到国三及以上排放标准或使用新能源机械比例不低于</w:t>
                  </w:r>
                  <w:r>
                    <w:rPr>
                      <w:b/>
                      <w:kern w:val="0"/>
                      <w:szCs w:val="21"/>
                      <w:u w:val="single"/>
                    </w:rPr>
                    <w:t>80%</w:t>
                  </w:r>
                  <w:r>
                    <w:rPr>
                      <w:rFonts w:hAnsi="宋体"/>
                      <w:b/>
                      <w:kern w:val="0"/>
                      <w:szCs w:val="21"/>
                      <w:u w:val="single"/>
                    </w:rPr>
                    <w:t>。</w:t>
                  </w:r>
                </w:p>
              </w:tc>
              <w:tc>
                <w:tcPr>
                  <w:tcW w:w="1722" w:type="pct"/>
                  <w:vAlign w:val="center"/>
                </w:tcPr>
                <w:p>
                  <w:pPr>
                    <w:spacing w:line="360" w:lineRule="auto"/>
                    <w:jc w:val="center"/>
                    <w:rPr>
                      <w:b/>
                      <w:kern w:val="0"/>
                      <w:szCs w:val="21"/>
                      <w:u w:val="single"/>
                    </w:rPr>
                  </w:pPr>
                  <w:r>
                    <w:rPr>
                      <w:b/>
                      <w:kern w:val="0"/>
                      <w:szCs w:val="21"/>
                      <w:u w:val="single"/>
                    </w:rPr>
                    <w:t>1.</w:t>
                  </w:r>
                  <w:r>
                    <w:rPr>
                      <w:rFonts w:hAnsi="宋体"/>
                      <w:b/>
                      <w:kern w:val="0"/>
                      <w:szCs w:val="21"/>
                      <w:u w:val="single"/>
                    </w:rPr>
                    <w:t>本项目公路运输使用国五及以上排放标准的重型载货车辆（含燃气）或新能源车辆。</w:t>
                  </w:r>
                </w:p>
                <w:p>
                  <w:pPr>
                    <w:widowControl/>
                    <w:spacing w:line="360" w:lineRule="auto"/>
                    <w:jc w:val="center"/>
                    <w:rPr>
                      <w:b/>
                      <w:kern w:val="0"/>
                      <w:szCs w:val="21"/>
                      <w:u w:val="single"/>
                    </w:rPr>
                  </w:pPr>
                  <w:r>
                    <w:rPr>
                      <w:b/>
                      <w:kern w:val="0"/>
                      <w:szCs w:val="21"/>
                      <w:u w:val="single"/>
                    </w:rPr>
                    <w:t>2.</w:t>
                  </w:r>
                  <w:r>
                    <w:rPr>
                      <w:rFonts w:hAnsi="宋体"/>
                      <w:b/>
                      <w:kern w:val="0"/>
                      <w:szCs w:val="21"/>
                      <w:u w:val="single"/>
                    </w:rPr>
                    <w:t>厂内运输车辆使用国五及以上排放标准（含燃气）或使用新能源车辆。</w:t>
                  </w:r>
                </w:p>
                <w:p>
                  <w:pPr>
                    <w:spacing w:line="360" w:lineRule="auto"/>
                    <w:jc w:val="center"/>
                    <w:rPr>
                      <w:b/>
                      <w:kern w:val="0"/>
                      <w:szCs w:val="21"/>
                      <w:u w:val="single"/>
                    </w:rPr>
                  </w:pPr>
                  <w:r>
                    <w:rPr>
                      <w:b/>
                      <w:kern w:val="0"/>
                      <w:szCs w:val="21"/>
                      <w:u w:val="single"/>
                    </w:rPr>
                    <w:t>3.</w:t>
                  </w:r>
                  <w:r>
                    <w:rPr>
                      <w:rFonts w:hAnsi="宋体"/>
                      <w:b/>
                      <w:kern w:val="0"/>
                      <w:szCs w:val="21"/>
                      <w:u w:val="single"/>
                    </w:rPr>
                    <w:t>厂内非道路移动机械达到国三及以上排放标准。</w:t>
                  </w:r>
                </w:p>
              </w:tc>
              <w:tc>
                <w:tcPr>
                  <w:tcW w:w="438" w:type="pct"/>
                  <w:vAlign w:val="center"/>
                </w:tcPr>
                <w:p>
                  <w:pPr>
                    <w:spacing w:line="400" w:lineRule="exact"/>
                    <w:jc w:val="center"/>
                    <w:rPr>
                      <w:b/>
                      <w:szCs w:val="21"/>
                      <w:highlight w:val="yellow"/>
                      <w:u w:val="single"/>
                    </w:rPr>
                  </w:pPr>
                  <w:r>
                    <w:rPr>
                      <w:rFonts w:hAnsi="宋体"/>
                      <w:b/>
                      <w:bCs/>
                      <w:szCs w:val="21"/>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89" w:type="pct"/>
                  <w:vAlign w:val="center"/>
                </w:tcPr>
                <w:p>
                  <w:pPr>
                    <w:spacing w:line="400" w:lineRule="exact"/>
                    <w:jc w:val="center"/>
                    <w:rPr>
                      <w:b/>
                      <w:szCs w:val="21"/>
                      <w:u w:val="single"/>
                    </w:rPr>
                  </w:pPr>
                  <w:r>
                    <w:rPr>
                      <w:rFonts w:hAnsi="宋体"/>
                      <w:b/>
                      <w:szCs w:val="21"/>
                      <w:u w:val="single"/>
                    </w:rPr>
                    <w:t>运输监管</w:t>
                  </w:r>
                </w:p>
              </w:tc>
              <w:tc>
                <w:tcPr>
                  <w:tcW w:w="2351" w:type="pct"/>
                  <w:vAlign w:val="center"/>
                </w:tcPr>
                <w:p>
                  <w:pPr>
                    <w:widowControl/>
                    <w:spacing w:line="360" w:lineRule="auto"/>
                    <w:jc w:val="center"/>
                    <w:rPr>
                      <w:b/>
                      <w:kern w:val="0"/>
                      <w:szCs w:val="21"/>
                      <w:u w:val="single"/>
                    </w:rPr>
                  </w:pPr>
                  <w:r>
                    <w:rPr>
                      <w:rFonts w:hAnsi="宋体"/>
                      <w:b/>
                      <w:kern w:val="0"/>
                      <w:szCs w:val="21"/>
                      <w:u w:val="single"/>
                    </w:rPr>
                    <w:t>日均进出货物</w:t>
                  </w:r>
                  <w:r>
                    <w:rPr>
                      <w:b/>
                      <w:kern w:val="0"/>
                      <w:szCs w:val="21"/>
                      <w:u w:val="single"/>
                    </w:rPr>
                    <w:t>150</w:t>
                  </w:r>
                  <w:r>
                    <w:rPr>
                      <w:rFonts w:hAnsi="宋体"/>
                      <w:b/>
                      <w:kern w:val="0"/>
                      <w:szCs w:val="21"/>
                      <w:u w:val="single"/>
                    </w:rPr>
                    <w:t>吨（或载货车辆日进出</w:t>
                  </w:r>
                  <w:r>
                    <w:rPr>
                      <w:b/>
                      <w:kern w:val="0"/>
                      <w:szCs w:val="21"/>
                      <w:u w:val="single"/>
                    </w:rPr>
                    <w:t>10</w:t>
                  </w:r>
                  <w:r>
                    <w:rPr>
                      <w:rFonts w:hAnsi="宋体"/>
                      <w:b/>
                      <w:kern w:val="0"/>
                      <w:szCs w:val="21"/>
                      <w:u w:val="single"/>
                    </w:rPr>
                    <w:t>辆次）及以上（货物包括原料、辅料、燃料、产品和其他与生产相关物料）的企业，或纳入我省重点行业年产值</w:t>
                  </w:r>
                  <w:r>
                    <w:rPr>
                      <w:b/>
                      <w:kern w:val="0"/>
                      <w:szCs w:val="21"/>
                      <w:u w:val="single"/>
                    </w:rPr>
                    <w:t>1000</w:t>
                  </w:r>
                  <w:r>
                    <w:rPr>
                      <w:rFonts w:hAnsi="宋体"/>
                      <w:b/>
                      <w:kern w:val="0"/>
                      <w:szCs w:val="21"/>
                      <w:u w:val="single"/>
                    </w:rPr>
                    <w:t>万及以上的企业，应参照《重污染天气重点行业移动</w:t>
                  </w:r>
                  <w:r>
                    <w:rPr>
                      <w:b/>
                      <w:kern w:val="0"/>
                      <w:szCs w:val="21"/>
                      <w:u w:val="single"/>
                    </w:rPr>
                    <w:cr/>
                  </w:r>
                  <w:r>
                    <w:rPr>
                      <w:rFonts w:hAnsi="宋体"/>
                      <w:b/>
                      <w:kern w:val="0"/>
                      <w:szCs w:val="21"/>
                      <w:u w:val="single"/>
                    </w:rPr>
                    <w:t>应急</w:t>
                  </w:r>
                  <w:r>
                    <w:rPr>
                      <w:b/>
                      <w:kern w:val="0"/>
                      <w:szCs w:val="21"/>
                      <w:u w:val="single"/>
                    </w:rPr>
                    <w:cr/>
                  </w:r>
                  <w:r>
                    <w:rPr>
                      <w:rFonts w:hAnsi="宋体"/>
                      <w:b/>
                      <w:kern w:val="0"/>
                      <w:szCs w:val="21"/>
                      <w:u w:val="single"/>
                    </w:rPr>
                    <w:t>理技术指南》建立门禁视频监控系统和电子台账；其他企业建立电子台账。</w:t>
                  </w:r>
                </w:p>
              </w:tc>
              <w:tc>
                <w:tcPr>
                  <w:tcW w:w="1722" w:type="pct"/>
                  <w:vAlign w:val="center"/>
                </w:tcPr>
                <w:p>
                  <w:pPr>
                    <w:spacing w:line="400" w:lineRule="exact"/>
                    <w:jc w:val="center"/>
                    <w:rPr>
                      <w:b/>
                      <w:kern w:val="0"/>
                      <w:szCs w:val="21"/>
                      <w:u w:val="single"/>
                    </w:rPr>
                  </w:pPr>
                  <w:r>
                    <w:rPr>
                      <w:rFonts w:hAnsi="宋体"/>
                      <w:b/>
                      <w:kern w:val="0"/>
                      <w:szCs w:val="21"/>
                      <w:u w:val="single"/>
                    </w:rPr>
                    <w:t>本项目建成后厂区货运出入口按要求建立电子台账。</w:t>
                  </w:r>
                </w:p>
              </w:tc>
              <w:tc>
                <w:tcPr>
                  <w:tcW w:w="438" w:type="pct"/>
                  <w:vAlign w:val="center"/>
                </w:tcPr>
                <w:p>
                  <w:pPr>
                    <w:spacing w:line="400" w:lineRule="exact"/>
                    <w:jc w:val="center"/>
                    <w:rPr>
                      <w:b/>
                      <w:szCs w:val="21"/>
                      <w:u w:val="single"/>
                    </w:rPr>
                  </w:pPr>
                  <w:r>
                    <w:rPr>
                      <w:rFonts w:hAnsi="宋体"/>
                      <w:b/>
                      <w:bCs/>
                      <w:szCs w:val="21"/>
                      <w:u w:val="single"/>
                    </w:rPr>
                    <w:t>相符</w:t>
                  </w:r>
                </w:p>
              </w:tc>
            </w:tr>
          </w:tbl>
          <w:p>
            <w:pPr>
              <w:pStyle w:val="91"/>
              <w:ind w:firstLine="482" w:firstLineChars="200"/>
              <w:rPr>
                <w:rFonts w:eastAsia="宋体"/>
                <w:color w:val="auto"/>
                <w:u w:val="single"/>
              </w:rPr>
            </w:pPr>
            <w:r>
              <w:rPr>
                <w:rFonts w:hAnsi="宋体" w:eastAsia="宋体"/>
                <w:color w:val="auto"/>
                <w:u w:val="single"/>
              </w:rPr>
              <w:t>由上表可知，本项目建成后可符合《河南省生态环境厅关于做好</w:t>
            </w:r>
            <w:r>
              <w:rPr>
                <w:rFonts w:eastAsia="宋体"/>
                <w:color w:val="auto"/>
                <w:u w:val="single"/>
              </w:rPr>
              <w:t>2021</w:t>
            </w:r>
            <w:r>
              <w:rPr>
                <w:rFonts w:hAnsi="宋体" w:eastAsia="宋体"/>
                <w:color w:val="auto"/>
                <w:u w:val="single"/>
              </w:rPr>
              <w:t>年重点行业绩效分级和重污染天气应急减排清单修订工作的通知》（豫环文〔</w:t>
            </w:r>
            <w:r>
              <w:rPr>
                <w:rFonts w:eastAsia="宋体"/>
                <w:color w:val="auto"/>
                <w:u w:val="single"/>
              </w:rPr>
              <w:t>2021</w:t>
            </w:r>
            <w:r>
              <w:rPr>
                <w:rFonts w:hAnsi="宋体" w:eastAsia="宋体"/>
                <w:color w:val="auto"/>
                <w:u w:val="single"/>
              </w:rPr>
              <w:t>〕</w:t>
            </w:r>
            <w:r>
              <w:rPr>
                <w:rFonts w:eastAsia="宋体"/>
                <w:color w:val="auto"/>
                <w:u w:val="single"/>
              </w:rPr>
              <w:t>94</w:t>
            </w:r>
            <w:r>
              <w:rPr>
                <w:rFonts w:hAnsi="宋体" w:eastAsia="宋体"/>
                <w:color w:val="auto"/>
                <w:u w:val="single"/>
              </w:rPr>
              <w:t>号）中塑料制品企业绩效分级</w:t>
            </w:r>
            <w:r>
              <w:rPr>
                <w:rFonts w:eastAsia="宋体"/>
                <w:color w:val="auto"/>
                <w:u w:val="single"/>
              </w:rPr>
              <w:t>A</w:t>
            </w:r>
            <w:r>
              <w:rPr>
                <w:rFonts w:hAnsi="宋体" w:eastAsia="宋体"/>
                <w:color w:val="auto"/>
                <w:u w:val="single"/>
              </w:rPr>
              <w:t>级企业要求。</w:t>
            </w:r>
          </w:p>
          <w:p>
            <w:pPr>
              <w:pStyle w:val="51"/>
              <w:ind w:firstLine="0" w:firstLineChars="0"/>
            </w:pPr>
            <w:r>
              <w:rPr>
                <w:rFonts w:hint="eastAsia"/>
              </w:rPr>
              <w:t>9、</w:t>
            </w:r>
            <w:r>
              <w:t>饮用水源</w:t>
            </w:r>
          </w:p>
          <w:p>
            <w:pPr>
              <w:pStyle w:val="99"/>
              <w:ind w:firstLine="480"/>
            </w:pPr>
            <w:r>
              <w:rPr>
                <w:rFonts w:hint="eastAsia"/>
                <w:shd w:val="clear" w:color="auto" w:fill="FFFFFF"/>
              </w:rPr>
              <w:t>项目厂址位于洛阳市偃师区岳滩镇，根据河南省人民政府办公厅发布的《关于印发河南省乡镇集中式饮用水水源保护区划的通知》（豫政办[2016]23号）</w:t>
            </w:r>
            <w:r>
              <w:t>。</w:t>
            </w:r>
          </w:p>
          <w:p>
            <w:pPr>
              <w:pStyle w:val="99"/>
              <w:ind w:firstLine="480"/>
            </w:pPr>
            <w:r>
              <w:t>偃师区现有10处乡镇地下水井群。根据调查，距离本项目较近的为偃师区</w:t>
            </w:r>
            <w:r>
              <w:rPr>
                <w:rFonts w:hint="eastAsia"/>
              </w:rPr>
              <w:t>岳滩镇</w:t>
            </w:r>
            <w:r>
              <w:t>镇饮用水水源井群（共2眼井）。</w:t>
            </w:r>
          </w:p>
          <w:p>
            <w:pPr>
              <w:adjustRightInd w:val="0"/>
              <w:snapToGrid w:val="0"/>
              <w:spacing w:line="520" w:lineRule="exact"/>
              <w:ind w:firstLine="480" w:firstLineChars="200"/>
              <w:rPr>
                <w:sz w:val="24"/>
              </w:rPr>
            </w:pPr>
            <w:r>
              <w:rPr>
                <w:sz w:val="24"/>
              </w:rPr>
              <w:t>偃师市岳滩镇共有3处集中式饮用水水源地，分别为：</w:t>
            </w:r>
          </w:p>
          <w:p>
            <w:pPr>
              <w:adjustRightInd w:val="0"/>
              <w:snapToGrid w:val="0"/>
              <w:spacing w:line="520" w:lineRule="exact"/>
              <w:ind w:firstLine="480" w:firstLineChars="200"/>
              <w:rPr>
                <w:sz w:val="24"/>
              </w:rPr>
            </w:pPr>
            <w:r>
              <w:rPr>
                <w:sz w:val="24"/>
              </w:rPr>
              <w:t>①偃师市岳滩镇东水厂地下水井群(共2眼井)</w:t>
            </w:r>
          </w:p>
          <w:p>
            <w:pPr>
              <w:adjustRightInd w:val="0"/>
              <w:snapToGrid w:val="0"/>
              <w:spacing w:line="520" w:lineRule="exact"/>
              <w:ind w:firstLine="480" w:firstLineChars="200"/>
              <w:rPr>
                <w:sz w:val="24"/>
              </w:rPr>
            </w:pPr>
            <w:r>
              <w:rPr>
                <w:sz w:val="24"/>
              </w:rPr>
              <w:t>一级保护区范围：水厂厂区及外围东200米、西170米、南180米、北200米至310国道的区域。</w:t>
            </w:r>
          </w:p>
          <w:p>
            <w:pPr>
              <w:adjustRightInd w:val="0"/>
              <w:snapToGrid w:val="0"/>
              <w:spacing w:line="520" w:lineRule="exact"/>
              <w:ind w:firstLine="480" w:firstLineChars="200"/>
              <w:rPr>
                <w:sz w:val="24"/>
              </w:rPr>
            </w:pPr>
            <w:r>
              <w:rPr>
                <w:sz w:val="24"/>
              </w:rPr>
              <w:t>②偃师市岳滩镇西水厂地下水井群(共2眼井)</w:t>
            </w:r>
          </w:p>
          <w:p>
            <w:pPr>
              <w:adjustRightInd w:val="0"/>
              <w:snapToGrid w:val="0"/>
              <w:spacing w:line="520" w:lineRule="exact"/>
              <w:ind w:firstLine="480" w:firstLineChars="200"/>
              <w:rPr>
                <w:sz w:val="24"/>
              </w:rPr>
            </w:pPr>
            <w:r>
              <w:rPr>
                <w:sz w:val="24"/>
              </w:rPr>
              <w:t>一级保护区范围：水厂厂区及外围东190米、西190米、南180米、北190米的区域。</w:t>
            </w:r>
          </w:p>
          <w:p>
            <w:pPr>
              <w:adjustRightInd w:val="0"/>
              <w:snapToGrid w:val="0"/>
              <w:spacing w:line="520" w:lineRule="exact"/>
              <w:ind w:firstLine="480" w:firstLineChars="200"/>
              <w:rPr>
                <w:sz w:val="24"/>
              </w:rPr>
            </w:pPr>
            <w:r>
              <w:rPr>
                <w:sz w:val="24"/>
              </w:rPr>
              <w:t>③偃师市岳滩镇三水厂地下水井群(共2眼井)</w:t>
            </w:r>
          </w:p>
          <w:p>
            <w:pPr>
              <w:adjustRightInd w:val="0"/>
              <w:snapToGrid w:val="0"/>
              <w:spacing w:line="520" w:lineRule="exact"/>
              <w:ind w:firstLine="480" w:firstLineChars="200"/>
              <w:rPr>
                <w:sz w:val="24"/>
              </w:rPr>
            </w:pPr>
            <w:r>
              <w:rPr>
                <w:sz w:val="24"/>
              </w:rPr>
              <w:t>一级保护区范围：水厂厂区及外围东221米、西217米、南187米、北202米的区域。</w:t>
            </w:r>
          </w:p>
          <w:p>
            <w:pPr>
              <w:adjustRightInd w:val="0"/>
              <w:snapToGrid w:val="0"/>
              <w:spacing w:line="520" w:lineRule="exact"/>
              <w:ind w:firstLine="480" w:firstLineChars="200"/>
              <w:rPr>
                <w:sz w:val="24"/>
              </w:rPr>
            </w:pPr>
            <w:r>
              <w:rPr>
                <w:sz w:val="24"/>
              </w:rPr>
              <w:t>本项目位于</w:t>
            </w:r>
            <w:r>
              <w:rPr>
                <w:rFonts w:hint="eastAsia"/>
                <w:sz w:val="24"/>
              </w:rPr>
              <w:t>偃师市产业集聚区南园</w:t>
            </w:r>
            <w:r>
              <w:rPr>
                <w:sz w:val="24"/>
              </w:rPr>
              <w:t>，距离最近的水源地为偃师</w:t>
            </w:r>
            <w:r>
              <w:rPr>
                <w:rFonts w:hint="eastAsia"/>
                <w:sz w:val="24"/>
              </w:rPr>
              <w:t>区</w:t>
            </w:r>
            <w:r>
              <w:rPr>
                <w:sz w:val="24"/>
              </w:rPr>
              <w:t>岳滩镇</w:t>
            </w:r>
            <w:r>
              <w:rPr>
                <w:rFonts w:hint="eastAsia"/>
                <w:sz w:val="24"/>
              </w:rPr>
              <w:t>西</w:t>
            </w:r>
            <w:r>
              <w:rPr>
                <w:sz w:val="24"/>
              </w:rPr>
              <w:t>水厂，本项目</w:t>
            </w:r>
            <w:r>
              <w:rPr>
                <w:rFonts w:hint="eastAsia"/>
                <w:sz w:val="24"/>
              </w:rPr>
              <w:t>位于</w:t>
            </w:r>
            <w:r>
              <w:rPr>
                <w:sz w:val="24"/>
              </w:rPr>
              <w:t>偃师</w:t>
            </w:r>
            <w:r>
              <w:rPr>
                <w:rFonts w:hint="eastAsia"/>
                <w:sz w:val="24"/>
              </w:rPr>
              <w:t>区</w:t>
            </w:r>
            <w:r>
              <w:rPr>
                <w:sz w:val="24"/>
              </w:rPr>
              <w:t>岳滩镇</w:t>
            </w:r>
            <w:r>
              <w:rPr>
                <w:rFonts w:hint="eastAsia"/>
                <w:sz w:val="24"/>
              </w:rPr>
              <w:t>西</w:t>
            </w:r>
            <w:r>
              <w:rPr>
                <w:sz w:val="24"/>
              </w:rPr>
              <w:t>水厂一级保护区</w:t>
            </w:r>
            <w:r>
              <w:rPr>
                <w:rFonts w:hint="eastAsia"/>
                <w:sz w:val="24"/>
              </w:rPr>
              <w:t>西北侧约1.3</w:t>
            </w:r>
            <w:r>
              <w:rPr>
                <w:sz w:val="24"/>
              </w:rPr>
              <w:t>km</w:t>
            </w:r>
            <w:r>
              <w:rPr>
                <w:rFonts w:hint="eastAsia"/>
                <w:sz w:val="24"/>
              </w:rPr>
              <w:t>处</w:t>
            </w:r>
            <w:r>
              <w:rPr>
                <w:sz w:val="24"/>
              </w:rPr>
              <w:t>，项目厂址与偃师</w:t>
            </w:r>
            <w:r>
              <w:rPr>
                <w:rFonts w:hint="eastAsia"/>
                <w:sz w:val="24"/>
              </w:rPr>
              <w:t>区</w:t>
            </w:r>
            <w:r>
              <w:rPr>
                <w:sz w:val="24"/>
              </w:rPr>
              <w:t>岳滩镇饮用水水源保护区的位置关系见附图</w:t>
            </w:r>
            <w:r>
              <w:rPr>
                <w:rFonts w:hint="eastAsia"/>
                <w:sz w:val="24"/>
              </w:rPr>
              <w:t>七</w:t>
            </w:r>
            <w:r>
              <w:rPr>
                <w:sz w:val="24"/>
              </w:rPr>
              <w:t>。本项目不在水源保护区范围内，符合饮用水源保护规划。</w:t>
            </w:r>
          </w:p>
          <w:p>
            <w:pPr>
              <w:pStyle w:val="51"/>
              <w:spacing w:line="500" w:lineRule="exact"/>
              <w:ind w:firstLine="0" w:firstLineChars="0"/>
            </w:pPr>
            <w:r>
              <w:rPr>
                <w:rFonts w:hint="eastAsia"/>
              </w:rPr>
              <w:t>10、大遗址保护规划相符性分析</w:t>
            </w:r>
          </w:p>
          <w:p>
            <w:pPr>
              <w:adjustRightInd w:val="0"/>
              <w:snapToGrid w:val="0"/>
              <w:spacing w:line="500" w:lineRule="exact"/>
              <w:ind w:firstLine="480" w:firstLineChars="200"/>
              <w:rPr>
                <w:sz w:val="24"/>
              </w:rPr>
            </w:pPr>
            <w:r>
              <w:rPr>
                <w:sz w:val="24"/>
              </w:rPr>
              <w:t>根据《洛阳市城市总体规划》（2011-2020年）-《大遗址保护区划图》，洛阳分为邙山陵墓群、汉魏洛阳城遗址、东汉陵墓南兆城、隋唐洛阳城遗址等保护区域，偃师境内的主要为邙山陵墓群东段和汉魏洛阳城遗址。</w:t>
            </w:r>
          </w:p>
          <w:p>
            <w:pPr>
              <w:adjustRightInd w:val="0"/>
              <w:snapToGrid w:val="0"/>
              <w:spacing w:line="500" w:lineRule="exact"/>
              <w:ind w:firstLine="480" w:firstLineChars="200"/>
            </w:pPr>
            <w:r>
              <w:rPr>
                <w:sz w:val="24"/>
              </w:rPr>
              <w:t>本项目位于洛阳市偃师区</w:t>
            </w:r>
            <w:r>
              <w:rPr>
                <w:rFonts w:hint="eastAsia"/>
                <w:sz w:val="24"/>
              </w:rPr>
              <w:t>岳滩镇</w:t>
            </w:r>
            <w:r>
              <w:rPr>
                <w:sz w:val="24"/>
              </w:rPr>
              <w:t>。根据《洛阳市城市总体规划》（2011-2020年）-《大遗址保护区划图》，</w:t>
            </w:r>
            <w:r>
              <w:rPr>
                <w:rFonts w:hint="eastAsia"/>
                <w:sz w:val="24"/>
              </w:rPr>
              <w:t>本项目</w:t>
            </w:r>
            <w:r>
              <w:rPr>
                <w:sz w:val="24"/>
              </w:rPr>
              <w:t>不在其保护范围和建设控制地带内（见附图八），项目建设不会对文物造成影响。</w:t>
            </w:r>
          </w:p>
        </w:tc>
      </w:tr>
    </w:tbl>
    <w:p>
      <w:pPr>
        <w:spacing w:line="360" w:lineRule="auto"/>
        <w:outlineLvl w:val="0"/>
        <w:rPr>
          <w:rFonts w:eastAsia="黑体"/>
          <w:sz w:val="30"/>
        </w:rPr>
        <w:sectPr>
          <w:pgSz w:w="11906" w:h="16838"/>
          <w:pgMar w:top="1701" w:right="1531" w:bottom="1701" w:left="1531" w:header="851" w:footer="1077" w:gutter="0"/>
          <w:cols w:space="720" w:num="1"/>
          <w:docGrid w:linePitch="312" w:charSpace="0"/>
        </w:sectPr>
      </w:pPr>
    </w:p>
    <w:p>
      <w:pPr>
        <w:pStyle w:val="19"/>
        <w:spacing w:before="0" w:beforeAutospacing="0" w:after="0" w:afterAutospacing="0" w:line="800" w:lineRule="exact"/>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6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20" w:type="dxa"/>
            <w:vAlign w:val="center"/>
          </w:tcPr>
          <w:p>
            <w:pPr>
              <w:pStyle w:val="19"/>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640" w:type="dxa"/>
          </w:tcPr>
          <w:p>
            <w:pPr>
              <w:pStyle w:val="91"/>
              <w:rPr>
                <w:color w:val="auto"/>
              </w:rPr>
            </w:pPr>
            <w:r>
              <w:rPr>
                <w:color w:val="auto"/>
              </w:rPr>
              <w:t>1.</w:t>
            </w:r>
            <w:r>
              <w:rPr>
                <w:rFonts w:hint="eastAsia"/>
                <w:color w:val="auto"/>
              </w:rPr>
              <w:t>项目由来</w:t>
            </w:r>
          </w:p>
          <w:p>
            <w:pPr>
              <w:pStyle w:val="79"/>
            </w:pPr>
            <w:r>
              <w:rPr>
                <w:rFonts w:hint="eastAsia"/>
              </w:rPr>
              <w:t>洛阳和一集装袋包装有限公司是一家主要从事塑料制品生产的企业。洛阳和一集装袋包装有限公司老厂区由于生产空间受限，不能满足现有生产需要，故在偃师市产业集聚区南园租赁2000平方米闲置车间，用于基布覆膜生产。</w:t>
            </w:r>
          </w:p>
          <w:p>
            <w:pPr>
              <w:pStyle w:val="79"/>
              <w:rPr>
                <w:bCs/>
              </w:rPr>
            </w:pPr>
            <w:r>
              <w:rPr>
                <w:rFonts w:hint="eastAsia"/>
                <w:bCs/>
              </w:rPr>
              <w:t>根据《中华人民共和国环境保护法》、《中华人民共和国环境影响评价法》和国务院（2017）第682 号令《建设项目环境保护管理条例》中有关规定，本项目应开展环境影响评价工作。经查阅《建设项目环境影响评价分类管理名录》（2021 年版），本项目属于“二十六、橡胶和塑料制品业--53塑料制品业 292” ，根据规定，“以再生塑料为原料生产的；有电镀工艺的；年用溶剂型胶粘剂10吨及以上的；年用溶剂型涂料（含稀释剂）10吨及以上的”应编制环境影响报告书，“其他（年用非溶剂型低VOCs含量涂料10吨以下的除外）”应编制环境影响报告表，本项目不涉及再生料、电镀和溶剂型粘胶剂，因此，本项目应编制环境影响报告表。</w:t>
            </w:r>
          </w:p>
          <w:p>
            <w:pPr>
              <w:pStyle w:val="79"/>
            </w:pPr>
            <w:r>
              <w:rPr>
                <w:rFonts w:hint="eastAsia"/>
              </w:rPr>
              <w:t>受建设单位委托，我公司承担了该项目的环境影响评价工作，委托书见附件1。我公司接受委托后，立即组织有关技术人员进行了现场调查、环境保护目标识别、资料收集与分析等工作，并在此基础上，根据国家建设项目环境影响评价技术导则和规范的要求，本着“客观、公正、科学、规范”的精神，编制完成了该项目环境影响报告表。</w:t>
            </w:r>
          </w:p>
          <w:p>
            <w:pPr>
              <w:pStyle w:val="91"/>
              <w:rPr>
                <w:color w:val="auto"/>
              </w:rPr>
            </w:pPr>
            <w:r>
              <w:rPr>
                <w:rFonts w:hint="eastAsia"/>
                <w:color w:val="auto"/>
              </w:rPr>
              <w:t>2建设内容</w:t>
            </w:r>
          </w:p>
          <w:p>
            <w:pPr>
              <w:pStyle w:val="91"/>
              <w:rPr>
                <w:color w:val="auto"/>
              </w:rPr>
            </w:pPr>
            <w:r>
              <w:rPr>
                <w:rFonts w:hint="eastAsia"/>
                <w:color w:val="auto"/>
              </w:rPr>
              <w:t>2.1</w:t>
            </w:r>
            <w:r>
              <w:rPr>
                <w:color w:val="auto"/>
              </w:rPr>
              <w:t>项目基本情况</w:t>
            </w:r>
          </w:p>
          <w:p>
            <w:pPr>
              <w:pStyle w:val="79"/>
              <w:rPr>
                <w:b/>
              </w:rPr>
            </w:pPr>
            <w:r>
              <w:t>本</w:t>
            </w:r>
            <w:r>
              <w:rPr>
                <w:rFonts w:hint="eastAsia"/>
              </w:rPr>
              <w:t>项目利用现有标准化厂房进行建设，用地面积为2000m</w:t>
            </w:r>
            <w:r>
              <w:rPr>
                <w:rFonts w:hint="eastAsia"/>
                <w:vertAlign w:val="superscript"/>
              </w:rPr>
              <w:t>2</w:t>
            </w:r>
            <w:r>
              <w:rPr>
                <w:rFonts w:hint="eastAsia"/>
              </w:rPr>
              <w:t>，建设规模为年产5000吨覆膜基布项目，主要设备为搅拌机、上料机和覆膜机等，主要生产工艺为原料-搅拌-加热挤出-覆膜-成品。</w:t>
            </w:r>
          </w:p>
          <w:p>
            <w:pPr>
              <w:pStyle w:val="91"/>
              <w:rPr>
                <w:color w:val="auto"/>
              </w:rPr>
            </w:pPr>
            <w:r>
              <w:rPr>
                <w:color w:val="auto"/>
              </w:rPr>
              <w:t xml:space="preserve">2. </w:t>
            </w:r>
            <w:r>
              <w:rPr>
                <w:rFonts w:hint="eastAsia"/>
                <w:color w:val="auto"/>
              </w:rPr>
              <w:t>2</w:t>
            </w:r>
            <w:r>
              <w:rPr>
                <w:color w:val="auto"/>
              </w:rPr>
              <w:t>地理位置与交通</w:t>
            </w:r>
          </w:p>
          <w:p>
            <w:pPr>
              <w:spacing w:line="520" w:lineRule="exact"/>
              <w:ind w:firstLine="480" w:firstLineChars="200"/>
              <w:jc w:val="left"/>
              <w:rPr>
                <w:sz w:val="24"/>
              </w:rPr>
            </w:pPr>
            <w:r>
              <w:rPr>
                <w:sz w:val="24"/>
              </w:rPr>
              <w:t>本项目位于</w:t>
            </w:r>
            <w:r>
              <w:rPr>
                <w:rFonts w:hint="eastAsia"/>
                <w:sz w:val="24"/>
              </w:rPr>
              <w:t>偃师市产业集聚区南园</w:t>
            </w:r>
            <w:r>
              <w:rPr>
                <w:sz w:val="24"/>
              </w:rPr>
              <w:t>。</w:t>
            </w:r>
          </w:p>
          <w:p>
            <w:pPr>
              <w:spacing w:line="520" w:lineRule="exact"/>
              <w:ind w:firstLine="420" w:firstLineChars="200"/>
              <w:rPr>
                <w:sz w:val="24"/>
              </w:rPr>
            </w:pPr>
            <w:r>
              <w:t>周围环境现状为：</w:t>
            </w:r>
            <w:r>
              <w:rPr>
                <w:sz w:val="24"/>
              </w:rPr>
              <w:t>本项目东侧为洛阳福山减震器有限公司、西侧为河南万虎摩托车有限公司，南侧为洛阳圣钰车桥有限公司、北侧隔路为洛阳长隆实业有限公司和洛阳宗乔车业有限公司。</w:t>
            </w:r>
          </w:p>
          <w:p>
            <w:pPr>
              <w:pStyle w:val="51"/>
              <w:ind w:firstLine="480"/>
            </w:pPr>
            <w:r>
              <w:t>本项目地理位置图见附图</w:t>
            </w:r>
            <w:r>
              <w:rPr>
                <w:rFonts w:hint="eastAsia"/>
              </w:rPr>
              <w:t>一</w:t>
            </w:r>
            <w:r>
              <w:t>，周围环境示意图见附图</w:t>
            </w:r>
            <w:r>
              <w:rPr>
                <w:rFonts w:hint="eastAsia"/>
              </w:rPr>
              <w:t>二</w:t>
            </w:r>
            <w:r>
              <w:t>。</w:t>
            </w:r>
          </w:p>
          <w:p>
            <w:pPr>
              <w:pStyle w:val="91"/>
              <w:rPr>
                <w:color w:val="auto"/>
              </w:rPr>
            </w:pPr>
            <w:r>
              <w:rPr>
                <w:color w:val="auto"/>
              </w:rPr>
              <w:t>3. 建设内容</w:t>
            </w:r>
          </w:p>
          <w:p>
            <w:pPr>
              <w:pStyle w:val="53"/>
              <w:ind w:firstLine="480"/>
            </w:pPr>
            <w:r>
              <w:t>表</w:t>
            </w:r>
            <w:r>
              <w:rPr>
                <w:rFonts w:hint="eastAsia"/>
              </w:rPr>
              <w:t>9</w:t>
            </w:r>
            <w:r>
              <w:t xml:space="preserve">              </w:t>
            </w:r>
            <w:r>
              <w:rPr>
                <w:rFonts w:hint="eastAsia"/>
              </w:rPr>
              <w:t>本项目</w:t>
            </w:r>
            <w:r>
              <w:t>组成情况表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430"/>
              <w:gridCol w:w="780"/>
              <w:gridCol w:w="526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
                      <w:szCs w:val="21"/>
                    </w:rPr>
                  </w:pPr>
                  <w:r>
                    <w:rPr>
                      <w:b/>
                      <w:szCs w:val="21"/>
                    </w:rPr>
                    <w:t>工程分类</w:t>
                  </w:r>
                </w:p>
              </w:tc>
              <w:tc>
                <w:tcPr>
                  <w:tcW w:w="720" w:type="pct"/>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
                      <w:szCs w:val="21"/>
                    </w:rPr>
                  </w:pPr>
                  <w:r>
                    <w:rPr>
                      <w:b/>
                      <w:szCs w:val="21"/>
                    </w:rPr>
                    <w:t>工程组成</w:t>
                  </w:r>
                </w:p>
              </w:tc>
              <w:tc>
                <w:tcPr>
                  <w:tcW w:w="31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
                      <w:szCs w:val="21"/>
                    </w:rPr>
                  </w:pPr>
                  <w:r>
                    <w:rPr>
                      <w:b/>
                      <w:szCs w:val="21"/>
                    </w:rPr>
                    <w:t>工程内容</w:t>
                  </w: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47" w:type="pct"/>
                  <w:tcBorders>
                    <w:top w:val="single" w:color="auto" w:sz="4" w:space="0"/>
                    <w:left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主体工程</w:t>
                  </w:r>
                </w:p>
              </w:tc>
              <w:tc>
                <w:tcPr>
                  <w:tcW w:w="720" w:type="pct"/>
                  <w:gridSpan w:val="2"/>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rPr>
                    <w:t>生产</w:t>
                  </w:r>
                </w:p>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车间</w:t>
                  </w:r>
                </w:p>
              </w:tc>
              <w:tc>
                <w:tcPr>
                  <w:tcW w:w="3129"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szCs w:val="21"/>
                    </w:rPr>
                  </w:pPr>
                  <w:r>
                    <w:rPr>
                      <w:rFonts w:ascii="Times New Roman" w:hAnsi="Times New Roman" w:eastAsia="宋体"/>
                      <w:bCs/>
                      <w:kern w:val="2"/>
                      <w:sz w:val="21"/>
                      <w:szCs w:val="21"/>
                    </w:rPr>
                    <w:t>1F，钢架结构，H=12m，占地</w:t>
                  </w:r>
                  <w:r>
                    <w:rPr>
                      <w:rFonts w:hint="default" w:ascii="Times New Roman" w:hAnsi="Times New Roman" w:eastAsia="宋体"/>
                      <w:bCs/>
                      <w:kern w:val="2"/>
                      <w:sz w:val="21"/>
                      <w:szCs w:val="21"/>
                    </w:rPr>
                    <w:t>面积</w:t>
                  </w:r>
                  <w:r>
                    <w:rPr>
                      <w:rFonts w:ascii="Times New Roman" w:hAnsi="Times New Roman" w:eastAsia="宋体"/>
                      <w:bCs/>
                      <w:kern w:val="2"/>
                      <w:sz w:val="21"/>
                      <w:szCs w:val="21"/>
                    </w:rPr>
                    <w:t>2000</w:t>
                  </w:r>
                  <w:r>
                    <w:rPr>
                      <w:rFonts w:hint="default" w:ascii="Times New Roman" w:hAnsi="Times New Roman" w:eastAsia="宋体"/>
                      <w:bCs/>
                      <w:kern w:val="2"/>
                      <w:sz w:val="21"/>
                      <w:szCs w:val="21"/>
                    </w:rPr>
                    <w:t>m</w:t>
                  </w:r>
                  <w:r>
                    <w:rPr>
                      <w:rFonts w:hint="default" w:ascii="Times New Roman" w:hAnsi="Times New Roman" w:eastAsia="宋体"/>
                      <w:bCs/>
                      <w:kern w:val="2"/>
                      <w:sz w:val="21"/>
                      <w:szCs w:val="21"/>
                      <w:vertAlign w:val="superscript"/>
                    </w:rPr>
                    <w:t>2</w:t>
                  </w:r>
                  <w:r>
                    <w:rPr>
                      <w:rFonts w:hint="default" w:ascii="Times New Roman" w:hAnsi="Times New Roman" w:eastAsia="宋体"/>
                      <w:bCs/>
                      <w:kern w:val="2"/>
                      <w:sz w:val="21"/>
                      <w:szCs w:val="21"/>
                    </w:rPr>
                    <w:t>，</w:t>
                  </w:r>
                  <w:r>
                    <w:rPr>
                      <w:rFonts w:ascii="Times New Roman" w:hAnsi="Times New Roman" w:eastAsia="宋体"/>
                      <w:bCs/>
                      <w:kern w:val="2"/>
                      <w:sz w:val="21"/>
                      <w:szCs w:val="21"/>
                    </w:rPr>
                    <w:t>主要为原料区、生产区和成品区</w:t>
                  </w: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spacing w:val="-3"/>
                      <w:szCs w:val="21"/>
                    </w:rPr>
                  </w:pPr>
                  <w:r>
                    <w:rPr>
                      <w:rFonts w:hint="eastAsia"/>
                      <w:spacing w:val="-3"/>
                      <w:szCs w:val="21"/>
                    </w:rPr>
                    <w:t>租赁已建厂房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47" w:type="pct"/>
                  <w:tcBorders>
                    <w:top w:val="single" w:color="auto" w:sz="4" w:space="0"/>
                    <w:left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rPr>
                    <w:t>辅助工程</w:t>
                  </w:r>
                </w:p>
              </w:tc>
              <w:tc>
                <w:tcPr>
                  <w:tcW w:w="720" w:type="pct"/>
                  <w:gridSpan w:val="2"/>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rPr>
                    <w:t>办公室</w:t>
                  </w:r>
                </w:p>
              </w:tc>
              <w:tc>
                <w:tcPr>
                  <w:tcW w:w="3129"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szCs w:val="21"/>
                    </w:rPr>
                  </w:pPr>
                  <w:r>
                    <w:rPr>
                      <w:rFonts w:ascii="Times New Roman" w:hAnsi="Times New Roman" w:eastAsia="宋体"/>
                      <w:bCs/>
                      <w:kern w:val="2"/>
                      <w:sz w:val="21"/>
                      <w:szCs w:val="21"/>
                    </w:rPr>
                    <w:t>1F，钢架结构，H=3.0m，占地</w:t>
                  </w:r>
                  <w:r>
                    <w:rPr>
                      <w:rFonts w:hint="default" w:ascii="Times New Roman" w:hAnsi="Times New Roman" w:eastAsia="宋体"/>
                      <w:bCs/>
                      <w:kern w:val="2"/>
                      <w:sz w:val="21"/>
                      <w:szCs w:val="21"/>
                    </w:rPr>
                    <w:t>面积</w:t>
                  </w:r>
                  <w:r>
                    <w:rPr>
                      <w:rFonts w:ascii="Times New Roman" w:hAnsi="Times New Roman" w:eastAsia="宋体"/>
                      <w:bCs/>
                      <w:kern w:val="2"/>
                      <w:sz w:val="21"/>
                      <w:szCs w:val="21"/>
                    </w:rPr>
                    <w:t>40</w:t>
                  </w:r>
                  <w:r>
                    <w:rPr>
                      <w:rFonts w:hint="default" w:ascii="Times New Roman" w:hAnsi="Times New Roman" w:eastAsia="宋体"/>
                      <w:bCs/>
                      <w:kern w:val="2"/>
                      <w:sz w:val="21"/>
                      <w:szCs w:val="21"/>
                    </w:rPr>
                    <w:t>m</w:t>
                  </w:r>
                  <w:r>
                    <w:rPr>
                      <w:rFonts w:hint="default" w:ascii="Times New Roman" w:hAnsi="Times New Roman" w:eastAsia="宋体"/>
                      <w:bCs/>
                      <w:kern w:val="2"/>
                      <w:sz w:val="21"/>
                      <w:szCs w:val="21"/>
                      <w:vertAlign w:val="superscript"/>
                    </w:rPr>
                    <w:t>2</w:t>
                  </w:r>
                  <w:r>
                    <w:rPr>
                      <w:rFonts w:hint="default" w:ascii="Times New Roman" w:hAnsi="Times New Roman" w:eastAsia="宋体"/>
                      <w:bCs/>
                      <w:kern w:val="2"/>
                      <w:sz w:val="21"/>
                      <w:szCs w:val="21"/>
                    </w:rPr>
                    <w:t>，</w:t>
                  </w:r>
                  <w:r>
                    <w:rPr>
                      <w:rFonts w:ascii="Times New Roman" w:hAnsi="Times New Roman" w:eastAsia="宋体"/>
                      <w:bCs/>
                      <w:kern w:val="2"/>
                      <w:sz w:val="21"/>
                      <w:szCs w:val="21"/>
                    </w:rPr>
                    <w:t>主要用于员工办公</w:t>
                  </w:r>
                </w:p>
              </w:tc>
              <w:tc>
                <w:tcPr>
                  <w:tcW w:w="7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spacing w:val="-3"/>
                      <w:szCs w:val="21"/>
                    </w:rPr>
                  </w:pPr>
                  <w:r>
                    <w:rPr>
                      <w:rFonts w:hint="eastAsia"/>
                      <w:spacing w:val="-3"/>
                      <w:szCs w:val="21"/>
                    </w:rPr>
                    <w:t>租赁已建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47" w:type="pct"/>
                  <w:vMerge w:val="restar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公用工程</w:t>
                  </w:r>
                </w:p>
              </w:tc>
              <w:tc>
                <w:tcPr>
                  <w:tcW w:w="720" w:type="pct"/>
                  <w:gridSpan w:val="2"/>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供水系统</w:t>
                  </w:r>
                </w:p>
              </w:tc>
              <w:tc>
                <w:tcPr>
                  <w:tcW w:w="3129"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rPr>
                    <w:t>由偃师市产业集聚区自来</w:t>
                  </w:r>
                  <w:r>
                    <w:rPr>
                      <w:rFonts w:hint="default" w:ascii="Times New Roman" w:hAnsi="Times New Roman" w:eastAsia="宋体"/>
                      <w:bCs/>
                      <w:kern w:val="2"/>
                      <w:sz w:val="21"/>
                    </w:rPr>
                    <w:t>水管网供水</w:t>
                  </w:r>
                </w:p>
              </w:tc>
              <w:tc>
                <w:tcPr>
                  <w:tcW w:w="704"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Header/>
              </w:trPr>
              <w:tc>
                <w:tcPr>
                  <w:tcW w:w="447" w:type="pct"/>
                  <w:vMerge w:val="continue"/>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ind w:firstLine="420"/>
                    <w:rPr>
                      <w:rFonts w:hint="default" w:ascii="Times New Roman" w:hAnsi="Times New Roman" w:eastAsia="宋体"/>
                      <w:bCs/>
                      <w:kern w:val="2"/>
                      <w:sz w:val="21"/>
                    </w:rPr>
                  </w:pPr>
                </w:p>
              </w:tc>
              <w:tc>
                <w:tcPr>
                  <w:tcW w:w="720" w:type="pct"/>
                  <w:gridSpan w:val="2"/>
                  <w:tcBorders>
                    <w:top w:val="single" w:color="auto" w:sz="4" w:space="0"/>
                    <w:left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kern w:val="2"/>
                      <w:sz w:val="21"/>
                      <w:szCs w:val="21"/>
                    </w:rPr>
                    <w:t>排水系统</w:t>
                  </w:r>
                </w:p>
              </w:tc>
              <w:tc>
                <w:tcPr>
                  <w:tcW w:w="3129" w:type="pct"/>
                  <w:tcBorders>
                    <w:top w:val="single" w:color="auto" w:sz="4" w:space="0"/>
                    <w:left w:val="single" w:color="auto" w:sz="4" w:space="0"/>
                    <w:right w:val="single" w:color="auto" w:sz="4" w:space="0"/>
                  </w:tcBorders>
                  <w:vAlign w:val="center"/>
                </w:tcPr>
                <w:p>
                  <w:pPr>
                    <w:pStyle w:val="105"/>
                    <w:widowControl/>
                    <w:spacing w:line="360" w:lineRule="exact"/>
                    <w:jc w:val="left"/>
                    <w:rPr>
                      <w:rFonts w:hint="default"/>
                    </w:rPr>
                  </w:pPr>
                  <w:r>
                    <w:rPr>
                      <w:rStyle w:val="31"/>
                      <w:rFonts w:hint="default" w:ascii="Times New Roman" w:hAnsi="Times New Roman" w:eastAsia="宋体"/>
                      <w:kern w:val="0"/>
                    </w:rPr>
                    <w:t>生活污水经</w:t>
                  </w:r>
                  <w:r>
                    <w:rPr>
                      <w:rStyle w:val="31"/>
                      <w:rFonts w:ascii="Times New Roman" w:hAnsi="Times New Roman" w:eastAsia="宋体"/>
                      <w:kern w:val="0"/>
                    </w:rPr>
                    <w:t>厂区现有</w:t>
                  </w:r>
                  <w:r>
                    <w:rPr>
                      <w:rStyle w:val="31"/>
                      <w:rFonts w:hint="default" w:ascii="Times New Roman" w:hAnsi="Times New Roman" w:eastAsia="宋体"/>
                      <w:kern w:val="0"/>
                    </w:rPr>
                    <w:t>化粪池</w:t>
                  </w:r>
                  <w:r>
                    <w:rPr>
                      <w:rStyle w:val="31"/>
                      <w:rFonts w:ascii="Times New Roman" w:hAnsi="Times New Roman" w:eastAsia="宋体"/>
                      <w:kern w:val="0"/>
                    </w:rPr>
                    <w:t>（10m</w:t>
                  </w:r>
                  <w:r>
                    <w:rPr>
                      <w:rStyle w:val="31"/>
                      <w:rFonts w:ascii="Times New Roman" w:hAnsi="Times New Roman" w:eastAsia="宋体"/>
                      <w:kern w:val="0"/>
                      <w:vertAlign w:val="superscript"/>
                    </w:rPr>
                    <w:t>3</w:t>
                  </w:r>
                  <w:r>
                    <w:rPr>
                      <w:rStyle w:val="31"/>
                      <w:rFonts w:ascii="Times New Roman" w:hAnsi="Times New Roman" w:eastAsia="宋体"/>
                      <w:kern w:val="0"/>
                    </w:rPr>
                    <w:t>）</w:t>
                  </w:r>
                  <w:r>
                    <w:rPr>
                      <w:rStyle w:val="31"/>
                      <w:rFonts w:hint="default" w:ascii="Times New Roman" w:hAnsi="Times New Roman" w:eastAsia="宋体"/>
                      <w:kern w:val="0"/>
                    </w:rPr>
                    <w:t>处理后</w:t>
                  </w:r>
                  <w:r>
                    <w:rPr>
                      <w:rStyle w:val="31"/>
                      <w:rFonts w:ascii="Times New Roman" w:hAnsi="Times New Roman" w:eastAsia="宋体"/>
                      <w:kern w:val="0"/>
                    </w:rPr>
                    <w:t>通过市政管网排入偃师市第三污水处理厂。</w:t>
                  </w:r>
                </w:p>
              </w:tc>
              <w:tc>
                <w:tcPr>
                  <w:tcW w:w="704" w:type="pct"/>
                  <w:tcBorders>
                    <w:top w:val="single" w:color="auto" w:sz="4" w:space="0"/>
                    <w:left w:val="single" w:color="auto" w:sz="4" w:space="0"/>
                    <w:right w:val="single" w:color="auto" w:sz="4" w:space="0"/>
                  </w:tcBorders>
                  <w:vAlign w:val="center"/>
                </w:tcPr>
                <w:p>
                  <w:pPr>
                    <w:pStyle w:val="105"/>
                    <w:widowControl/>
                    <w:spacing w:line="360" w:lineRule="exact"/>
                    <w:rPr>
                      <w:rFonts w:hint="default" w:ascii="Times New Roman" w:hAnsi="Times New Roman" w:eastAsia="宋体"/>
                      <w:kern w:val="2"/>
                      <w:sz w:val="21"/>
                    </w:rPr>
                  </w:pPr>
                  <w:r>
                    <w:rPr>
                      <w:rFonts w:ascii="Times New Roman" w:hAnsi="Times New Roman" w:eastAsia="宋体"/>
                      <w:kern w:val="2"/>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447"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center"/>
                    <w:rPr>
                      <w:bCs/>
                    </w:rPr>
                  </w:pPr>
                </w:p>
              </w:tc>
              <w:tc>
                <w:tcPr>
                  <w:tcW w:w="720" w:type="pct"/>
                  <w:gridSpan w:val="2"/>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供电系统</w:t>
                  </w:r>
                </w:p>
              </w:tc>
              <w:tc>
                <w:tcPr>
                  <w:tcW w:w="3129"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rPr>
                    <w:t>由偃师市产业集聚区供电系统供给</w:t>
                  </w:r>
                </w:p>
              </w:tc>
              <w:tc>
                <w:tcPr>
                  <w:tcW w:w="704"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trPr>
              <w:tc>
                <w:tcPr>
                  <w:tcW w:w="447" w:type="pct"/>
                  <w:vMerge w:val="restart"/>
                  <w:tcBorders>
                    <w:top w:val="single" w:color="auto" w:sz="4" w:space="0"/>
                    <w:left w:val="single" w:color="auto" w:sz="4" w:space="0"/>
                    <w:right w:val="single" w:color="auto" w:sz="4" w:space="0"/>
                  </w:tcBorders>
                  <w:vAlign w:val="center"/>
                </w:tcPr>
                <w:p>
                  <w:pPr>
                    <w:pStyle w:val="105"/>
                    <w:spacing w:line="400" w:lineRule="exact"/>
                    <w:rPr>
                      <w:rFonts w:hint="default" w:ascii="Times New Roman" w:hAnsi="Times New Roman"/>
                      <w:bCs/>
                    </w:rPr>
                  </w:pPr>
                  <w:r>
                    <w:rPr>
                      <w:rFonts w:hint="default" w:ascii="Times New Roman" w:hAnsi="Times New Roman" w:eastAsia="宋体"/>
                      <w:bCs/>
                      <w:kern w:val="2"/>
                      <w:sz w:val="21"/>
                    </w:rPr>
                    <w:t>环保工程</w:t>
                  </w:r>
                </w:p>
              </w:tc>
              <w:tc>
                <w:tcPr>
                  <w:tcW w:w="720" w:type="pct"/>
                  <w:gridSpan w:val="2"/>
                  <w:vMerge w:val="restart"/>
                  <w:tcBorders>
                    <w:top w:val="single" w:color="auto" w:sz="4" w:space="0"/>
                    <w:left w:val="single" w:color="auto" w:sz="4" w:space="0"/>
                    <w:right w:val="single" w:color="auto" w:sz="4" w:space="0"/>
                  </w:tcBorders>
                  <w:vAlign w:val="center"/>
                </w:tcPr>
                <w:p>
                  <w:pPr>
                    <w:pStyle w:val="105"/>
                    <w:widowControl/>
                    <w:spacing w:line="400" w:lineRule="exact"/>
                    <w:rPr>
                      <w:rFonts w:hint="default" w:ascii="Times New Roman" w:hAnsi="Times New Roman" w:eastAsia="宋体"/>
                      <w:kern w:val="2"/>
                      <w:sz w:val="21"/>
                    </w:rPr>
                  </w:pPr>
                  <w:r>
                    <w:rPr>
                      <w:rFonts w:ascii="Times New Roman" w:hAnsi="Times New Roman" w:eastAsia="宋体"/>
                      <w:sz w:val="21"/>
                      <w:szCs w:val="21"/>
                    </w:rPr>
                    <w:t>废气治理</w:t>
                  </w:r>
                </w:p>
              </w:tc>
              <w:tc>
                <w:tcPr>
                  <w:tcW w:w="312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b/>
                      <w:u w:val="single"/>
                    </w:rPr>
                  </w:pPr>
                  <w:r>
                    <w:rPr>
                      <w:rFonts w:hint="eastAsia"/>
                      <w:b/>
                      <w:u w:val="single"/>
                    </w:rPr>
                    <w:t>搅拌废气：布袋除尘器+15m高排气筒（DA001）</w:t>
                  </w:r>
                </w:p>
              </w:tc>
              <w:tc>
                <w:tcPr>
                  <w:tcW w:w="704"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u w:val="single"/>
                    </w:rPr>
                  </w:pPr>
                  <w:r>
                    <w:rPr>
                      <w:rFonts w:hint="eastAsia"/>
                      <w:b/>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trPr>
              <w:tc>
                <w:tcPr>
                  <w:tcW w:w="447" w:type="pct"/>
                  <w:vMerge w:val="continue"/>
                  <w:tcBorders>
                    <w:top w:val="single" w:color="auto" w:sz="4" w:space="0"/>
                    <w:left w:val="single" w:color="auto" w:sz="4" w:space="0"/>
                    <w:right w:val="single" w:color="auto" w:sz="4" w:space="0"/>
                  </w:tcBorders>
                  <w:vAlign w:val="center"/>
                </w:tcPr>
                <w:p>
                  <w:pPr>
                    <w:pStyle w:val="105"/>
                    <w:spacing w:line="400" w:lineRule="exact"/>
                    <w:rPr>
                      <w:rFonts w:hint="default" w:ascii="Times New Roman" w:hAnsi="Times New Roman" w:eastAsia="宋体"/>
                      <w:bCs/>
                      <w:kern w:val="2"/>
                      <w:sz w:val="21"/>
                    </w:rPr>
                  </w:pPr>
                </w:p>
              </w:tc>
              <w:tc>
                <w:tcPr>
                  <w:tcW w:w="720" w:type="pct"/>
                  <w:gridSpan w:val="2"/>
                  <w:vMerge w:val="continue"/>
                  <w:tcBorders>
                    <w:left w:val="single" w:color="auto" w:sz="4" w:space="0"/>
                    <w:right w:val="single" w:color="auto" w:sz="4" w:space="0"/>
                  </w:tcBorders>
                  <w:vAlign w:val="center"/>
                </w:tcPr>
                <w:p>
                  <w:pPr>
                    <w:pStyle w:val="105"/>
                    <w:widowControl/>
                    <w:spacing w:line="400" w:lineRule="exact"/>
                    <w:rPr>
                      <w:rFonts w:hint="default" w:ascii="Times New Roman" w:hAnsi="Times New Roman" w:eastAsia="宋体"/>
                      <w:sz w:val="21"/>
                      <w:szCs w:val="21"/>
                    </w:rPr>
                  </w:pPr>
                </w:p>
              </w:tc>
              <w:tc>
                <w:tcPr>
                  <w:tcW w:w="3129"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pPr>
                  <w:r>
                    <w:rPr>
                      <w:rFonts w:hint="eastAsia"/>
                    </w:rPr>
                    <w:t>覆膜废气：集气罩+</w:t>
                  </w:r>
                  <w:r>
                    <w:rPr>
                      <w:rFonts w:hint="eastAsia"/>
                      <w:szCs w:val="21"/>
                    </w:rPr>
                    <w:t>UV光氧</w:t>
                  </w:r>
                  <w:r>
                    <w:rPr>
                      <w:rFonts w:hint="eastAsia"/>
                    </w:rPr>
                    <w:t>+活性炭吸附装置+15m高排气筒（DA002）</w:t>
                  </w:r>
                </w:p>
              </w:tc>
              <w:tc>
                <w:tcPr>
                  <w:tcW w:w="704"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447" w:type="pct"/>
                  <w:vMerge w:val="continue"/>
                  <w:tcBorders>
                    <w:left w:val="single" w:color="auto" w:sz="4" w:space="0"/>
                    <w:right w:val="single" w:color="auto" w:sz="4" w:space="0"/>
                  </w:tcBorders>
                  <w:vAlign w:val="center"/>
                </w:tcPr>
                <w:p>
                  <w:pPr>
                    <w:pStyle w:val="105"/>
                    <w:widowControl/>
                    <w:spacing w:line="400" w:lineRule="exact"/>
                    <w:rPr>
                      <w:rFonts w:hint="default"/>
                    </w:rPr>
                  </w:pPr>
                </w:p>
              </w:tc>
              <w:tc>
                <w:tcPr>
                  <w:tcW w:w="720" w:type="pct"/>
                  <w:gridSpan w:val="2"/>
                  <w:tcBorders>
                    <w:left w:val="single" w:color="auto" w:sz="4" w:space="0"/>
                    <w:right w:val="single" w:color="auto" w:sz="4" w:space="0"/>
                  </w:tcBorders>
                  <w:vAlign w:val="center"/>
                </w:tcPr>
                <w:p>
                  <w:pPr>
                    <w:pStyle w:val="105"/>
                    <w:widowControl/>
                    <w:spacing w:line="360" w:lineRule="exact"/>
                    <w:rPr>
                      <w:rFonts w:hint="default" w:ascii="Times New Roman" w:hAnsi="Times New Roman" w:eastAsia="宋体"/>
                      <w:kern w:val="2"/>
                      <w:sz w:val="21"/>
                    </w:rPr>
                  </w:pPr>
                  <w:r>
                    <w:rPr>
                      <w:rFonts w:ascii="Times New Roman" w:hAnsi="Times New Roman" w:eastAsia="宋体"/>
                      <w:kern w:val="2"/>
                      <w:sz w:val="21"/>
                    </w:rPr>
                    <w:t>废水治理</w:t>
                  </w:r>
                </w:p>
              </w:tc>
              <w:tc>
                <w:tcPr>
                  <w:tcW w:w="3129" w:type="pct"/>
                  <w:tcBorders>
                    <w:top w:val="single" w:color="auto" w:sz="4" w:space="0"/>
                    <w:left w:val="single" w:color="auto" w:sz="4" w:space="0"/>
                    <w:bottom w:val="single" w:color="auto" w:sz="4" w:space="0"/>
                    <w:right w:val="single" w:color="auto" w:sz="4" w:space="0"/>
                  </w:tcBorders>
                  <w:vAlign w:val="center"/>
                </w:tcPr>
                <w:p>
                  <w:pPr>
                    <w:pStyle w:val="105"/>
                    <w:widowControl/>
                    <w:spacing w:line="360" w:lineRule="exact"/>
                    <w:jc w:val="left"/>
                    <w:rPr>
                      <w:rFonts w:hint="default"/>
                    </w:rPr>
                  </w:pPr>
                  <w:r>
                    <w:rPr>
                      <w:rStyle w:val="31"/>
                      <w:rFonts w:hint="default" w:ascii="Times New Roman" w:hAnsi="Times New Roman" w:eastAsia="宋体"/>
                      <w:kern w:val="0"/>
                    </w:rPr>
                    <w:t>生活污水经</w:t>
                  </w:r>
                  <w:r>
                    <w:rPr>
                      <w:rStyle w:val="31"/>
                      <w:rFonts w:ascii="Times New Roman" w:hAnsi="Times New Roman" w:eastAsia="宋体"/>
                      <w:kern w:val="0"/>
                    </w:rPr>
                    <w:t>厂区现有</w:t>
                  </w:r>
                  <w:r>
                    <w:rPr>
                      <w:rStyle w:val="31"/>
                      <w:rFonts w:hint="default" w:ascii="Times New Roman" w:hAnsi="Times New Roman" w:eastAsia="宋体"/>
                      <w:kern w:val="0"/>
                    </w:rPr>
                    <w:t>化粪池</w:t>
                  </w:r>
                  <w:r>
                    <w:rPr>
                      <w:rStyle w:val="31"/>
                      <w:rFonts w:ascii="Times New Roman" w:hAnsi="Times New Roman" w:eastAsia="宋体"/>
                      <w:kern w:val="0"/>
                    </w:rPr>
                    <w:t>（10m</w:t>
                  </w:r>
                  <w:r>
                    <w:rPr>
                      <w:rStyle w:val="31"/>
                      <w:rFonts w:ascii="Times New Roman" w:hAnsi="Times New Roman" w:eastAsia="宋体"/>
                      <w:kern w:val="0"/>
                      <w:vertAlign w:val="superscript"/>
                    </w:rPr>
                    <w:t>3</w:t>
                  </w:r>
                  <w:r>
                    <w:rPr>
                      <w:rStyle w:val="31"/>
                      <w:rFonts w:ascii="Times New Roman" w:hAnsi="Times New Roman" w:eastAsia="宋体"/>
                      <w:kern w:val="0"/>
                    </w:rPr>
                    <w:t>）</w:t>
                  </w:r>
                  <w:r>
                    <w:rPr>
                      <w:rStyle w:val="31"/>
                      <w:rFonts w:hint="default" w:ascii="Times New Roman" w:hAnsi="Times New Roman" w:eastAsia="宋体"/>
                      <w:kern w:val="0"/>
                    </w:rPr>
                    <w:t>处理后</w:t>
                  </w:r>
                  <w:r>
                    <w:rPr>
                      <w:rStyle w:val="31"/>
                      <w:rFonts w:ascii="Times New Roman" w:hAnsi="Times New Roman" w:eastAsia="宋体"/>
                      <w:kern w:val="0"/>
                    </w:rPr>
                    <w:t>通过市政管网排入偃师市第三污水处理厂。</w:t>
                  </w:r>
                </w:p>
              </w:tc>
              <w:tc>
                <w:tcPr>
                  <w:tcW w:w="704" w:type="pct"/>
                  <w:tcBorders>
                    <w:left w:val="single" w:color="auto" w:sz="4" w:space="0"/>
                    <w:right w:val="single" w:color="auto" w:sz="4" w:space="0"/>
                  </w:tcBorders>
                  <w:vAlign w:val="center"/>
                </w:tcPr>
                <w:p>
                  <w:pPr>
                    <w:pStyle w:val="105"/>
                    <w:widowControl/>
                    <w:spacing w:line="360" w:lineRule="exact"/>
                    <w:rPr>
                      <w:rFonts w:hint="default" w:ascii="Times New Roman" w:hAnsi="Times New Roman" w:eastAsia="宋体"/>
                      <w:kern w:val="2"/>
                      <w:sz w:val="21"/>
                    </w:rPr>
                  </w:pPr>
                  <w:r>
                    <w:rPr>
                      <w:rFonts w:ascii="Times New Roman" w:hAnsi="Times New Roman" w:eastAsia="宋体"/>
                      <w:kern w:val="2"/>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47" w:type="pct"/>
                  <w:vMerge w:val="continue"/>
                  <w:tcBorders>
                    <w:left w:val="single" w:color="auto" w:sz="4" w:space="0"/>
                    <w:right w:val="single" w:color="auto" w:sz="4" w:space="0"/>
                  </w:tcBorders>
                  <w:vAlign w:val="center"/>
                </w:tcPr>
                <w:p>
                  <w:pPr>
                    <w:spacing w:line="400" w:lineRule="exact"/>
                    <w:ind w:firstLine="420"/>
                    <w:jc w:val="center"/>
                    <w:rPr>
                      <w:bCs/>
                    </w:rPr>
                  </w:pPr>
                </w:p>
              </w:tc>
              <w:tc>
                <w:tcPr>
                  <w:tcW w:w="720" w:type="pct"/>
                  <w:gridSpan w:val="2"/>
                  <w:tcBorders>
                    <w:top w:val="single" w:color="auto" w:sz="4" w:space="0"/>
                    <w:left w:val="single" w:color="auto" w:sz="4" w:space="0"/>
                    <w:bottom w:val="single" w:color="auto" w:sz="4" w:space="0"/>
                    <w:right w:val="single" w:color="auto" w:sz="4" w:space="0"/>
                  </w:tcBorders>
                  <w:vAlign w:val="center"/>
                </w:tcPr>
                <w:p>
                  <w:pPr>
                    <w:pStyle w:val="5"/>
                    <w:widowControl/>
                    <w:spacing w:line="400" w:lineRule="exact"/>
                    <w:jc w:val="center"/>
                    <w:rPr>
                      <w:bCs/>
                      <w:sz w:val="21"/>
                      <w:szCs w:val="21"/>
                    </w:rPr>
                  </w:pPr>
                  <w:r>
                    <w:rPr>
                      <w:bCs/>
                      <w:sz w:val="21"/>
                      <w:szCs w:val="21"/>
                    </w:rPr>
                    <w:t>噪声治理</w:t>
                  </w:r>
                </w:p>
              </w:tc>
              <w:tc>
                <w:tcPr>
                  <w:tcW w:w="3129" w:type="pct"/>
                  <w:tcBorders>
                    <w:top w:val="single" w:color="auto" w:sz="4" w:space="0"/>
                    <w:left w:val="single" w:color="auto" w:sz="4" w:space="0"/>
                    <w:bottom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车间隔声、距离衰减</w:t>
                  </w:r>
                </w:p>
              </w:tc>
              <w:tc>
                <w:tcPr>
                  <w:tcW w:w="704"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Cs/>
                    </w:rPr>
                  </w:pPr>
                  <w:r>
                    <w:rPr>
                      <w:bCs/>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blHeader/>
              </w:trPr>
              <w:tc>
                <w:tcPr>
                  <w:tcW w:w="447" w:type="pct"/>
                  <w:vMerge w:val="continue"/>
                  <w:tcBorders>
                    <w:left w:val="single" w:color="auto" w:sz="4" w:space="0"/>
                    <w:right w:val="single" w:color="auto" w:sz="4" w:space="0"/>
                  </w:tcBorders>
                  <w:vAlign w:val="center"/>
                </w:tcPr>
                <w:p>
                  <w:pPr>
                    <w:spacing w:line="400" w:lineRule="exact"/>
                    <w:ind w:firstLine="420"/>
                    <w:jc w:val="center"/>
                    <w:rPr>
                      <w:bCs/>
                    </w:rPr>
                  </w:pPr>
                </w:p>
              </w:tc>
              <w:tc>
                <w:tcPr>
                  <w:tcW w:w="256" w:type="pct"/>
                  <w:vMerge w:val="restart"/>
                  <w:tcBorders>
                    <w:top w:val="single" w:color="auto" w:sz="4" w:space="0"/>
                    <w:left w:val="single" w:color="auto" w:sz="4" w:space="0"/>
                    <w:right w:val="single" w:color="auto" w:sz="4" w:space="0"/>
                  </w:tcBorders>
                  <w:vAlign w:val="center"/>
                </w:tcPr>
                <w:p>
                  <w:pPr>
                    <w:pStyle w:val="5"/>
                    <w:widowControl/>
                    <w:spacing w:line="400" w:lineRule="exact"/>
                    <w:jc w:val="center"/>
                    <w:rPr>
                      <w:bCs/>
                      <w:sz w:val="21"/>
                      <w:szCs w:val="21"/>
                    </w:rPr>
                  </w:pPr>
                  <w:r>
                    <w:rPr>
                      <w:bCs/>
                      <w:sz w:val="21"/>
                      <w:szCs w:val="21"/>
                    </w:rPr>
                    <w:t>固废治理</w:t>
                  </w:r>
                </w:p>
              </w:tc>
              <w:tc>
                <w:tcPr>
                  <w:tcW w:w="464" w:type="pct"/>
                  <w:tcBorders>
                    <w:top w:val="single" w:color="auto" w:sz="4" w:space="0"/>
                    <w:left w:val="single" w:color="auto" w:sz="4" w:space="0"/>
                    <w:bottom w:val="single" w:color="auto" w:sz="4" w:space="0"/>
                    <w:right w:val="single" w:color="auto" w:sz="4" w:space="0"/>
                  </w:tcBorders>
                  <w:vAlign w:val="center"/>
                </w:tcPr>
                <w:p>
                  <w:pPr>
                    <w:pStyle w:val="5"/>
                    <w:widowControl/>
                    <w:spacing w:line="400" w:lineRule="exact"/>
                    <w:jc w:val="center"/>
                    <w:rPr>
                      <w:bCs/>
                      <w:sz w:val="21"/>
                      <w:szCs w:val="21"/>
                    </w:rPr>
                  </w:pPr>
                  <w:r>
                    <w:rPr>
                      <w:bCs/>
                      <w:sz w:val="21"/>
                      <w:szCs w:val="21"/>
                    </w:rPr>
                    <w:t>生活垃圾</w:t>
                  </w:r>
                </w:p>
              </w:tc>
              <w:tc>
                <w:tcPr>
                  <w:tcW w:w="3129" w:type="pct"/>
                  <w:tcBorders>
                    <w:top w:val="single" w:color="auto" w:sz="4" w:space="0"/>
                    <w:left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hint="default" w:ascii="Times New Roman" w:hAnsi="Times New Roman" w:eastAsia="宋体"/>
                      <w:bCs/>
                      <w:kern w:val="2"/>
                      <w:sz w:val="21"/>
                    </w:rPr>
                    <w:t>生活垃圾经收集后定期由环卫工人运至当地垃圾中转站</w:t>
                  </w:r>
                </w:p>
              </w:tc>
              <w:tc>
                <w:tcPr>
                  <w:tcW w:w="704" w:type="pct"/>
                  <w:tcBorders>
                    <w:top w:val="single" w:color="auto" w:sz="4" w:space="0"/>
                    <w:left w:val="single" w:color="auto" w:sz="4" w:space="0"/>
                    <w:right w:val="single" w:color="auto" w:sz="4" w:space="0"/>
                  </w:tcBorders>
                  <w:vAlign w:val="center"/>
                </w:tcPr>
                <w:p>
                  <w:pPr>
                    <w:pStyle w:val="105"/>
                    <w:widowControl/>
                    <w:spacing w:line="400" w:lineRule="exact"/>
                    <w:rPr>
                      <w:rFonts w:hint="default" w:ascii="Times New Roman" w:hAnsi="Times New Roman" w:eastAsia="宋体"/>
                      <w:bCs/>
                      <w:kern w:val="2"/>
                      <w:sz w:val="21"/>
                    </w:rPr>
                  </w:pPr>
                  <w:r>
                    <w:rPr>
                      <w:rFonts w:ascii="Times New Roman" w:hAnsi="Times New Roman" w:eastAsia="宋体"/>
                      <w:bCs/>
                      <w:kern w:val="2"/>
                      <w:sz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trPr>
              <w:tc>
                <w:tcPr>
                  <w:tcW w:w="447" w:type="pct"/>
                  <w:vMerge w:val="continue"/>
                  <w:tcBorders>
                    <w:left w:val="single" w:color="auto" w:sz="4" w:space="0"/>
                    <w:right w:val="single" w:color="auto" w:sz="4" w:space="0"/>
                  </w:tcBorders>
                  <w:vAlign w:val="center"/>
                </w:tcPr>
                <w:p>
                  <w:pPr>
                    <w:spacing w:line="400" w:lineRule="exact"/>
                    <w:ind w:firstLine="420"/>
                    <w:jc w:val="center"/>
                    <w:rPr>
                      <w:bCs/>
                    </w:rPr>
                  </w:pPr>
                </w:p>
              </w:tc>
              <w:tc>
                <w:tcPr>
                  <w:tcW w:w="256" w:type="pct"/>
                  <w:vMerge w:val="continue"/>
                  <w:tcBorders>
                    <w:left w:val="single" w:color="auto" w:sz="4" w:space="0"/>
                    <w:right w:val="single" w:color="auto" w:sz="4" w:space="0"/>
                  </w:tcBorders>
                  <w:vAlign w:val="center"/>
                </w:tcPr>
                <w:p>
                  <w:pPr>
                    <w:pStyle w:val="5"/>
                    <w:widowControl/>
                    <w:spacing w:line="400" w:lineRule="exact"/>
                    <w:jc w:val="center"/>
                    <w:rPr>
                      <w:bCs/>
                      <w:sz w:val="21"/>
                      <w:szCs w:val="21"/>
                    </w:rPr>
                  </w:pPr>
                </w:p>
              </w:tc>
              <w:tc>
                <w:tcPr>
                  <w:tcW w:w="464" w:type="pct"/>
                  <w:tcBorders>
                    <w:top w:val="single" w:color="auto" w:sz="4" w:space="0"/>
                    <w:left w:val="single" w:color="auto" w:sz="4" w:space="0"/>
                    <w:bottom w:val="single" w:color="auto" w:sz="4" w:space="0"/>
                    <w:right w:val="single" w:color="auto" w:sz="4" w:space="0"/>
                  </w:tcBorders>
                  <w:vAlign w:val="center"/>
                </w:tcPr>
                <w:p>
                  <w:pPr>
                    <w:pStyle w:val="5"/>
                    <w:widowControl/>
                    <w:spacing w:line="400" w:lineRule="exact"/>
                    <w:jc w:val="center"/>
                    <w:rPr>
                      <w:b/>
                      <w:sz w:val="21"/>
                      <w:szCs w:val="21"/>
                      <w:u w:val="single"/>
                    </w:rPr>
                  </w:pPr>
                  <w:r>
                    <w:rPr>
                      <w:b/>
                      <w:sz w:val="21"/>
                      <w:szCs w:val="21"/>
                      <w:u w:val="single"/>
                    </w:rPr>
                    <w:t>一般固废</w:t>
                  </w:r>
                </w:p>
              </w:tc>
              <w:tc>
                <w:tcPr>
                  <w:tcW w:w="3129" w:type="pct"/>
                  <w:tcBorders>
                    <w:left w:val="single" w:color="auto" w:sz="4" w:space="0"/>
                    <w:right w:val="single" w:color="auto" w:sz="4" w:space="0"/>
                  </w:tcBorders>
                  <w:vAlign w:val="center"/>
                </w:tcPr>
                <w:p>
                  <w:pPr>
                    <w:pStyle w:val="105"/>
                    <w:widowControl/>
                    <w:spacing w:line="400" w:lineRule="exact"/>
                    <w:rPr>
                      <w:rFonts w:hint="default" w:ascii="Times New Roman" w:hAnsi="Times New Roman" w:eastAsia="宋体"/>
                      <w:b/>
                      <w:kern w:val="2"/>
                      <w:sz w:val="21"/>
                      <w:u w:val="single"/>
                    </w:rPr>
                  </w:pPr>
                  <w:r>
                    <w:rPr>
                      <w:rFonts w:hint="default" w:ascii="Times New Roman" w:hAnsi="Times New Roman" w:eastAsia="宋体"/>
                      <w:b/>
                      <w:kern w:val="2"/>
                      <w:sz w:val="21"/>
                      <w:u w:val="single"/>
                    </w:rPr>
                    <w:t>本项目产生的一般固废物主要是</w:t>
                  </w:r>
                  <w:r>
                    <w:rPr>
                      <w:rFonts w:ascii="Times New Roman" w:hAnsi="Times New Roman" w:eastAsia="宋体"/>
                      <w:b/>
                      <w:kern w:val="2"/>
                      <w:sz w:val="21"/>
                      <w:u w:val="single"/>
                    </w:rPr>
                    <w:t>废包装材料和收尘灰。废包装材料</w:t>
                  </w:r>
                  <w:r>
                    <w:rPr>
                      <w:rFonts w:hint="default" w:ascii="Times New Roman" w:hAnsi="Times New Roman" w:eastAsia="宋体"/>
                      <w:b/>
                      <w:kern w:val="2"/>
                      <w:sz w:val="21"/>
                      <w:u w:val="single"/>
                    </w:rPr>
                    <w:t>收集后</w:t>
                  </w:r>
                  <w:r>
                    <w:rPr>
                      <w:rFonts w:ascii="Times New Roman" w:hAnsi="Times New Roman" w:eastAsia="宋体"/>
                      <w:b/>
                      <w:kern w:val="2"/>
                      <w:sz w:val="21"/>
                      <w:u w:val="single"/>
                    </w:rPr>
                    <w:t>暂存于一般固废暂存处定期外售，收尘灰回用于生产</w:t>
                  </w:r>
                </w:p>
              </w:tc>
              <w:tc>
                <w:tcPr>
                  <w:tcW w:w="704" w:type="pct"/>
                  <w:tcBorders>
                    <w:left w:val="single" w:color="auto" w:sz="4" w:space="0"/>
                    <w:right w:val="single" w:color="auto" w:sz="4" w:space="0"/>
                  </w:tcBorders>
                  <w:vAlign w:val="center"/>
                </w:tcPr>
                <w:p>
                  <w:pPr>
                    <w:pStyle w:val="105"/>
                    <w:widowControl/>
                    <w:spacing w:line="400" w:lineRule="exact"/>
                    <w:rPr>
                      <w:rFonts w:hint="default" w:ascii="Times New Roman" w:hAnsi="Times New Roman" w:eastAsia="宋体"/>
                      <w:b/>
                      <w:kern w:val="2"/>
                      <w:sz w:val="21"/>
                      <w:u w:val="single"/>
                    </w:rPr>
                  </w:pPr>
                  <w:r>
                    <w:rPr>
                      <w:rFonts w:ascii="Times New Roman" w:hAnsi="Times New Roman" w:eastAsia="宋体"/>
                      <w:b/>
                      <w:kern w:val="2"/>
                      <w:sz w:val="21"/>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trPr>
              <w:tc>
                <w:tcPr>
                  <w:tcW w:w="447" w:type="pct"/>
                  <w:vMerge w:val="continue"/>
                  <w:tcBorders>
                    <w:left w:val="single" w:color="auto" w:sz="4" w:space="0"/>
                    <w:right w:val="single" w:color="auto" w:sz="4" w:space="0"/>
                  </w:tcBorders>
                  <w:vAlign w:val="center"/>
                </w:tcPr>
                <w:p>
                  <w:pPr>
                    <w:spacing w:line="400" w:lineRule="exact"/>
                    <w:ind w:firstLine="420"/>
                    <w:jc w:val="center"/>
                    <w:rPr>
                      <w:bCs/>
                    </w:rPr>
                  </w:pPr>
                </w:p>
              </w:tc>
              <w:tc>
                <w:tcPr>
                  <w:tcW w:w="256" w:type="pct"/>
                  <w:vMerge w:val="continue"/>
                  <w:tcBorders>
                    <w:left w:val="single" w:color="auto" w:sz="4" w:space="0"/>
                    <w:right w:val="single" w:color="auto" w:sz="4" w:space="0"/>
                  </w:tcBorders>
                  <w:vAlign w:val="center"/>
                </w:tcPr>
                <w:p>
                  <w:pPr>
                    <w:pStyle w:val="5"/>
                    <w:widowControl/>
                    <w:spacing w:line="400" w:lineRule="exact"/>
                    <w:jc w:val="center"/>
                    <w:rPr>
                      <w:bCs/>
                      <w:sz w:val="21"/>
                      <w:szCs w:val="21"/>
                    </w:rPr>
                  </w:pPr>
                </w:p>
              </w:tc>
              <w:tc>
                <w:tcPr>
                  <w:tcW w:w="464" w:type="pct"/>
                  <w:tcBorders>
                    <w:top w:val="single" w:color="auto" w:sz="4" w:space="0"/>
                    <w:left w:val="single" w:color="auto" w:sz="4" w:space="0"/>
                    <w:bottom w:val="single" w:color="auto" w:sz="4" w:space="0"/>
                    <w:right w:val="single" w:color="auto" w:sz="4" w:space="0"/>
                  </w:tcBorders>
                  <w:vAlign w:val="center"/>
                </w:tcPr>
                <w:p>
                  <w:pPr>
                    <w:pStyle w:val="5"/>
                    <w:widowControl/>
                    <w:spacing w:line="400" w:lineRule="exact"/>
                    <w:jc w:val="center"/>
                    <w:rPr>
                      <w:sz w:val="21"/>
                      <w:szCs w:val="21"/>
                    </w:rPr>
                  </w:pPr>
                  <w:r>
                    <w:rPr>
                      <w:sz w:val="21"/>
                      <w:szCs w:val="21"/>
                    </w:rPr>
                    <w:t>危险废物</w:t>
                  </w:r>
                </w:p>
              </w:tc>
              <w:tc>
                <w:tcPr>
                  <w:tcW w:w="3129" w:type="pct"/>
                  <w:tcBorders>
                    <w:left w:val="single" w:color="auto" w:sz="4" w:space="0"/>
                    <w:right w:val="single" w:color="auto" w:sz="4" w:space="0"/>
                  </w:tcBorders>
                  <w:vAlign w:val="center"/>
                </w:tcPr>
                <w:p>
                  <w:pPr>
                    <w:pStyle w:val="105"/>
                    <w:widowControl/>
                    <w:spacing w:line="400" w:lineRule="exact"/>
                    <w:rPr>
                      <w:rFonts w:hint="default" w:ascii="Times New Roman" w:hAnsi="Times New Roman" w:eastAsia="宋体"/>
                      <w:kern w:val="2"/>
                      <w:sz w:val="21"/>
                    </w:rPr>
                  </w:pPr>
                  <w:r>
                    <w:rPr>
                      <w:rFonts w:hint="default" w:ascii="Times New Roman" w:hAnsi="Times New Roman" w:eastAsia="宋体"/>
                      <w:kern w:val="2"/>
                      <w:sz w:val="21"/>
                    </w:rPr>
                    <w:t>本项目产生的危险废物主要有废活性炭</w:t>
                  </w:r>
                  <w:r>
                    <w:rPr>
                      <w:rFonts w:ascii="Times New Roman" w:hAnsi="Times New Roman" w:eastAsia="宋体"/>
                      <w:kern w:val="2"/>
                      <w:sz w:val="21"/>
                    </w:rPr>
                    <w:t>和废UV灯管</w:t>
                  </w:r>
                  <w:r>
                    <w:rPr>
                      <w:rFonts w:hint="default" w:ascii="Times New Roman" w:hAnsi="Times New Roman" w:eastAsia="宋体"/>
                      <w:kern w:val="2"/>
                      <w:sz w:val="21"/>
                    </w:rPr>
                    <w:t>，暂存于危废暂存间</w:t>
                  </w:r>
                  <w:r>
                    <w:rPr>
                      <w:rFonts w:ascii="Times New Roman" w:hAnsi="Times New Roman" w:eastAsia="宋体"/>
                      <w:kern w:val="2"/>
                      <w:sz w:val="21"/>
                    </w:rPr>
                    <w:t>（5m</w:t>
                  </w:r>
                  <w:r>
                    <w:rPr>
                      <w:rFonts w:ascii="Times New Roman" w:hAnsi="Times New Roman" w:eastAsia="宋体"/>
                      <w:kern w:val="2"/>
                      <w:sz w:val="21"/>
                      <w:vertAlign w:val="superscript"/>
                    </w:rPr>
                    <w:t>2</w:t>
                  </w:r>
                  <w:r>
                    <w:rPr>
                      <w:rFonts w:ascii="Times New Roman" w:hAnsi="Times New Roman" w:eastAsia="宋体"/>
                      <w:kern w:val="2"/>
                      <w:sz w:val="21"/>
                    </w:rPr>
                    <w:t>）</w:t>
                  </w:r>
                  <w:r>
                    <w:rPr>
                      <w:rFonts w:hint="default" w:ascii="Times New Roman" w:hAnsi="Times New Roman" w:eastAsia="宋体"/>
                      <w:kern w:val="2"/>
                      <w:sz w:val="21"/>
                    </w:rPr>
                    <w:t>后交有资质的单位进行收集处理</w:t>
                  </w:r>
                </w:p>
              </w:tc>
              <w:tc>
                <w:tcPr>
                  <w:tcW w:w="704" w:type="pct"/>
                  <w:tcBorders>
                    <w:left w:val="single" w:color="auto" w:sz="4" w:space="0"/>
                    <w:right w:val="single" w:color="auto" w:sz="4" w:space="0"/>
                  </w:tcBorders>
                  <w:vAlign w:val="center"/>
                </w:tcPr>
                <w:p>
                  <w:pPr>
                    <w:pStyle w:val="105"/>
                    <w:widowControl/>
                    <w:spacing w:line="400" w:lineRule="exact"/>
                    <w:rPr>
                      <w:rFonts w:hint="default" w:ascii="Times New Roman" w:hAnsi="Times New Roman" w:eastAsia="宋体"/>
                      <w:kern w:val="2"/>
                      <w:sz w:val="21"/>
                    </w:rPr>
                  </w:pPr>
                  <w:r>
                    <w:rPr>
                      <w:rFonts w:ascii="Times New Roman" w:hAnsi="Times New Roman" w:eastAsia="宋体"/>
                      <w:kern w:val="2"/>
                      <w:sz w:val="21"/>
                    </w:rPr>
                    <w:t>新建</w:t>
                  </w:r>
                </w:p>
              </w:tc>
            </w:tr>
          </w:tbl>
          <w:p>
            <w:pPr>
              <w:pStyle w:val="91"/>
              <w:rPr>
                <w:color w:val="auto"/>
              </w:rPr>
            </w:pPr>
            <w:r>
              <w:rPr>
                <w:color w:val="auto"/>
              </w:rPr>
              <w:t>4.主要设备</w:t>
            </w:r>
          </w:p>
          <w:p>
            <w:pPr>
              <w:pStyle w:val="51"/>
              <w:ind w:firstLine="480"/>
            </w:pPr>
            <w:r>
              <w:rPr>
                <w:rFonts w:hint="eastAsia"/>
              </w:rPr>
              <w:t>本项目</w:t>
            </w:r>
            <w:r>
              <w:t>主要设备见</w:t>
            </w:r>
            <w:r>
              <w:rPr>
                <w:rFonts w:hint="eastAsia"/>
              </w:rPr>
              <w:t>下表</w:t>
            </w:r>
            <w:r>
              <w:t>。</w:t>
            </w:r>
          </w:p>
          <w:p>
            <w:pPr>
              <w:pStyle w:val="53"/>
              <w:ind w:firstLine="480"/>
            </w:pPr>
            <w:r>
              <w:t>表</w:t>
            </w:r>
            <w:r>
              <w:rPr>
                <w:rFonts w:hint="eastAsia"/>
              </w:rPr>
              <w:t>10</w:t>
            </w:r>
            <w:r>
              <w:t xml:space="preserve">              </w:t>
            </w:r>
            <w:r>
              <w:rPr>
                <w:rFonts w:hint="eastAsia"/>
              </w:rPr>
              <w:t xml:space="preserve">  </w:t>
            </w:r>
            <w:r>
              <w:t xml:space="preserve"> </w:t>
            </w:r>
            <w:r>
              <w:rPr>
                <w:rFonts w:hint="eastAsia"/>
              </w:rPr>
              <w:t>本项目</w:t>
            </w:r>
            <w:r>
              <w:t>主要设备</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492"/>
              <w:gridCol w:w="851"/>
              <w:gridCol w:w="1133"/>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pct"/>
                  <w:vMerge w:val="restart"/>
                  <w:vAlign w:val="center"/>
                </w:tcPr>
                <w:p>
                  <w:pPr>
                    <w:spacing w:line="400" w:lineRule="exact"/>
                    <w:jc w:val="center"/>
                    <w:rPr>
                      <w:szCs w:val="21"/>
                    </w:rPr>
                  </w:pPr>
                  <w:r>
                    <w:rPr>
                      <w:szCs w:val="21"/>
                    </w:rPr>
                    <w:t>设施</w:t>
                  </w:r>
                </w:p>
                <w:p>
                  <w:pPr>
                    <w:spacing w:line="400" w:lineRule="exact"/>
                    <w:jc w:val="center"/>
                    <w:rPr>
                      <w:szCs w:val="21"/>
                    </w:rPr>
                  </w:pPr>
                  <w:r>
                    <w:rPr>
                      <w:szCs w:val="21"/>
                    </w:rPr>
                    <w:t>名称</w:t>
                  </w:r>
                </w:p>
              </w:tc>
              <w:tc>
                <w:tcPr>
                  <w:tcW w:w="1393" w:type="pct"/>
                  <w:gridSpan w:val="2"/>
                  <w:vAlign w:val="center"/>
                </w:tcPr>
                <w:p>
                  <w:pPr>
                    <w:spacing w:line="400" w:lineRule="exact"/>
                    <w:jc w:val="center"/>
                    <w:rPr>
                      <w:szCs w:val="21"/>
                    </w:rPr>
                  </w:pPr>
                  <w:r>
                    <w:rPr>
                      <w:szCs w:val="21"/>
                    </w:rPr>
                    <w:t>参数名称</w:t>
                  </w:r>
                </w:p>
              </w:tc>
              <w:tc>
                <w:tcPr>
                  <w:tcW w:w="674" w:type="pct"/>
                  <w:vMerge w:val="restart"/>
                </w:tcPr>
                <w:p>
                  <w:pPr>
                    <w:spacing w:line="400" w:lineRule="exact"/>
                    <w:jc w:val="center"/>
                    <w:rPr>
                      <w:szCs w:val="21"/>
                    </w:rPr>
                  </w:pPr>
                  <w:r>
                    <w:rPr>
                      <w:rFonts w:hint="eastAsia"/>
                      <w:szCs w:val="21"/>
                    </w:rPr>
                    <w:t>年运行时长（h/a）</w:t>
                  </w:r>
                </w:p>
              </w:tc>
              <w:tc>
                <w:tcPr>
                  <w:tcW w:w="2051" w:type="pct"/>
                  <w:vMerge w:val="restart"/>
                  <w:vAlign w:val="center"/>
                </w:tcPr>
                <w:p>
                  <w:pPr>
                    <w:spacing w:line="40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pct"/>
                  <w:vMerge w:val="continue"/>
                  <w:vAlign w:val="center"/>
                </w:tcPr>
                <w:p>
                  <w:pPr>
                    <w:spacing w:line="400" w:lineRule="exact"/>
                    <w:jc w:val="center"/>
                    <w:rPr>
                      <w:szCs w:val="21"/>
                    </w:rPr>
                  </w:pPr>
                </w:p>
              </w:tc>
              <w:tc>
                <w:tcPr>
                  <w:tcW w:w="887" w:type="pct"/>
                  <w:vAlign w:val="center"/>
                </w:tcPr>
                <w:p>
                  <w:pPr>
                    <w:spacing w:line="400" w:lineRule="exact"/>
                    <w:jc w:val="center"/>
                    <w:rPr>
                      <w:szCs w:val="21"/>
                    </w:rPr>
                  </w:pPr>
                  <w:r>
                    <w:rPr>
                      <w:szCs w:val="21"/>
                    </w:rPr>
                    <w:t>型号</w:t>
                  </w:r>
                </w:p>
              </w:tc>
              <w:tc>
                <w:tcPr>
                  <w:tcW w:w="506" w:type="pct"/>
                  <w:vAlign w:val="center"/>
                </w:tcPr>
                <w:p>
                  <w:pPr>
                    <w:spacing w:line="400" w:lineRule="exact"/>
                    <w:jc w:val="center"/>
                    <w:rPr>
                      <w:szCs w:val="21"/>
                    </w:rPr>
                  </w:pPr>
                  <w:r>
                    <w:rPr>
                      <w:rFonts w:hint="eastAsia"/>
                      <w:szCs w:val="21"/>
                    </w:rPr>
                    <w:t>数量</w:t>
                  </w:r>
                </w:p>
              </w:tc>
              <w:tc>
                <w:tcPr>
                  <w:tcW w:w="674" w:type="pct"/>
                  <w:vMerge w:val="continue"/>
                </w:tcPr>
                <w:p>
                  <w:pPr>
                    <w:spacing w:line="400" w:lineRule="exact"/>
                    <w:jc w:val="center"/>
                    <w:rPr>
                      <w:szCs w:val="21"/>
                    </w:rPr>
                  </w:pPr>
                </w:p>
              </w:tc>
              <w:tc>
                <w:tcPr>
                  <w:tcW w:w="2051" w:type="pct"/>
                  <w:vMerge w:val="continue"/>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 w:type="pct"/>
                  <w:vAlign w:val="center"/>
                </w:tcPr>
                <w:p>
                  <w:pPr>
                    <w:spacing w:line="400" w:lineRule="exact"/>
                    <w:jc w:val="center"/>
                    <w:rPr>
                      <w:b/>
                      <w:szCs w:val="21"/>
                      <w:u w:val="single"/>
                    </w:rPr>
                  </w:pPr>
                  <w:r>
                    <w:rPr>
                      <w:rFonts w:hint="eastAsia"/>
                      <w:b/>
                      <w:szCs w:val="21"/>
                      <w:u w:val="single"/>
                    </w:rPr>
                    <w:t>搅拌罐</w:t>
                  </w:r>
                </w:p>
              </w:tc>
              <w:tc>
                <w:tcPr>
                  <w:tcW w:w="887" w:type="pct"/>
                  <w:vAlign w:val="center"/>
                </w:tcPr>
                <w:p>
                  <w:pPr>
                    <w:spacing w:line="400" w:lineRule="exact"/>
                    <w:jc w:val="center"/>
                    <w:rPr>
                      <w:b/>
                      <w:szCs w:val="21"/>
                      <w:u w:val="single"/>
                    </w:rPr>
                  </w:pPr>
                  <w:r>
                    <w:rPr>
                      <w:rFonts w:hint="eastAsia"/>
                      <w:b/>
                      <w:szCs w:val="21"/>
                      <w:u w:val="single"/>
                    </w:rPr>
                    <w:t>1m</w:t>
                  </w:r>
                  <w:r>
                    <w:rPr>
                      <w:rFonts w:hint="eastAsia"/>
                      <w:b/>
                      <w:szCs w:val="21"/>
                      <w:u w:val="single"/>
                      <w:vertAlign w:val="superscript"/>
                    </w:rPr>
                    <w:t>3</w:t>
                  </w:r>
                </w:p>
              </w:tc>
              <w:tc>
                <w:tcPr>
                  <w:tcW w:w="506" w:type="pct"/>
                  <w:vAlign w:val="center"/>
                </w:tcPr>
                <w:p>
                  <w:pPr>
                    <w:spacing w:line="400" w:lineRule="exact"/>
                    <w:jc w:val="center"/>
                    <w:rPr>
                      <w:b/>
                      <w:szCs w:val="21"/>
                      <w:u w:val="single"/>
                    </w:rPr>
                  </w:pPr>
                  <w:r>
                    <w:rPr>
                      <w:rFonts w:hint="eastAsia"/>
                      <w:b/>
                      <w:szCs w:val="21"/>
                      <w:u w:val="single"/>
                    </w:rPr>
                    <w:t>4个</w:t>
                  </w:r>
                </w:p>
              </w:tc>
              <w:tc>
                <w:tcPr>
                  <w:tcW w:w="674" w:type="pct"/>
                </w:tcPr>
                <w:p>
                  <w:pPr>
                    <w:spacing w:line="400" w:lineRule="exact"/>
                    <w:jc w:val="center"/>
                    <w:rPr>
                      <w:b/>
                      <w:szCs w:val="21"/>
                      <w:u w:val="single"/>
                    </w:rPr>
                  </w:pPr>
                  <w:r>
                    <w:rPr>
                      <w:rFonts w:hint="eastAsia"/>
                      <w:b/>
                      <w:szCs w:val="21"/>
                      <w:u w:val="single"/>
                    </w:rPr>
                    <w:t>300</w:t>
                  </w:r>
                </w:p>
              </w:tc>
              <w:tc>
                <w:tcPr>
                  <w:tcW w:w="2051" w:type="pct"/>
                  <w:vAlign w:val="center"/>
                </w:tcPr>
                <w:p>
                  <w:pPr>
                    <w:spacing w:line="400" w:lineRule="exact"/>
                    <w:jc w:val="center"/>
                    <w:rPr>
                      <w:b/>
                      <w:szCs w:val="21"/>
                      <w:u w:val="single"/>
                    </w:rPr>
                  </w:pPr>
                  <w:r>
                    <w:rPr>
                      <w:rFonts w:hint="eastAsia"/>
                      <w:b/>
                      <w:szCs w:val="21"/>
                      <w:u w:val="single"/>
                    </w:rPr>
                    <w:t>用于聚乙烯和聚丙烯颗粒均匀混合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pct"/>
                  <w:vAlign w:val="center"/>
                </w:tcPr>
                <w:p>
                  <w:pPr>
                    <w:spacing w:line="400" w:lineRule="exact"/>
                    <w:jc w:val="center"/>
                    <w:rPr>
                      <w:b/>
                      <w:szCs w:val="21"/>
                      <w:u w:val="single"/>
                    </w:rPr>
                  </w:pPr>
                  <w:r>
                    <w:rPr>
                      <w:rFonts w:hint="eastAsia"/>
                      <w:b/>
                      <w:szCs w:val="21"/>
                      <w:u w:val="single"/>
                    </w:rPr>
                    <w:t>螺旋上料机</w:t>
                  </w:r>
                </w:p>
              </w:tc>
              <w:tc>
                <w:tcPr>
                  <w:tcW w:w="887" w:type="pct"/>
                  <w:vAlign w:val="center"/>
                </w:tcPr>
                <w:p>
                  <w:pPr>
                    <w:spacing w:line="400" w:lineRule="exact"/>
                    <w:jc w:val="center"/>
                    <w:rPr>
                      <w:b/>
                      <w:szCs w:val="21"/>
                      <w:u w:val="single"/>
                    </w:rPr>
                  </w:pPr>
                  <w:r>
                    <w:rPr>
                      <w:rFonts w:hint="eastAsia"/>
                      <w:b/>
                      <w:szCs w:val="21"/>
                      <w:u w:val="single"/>
                    </w:rPr>
                    <w:t>/</w:t>
                  </w:r>
                </w:p>
              </w:tc>
              <w:tc>
                <w:tcPr>
                  <w:tcW w:w="506" w:type="pct"/>
                  <w:vAlign w:val="center"/>
                </w:tcPr>
                <w:p>
                  <w:pPr>
                    <w:spacing w:line="400" w:lineRule="exact"/>
                    <w:jc w:val="center"/>
                    <w:rPr>
                      <w:b/>
                      <w:szCs w:val="21"/>
                      <w:u w:val="single"/>
                    </w:rPr>
                  </w:pPr>
                  <w:r>
                    <w:rPr>
                      <w:rFonts w:hint="eastAsia"/>
                      <w:b/>
                      <w:szCs w:val="21"/>
                      <w:u w:val="single"/>
                    </w:rPr>
                    <w:t>4个</w:t>
                  </w:r>
                </w:p>
              </w:tc>
              <w:tc>
                <w:tcPr>
                  <w:tcW w:w="674" w:type="pct"/>
                </w:tcPr>
                <w:p>
                  <w:pPr>
                    <w:spacing w:line="400" w:lineRule="exact"/>
                    <w:jc w:val="center"/>
                    <w:rPr>
                      <w:b/>
                      <w:szCs w:val="21"/>
                      <w:u w:val="single"/>
                    </w:rPr>
                  </w:pPr>
                  <w:r>
                    <w:rPr>
                      <w:rFonts w:hint="eastAsia"/>
                      <w:b/>
                      <w:szCs w:val="21"/>
                      <w:u w:val="single"/>
                    </w:rPr>
                    <w:t>1500</w:t>
                  </w:r>
                </w:p>
              </w:tc>
              <w:tc>
                <w:tcPr>
                  <w:tcW w:w="2051" w:type="pct"/>
                  <w:vAlign w:val="center"/>
                </w:tcPr>
                <w:p>
                  <w:pPr>
                    <w:spacing w:line="400" w:lineRule="exact"/>
                    <w:jc w:val="center"/>
                    <w:rPr>
                      <w:b/>
                      <w:szCs w:val="21"/>
                      <w:u w:val="single"/>
                    </w:rPr>
                  </w:pPr>
                  <w:r>
                    <w:rPr>
                      <w:rFonts w:hint="eastAsia"/>
                      <w:b/>
                      <w:szCs w:val="21"/>
                      <w:u w:val="single"/>
                    </w:rPr>
                    <w:t>用于混合料投加覆膜机内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pct"/>
                  <w:vAlign w:val="center"/>
                </w:tcPr>
                <w:p>
                  <w:pPr>
                    <w:widowControl/>
                    <w:adjustRightInd w:val="0"/>
                    <w:snapToGrid w:val="0"/>
                    <w:spacing w:line="400" w:lineRule="exact"/>
                    <w:jc w:val="center"/>
                    <w:rPr>
                      <w:szCs w:val="21"/>
                    </w:rPr>
                  </w:pPr>
                  <w:r>
                    <w:rPr>
                      <w:rFonts w:hint="eastAsia"/>
                      <w:szCs w:val="21"/>
                    </w:rPr>
                    <w:t>覆膜机</w:t>
                  </w:r>
                </w:p>
              </w:tc>
              <w:tc>
                <w:tcPr>
                  <w:tcW w:w="887" w:type="pct"/>
                  <w:vAlign w:val="center"/>
                </w:tcPr>
                <w:p>
                  <w:pPr>
                    <w:widowControl/>
                    <w:adjustRightInd w:val="0"/>
                    <w:snapToGrid w:val="0"/>
                    <w:spacing w:line="400" w:lineRule="exact"/>
                    <w:jc w:val="center"/>
                    <w:rPr>
                      <w:szCs w:val="21"/>
                      <w:highlight w:val="yellow"/>
                    </w:rPr>
                  </w:pPr>
                  <w:r>
                    <w:rPr>
                      <w:rFonts w:hint="eastAsia"/>
                    </w:rPr>
                    <w:t>QDJ-2500B/D</w:t>
                  </w:r>
                </w:p>
              </w:tc>
              <w:tc>
                <w:tcPr>
                  <w:tcW w:w="506" w:type="pct"/>
                  <w:vAlign w:val="center"/>
                </w:tcPr>
                <w:p>
                  <w:pPr>
                    <w:widowControl/>
                    <w:adjustRightInd w:val="0"/>
                    <w:snapToGrid w:val="0"/>
                    <w:spacing w:line="400" w:lineRule="exact"/>
                    <w:jc w:val="center"/>
                    <w:rPr>
                      <w:szCs w:val="21"/>
                    </w:rPr>
                  </w:pPr>
                  <w:r>
                    <w:rPr>
                      <w:rFonts w:hint="eastAsia"/>
                      <w:szCs w:val="21"/>
                    </w:rPr>
                    <w:t>4</w:t>
                  </w:r>
                  <w:r>
                    <w:rPr>
                      <w:szCs w:val="21"/>
                    </w:rPr>
                    <w:t>台</w:t>
                  </w:r>
                </w:p>
              </w:tc>
              <w:tc>
                <w:tcPr>
                  <w:tcW w:w="674" w:type="pct"/>
                </w:tcPr>
                <w:p>
                  <w:pPr>
                    <w:spacing w:line="400" w:lineRule="exact"/>
                    <w:jc w:val="center"/>
                    <w:rPr>
                      <w:szCs w:val="21"/>
                      <w:highlight w:val="yellow"/>
                    </w:rPr>
                  </w:pPr>
                  <w:r>
                    <w:rPr>
                      <w:rFonts w:hint="eastAsia"/>
                      <w:szCs w:val="21"/>
                    </w:rPr>
                    <w:t>1500</w:t>
                  </w:r>
                </w:p>
              </w:tc>
              <w:tc>
                <w:tcPr>
                  <w:tcW w:w="2051" w:type="pct"/>
                  <w:vAlign w:val="center"/>
                </w:tcPr>
                <w:p>
                  <w:pPr>
                    <w:spacing w:line="400" w:lineRule="exact"/>
                    <w:jc w:val="center"/>
                    <w:rPr>
                      <w:szCs w:val="21"/>
                      <w:highlight w:val="yellow"/>
                    </w:rPr>
                  </w:pPr>
                  <w:r>
                    <w:rPr>
                      <w:rFonts w:hint="eastAsia"/>
                      <w:szCs w:val="21"/>
                    </w:rPr>
                    <w:t>用于覆膜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 w:type="pct"/>
                  <w:vAlign w:val="center"/>
                </w:tcPr>
                <w:p>
                  <w:pPr>
                    <w:widowControl/>
                    <w:adjustRightInd w:val="0"/>
                    <w:snapToGrid w:val="0"/>
                    <w:spacing w:line="400" w:lineRule="exact"/>
                    <w:jc w:val="center"/>
                    <w:rPr>
                      <w:b/>
                      <w:szCs w:val="21"/>
                      <w:u w:val="single"/>
                    </w:rPr>
                  </w:pPr>
                  <w:r>
                    <w:rPr>
                      <w:rFonts w:hint="eastAsia"/>
                      <w:b/>
                      <w:szCs w:val="21"/>
                      <w:u w:val="single"/>
                    </w:rPr>
                    <w:t>牵引机</w:t>
                  </w:r>
                </w:p>
              </w:tc>
              <w:tc>
                <w:tcPr>
                  <w:tcW w:w="887" w:type="pct"/>
                  <w:vAlign w:val="center"/>
                </w:tcPr>
                <w:p>
                  <w:pPr>
                    <w:widowControl/>
                    <w:adjustRightInd w:val="0"/>
                    <w:snapToGrid w:val="0"/>
                    <w:spacing w:line="400" w:lineRule="exact"/>
                    <w:jc w:val="center"/>
                    <w:rPr>
                      <w:b/>
                      <w:u w:val="single"/>
                    </w:rPr>
                  </w:pPr>
                  <w:r>
                    <w:rPr>
                      <w:rFonts w:hint="eastAsia"/>
                      <w:b/>
                      <w:u w:val="single"/>
                    </w:rPr>
                    <w:t>/</w:t>
                  </w:r>
                </w:p>
              </w:tc>
              <w:tc>
                <w:tcPr>
                  <w:tcW w:w="506" w:type="pct"/>
                  <w:vAlign w:val="center"/>
                </w:tcPr>
                <w:p>
                  <w:pPr>
                    <w:widowControl/>
                    <w:adjustRightInd w:val="0"/>
                    <w:snapToGrid w:val="0"/>
                    <w:spacing w:line="400" w:lineRule="exact"/>
                    <w:jc w:val="center"/>
                    <w:rPr>
                      <w:b/>
                      <w:szCs w:val="21"/>
                      <w:u w:val="single"/>
                    </w:rPr>
                  </w:pPr>
                  <w:r>
                    <w:rPr>
                      <w:rFonts w:hint="eastAsia"/>
                      <w:b/>
                      <w:szCs w:val="21"/>
                      <w:u w:val="single"/>
                    </w:rPr>
                    <w:t>4</w:t>
                  </w:r>
                  <w:r>
                    <w:rPr>
                      <w:b/>
                      <w:szCs w:val="21"/>
                      <w:u w:val="single"/>
                    </w:rPr>
                    <w:t>台</w:t>
                  </w:r>
                </w:p>
              </w:tc>
              <w:tc>
                <w:tcPr>
                  <w:tcW w:w="674" w:type="pct"/>
                </w:tcPr>
                <w:p>
                  <w:pPr>
                    <w:spacing w:line="400" w:lineRule="exact"/>
                    <w:jc w:val="center"/>
                    <w:rPr>
                      <w:b/>
                      <w:szCs w:val="21"/>
                      <w:highlight w:val="yellow"/>
                      <w:u w:val="single"/>
                    </w:rPr>
                  </w:pPr>
                  <w:r>
                    <w:rPr>
                      <w:rFonts w:hint="eastAsia"/>
                      <w:b/>
                      <w:szCs w:val="21"/>
                      <w:u w:val="single"/>
                    </w:rPr>
                    <w:t>1500</w:t>
                  </w:r>
                </w:p>
              </w:tc>
              <w:tc>
                <w:tcPr>
                  <w:tcW w:w="2051" w:type="pct"/>
                  <w:vAlign w:val="center"/>
                </w:tcPr>
                <w:p>
                  <w:pPr>
                    <w:spacing w:line="400" w:lineRule="exact"/>
                    <w:jc w:val="center"/>
                    <w:rPr>
                      <w:b/>
                      <w:szCs w:val="21"/>
                      <w:highlight w:val="yellow"/>
                      <w:u w:val="single"/>
                    </w:rPr>
                  </w:pPr>
                  <w:r>
                    <w:rPr>
                      <w:rFonts w:hint="eastAsia"/>
                      <w:b/>
                      <w:szCs w:val="21"/>
                      <w:u w:val="single"/>
                    </w:rPr>
                    <w:t>用于成品牵引收卷</w:t>
                  </w:r>
                </w:p>
              </w:tc>
            </w:tr>
          </w:tbl>
          <w:p>
            <w:pPr>
              <w:tabs>
                <w:tab w:val="left" w:pos="5695"/>
              </w:tabs>
              <w:spacing w:line="520" w:lineRule="exact"/>
              <w:ind w:firstLine="480" w:firstLineChars="200"/>
            </w:pPr>
            <w:r>
              <w:rPr>
                <w:sz w:val="24"/>
              </w:rPr>
              <w:t>全厂设备均不属于</w:t>
            </w:r>
            <w:r>
              <w:rPr>
                <w:rFonts w:hint="eastAsia"/>
                <w:sz w:val="24"/>
              </w:rPr>
              <w:t>“</w:t>
            </w:r>
            <w:r>
              <w:rPr>
                <w:sz w:val="24"/>
              </w:rPr>
              <w:t>限制类</w:t>
            </w:r>
            <w:r>
              <w:rPr>
                <w:rFonts w:hint="eastAsia"/>
                <w:sz w:val="24"/>
              </w:rPr>
              <w:t>”</w:t>
            </w:r>
            <w:r>
              <w:rPr>
                <w:sz w:val="24"/>
              </w:rPr>
              <w:t>和</w:t>
            </w:r>
            <w:r>
              <w:rPr>
                <w:rFonts w:hint="eastAsia"/>
                <w:sz w:val="24"/>
              </w:rPr>
              <w:t>“</w:t>
            </w:r>
            <w:r>
              <w:rPr>
                <w:sz w:val="24"/>
              </w:rPr>
              <w:t>淘汰类</w:t>
            </w:r>
            <w:r>
              <w:rPr>
                <w:rFonts w:hint="eastAsia"/>
                <w:sz w:val="24"/>
              </w:rPr>
              <w:t>”</w:t>
            </w:r>
            <w:r>
              <w:rPr>
                <w:sz w:val="24"/>
              </w:rPr>
              <w:t>，</w:t>
            </w:r>
            <w:r>
              <w:rPr>
                <w:kern w:val="0"/>
                <w:sz w:val="24"/>
              </w:rPr>
              <w:t>符合《产业结构调整指导目录（2019年本）》、《高耗能落后机电设备（产品）淘汰目录（第一、二、三、四批）》和《河南省部分工业行业淘汰落后生产工艺装备和产品目录》。</w:t>
            </w:r>
          </w:p>
          <w:p>
            <w:pPr>
              <w:pStyle w:val="91"/>
              <w:rPr>
                <w:color w:val="auto"/>
              </w:rPr>
            </w:pPr>
            <w:r>
              <w:rPr>
                <w:color w:val="auto"/>
              </w:rPr>
              <w:t>5. 生产规模及产品方案</w:t>
            </w:r>
          </w:p>
          <w:p>
            <w:pPr>
              <w:pStyle w:val="53"/>
              <w:ind w:firstLine="480"/>
            </w:pPr>
            <w:r>
              <w:t>表</w:t>
            </w:r>
            <w:r>
              <w:rPr>
                <w:rFonts w:hint="eastAsia"/>
              </w:rPr>
              <w:t>11</w:t>
            </w:r>
            <w:r>
              <w:t xml:space="preserve">                </w:t>
            </w:r>
            <w:r>
              <w:rPr>
                <w:rFonts w:hint="eastAsia"/>
              </w:rPr>
              <w:t>本</w:t>
            </w:r>
            <w:r>
              <w:t>项目规模一览表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302"/>
              <w:gridCol w:w="2215"/>
              <w:gridCol w:w="28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68" w:type="pct"/>
                  <w:vAlign w:val="center"/>
                </w:tcPr>
                <w:p>
                  <w:pPr>
                    <w:spacing w:line="400" w:lineRule="exact"/>
                    <w:jc w:val="center"/>
                    <w:rPr>
                      <w:szCs w:val="21"/>
                    </w:rPr>
                  </w:pPr>
                  <w:r>
                    <w:rPr>
                      <w:szCs w:val="21"/>
                    </w:rPr>
                    <w:t>产品名称</w:t>
                  </w:r>
                </w:p>
              </w:tc>
              <w:tc>
                <w:tcPr>
                  <w:tcW w:w="1320" w:type="pct"/>
                  <w:vAlign w:val="center"/>
                </w:tcPr>
                <w:p>
                  <w:pPr>
                    <w:spacing w:line="400" w:lineRule="exact"/>
                    <w:jc w:val="center"/>
                    <w:rPr>
                      <w:szCs w:val="21"/>
                    </w:rPr>
                  </w:pPr>
                  <w:r>
                    <w:rPr>
                      <w:rFonts w:hint="eastAsia"/>
                      <w:szCs w:val="21"/>
                    </w:rPr>
                    <w:t>产量</w:t>
                  </w:r>
                </w:p>
              </w:tc>
              <w:tc>
                <w:tcPr>
                  <w:tcW w:w="1711" w:type="pct"/>
                  <w:vAlign w:val="center"/>
                </w:tcPr>
                <w:p>
                  <w:pPr>
                    <w:spacing w:line="400" w:lineRule="exact"/>
                    <w:jc w:val="center"/>
                    <w:rPr>
                      <w:szCs w:val="21"/>
                    </w:rPr>
                  </w:pPr>
                  <w:r>
                    <w:rPr>
                      <w:rFonts w:hint="eastAsia"/>
                      <w:szCs w:val="21"/>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68" w:type="pct"/>
                  <w:vAlign w:val="center"/>
                </w:tcPr>
                <w:p>
                  <w:pPr>
                    <w:widowControl/>
                    <w:adjustRightInd w:val="0"/>
                    <w:snapToGrid w:val="0"/>
                    <w:spacing w:line="400" w:lineRule="exact"/>
                    <w:jc w:val="center"/>
                    <w:rPr>
                      <w:szCs w:val="21"/>
                    </w:rPr>
                  </w:pPr>
                  <w:r>
                    <w:rPr>
                      <w:rFonts w:hint="eastAsia"/>
                      <w:szCs w:val="21"/>
                    </w:rPr>
                    <w:t>覆膜基布</w:t>
                  </w:r>
                </w:p>
              </w:tc>
              <w:tc>
                <w:tcPr>
                  <w:tcW w:w="1320" w:type="pct"/>
                  <w:vAlign w:val="center"/>
                </w:tcPr>
                <w:p>
                  <w:pPr>
                    <w:spacing w:line="400" w:lineRule="exact"/>
                    <w:jc w:val="center"/>
                    <w:rPr>
                      <w:szCs w:val="21"/>
                    </w:rPr>
                  </w:pPr>
                  <w:r>
                    <w:rPr>
                      <w:rFonts w:hint="eastAsia"/>
                      <w:szCs w:val="21"/>
                    </w:rPr>
                    <w:t>5000</w:t>
                  </w:r>
                </w:p>
              </w:tc>
              <w:tc>
                <w:tcPr>
                  <w:tcW w:w="1711" w:type="pct"/>
                  <w:vAlign w:val="center"/>
                </w:tcPr>
                <w:p>
                  <w:pPr>
                    <w:spacing w:line="400" w:lineRule="exact"/>
                    <w:jc w:val="center"/>
                    <w:rPr>
                      <w:szCs w:val="21"/>
                    </w:rPr>
                  </w:pPr>
                  <w:r>
                    <w:rPr>
                      <w:rFonts w:hint="eastAsia"/>
                      <w:szCs w:val="21"/>
                    </w:rPr>
                    <w:t>t/a</w:t>
                  </w:r>
                </w:p>
              </w:tc>
            </w:tr>
          </w:tbl>
          <w:p>
            <w:pPr>
              <w:pStyle w:val="91"/>
              <w:rPr>
                <w:color w:val="auto"/>
              </w:rPr>
            </w:pPr>
            <w:r>
              <w:rPr>
                <w:color w:val="auto"/>
              </w:rPr>
              <w:t>6. 主要原辅材料</w:t>
            </w:r>
          </w:p>
          <w:p>
            <w:pPr>
              <w:pStyle w:val="51"/>
              <w:ind w:firstLine="480"/>
            </w:pPr>
            <w:r>
              <w:t>本项目主要原辅材料消耗表见</w:t>
            </w:r>
            <w:r>
              <w:rPr>
                <w:rFonts w:hint="eastAsia"/>
              </w:rPr>
              <w:t>下表</w:t>
            </w:r>
            <w:r>
              <w:t>。</w:t>
            </w:r>
          </w:p>
          <w:p>
            <w:pPr>
              <w:pStyle w:val="53"/>
              <w:ind w:firstLine="480"/>
            </w:pPr>
            <w:r>
              <w:t>表</w:t>
            </w:r>
            <w:r>
              <w:rPr>
                <w:rFonts w:hint="eastAsia"/>
              </w:rPr>
              <w:t>12</w:t>
            </w:r>
            <w:r>
              <w:t xml:space="preserve">          </w:t>
            </w:r>
            <w:r>
              <w:rPr>
                <w:rFonts w:hint="eastAsia"/>
              </w:rPr>
              <w:t>本</w:t>
            </w:r>
            <w:r>
              <w:t>项目主要原辅材料一览表                  单位：t/a</w:t>
            </w:r>
          </w:p>
          <w:tbl>
            <w:tblPr>
              <w:tblStyle w:val="2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702"/>
              <w:gridCol w:w="1415"/>
              <w:gridCol w:w="991"/>
              <w:gridCol w:w="35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vAlign w:val="center"/>
                </w:tcPr>
                <w:p>
                  <w:pPr>
                    <w:snapToGrid w:val="0"/>
                    <w:spacing w:line="360" w:lineRule="exact"/>
                    <w:jc w:val="center"/>
                    <w:rPr>
                      <w:bCs/>
                      <w:szCs w:val="21"/>
                    </w:rPr>
                  </w:pPr>
                  <w:r>
                    <w:rPr>
                      <w:bCs/>
                      <w:szCs w:val="21"/>
                    </w:rPr>
                    <w:t>序号</w:t>
                  </w:r>
                </w:p>
              </w:tc>
              <w:tc>
                <w:tcPr>
                  <w:tcW w:w="1015" w:type="pct"/>
                  <w:vAlign w:val="center"/>
                </w:tcPr>
                <w:p>
                  <w:pPr>
                    <w:snapToGrid w:val="0"/>
                    <w:spacing w:line="360" w:lineRule="exact"/>
                    <w:jc w:val="center"/>
                    <w:rPr>
                      <w:bCs/>
                      <w:szCs w:val="21"/>
                    </w:rPr>
                  </w:pPr>
                  <w:r>
                    <w:rPr>
                      <w:bCs/>
                      <w:szCs w:val="21"/>
                    </w:rPr>
                    <w:t>原辅材料名称</w:t>
                  </w:r>
                </w:p>
              </w:tc>
              <w:tc>
                <w:tcPr>
                  <w:tcW w:w="844" w:type="pct"/>
                  <w:vAlign w:val="center"/>
                </w:tcPr>
                <w:p>
                  <w:pPr>
                    <w:snapToGrid w:val="0"/>
                    <w:spacing w:line="360" w:lineRule="exact"/>
                    <w:jc w:val="center"/>
                    <w:rPr>
                      <w:bCs/>
                      <w:szCs w:val="21"/>
                    </w:rPr>
                  </w:pPr>
                  <w:r>
                    <w:rPr>
                      <w:rFonts w:hint="eastAsia"/>
                      <w:bCs/>
                      <w:szCs w:val="21"/>
                    </w:rPr>
                    <w:t>单位</w:t>
                  </w:r>
                </w:p>
              </w:tc>
              <w:tc>
                <w:tcPr>
                  <w:tcW w:w="591" w:type="pct"/>
                  <w:vAlign w:val="center"/>
                </w:tcPr>
                <w:p>
                  <w:pPr>
                    <w:snapToGrid w:val="0"/>
                    <w:spacing w:line="360" w:lineRule="exact"/>
                    <w:jc w:val="center"/>
                    <w:rPr>
                      <w:bCs/>
                      <w:szCs w:val="21"/>
                    </w:rPr>
                  </w:pPr>
                  <w:r>
                    <w:rPr>
                      <w:rFonts w:hint="eastAsia"/>
                      <w:bCs/>
                      <w:szCs w:val="21"/>
                    </w:rPr>
                    <w:t>消耗量</w:t>
                  </w:r>
                </w:p>
              </w:tc>
              <w:tc>
                <w:tcPr>
                  <w:tcW w:w="2134" w:type="pct"/>
                  <w:vAlign w:val="center"/>
                </w:tcPr>
                <w:p>
                  <w:pPr>
                    <w:snapToGrid w:val="0"/>
                    <w:spacing w:line="360" w:lineRule="exact"/>
                    <w:jc w:val="center"/>
                    <w:rPr>
                      <w:bCs/>
                      <w:szCs w:val="21"/>
                    </w:rPr>
                  </w:pPr>
                  <w:r>
                    <w:rPr>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vAlign w:val="center"/>
                </w:tcPr>
                <w:p>
                  <w:pPr>
                    <w:snapToGrid w:val="0"/>
                    <w:spacing w:line="360" w:lineRule="exact"/>
                    <w:jc w:val="center"/>
                    <w:rPr>
                      <w:bCs/>
                      <w:szCs w:val="21"/>
                    </w:rPr>
                  </w:pPr>
                  <w:r>
                    <w:rPr>
                      <w:bCs/>
                      <w:szCs w:val="21"/>
                    </w:rPr>
                    <w:t>1</w:t>
                  </w:r>
                </w:p>
              </w:tc>
              <w:tc>
                <w:tcPr>
                  <w:tcW w:w="1015" w:type="pct"/>
                  <w:vAlign w:val="center"/>
                </w:tcPr>
                <w:p>
                  <w:pPr>
                    <w:snapToGrid w:val="0"/>
                    <w:spacing w:line="360" w:lineRule="exact"/>
                    <w:jc w:val="center"/>
                    <w:rPr>
                      <w:bCs/>
                      <w:szCs w:val="21"/>
                    </w:rPr>
                  </w:pPr>
                  <w:r>
                    <w:rPr>
                      <w:rFonts w:hint="eastAsia"/>
                      <w:bCs/>
                      <w:szCs w:val="21"/>
                    </w:rPr>
                    <w:t>基布</w:t>
                  </w:r>
                </w:p>
              </w:tc>
              <w:tc>
                <w:tcPr>
                  <w:tcW w:w="844" w:type="pct"/>
                  <w:vAlign w:val="center"/>
                </w:tcPr>
                <w:p>
                  <w:pPr>
                    <w:snapToGrid w:val="0"/>
                    <w:spacing w:line="360" w:lineRule="exact"/>
                    <w:jc w:val="center"/>
                    <w:rPr>
                      <w:bCs/>
                      <w:szCs w:val="21"/>
                    </w:rPr>
                  </w:pPr>
                  <w:r>
                    <w:rPr>
                      <w:bCs/>
                      <w:szCs w:val="21"/>
                    </w:rPr>
                    <w:t>t/a</w:t>
                  </w:r>
                </w:p>
              </w:tc>
              <w:tc>
                <w:tcPr>
                  <w:tcW w:w="591" w:type="pct"/>
                  <w:vAlign w:val="center"/>
                </w:tcPr>
                <w:p>
                  <w:pPr>
                    <w:snapToGrid w:val="0"/>
                    <w:spacing w:line="360" w:lineRule="exact"/>
                    <w:jc w:val="center"/>
                    <w:rPr>
                      <w:bCs/>
                      <w:szCs w:val="21"/>
                    </w:rPr>
                  </w:pPr>
                  <w:r>
                    <w:rPr>
                      <w:rFonts w:hint="eastAsia"/>
                      <w:bCs/>
                      <w:szCs w:val="21"/>
                    </w:rPr>
                    <w:t>4000</w:t>
                  </w:r>
                </w:p>
              </w:tc>
              <w:tc>
                <w:tcPr>
                  <w:tcW w:w="2134" w:type="pct"/>
                  <w:vAlign w:val="center"/>
                </w:tcPr>
                <w:p>
                  <w:pPr>
                    <w:snapToGrid w:val="0"/>
                    <w:spacing w:line="360" w:lineRule="exact"/>
                    <w:jc w:val="center"/>
                    <w:rPr>
                      <w:bCs/>
                      <w:szCs w:val="21"/>
                    </w:rPr>
                  </w:pPr>
                  <w:r>
                    <w:rPr>
                      <w:rFonts w:hint="eastAsia"/>
                      <w:bCs/>
                      <w:szCs w:val="21"/>
                    </w:rPr>
                    <w:t>外购，覆膜原料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vAlign w:val="center"/>
                </w:tcPr>
                <w:p>
                  <w:pPr>
                    <w:snapToGrid w:val="0"/>
                    <w:spacing w:line="360" w:lineRule="exact"/>
                    <w:jc w:val="center"/>
                    <w:rPr>
                      <w:bCs/>
                      <w:szCs w:val="21"/>
                    </w:rPr>
                  </w:pPr>
                  <w:r>
                    <w:rPr>
                      <w:rFonts w:hint="eastAsia"/>
                      <w:bCs/>
                      <w:szCs w:val="21"/>
                    </w:rPr>
                    <w:t>2</w:t>
                  </w:r>
                </w:p>
              </w:tc>
              <w:tc>
                <w:tcPr>
                  <w:tcW w:w="1015" w:type="pct"/>
                  <w:vAlign w:val="center"/>
                </w:tcPr>
                <w:p>
                  <w:pPr>
                    <w:snapToGrid w:val="0"/>
                    <w:spacing w:line="360" w:lineRule="exact"/>
                    <w:jc w:val="center"/>
                    <w:rPr>
                      <w:b/>
                      <w:bCs/>
                      <w:szCs w:val="21"/>
                      <w:u w:val="single"/>
                    </w:rPr>
                  </w:pPr>
                  <w:r>
                    <w:rPr>
                      <w:rFonts w:hint="eastAsia"/>
                      <w:b/>
                      <w:bCs/>
                      <w:szCs w:val="21"/>
                      <w:u w:val="single"/>
                    </w:rPr>
                    <w:t>聚丙烯树脂</w:t>
                  </w:r>
                </w:p>
              </w:tc>
              <w:tc>
                <w:tcPr>
                  <w:tcW w:w="844" w:type="pct"/>
                  <w:vAlign w:val="center"/>
                </w:tcPr>
                <w:p>
                  <w:pPr>
                    <w:snapToGrid w:val="0"/>
                    <w:spacing w:line="360" w:lineRule="exact"/>
                    <w:jc w:val="center"/>
                    <w:rPr>
                      <w:b/>
                      <w:bCs/>
                      <w:szCs w:val="21"/>
                      <w:u w:val="single"/>
                    </w:rPr>
                  </w:pPr>
                  <w:r>
                    <w:rPr>
                      <w:b/>
                      <w:bCs/>
                      <w:szCs w:val="21"/>
                      <w:u w:val="single"/>
                    </w:rPr>
                    <w:t>t/a</w:t>
                  </w:r>
                </w:p>
              </w:tc>
              <w:tc>
                <w:tcPr>
                  <w:tcW w:w="591" w:type="pct"/>
                  <w:vAlign w:val="center"/>
                </w:tcPr>
                <w:p>
                  <w:pPr>
                    <w:snapToGrid w:val="0"/>
                    <w:spacing w:line="360" w:lineRule="exact"/>
                    <w:jc w:val="center"/>
                    <w:rPr>
                      <w:b/>
                      <w:bCs/>
                      <w:szCs w:val="21"/>
                      <w:u w:val="single"/>
                    </w:rPr>
                  </w:pPr>
                  <w:r>
                    <w:rPr>
                      <w:rFonts w:hint="eastAsia"/>
                      <w:b/>
                      <w:bCs/>
                      <w:szCs w:val="21"/>
                      <w:u w:val="single"/>
                    </w:rPr>
                    <w:t>900</w:t>
                  </w:r>
                </w:p>
              </w:tc>
              <w:tc>
                <w:tcPr>
                  <w:tcW w:w="2134" w:type="pct"/>
                  <w:vAlign w:val="center"/>
                </w:tcPr>
                <w:p>
                  <w:pPr>
                    <w:snapToGrid w:val="0"/>
                    <w:spacing w:line="360" w:lineRule="exact"/>
                    <w:jc w:val="center"/>
                    <w:rPr>
                      <w:b/>
                      <w:bCs/>
                      <w:szCs w:val="21"/>
                      <w:highlight w:val="yellow"/>
                      <w:u w:val="single"/>
                    </w:rPr>
                  </w:pPr>
                  <w:r>
                    <w:rPr>
                      <w:rFonts w:hint="eastAsia"/>
                      <w:b/>
                      <w:bCs/>
                      <w:szCs w:val="21"/>
                      <w:u w:val="single"/>
                    </w:rPr>
                    <w:t>袋装，25kg/袋，粒径约为3mm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vAlign w:val="center"/>
                </w:tcPr>
                <w:p>
                  <w:pPr>
                    <w:snapToGrid w:val="0"/>
                    <w:spacing w:line="360" w:lineRule="exact"/>
                    <w:jc w:val="center"/>
                    <w:rPr>
                      <w:bCs/>
                      <w:szCs w:val="21"/>
                    </w:rPr>
                  </w:pPr>
                  <w:r>
                    <w:rPr>
                      <w:rFonts w:hint="eastAsia"/>
                      <w:bCs/>
                      <w:szCs w:val="21"/>
                    </w:rPr>
                    <w:t>3</w:t>
                  </w:r>
                </w:p>
              </w:tc>
              <w:tc>
                <w:tcPr>
                  <w:tcW w:w="1015" w:type="pct"/>
                  <w:vAlign w:val="center"/>
                </w:tcPr>
                <w:p>
                  <w:pPr>
                    <w:snapToGrid w:val="0"/>
                    <w:spacing w:line="360" w:lineRule="exact"/>
                    <w:jc w:val="center"/>
                    <w:rPr>
                      <w:b/>
                      <w:bCs/>
                      <w:szCs w:val="21"/>
                      <w:u w:val="single"/>
                    </w:rPr>
                  </w:pPr>
                  <w:r>
                    <w:rPr>
                      <w:rFonts w:hint="eastAsia"/>
                      <w:b/>
                      <w:bCs/>
                      <w:szCs w:val="21"/>
                      <w:u w:val="single"/>
                    </w:rPr>
                    <w:t>聚乙烯树脂</w:t>
                  </w:r>
                </w:p>
              </w:tc>
              <w:tc>
                <w:tcPr>
                  <w:tcW w:w="844" w:type="pct"/>
                  <w:vAlign w:val="center"/>
                </w:tcPr>
                <w:p>
                  <w:pPr>
                    <w:snapToGrid w:val="0"/>
                    <w:spacing w:line="360" w:lineRule="exact"/>
                    <w:jc w:val="center"/>
                    <w:rPr>
                      <w:b/>
                      <w:bCs/>
                      <w:szCs w:val="21"/>
                      <w:u w:val="single"/>
                    </w:rPr>
                  </w:pPr>
                  <w:r>
                    <w:rPr>
                      <w:b/>
                      <w:bCs/>
                      <w:szCs w:val="21"/>
                      <w:u w:val="single"/>
                    </w:rPr>
                    <w:t>t/a</w:t>
                  </w:r>
                </w:p>
              </w:tc>
              <w:tc>
                <w:tcPr>
                  <w:tcW w:w="591" w:type="pct"/>
                  <w:vAlign w:val="center"/>
                </w:tcPr>
                <w:p>
                  <w:pPr>
                    <w:snapToGrid w:val="0"/>
                    <w:spacing w:line="360" w:lineRule="exact"/>
                    <w:jc w:val="center"/>
                    <w:rPr>
                      <w:b/>
                      <w:bCs/>
                      <w:szCs w:val="21"/>
                      <w:u w:val="single"/>
                    </w:rPr>
                  </w:pPr>
                  <w:r>
                    <w:rPr>
                      <w:rFonts w:hint="eastAsia"/>
                      <w:b/>
                      <w:bCs/>
                      <w:szCs w:val="21"/>
                      <w:u w:val="single"/>
                    </w:rPr>
                    <w:t>100</w:t>
                  </w:r>
                </w:p>
              </w:tc>
              <w:tc>
                <w:tcPr>
                  <w:tcW w:w="2134" w:type="pct"/>
                  <w:vAlign w:val="center"/>
                </w:tcPr>
                <w:p>
                  <w:pPr>
                    <w:snapToGrid w:val="0"/>
                    <w:spacing w:line="360" w:lineRule="exact"/>
                    <w:jc w:val="center"/>
                    <w:rPr>
                      <w:b/>
                      <w:bCs/>
                      <w:szCs w:val="21"/>
                      <w:u w:val="single"/>
                    </w:rPr>
                  </w:pPr>
                  <w:r>
                    <w:rPr>
                      <w:rFonts w:hint="eastAsia"/>
                      <w:b/>
                      <w:bCs/>
                      <w:szCs w:val="21"/>
                      <w:u w:val="single"/>
                    </w:rPr>
                    <w:t>袋装，25kg/袋，粒径约为1mm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vAlign w:val="center"/>
                </w:tcPr>
                <w:p>
                  <w:pPr>
                    <w:snapToGrid w:val="0"/>
                    <w:spacing w:line="360" w:lineRule="exact"/>
                    <w:jc w:val="center"/>
                    <w:rPr>
                      <w:bCs/>
                      <w:szCs w:val="21"/>
                    </w:rPr>
                  </w:pPr>
                  <w:r>
                    <w:rPr>
                      <w:rFonts w:hint="eastAsia"/>
                      <w:bCs/>
                      <w:szCs w:val="21"/>
                    </w:rPr>
                    <w:t>4</w:t>
                  </w:r>
                </w:p>
              </w:tc>
              <w:tc>
                <w:tcPr>
                  <w:tcW w:w="1015" w:type="pct"/>
                  <w:vAlign w:val="center"/>
                </w:tcPr>
                <w:p>
                  <w:pPr>
                    <w:snapToGrid w:val="0"/>
                    <w:spacing w:line="360" w:lineRule="exact"/>
                    <w:jc w:val="center"/>
                    <w:rPr>
                      <w:bCs/>
                      <w:szCs w:val="21"/>
                    </w:rPr>
                  </w:pPr>
                  <w:r>
                    <w:rPr>
                      <w:rFonts w:hint="eastAsia"/>
                      <w:bCs/>
                      <w:szCs w:val="21"/>
                    </w:rPr>
                    <w:t>工业黄油</w:t>
                  </w:r>
                </w:p>
              </w:tc>
              <w:tc>
                <w:tcPr>
                  <w:tcW w:w="844" w:type="pct"/>
                  <w:vAlign w:val="center"/>
                </w:tcPr>
                <w:p>
                  <w:pPr>
                    <w:spacing w:line="360" w:lineRule="exact"/>
                    <w:jc w:val="center"/>
                    <w:rPr>
                      <w:bCs/>
                      <w:szCs w:val="21"/>
                    </w:rPr>
                  </w:pPr>
                  <w:r>
                    <w:rPr>
                      <w:bCs/>
                      <w:szCs w:val="21"/>
                    </w:rPr>
                    <w:t>t/a</w:t>
                  </w:r>
                </w:p>
              </w:tc>
              <w:tc>
                <w:tcPr>
                  <w:tcW w:w="591" w:type="pct"/>
                  <w:vAlign w:val="center"/>
                </w:tcPr>
                <w:p>
                  <w:pPr>
                    <w:spacing w:line="360" w:lineRule="exact"/>
                    <w:jc w:val="center"/>
                    <w:rPr>
                      <w:bCs/>
                      <w:szCs w:val="21"/>
                    </w:rPr>
                  </w:pPr>
                  <w:r>
                    <w:rPr>
                      <w:rFonts w:hint="eastAsia"/>
                      <w:bCs/>
                      <w:szCs w:val="21"/>
                    </w:rPr>
                    <w:t>0.03</w:t>
                  </w:r>
                </w:p>
              </w:tc>
              <w:tc>
                <w:tcPr>
                  <w:tcW w:w="2134" w:type="pct"/>
                  <w:vAlign w:val="center"/>
                </w:tcPr>
                <w:p>
                  <w:pPr>
                    <w:snapToGrid w:val="0"/>
                    <w:spacing w:line="360" w:lineRule="exact"/>
                    <w:jc w:val="center"/>
                    <w:rPr>
                      <w:bCs/>
                      <w:szCs w:val="21"/>
                      <w:highlight w:val="yellow"/>
                    </w:rPr>
                  </w:pPr>
                  <w:r>
                    <w:rPr>
                      <w:rFonts w:hint="eastAsia"/>
                      <w:bCs/>
                      <w:szCs w:val="21"/>
                    </w:rPr>
                    <w:t>用于设备维护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vAlign w:val="center"/>
                </w:tcPr>
                <w:p>
                  <w:pPr>
                    <w:snapToGrid w:val="0"/>
                    <w:spacing w:line="360" w:lineRule="exact"/>
                    <w:jc w:val="center"/>
                    <w:rPr>
                      <w:bCs/>
                      <w:szCs w:val="21"/>
                    </w:rPr>
                  </w:pPr>
                  <w:r>
                    <w:rPr>
                      <w:rFonts w:hint="eastAsia"/>
                      <w:bCs/>
                      <w:szCs w:val="21"/>
                    </w:rPr>
                    <w:t>5</w:t>
                  </w:r>
                </w:p>
              </w:tc>
              <w:tc>
                <w:tcPr>
                  <w:tcW w:w="1015" w:type="pct"/>
                  <w:vAlign w:val="center"/>
                </w:tcPr>
                <w:p>
                  <w:pPr>
                    <w:snapToGrid w:val="0"/>
                    <w:spacing w:line="360" w:lineRule="exact"/>
                    <w:jc w:val="center"/>
                    <w:rPr>
                      <w:bCs/>
                      <w:szCs w:val="21"/>
                    </w:rPr>
                  </w:pPr>
                  <w:r>
                    <w:rPr>
                      <w:rFonts w:hint="eastAsia"/>
                      <w:bCs/>
                      <w:szCs w:val="21"/>
                    </w:rPr>
                    <w:t>水</w:t>
                  </w:r>
                </w:p>
              </w:tc>
              <w:tc>
                <w:tcPr>
                  <w:tcW w:w="844" w:type="pct"/>
                  <w:vAlign w:val="center"/>
                </w:tcPr>
                <w:p>
                  <w:pPr>
                    <w:spacing w:line="360" w:lineRule="exact"/>
                    <w:jc w:val="center"/>
                    <w:rPr>
                      <w:bCs/>
                      <w:szCs w:val="21"/>
                    </w:rPr>
                  </w:pPr>
                  <w:r>
                    <w:rPr>
                      <w:rFonts w:hint="eastAsia"/>
                      <w:bCs/>
                      <w:szCs w:val="21"/>
                    </w:rPr>
                    <w:t>m</w:t>
                  </w:r>
                  <w:r>
                    <w:rPr>
                      <w:rFonts w:hint="eastAsia"/>
                      <w:bCs/>
                      <w:szCs w:val="21"/>
                      <w:vertAlign w:val="superscript"/>
                    </w:rPr>
                    <w:t>3</w:t>
                  </w:r>
                  <w:r>
                    <w:rPr>
                      <w:rFonts w:hint="eastAsia"/>
                      <w:bCs/>
                      <w:szCs w:val="21"/>
                    </w:rPr>
                    <w:t>/a</w:t>
                  </w:r>
                </w:p>
              </w:tc>
              <w:tc>
                <w:tcPr>
                  <w:tcW w:w="591" w:type="pct"/>
                  <w:vAlign w:val="center"/>
                </w:tcPr>
                <w:p>
                  <w:pPr>
                    <w:spacing w:line="360" w:lineRule="exact"/>
                    <w:jc w:val="center"/>
                    <w:rPr>
                      <w:bCs/>
                      <w:szCs w:val="21"/>
                    </w:rPr>
                  </w:pPr>
                  <w:r>
                    <w:rPr>
                      <w:rFonts w:hint="eastAsia"/>
                      <w:bCs/>
                      <w:szCs w:val="21"/>
                    </w:rPr>
                    <w:t>120</w:t>
                  </w:r>
                </w:p>
              </w:tc>
              <w:tc>
                <w:tcPr>
                  <w:tcW w:w="2134" w:type="pct"/>
                  <w:vMerge w:val="restart"/>
                  <w:vAlign w:val="center"/>
                </w:tcPr>
                <w:p>
                  <w:pPr>
                    <w:snapToGrid w:val="0"/>
                    <w:spacing w:line="360" w:lineRule="exact"/>
                    <w:jc w:val="center"/>
                    <w:rPr>
                      <w:bCs/>
                      <w:szCs w:val="21"/>
                      <w:highlight w:val="yellow"/>
                    </w:rPr>
                  </w:pPr>
                  <w:r>
                    <w:rPr>
                      <w:rFonts w:hint="eastAsia"/>
                      <w:bCs/>
                      <w:szCs w:val="21"/>
                    </w:rPr>
                    <w:t>由集聚区供水、供电系统供给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17" w:type="pct"/>
                  <w:vAlign w:val="center"/>
                </w:tcPr>
                <w:p>
                  <w:pPr>
                    <w:snapToGrid w:val="0"/>
                    <w:spacing w:line="360" w:lineRule="exact"/>
                    <w:jc w:val="center"/>
                    <w:rPr>
                      <w:bCs/>
                      <w:szCs w:val="21"/>
                    </w:rPr>
                  </w:pPr>
                  <w:r>
                    <w:rPr>
                      <w:rFonts w:hint="eastAsia"/>
                      <w:bCs/>
                      <w:szCs w:val="21"/>
                    </w:rPr>
                    <w:t>6</w:t>
                  </w:r>
                </w:p>
              </w:tc>
              <w:tc>
                <w:tcPr>
                  <w:tcW w:w="1015" w:type="pct"/>
                  <w:vAlign w:val="center"/>
                </w:tcPr>
                <w:p>
                  <w:pPr>
                    <w:spacing w:line="360" w:lineRule="exact"/>
                    <w:jc w:val="center"/>
                    <w:rPr>
                      <w:bCs/>
                      <w:szCs w:val="21"/>
                    </w:rPr>
                  </w:pPr>
                  <w:r>
                    <w:rPr>
                      <w:rFonts w:hint="eastAsia"/>
                      <w:bCs/>
                      <w:szCs w:val="21"/>
                    </w:rPr>
                    <w:t>电</w:t>
                  </w:r>
                </w:p>
              </w:tc>
              <w:tc>
                <w:tcPr>
                  <w:tcW w:w="844" w:type="pct"/>
                  <w:vAlign w:val="center"/>
                </w:tcPr>
                <w:p>
                  <w:pPr>
                    <w:spacing w:line="360" w:lineRule="exact"/>
                    <w:jc w:val="center"/>
                    <w:rPr>
                      <w:bCs/>
                      <w:szCs w:val="21"/>
                    </w:rPr>
                  </w:pPr>
                  <w:r>
                    <w:rPr>
                      <w:rFonts w:hint="eastAsia"/>
                      <w:bCs/>
                      <w:szCs w:val="21"/>
                    </w:rPr>
                    <w:t>万</w:t>
                  </w:r>
                  <w:r>
                    <w:rPr>
                      <w:szCs w:val="21"/>
                    </w:rPr>
                    <w:t>kW·h/a</w:t>
                  </w:r>
                </w:p>
              </w:tc>
              <w:tc>
                <w:tcPr>
                  <w:tcW w:w="591" w:type="pct"/>
                  <w:vAlign w:val="center"/>
                </w:tcPr>
                <w:p>
                  <w:pPr>
                    <w:spacing w:line="360" w:lineRule="exact"/>
                    <w:jc w:val="center"/>
                    <w:rPr>
                      <w:bCs/>
                      <w:szCs w:val="21"/>
                    </w:rPr>
                  </w:pPr>
                  <w:r>
                    <w:rPr>
                      <w:rFonts w:hint="eastAsia"/>
                      <w:bCs/>
                      <w:szCs w:val="21"/>
                    </w:rPr>
                    <w:t>30.0</w:t>
                  </w:r>
                </w:p>
              </w:tc>
              <w:tc>
                <w:tcPr>
                  <w:tcW w:w="2134" w:type="pct"/>
                  <w:vMerge w:val="continue"/>
                  <w:vAlign w:val="center"/>
                </w:tcPr>
                <w:p>
                  <w:pPr>
                    <w:snapToGrid w:val="0"/>
                    <w:spacing w:line="360" w:lineRule="exact"/>
                    <w:jc w:val="center"/>
                    <w:rPr>
                      <w:bCs/>
                      <w:szCs w:val="21"/>
                      <w:highlight w:val="yellow"/>
                    </w:rPr>
                  </w:pPr>
                </w:p>
              </w:tc>
            </w:tr>
          </w:tbl>
          <w:p>
            <w:pPr>
              <w:spacing w:line="520" w:lineRule="exact"/>
              <w:ind w:firstLine="482" w:firstLineChars="200"/>
              <w:rPr>
                <w:b/>
                <w:sz w:val="24"/>
                <w:u w:val="single"/>
              </w:rPr>
            </w:pPr>
            <w:r>
              <w:rPr>
                <w:b/>
                <w:sz w:val="24"/>
                <w:u w:val="single"/>
              </w:rPr>
              <w:t>聚乙烯：简称PE，是乙烯经聚合制得的一种热塑性树脂，乳白色颗粒，熔点范围为132-135</w:t>
            </w:r>
            <w:r>
              <w:rPr>
                <w:rFonts w:ascii="宋体"/>
                <w:b/>
                <w:sz w:val="24"/>
                <w:u w:val="single"/>
              </w:rPr>
              <w:t>℃</w:t>
            </w:r>
            <w:r>
              <w:rPr>
                <w:b/>
                <w:sz w:val="24"/>
                <w:u w:val="single"/>
              </w:rPr>
              <w:t>，密度0.95g/cm</w:t>
            </w:r>
            <w:r>
              <w:rPr>
                <w:b/>
                <w:sz w:val="24"/>
                <w:u w:val="single"/>
                <w:vertAlign w:val="superscript"/>
              </w:rPr>
              <w:t>3</w:t>
            </w:r>
            <w:r>
              <w:rPr>
                <w:b/>
                <w:sz w:val="24"/>
                <w:u w:val="single"/>
              </w:rPr>
              <w:t>。聚乙烯无臭，无毒，手感似蜡，具有优良的耐低温性能（最低使用温度可达-100~-70°C），化学稳定性好，能耐大多数酸碱的侵蚀（不耐具有氧化性质的酸）。常温下不溶于一般溶剂，吸水性小，电绝缘性优良。</w:t>
            </w:r>
          </w:p>
          <w:p>
            <w:pPr>
              <w:tabs>
                <w:tab w:val="left" w:pos="3780"/>
              </w:tabs>
              <w:spacing w:line="500" w:lineRule="exact"/>
              <w:ind w:firstLine="480" w:firstLineChars="200"/>
              <w:rPr>
                <w:sz w:val="24"/>
              </w:rPr>
            </w:pPr>
            <w:r>
              <w:rPr>
                <w:sz w:val="24"/>
              </w:rPr>
              <w:t>聚丙烯：简称PP，是由丙烯聚合制得的一种热塑性树脂，半透明无色固体，无臭无毒，结构规整而高度结晶化，熔点范围164~170</w:t>
            </w:r>
            <w:r>
              <w:rPr>
                <w:rFonts w:ascii="宋体"/>
                <w:sz w:val="24"/>
              </w:rPr>
              <w:t>℃</w:t>
            </w:r>
            <w:r>
              <w:rPr>
                <w:sz w:val="24"/>
              </w:rPr>
              <w:t>，密度0.92g/cm</w:t>
            </w:r>
            <w:r>
              <w:rPr>
                <w:sz w:val="24"/>
                <w:vertAlign w:val="superscript"/>
              </w:rPr>
              <w:t>3</w:t>
            </w:r>
            <w:r>
              <w:rPr>
                <w:sz w:val="24"/>
              </w:rPr>
              <w:t>，热分解温度大于250</w:t>
            </w:r>
            <w:r>
              <w:rPr>
                <w:rFonts w:ascii="宋体"/>
                <w:sz w:val="24"/>
              </w:rPr>
              <w:t>℃</w:t>
            </w:r>
            <w:r>
              <w:rPr>
                <w:sz w:val="24"/>
              </w:rPr>
              <w:t>，具有良好的电性能和高频绝缘性不受湿度影响，低温时变脆、不耐磨、易老化。</w:t>
            </w:r>
          </w:p>
          <w:p>
            <w:pPr>
              <w:pStyle w:val="91"/>
              <w:rPr>
                <w:color w:val="auto"/>
              </w:rPr>
            </w:pPr>
            <w:r>
              <w:rPr>
                <w:color w:val="auto"/>
              </w:rPr>
              <w:t>8. 用地及规划</w:t>
            </w:r>
          </w:p>
          <w:p>
            <w:pPr>
              <w:pStyle w:val="51"/>
              <w:ind w:firstLine="480"/>
            </w:pPr>
            <w:r>
              <w:rPr>
                <w:rFonts w:hint="eastAsia"/>
                <w:bCs/>
              </w:rPr>
              <w:t>本项目</w:t>
            </w:r>
            <w:r>
              <w:rPr>
                <w:bCs/>
              </w:rPr>
              <w:t>位于偃师市产业集聚区南园，</w:t>
            </w:r>
            <w:r>
              <w:t>根据偃师市人民政府出具的土地证（偃国用（2013）第130108号）（附件</w:t>
            </w:r>
            <w:r>
              <w:rPr>
                <w:rFonts w:hint="eastAsia"/>
              </w:rPr>
              <w:t>5</w:t>
            </w:r>
            <w:r>
              <w:t>），用地性质为工业用地，同时</w:t>
            </w:r>
            <w:r>
              <w:rPr>
                <w:bCs/>
              </w:rPr>
              <w:t>根据《偃师市产业集聚区发展规划（2013-2020年）用地规划图（调整后）》，项目厂址所在地规划为工业用地；根据《偃师市产业集聚区发展规划（2013-2020年）产业布局规划图》，所在区域属于机械加工区，</w:t>
            </w:r>
            <w:r>
              <w:rPr>
                <w:rFonts w:hint="eastAsia"/>
                <w:bCs/>
              </w:rPr>
              <w:t>本项目</w:t>
            </w:r>
            <w:r>
              <w:rPr>
                <w:bCs/>
              </w:rPr>
              <w:t>属于</w:t>
            </w:r>
            <w:r>
              <w:rPr>
                <w:rFonts w:hint="eastAsia"/>
              </w:rPr>
              <w:t>塑料制品</w:t>
            </w:r>
            <w:r>
              <w:rPr>
                <w:bCs/>
              </w:rPr>
              <w:t>项目，不属于产业集聚区鼓励行业、也不属于限制类和禁止类，属于允许类。</w:t>
            </w:r>
          </w:p>
          <w:p>
            <w:pPr>
              <w:pStyle w:val="99"/>
              <w:ind w:firstLine="480"/>
            </w:pPr>
            <w:r>
              <w:rPr>
                <w:rFonts w:hint="eastAsia"/>
              </w:rPr>
              <w:t>根据洛阳市偃师区岳滩镇人民政府出具的入驻证明（见附件7），本项目位于偃师区岳滩镇，符合相关产业政策，符合偃师区岳滩镇发展规划，原则上同意该项目入驻我辖区。</w:t>
            </w:r>
          </w:p>
          <w:p>
            <w:pPr>
              <w:pStyle w:val="91"/>
              <w:rPr>
                <w:color w:val="auto"/>
              </w:rPr>
            </w:pPr>
            <w:r>
              <w:rPr>
                <w:rFonts w:hint="eastAsia"/>
                <w:color w:val="auto"/>
              </w:rPr>
              <w:t>9</w:t>
            </w:r>
            <w:r>
              <w:rPr>
                <w:color w:val="auto"/>
              </w:rPr>
              <w:t>. 劳动定员与工作制度</w:t>
            </w:r>
          </w:p>
          <w:p>
            <w:pPr>
              <w:pStyle w:val="51"/>
              <w:ind w:firstLine="480"/>
            </w:pPr>
            <w:r>
              <w:t>本项目劳动定员</w:t>
            </w:r>
            <w:r>
              <w:rPr>
                <w:rFonts w:hint="eastAsia"/>
              </w:rPr>
              <w:t>10</w:t>
            </w:r>
            <w:r>
              <w:t>人，员工为附近村民，就近回家食宿，</w:t>
            </w:r>
            <w:r>
              <w:rPr>
                <w:rFonts w:hint="eastAsia"/>
              </w:rPr>
              <w:t>每天1班，仅昼间工作8h（8:00~12:00，14:00~18:00），</w:t>
            </w:r>
            <w:r>
              <w:t>年工作300天。</w:t>
            </w:r>
          </w:p>
          <w:p>
            <w:pPr>
              <w:pStyle w:val="91"/>
              <w:rPr>
                <w:color w:val="auto"/>
              </w:rPr>
            </w:pPr>
            <w:r>
              <w:rPr>
                <w:color w:val="auto"/>
              </w:rPr>
              <w:t>10. 建设周期及厂区现状</w:t>
            </w:r>
          </w:p>
          <w:p>
            <w:pPr>
              <w:pStyle w:val="51"/>
              <w:ind w:firstLine="480"/>
            </w:pPr>
            <w:r>
              <w:t>本项目</w:t>
            </w:r>
            <w:r>
              <w:rPr>
                <w:rFonts w:hint="eastAsia"/>
              </w:rPr>
              <w:t>利用车间闲置区域进行建设，</w:t>
            </w:r>
            <w:r>
              <w:t>现场勘查时，</w:t>
            </w:r>
            <w:r>
              <w:rPr>
                <w:rFonts w:hint="eastAsia"/>
              </w:rPr>
              <w:t>项目</w:t>
            </w:r>
            <w:r>
              <w:t>生产设备</w:t>
            </w:r>
            <w:r>
              <w:rPr>
                <w:rFonts w:hint="eastAsia"/>
              </w:rPr>
              <w:t>尚</w:t>
            </w:r>
            <w:r>
              <w:t>未入驻。</w:t>
            </w:r>
          </w:p>
          <w:p>
            <w:pPr>
              <w:pStyle w:val="51"/>
              <w:ind w:firstLine="480"/>
            </w:pPr>
            <w:r>
              <w:t>本项目建设周期为2023年</w:t>
            </w:r>
            <w:r>
              <w:rPr>
                <w:rFonts w:hint="eastAsia"/>
              </w:rPr>
              <w:t>5</w:t>
            </w:r>
            <w:r>
              <w:t>月到2023年</w:t>
            </w:r>
            <w:r>
              <w:rPr>
                <w:rFonts w:hint="eastAsia"/>
              </w:rPr>
              <w:t>6</w:t>
            </w:r>
            <w:r>
              <w:t>月。</w:t>
            </w:r>
          </w:p>
          <w:p>
            <w:pPr>
              <w:pStyle w:val="91"/>
              <w:rPr>
                <w:color w:val="auto"/>
              </w:rPr>
            </w:pPr>
            <w:r>
              <w:rPr>
                <w:rFonts w:hint="eastAsia"/>
                <w:color w:val="auto"/>
              </w:rPr>
              <w:t>11</w:t>
            </w:r>
            <w:r>
              <w:rPr>
                <w:color w:val="auto"/>
              </w:rPr>
              <w:t>. 平面布局</w:t>
            </w:r>
          </w:p>
          <w:p>
            <w:pPr>
              <w:pStyle w:val="51"/>
              <w:ind w:firstLine="480"/>
            </w:pPr>
            <w:r>
              <w:rPr>
                <w:rFonts w:hint="eastAsia"/>
              </w:rPr>
              <w:t>本</w:t>
            </w:r>
            <w:r>
              <w:t>项</w:t>
            </w:r>
            <w:r>
              <w:rPr>
                <w:rFonts w:hint="eastAsia"/>
              </w:rPr>
              <w:t xml:space="preserve">目厂区出入口位于厂区北侧，本项目位于车间西侧和南侧各一个，项目区西侧为原料区和成品区，东侧为生产区，项目办公室位于项目区南侧，生产车间和办公室相互独立，互不影响，平面布置较为合理。 </w:t>
            </w:r>
          </w:p>
          <w:p>
            <w:pPr>
              <w:pStyle w:val="91"/>
              <w:rPr>
                <w:color w:val="auto"/>
              </w:rPr>
            </w:pPr>
            <w:r>
              <w:rPr>
                <w:rFonts w:hint="eastAsia"/>
                <w:color w:val="auto"/>
              </w:rPr>
              <w:t>12</w:t>
            </w:r>
            <w:r>
              <w:rPr>
                <w:color w:val="auto"/>
              </w:rPr>
              <w:t>. 公用工程及辅助工程</w:t>
            </w:r>
          </w:p>
          <w:p>
            <w:pPr>
              <w:spacing w:line="520" w:lineRule="exact"/>
              <w:ind w:firstLine="480" w:firstLineChars="200"/>
              <w:rPr>
                <w:sz w:val="24"/>
              </w:rPr>
            </w:pPr>
            <w:r>
              <w:rPr>
                <w:sz w:val="24"/>
              </w:rPr>
              <w:t>（1）供水</w:t>
            </w:r>
          </w:p>
          <w:p>
            <w:pPr>
              <w:spacing w:line="520" w:lineRule="exact"/>
              <w:ind w:firstLine="480" w:firstLineChars="200"/>
              <w:rPr>
                <w:sz w:val="24"/>
              </w:rPr>
            </w:pPr>
            <w:r>
              <w:rPr>
                <w:sz w:val="24"/>
              </w:rPr>
              <w:t>项目建成后，用水依托</w:t>
            </w:r>
            <w:r>
              <w:rPr>
                <w:rFonts w:hint="eastAsia"/>
                <w:sz w:val="24"/>
              </w:rPr>
              <w:t>偃师市产业集聚区供水管网供水</w:t>
            </w:r>
            <w:r>
              <w:rPr>
                <w:sz w:val="24"/>
              </w:rPr>
              <w:t>系统。</w:t>
            </w:r>
          </w:p>
          <w:p>
            <w:pPr>
              <w:spacing w:line="520" w:lineRule="exact"/>
              <w:ind w:firstLine="480" w:firstLineChars="200"/>
              <w:rPr>
                <w:sz w:val="24"/>
              </w:rPr>
            </w:pPr>
            <w:r>
              <w:rPr>
                <w:sz w:val="24"/>
              </w:rPr>
              <w:t>（2）供电</w:t>
            </w:r>
          </w:p>
          <w:p>
            <w:pPr>
              <w:spacing w:line="520" w:lineRule="exact"/>
              <w:ind w:firstLine="480" w:firstLineChars="200"/>
              <w:rPr>
                <w:sz w:val="24"/>
              </w:rPr>
            </w:pPr>
            <w:r>
              <w:rPr>
                <w:sz w:val="24"/>
              </w:rPr>
              <w:t>项目建成后，用</w:t>
            </w:r>
            <w:r>
              <w:rPr>
                <w:rFonts w:hint="eastAsia"/>
                <w:sz w:val="24"/>
              </w:rPr>
              <w:t>电</w:t>
            </w:r>
            <w:r>
              <w:rPr>
                <w:sz w:val="24"/>
              </w:rPr>
              <w:t>依托</w:t>
            </w:r>
            <w:r>
              <w:rPr>
                <w:rFonts w:hint="eastAsia"/>
                <w:sz w:val="24"/>
              </w:rPr>
              <w:t>偃师市产业集聚区电网供电</w:t>
            </w:r>
            <w:r>
              <w:rPr>
                <w:sz w:val="24"/>
              </w:rPr>
              <w:t>。</w:t>
            </w:r>
          </w:p>
          <w:p>
            <w:pPr>
              <w:spacing w:line="520" w:lineRule="exact"/>
              <w:ind w:firstLine="480" w:firstLineChars="200"/>
              <w:rPr>
                <w:sz w:val="24"/>
              </w:rPr>
            </w:pPr>
            <w:r>
              <w:rPr>
                <w:sz w:val="24"/>
              </w:rPr>
              <w:t>（3）排水</w:t>
            </w:r>
          </w:p>
          <w:p>
            <w:pPr>
              <w:autoSpaceDE w:val="0"/>
              <w:autoSpaceDN w:val="0"/>
              <w:adjustRightInd w:val="0"/>
              <w:spacing w:line="520" w:lineRule="exact"/>
              <w:ind w:firstLine="480" w:firstLineChars="200"/>
              <w:rPr>
                <w:bCs/>
                <w:sz w:val="24"/>
              </w:rPr>
            </w:pPr>
            <w:r>
              <w:rPr>
                <w:rFonts w:hint="eastAsia"/>
                <w:bCs/>
                <w:sz w:val="24"/>
              </w:rPr>
              <w:t>本项目生活污水经厂区现有化粪池处理后通过市政管网排入偃师市第三污水处理厂。</w:t>
            </w:r>
          </w:p>
          <w:p>
            <w:pPr>
              <w:spacing w:afterLines="50" w:line="520" w:lineRule="exact"/>
              <w:rPr>
                <w:rFonts w:eastAsia="黑体"/>
                <w:sz w:val="24"/>
              </w:rPr>
            </w:pPr>
            <w:r>
              <w:rPr>
                <w:rFonts w:eastAsia="黑体"/>
                <w:sz w:val="24"/>
              </w:rPr>
              <w:pict>
                <v:shape id="_x0000_s1068" o:spid="_x0000_s1068" o:spt="75" type="#_x0000_t75" style="position:absolute;left:0pt;margin-left:-5.15pt;margin-top:30.7pt;height:76.45pt;width:432.1pt;mso-wrap-distance-left:9pt;mso-wrap-distance-right:9pt;z-index:251660288;mso-width-relative:page;mso-height-relative:page;" o:ole="t" filled="f" o:preferrelative="t" stroked="f" coordsize="21600,21600" wrapcoords="394 418 394 16514 5516 16583 5803 17141 5803 17175 11391 17698 10460 18255 10066 18813 9313 19370 6090 19440 2579 19719 2579 19928 430 20381 466 20450 5516 20520 5767 21043 5803 21461 12716 21461 12788 19475 12501 19440 9564 19370 10245 18813 12537 18813 12573 18360 11893 18255 12645 18012 12537 17698 12681 17489 10030 17141 10101 15852 9922 15782 8454 15468 9242 15468 11140 15085 11104 14911 11319 14354 11391 13831 10961 13796 537 13796 537 13239 10101 13134 10030 12681 13970 12681 15475 12542 15439 4877 17910 4877 20633 4599 20597 4320 21099 4111 21027 4041 20167 3763 21027 3693 21027 3310 20275 3205 20310 2961 10066 2683 13110 2648 13218 2160 12537 2090 13290 1846 13182 1533 13325 1324 12609 1254 3618 975 3725 662 3296 592 537 418 394 418">
                  <v:path/>
                  <v:fill on="f" focussize="0,0"/>
                  <v:stroke on="f" joinstyle="miter"/>
                  <v:imagedata r:id="rId9" o:title=""/>
                  <o:lock v:ext="edit" aspectratio="t"/>
                  <w10:wrap type="tight"/>
                </v:shape>
                <o:OLEObject Type="Embed" ProgID="Visio.Drawing.11" ShapeID="_x0000_s1068" DrawAspect="Content" ObjectID="_1468075725" r:id="rId8">
                  <o:LockedField>false</o:LockedField>
                </o:OLEObject>
              </w:pict>
            </w:r>
            <w:r>
              <w:rPr>
                <w:rFonts w:eastAsia="黑体"/>
                <w:sz w:val="24"/>
              </w:rPr>
              <w:t>水平衡图</w:t>
            </w:r>
          </w:p>
          <w:p>
            <w:pPr>
              <w:spacing w:afterLines="50" w:line="520" w:lineRule="exact"/>
              <w:rPr>
                <w:rFonts w:eastAsia="黑体"/>
                <w:sz w:val="24"/>
              </w:rPr>
            </w:pPr>
          </w:p>
          <w:p>
            <w:pPr>
              <w:spacing w:afterLines="50" w:line="520" w:lineRule="exact"/>
              <w:rPr>
                <w:rFonts w:eastAsia="黑体"/>
                <w:sz w:val="24"/>
              </w:rPr>
            </w:pPr>
          </w:p>
          <w:p>
            <w:pPr>
              <w:spacing w:afterLines="50" w:line="520" w:lineRule="exact"/>
              <w:jc w:val="center"/>
              <w:rPr>
                <w:rFonts w:eastAsia="黑体"/>
                <w:sz w:val="24"/>
              </w:rPr>
            </w:pPr>
            <w:r>
              <w:rPr>
                <w:rFonts w:eastAsia="黑体"/>
                <w:sz w:val="24"/>
              </w:rPr>
              <w:t>图1             项目水平衡图               单位：m</w:t>
            </w:r>
            <w:r>
              <w:rPr>
                <w:rFonts w:eastAsia="黑体"/>
                <w:sz w:val="24"/>
                <w:vertAlign w:val="superscript"/>
              </w:rPr>
              <w:t>3</w:t>
            </w:r>
            <w:r>
              <w:rPr>
                <w:rFonts w:eastAsia="黑体"/>
                <w:sz w:val="24"/>
              </w:rPr>
              <w:t>/d</w:t>
            </w:r>
          </w:p>
          <w:p>
            <w:pPr>
              <w:spacing w:afterLines="50" w:line="520" w:lineRule="exact"/>
              <w:jc w:val="center"/>
              <w:rPr>
                <w:rFonts w:eastAsia="黑体"/>
                <w:sz w:val="24"/>
              </w:rPr>
            </w:pPr>
          </w:p>
          <w:p>
            <w:pPr>
              <w:spacing w:afterLines="50" w:line="520" w:lineRule="exact"/>
              <w:jc w:val="center"/>
              <w:rPr>
                <w:rFonts w:eastAsia="黑体"/>
                <w:sz w:val="24"/>
              </w:rPr>
            </w:pPr>
          </w:p>
          <w:p>
            <w:pPr>
              <w:spacing w:afterLines="50" w:line="520" w:lineRule="exact"/>
              <w:jc w:val="center"/>
              <w:rPr>
                <w:rFonts w:eastAsia="黑体"/>
                <w:sz w:val="24"/>
              </w:rPr>
            </w:pPr>
          </w:p>
          <w:p>
            <w:pPr>
              <w:spacing w:afterLines="50" w:line="520" w:lineRule="exact"/>
              <w:jc w:val="center"/>
              <w:rPr>
                <w:rFonts w:eastAsia="黑体"/>
                <w:sz w:val="24"/>
              </w:rPr>
            </w:pPr>
          </w:p>
          <w:p>
            <w:pPr>
              <w:spacing w:afterLines="50" w:line="520" w:lineRule="exact"/>
              <w:jc w:val="center"/>
              <w:rPr>
                <w:rFonts w:eastAsia="黑体"/>
                <w:sz w:val="24"/>
              </w:rPr>
            </w:pPr>
          </w:p>
          <w:p>
            <w:pPr>
              <w:spacing w:afterLines="50" w:line="520" w:lineRule="exact"/>
              <w:jc w:val="center"/>
              <w:rPr>
                <w:rFonts w:eastAsia="黑体"/>
                <w:sz w:val="24"/>
              </w:rPr>
            </w:pPr>
          </w:p>
          <w:p>
            <w:pPr>
              <w:spacing w:afterLines="50" w:line="5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8" w:hRule="atLeast"/>
          <w:jc w:val="center"/>
        </w:trPr>
        <w:tc>
          <w:tcPr>
            <w:tcW w:w="420" w:type="dxa"/>
            <w:vAlign w:val="center"/>
          </w:tcPr>
          <w:p>
            <w:pPr>
              <w:pStyle w:val="19"/>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640" w:type="dxa"/>
          </w:tcPr>
          <w:p>
            <w:pPr>
              <w:pStyle w:val="113"/>
              <w:spacing w:beforeLines="0" w:afterLines="0" w:line="520" w:lineRule="exact"/>
              <w:ind w:firstLine="0" w:firstLineChars="0"/>
              <w:rPr>
                <w:szCs w:val="24"/>
              </w:rPr>
            </w:pPr>
            <w:r>
              <w:pict>
                <v:rect id="_x0000_s1135" o:spid="_x0000_s1135" o:spt="1" style="position:absolute;left:0pt;margin-left:277pt;margin-top:17.25pt;height:15pt;width:16.2pt;z-index:251661312;mso-width-relative:page;mso-height-relative:page;" stroked="f" coordsize="21600,21600">
                  <v:path/>
                  <v:fill focussize="0,0"/>
                  <v:stroke on="f"/>
                  <v:imagedata o:title=""/>
                  <o:lock v:ext="edit"/>
                </v:rect>
              </w:pict>
            </w:r>
            <w:r>
              <w:rPr>
                <w:rFonts w:hint="eastAsia"/>
                <w:szCs w:val="24"/>
              </w:rPr>
              <w:t>1、生产工艺流程</w:t>
            </w:r>
          </w:p>
          <w:p>
            <w:pPr>
              <w:pStyle w:val="113"/>
              <w:spacing w:beforeLines="0" w:afterLines="0" w:line="520" w:lineRule="exact"/>
              <w:ind w:firstLine="0" w:firstLineChars="0"/>
              <w:rPr>
                <w:szCs w:val="24"/>
              </w:rPr>
            </w:pPr>
            <w:r>
              <w:pict>
                <v:shape id="_x0000_s1136" o:spid="_x0000_s1136" o:spt="75" type="#_x0000_t75" style="position:absolute;left:0pt;margin-left:61.45pt;margin-top:28.25pt;height:241.7pt;width:313.2pt;mso-position-vertical-relative:page;z-index:251662336;mso-width-relative:page;mso-height-relative:page;" o:ole="t" filled="f" o:preferrelative="t" stroked="f" coordsize="21600,21600">
                  <v:path/>
                  <v:fill on="f" focussize="0,0"/>
                  <v:stroke on="f" joinstyle="miter"/>
                  <v:imagedata r:id="rId11" o:title=""/>
                  <o:lock v:ext="edit" aspectratio="t"/>
                </v:shape>
                <o:OLEObject Type="Embed" ProgID="Visio.Drawing.11" ShapeID="_x0000_s1136" DrawAspect="Content" ObjectID="_1468075726" r:id="rId10">
                  <o:LockedField>false</o:LockedField>
                </o:OLEObject>
              </w:pict>
            </w:r>
          </w:p>
          <w:p>
            <w:pPr>
              <w:pStyle w:val="113"/>
              <w:spacing w:beforeLines="0" w:afterLines="0" w:line="520" w:lineRule="exact"/>
              <w:ind w:firstLine="0" w:firstLineChars="0"/>
              <w:rPr>
                <w:szCs w:val="24"/>
              </w:rPr>
            </w:pPr>
          </w:p>
          <w:p>
            <w:pPr>
              <w:pStyle w:val="113"/>
              <w:spacing w:beforeLines="0" w:afterLines="0" w:line="520" w:lineRule="exact"/>
              <w:ind w:firstLine="0" w:firstLineChars="0"/>
              <w:rPr>
                <w:szCs w:val="24"/>
              </w:rPr>
            </w:pPr>
          </w:p>
          <w:p>
            <w:pPr>
              <w:pStyle w:val="113"/>
              <w:spacing w:beforeLines="0" w:afterLines="0" w:line="520" w:lineRule="exact"/>
              <w:ind w:firstLine="0" w:firstLineChars="0"/>
              <w:rPr>
                <w:szCs w:val="24"/>
              </w:rPr>
            </w:pPr>
          </w:p>
          <w:p>
            <w:pPr>
              <w:pStyle w:val="113"/>
              <w:spacing w:beforeLines="0" w:afterLines="0" w:line="520" w:lineRule="exact"/>
              <w:ind w:firstLine="0" w:firstLineChars="0"/>
              <w:rPr>
                <w:szCs w:val="24"/>
              </w:rPr>
            </w:pPr>
          </w:p>
          <w:p>
            <w:pPr>
              <w:pStyle w:val="113"/>
              <w:spacing w:beforeLines="0" w:afterLines="0" w:line="520" w:lineRule="exact"/>
              <w:ind w:firstLine="0" w:firstLineChars="0"/>
              <w:rPr>
                <w:szCs w:val="24"/>
              </w:rPr>
            </w:pPr>
          </w:p>
          <w:p>
            <w:pPr>
              <w:pStyle w:val="113"/>
              <w:spacing w:beforeLines="0" w:afterLines="0" w:line="520" w:lineRule="exact"/>
              <w:ind w:firstLine="0" w:firstLineChars="0"/>
              <w:rPr>
                <w:szCs w:val="24"/>
              </w:rPr>
            </w:pPr>
          </w:p>
          <w:p>
            <w:pPr>
              <w:pStyle w:val="113"/>
              <w:spacing w:beforeLines="0" w:afterLines="0" w:line="520" w:lineRule="exact"/>
              <w:ind w:firstLine="0" w:firstLineChars="0"/>
              <w:rPr>
                <w:szCs w:val="24"/>
              </w:rPr>
            </w:pPr>
          </w:p>
          <w:p>
            <w:pPr>
              <w:pStyle w:val="113"/>
              <w:spacing w:beforeLines="0" w:afterLines="0" w:line="520" w:lineRule="exact"/>
              <w:ind w:firstLine="0" w:firstLineChars="0"/>
              <w:rPr>
                <w:szCs w:val="24"/>
              </w:rPr>
            </w:pPr>
          </w:p>
          <w:p>
            <w:pPr>
              <w:spacing w:line="520" w:lineRule="exact"/>
              <w:jc w:val="center"/>
              <w:rPr>
                <w:sz w:val="24"/>
              </w:rPr>
            </w:pPr>
            <w:r>
              <w:rPr>
                <w:rFonts w:hint="eastAsia"/>
                <w:sz w:val="24"/>
              </w:rPr>
              <w:t>图2   生产工艺流程及产污节点图</w:t>
            </w:r>
          </w:p>
          <w:p>
            <w:pPr>
              <w:spacing w:line="520" w:lineRule="exact"/>
              <w:ind w:firstLine="482" w:firstLineChars="200"/>
              <w:jc w:val="left"/>
              <w:rPr>
                <w:b/>
                <w:sz w:val="24"/>
                <w:u w:val="single"/>
              </w:rPr>
            </w:pPr>
            <w:r>
              <w:rPr>
                <w:rFonts w:hint="eastAsia"/>
                <w:b/>
                <w:sz w:val="24"/>
                <w:u w:val="single"/>
              </w:rPr>
              <w:t>（1）搅拌</w:t>
            </w:r>
          </w:p>
          <w:p>
            <w:pPr>
              <w:pStyle w:val="51"/>
              <w:ind w:firstLine="482"/>
              <w:rPr>
                <w:b/>
                <w:u w:val="single"/>
              </w:rPr>
            </w:pPr>
            <w:r>
              <w:rPr>
                <w:b/>
                <w:u w:val="single"/>
              </w:rPr>
              <w:t>本项目原料主要为</w:t>
            </w:r>
            <w:r>
              <w:rPr>
                <w:rFonts w:hint="eastAsia"/>
                <w:b/>
                <w:u w:val="single"/>
              </w:rPr>
              <w:t>聚乙烯颗粒和</w:t>
            </w:r>
            <w:r>
              <w:rPr>
                <w:b/>
                <w:u w:val="single"/>
              </w:rPr>
              <w:t>聚丙烯颗粒，</w:t>
            </w:r>
            <w:r>
              <w:rPr>
                <w:rFonts w:hint="eastAsia"/>
                <w:b/>
                <w:u w:val="single"/>
              </w:rPr>
              <w:t>按1:9比例人工投加至搅拌罐内，在搅拌罐内通过内置搅拌器搅拌均匀并暂存，需要时通过螺旋上料机输送至覆膜机料斗内，该过程会产生搅拌粉尘</w:t>
            </w:r>
            <w:r>
              <w:rPr>
                <w:b/>
                <w:u w:val="single"/>
              </w:rPr>
              <w:t>。</w:t>
            </w:r>
          </w:p>
          <w:p>
            <w:pPr>
              <w:spacing w:line="520" w:lineRule="exact"/>
              <w:ind w:firstLine="482" w:firstLineChars="200"/>
              <w:jc w:val="left"/>
              <w:rPr>
                <w:b/>
                <w:sz w:val="24"/>
                <w:u w:val="single"/>
              </w:rPr>
            </w:pPr>
            <w:r>
              <w:rPr>
                <w:rFonts w:hint="eastAsia"/>
                <w:b/>
                <w:sz w:val="24"/>
                <w:u w:val="single"/>
              </w:rPr>
              <w:t>（2）</w:t>
            </w:r>
            <w:r>
              <w:rPr>
                <w:b/>
                <w:sz w:val="24"/>
                <w:u w:val="single"/>
              </w:rPr>
              <w:t>电加热挤出</w:t>
            </w:r>
          </w:p>
          <w:p>
            <w:pPr>
              <w:pStyle w:val="51"/>
              <w:ind w:firstLine="482"/>
              <w:rPr>
                <w:b/>
                <w:u w:val="single"/>
              </w:rPr>
            </w:pPr>
            <w:r>
              <w:rPr>
                <w:rFonts w:hint="eastAsia"/>
                <w:b/>
                <w:u w:val="single"/>
              </w:rPr>
              <w:t>搅拌均匀原料在覆膜机</w:t>
            </w:r>
            <w:r>
              <w:rPr>
                <w:b/>
                <w:u w:val="single"/>
              </w:rPr>
              <w:t>加热区</w:t>
            </w:r>
            <w:r>
              <w:rPr>
                <w:rFonts w:hint="eastAsia"/>
                <w:b/>
                <w:u w:val="single"/>
              </w:rPr>
              <w:t>加热，使用能源为电能</w:t>
            </w:r>
            <w:r>
              <w:rPr>
                <w:b/>
                <w:u w:val="single"/>
              </w:rPr>
              <w:t>，加热温度控制在150℃~200℃，原料在</w:t>
            </w:r>
            <w:r>
              <w:rPr>
                <w:rFonts w:hint="eastAsia"/>
                <w:b/>
                <w:u w:val="single"/>
              </w:rPr>
              <w:t>设备内</w:t>
            </w:r>
            <w:r>
              <w:rPr>
                <w:b/>
                <w:u w:val="single"/>
              </w:rPr>
              <w:t>受热熔融。该过程有少量有机废气产生。</w:t>
            </w:r>
          </w:p>
          <w:p>
            <w:pPr>
              <w:spacing w:line="520" w:lineRule="exact"/>
              <w:ind w:firstLine="480" w:firstLineChars="200"/>
              <w:jc w:val="left"/>
              <w:rPr>
                <w:b/>
                <w:sz w:val="24"/>
                <w:u w:val="single"/>
              </w:rPr>
            </w:pPr>
            <w:r>
              <w:rPr>
                <w:rFonts w:hint="eastAsia"/>
                <w:sz w:val="24"/>
              </w:rPr>
              <w:t>（</w:t>
            </w:r>
            <w:r>
              <w:rPr>
                <w:rFonts w:hint="eastAsia"/>
                <w:b/>
                <w:sz w:val="24"/>
                <w:u w:val="single"/>
              </w:rPr>
              <w:t>3）覆膜</w:t>
            </w:r>
          </w:p>
          <w:p>
            <w:pPr>
              <w:spacing w:line="520" w:lineRule="exact"/>
              <w:ind w:firstLine="482" w:firstLineChars="200"/>
              <w:jc w:val="left"/>
              <w:rPr>
                <w:b/>
                <w:sz w:val="24"/>
                <w:u w:val="single"/>
              </w:rPr>
            </w:pPr>
            <w:r>
              <w:rPr>
                <w:rFonts w:hint="eastAsia"/>
                <w:b/>
                <w:sz w:val="24"/>
                <w:u w:val="single"/>
              </w:rPr>
              <w:t>覆膜时，将挤出口（可移动）移动至覆膜区域，</w:t>
            </w:r>
            <w:r>
              <w:rPr>
                <w:b/>
                <w:sz w:val="24"/>
                <w:u w:val="single"/>
              </w:rPr>
              <w:t>熔融</w:t>
            </w:r>
            <w:r>
              <w:rPr>
                <w:rFonts w:hint="eastAsia"/>
                <w:b/>
                <w:sz w:val="24"/>
                <w:u w:val="single"/>
              </w:rPr>
              <w:t>物料均匀涂覆在基布上，基布在牵引机作用下匀速通过2个滚筒，通过调节2个滚筒间的距离控制膜层的厚度，该过程会产生覆膜废气和噪声。</w:t>
            </w:r>
          </w:p>
          <w:p>
            <w:pPr>
              <w:spacing w:line="520" w:lineRule="exact"/>
              <w:ind w:firstLine="482" w:firstLineChars="200"/>
              <w:jc w:val="left"/>
              <w:rPr>
                <w:b/>
                <w:sz w:val="24"/>
                <w:u w:val="single"/>
              </w:rPr>
            </w:pPr>
            <w:r>
              <w:rPr>
                <w:rFonts w:hint="eastAsia"/>
                <w:b/>
                <w:sz w:val="24"/>
                <w:u w:val="single"/>
              </w:rPr>
              <w:t>（4）成品</w:t>
            </w:r>
          </w:p>
          <w:p>
            <w:pPr>
              <w:spacing w:line="520" w:lineRule="exact"/>
              <w:ind w:firstLine="482" w:firstLineChars="200"/>
              <w:jc w:val="left"/>
            </w:pPr>
            <w:r>
              <w:rPr>
                <w:rFonts w:hint="eastAsia"/>
                <w:b/>
                <w:sz w:val="24"/>
                <w:u w:val="single"/>
              </w:rPr>
              <w:t>将覆膜后的基布收卷，在成品区暂存后外售。</w:t>
            </w:r>
          </w:p>
          <w:p>
            <w:pPr>
              <w:adjustRightInd w:val="0"/>
              <w:snapToGrid w:val="0"/>
              <w:spacing w:line="520" w:lineRule="exact"/>
              <w:ind w:firstLine="480" w:firstLineChars="200"/>
              <w:rPr>
                <w:sz w:val="24"/>
              </w:rPr>
            </w:pPr>
            <w:r>
              <w:rPr>
                <w:sz w:val="24"/>
              </w:rPr>
              <w:t>根据</w:t>
            </w:r>
            <w:r>
              <w:rPr>
                <w:rFonts w:hint="eastAsia"/>
                <w:sz w:val="24"/>
              </w:rPr>
              <w:t>工艺流程</w:t>
            </w:r>
            <w:r>
              <w:rPr>
                <w:sz w:val="24"/>
              </w:rPr>
              <w:t>及产污环节分析，本项目运营过程中产生的污染物包括</w:t>
            </w:r>
            <w:r>
              <w:rPr>
                <w:rFonts w:hint="eastAsia"/>
                <w:sz w:val="24"/>
              </w:rPr>
              <w:t>废水</w:t>
            </w:r>
            <w:r>
              <w:rPr>
                <w:sz w:val="24"/>
              </w:rPr>
              <w:t>、噪声和固废，其具体类型</w:t>
            </w:r>
            <w:r>
              <w:rPr>
                <w:rFonts w:hint="eastAsia"/>
                <w:sz w:val="24"/>
              </w:rPr>
              <w:t>、</w:t>
            </w:r>
            <w:r>
              <w:rPr>
                <w:sz w:val="24"/>
              </w:rPr>
              <w:t>产生来源</w:t>
            </w:r>
            <w:r>
              <w:rPr>
                <w:rFonts w:hint="eastAsia"/>
                <w:sz w:val="24"/>
              </w:rPr>
              <w:t>及防治措施</w:t>
            </w:r>
            <w:r>
              <w:rPr>
                <w:sz w:val="24"/>
              </w:rPr>
              <w:t>见</w:t>
            </w:r>
            <w:r>
              <w:rPr>
                <w:rFonts w:hint="eastAsia"/>
                <w:sz w:val="24"/>
              </w:rPr>
              <w:t>下表</w:t>
            </w:r>
            <w:r>
              <w:rPr>
                <w:sz w:val="24"/>
              </w:rPr>
              <w:t>。</w:t>
            </w:r>
          </w:p>
          <w:p>
            <w:pPr>
              <w:pStyle w:val="48"/>
              <w:ind w:firstLine="480"/>
              <w:rPr>
                <w:highlight w:val="yellow"/>
              </w:rPr>
            </w:pPr>
            <w:r>
              <w:t>表</w:t>
            </w:r>
            <w:r>
              <w:rPr>
                <w:rFonts w:hint="eastAsia"/>
              </w:rPr>
              <w:t>14</w:t>
            </w:r>
            <w:r>
              <w:t xml:space="preserve">  </w:t>
            </w:r>
            <w:r>
              <w:rPr>
                <w:rFonts w:hint="eastAsia"/>
              </w:rPr>
              <w:t xml:space="preserve">    </w:t>
            </w:r>
            <w:r>
              <w:t xml:space="preserve">  项目</w:t>
            </w:r>
            <w:r>
              <w:rPr>
                <w:rFonts w:hint="eastAsia"/>
              </w:rPr>
              <w:t>运营期产污环节</w:t>
            </w:r>
            <w:r>
              <w:t>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273"/>
              <w:gridCol w:w="2622"/>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Align w:val="center"/>
                </w:tcPr>
                <w:p>
                  <w:pPr>
                    <w:pStyle w:val="98"/>
                    <w:spacing w:line="400" w:lineRule="exact"/>
                    <w:jc w:val="center"/>
                    <w:rPr>
                      <w:b w:val="0"/>
                      <w:kern w:val="28"/>
                      <w:sz w:val="21"/>
                      <w:szCs w:val="21"/>
                    </w:rPr>
                  </w:pPr>
                  <w:r>
                    <w:rPr>
                      <w:rFonts w:hint="eastAsia"/>
                      <w:b w:val="0"/>
                      <w:kern w:val="28"/>
                      <w:sz w:val="21"/>
                      <w:szCs w:val="21"/>
                    </w:rPr>
                    <w:t>序号</w:t>
                  </w:r>
                </w:p>
              </w:tc>
              <w:tc>
                <w:tcPr>
                  <w:tcW w:w="757" w:type="pct"/>
                </w:tcPr>
                <w:p>
                  <w:pPr>
                    <w:pStyle w:val="98"/>
                    <w:spacing w:line="400" w:lineRule="exact"/>
                    <w:jc w:val="center"/>
                    <w:rPr>
                      <w:b w:val="0"/>
                      <w:kern w:val="28"/>
                      <w:sz w:val="21"/>
                      <w:szCs w:val="21"/>
                    </w:rPr>
                  </w:pPr>
                  <w:r>
                    <w:rPr>
                      <w:rFonts w:hint="eastAsia"/>
                      <w:b w:val="0"/>
                      <w:kern w:val="28"/>
                      <w:sz w:val="21"/>
                      <w:szCs w:val="21"/>
                    </w:rPr>
                    <w:t>污染要素</w:t>
                  </w:r>
                </w:p>
              </w:tc>
              <w:tc>
                <w:tcPr>
                  <w:tcW w:w="1559" w:type="pct"/>
                  <w:vAlign w:val="center"/>
                </w:tcPr>
                <w:p>
                  <w:pPr>
                    <w:pStyle w:val="98"/>
                    <w:spacing w:line="400" w:lineRule="exact"/>
                    <w:jc w:val="center"/>
                    <w:rPr>
                      <w:b w:val="0"/>
                      <w:kern w:val="28"/>
                      <w:sz w:val="21"/>
                      <w:szCs w:val="21"/>
                    </w:rPr>
                  </w:pPr>
                  <w:r>
                    <w:rPr>
                      <w:rFonts w:hint="eastAsia"/>
                      <w:b w:val="0"/>
                      <w:kern w:val="28"/>
                      <w:sz w:val="21"/>
                      <w:szCs w:val="21"/>
                    </w:rPr>
                    <w:t>产污环节</w:t>
                  </w:r>
                </w:p>
              </w:tc>
              <w:tc>
                <w:tcPr>
                  <w:tcW w:w="2220" w:type="pct"/>
                  <w:vAlign w:val="center"/>
                </w:tcPr>
                <w:p>
                  <w:pPr>
                    <w:pStyle w:val="98"/>
                    <w:spacing w:line="400" w:lineRule="exact"/>
                    <w:jc w:val="center"/>
                    <w:rPr>
                      <w:b w:val="0"/>
                      <w:kern w:val="28"/>
                      <w:sz w:val="21"/>
                      <w:szCs w:val="21"/>
                    </w:rPr>
                  </w:pPr>
                  <w:r>
                    <w:rPr>
                      <w:rFonts w:hint="eastAsia"/>
                      <w:b w:val="0"/>
                      <w:kern w:val="28"/>
                      <w:sz w:val="21"/>
                      <w:szCs w:val="21"/>
                    </w:rPr>
                    <w:t>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restart"/>
                  <w:vAlign w:val="center"/>
                </w:tcPr>
                <w:p>
                  <w:pPr>
                    <w:pStyle w:val="98"/>
                    <w:spacing w:line="400" w:lineRule="exact"/>
                    <w:jc w:val="center"/>
                    <w:rPr>
                      <w:b w:val="0"/>
                      <w:kern w:val="28"/>
                      <w:sz w:val="21"/>
                      <w:szCs w:val="21"/>
                    </w:rPr>
                  </w:pPr>
                  <w:r>
                    <w:rPr>
                      <w:rFonts w:hint="eastAsia"/>
                      <w:b w:val="0"/>
                      <w:kern w:val="28"/>
                      <w:sz w:val="21"/>
                      <w:szCs w:val="21"/>
                    </w:rPr>
                    <w:t>1</w:t>
                  </w:r>
                </w:p>
              </w:tc>
              <w:tc>
                <w:tcPr>
                  <w:tcW w:w="757" w:type="pct"/>
                  <w:vMerge w:val="restart"/>
                  <w:vAlign w:val="center"/>
                </w:tcPr>
                <w:p>
                  <w:pPr>
                    <w:pStyle w:val="98"/>
                    <w:spacing w:line="400" w:lineRule="exact"/>
                    <w:jc w:val="center"/>
                    <w:rPr>
                      <w:b w:val="0"/>
                      <w:kern w:val="28"/>
                      <w:sz w:val="21"/>
                      <w:szCs w:val="21"/>
                    </w:rPr>
                  </w:pPr>
                  <w:r>
                    <w:rPr>
                      <w:rFonts w:hint="eastAsia"/>
                      <w:b w:val="0"/>
                      <w:kern w:val="28"/>
                      <w:sz w:val="21"/>
                      <w:szCs w:val="21"/>
                    </w:rPr>
                    <w:t>大气</w:t>
                  </w:r>
                </w:p>
              </w:tc>
              <w:tc>
                <w:tcPr>
                  <w:tcW w:w="1559" w:type="pct"/>
                  <w:vAlign w:val="center"/>
                </w:tcPr>
                <w:p>
                  <w:pPr>
                    <w:pStyle w:val="98"/>
                    <w:spacing w:line="400" w:lineRule="exact"/>
                    <w:jc w:val="center"/>
                    <w:rPr>
                      <w:kern w:val="28"/>
                      <w:sz w:val="21"/>
                      <w:szCs w:val="21"/>
                      <w:u w:val="single"/>
                    </w:rPr>
                  </w:pPr>
                  <w:r>
                    <w:rPr>
                      <w:rFonts w:hint="eastAsia"/>
                      <w:kern w:val="28"/>
                      <w:sz w:val="21"/>
                      <w:szCs w:val="21"/>
                      <w:u w:val="single"/>
                    </w:rPr>
                    <w:t>搅拌废气</w:t>
                  </w:r>
                </w:p>
              </w:tc>
              <w:tc>
                <w:tcPr>
                  <w:tcW w:w="2220" w:type="pct"/>
                  <w:vAlign w:val="center"/>
                </w:tcPr>
                <w:p>
                  <w:pPr>
                    <w:pStyle w:val="68"/>
                    <w:rPr>
                      <w:b/>
                      <w:szCs w:val="21"/>
                      <w:u w:val="single"/>
                    </w:rPr>
                  </w:pPr>
                  <w:r>
                    <w:rPr>
                      <w:rFonts w:hint="eastAsia"/>
                      <w:b/>
                      <w:szCs w:val="21"/>
                      <w:u w:val="singl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Merge w:val="continue"/>
                  <w:vAlign w:val="center"/>
                </w:tcPr>
                <w:p>
                  <w:pPr>
                    <w:pStyle w:val="98"/>
                    <w:spacing w:line="400" w:lineRule="exact"/>
                    <w:jc w:val="center"/>
                    <w:rPr>
                      <w:b w:val="0"/>
                      <w:kern w:val="28"/>
                      <w:sz w:val="21"/>
                      <w:szCs w:val="21"/>
                    </w:rPr>
                  </w:pPr>
                </w:p>
              </w:tc>
              <w:tc>
                <w:tcPr>
                  <w:tcW w:w="757" w:type="pct"/>
                  <w:vMerge w:val="continue"/>
                  <w:vAlign w:val="center"/>
                </w:tcPr>
                <w:p>
                  <w:pPr>
                    <w:pStyle w:val="98"/>
                    <w:spacing w:line="400" w:lineRule="exact"/>
                    <w:jc w:val="center"/>
                    <w:rPr>
                      <w:b w:val="0"/>
                      <w:kern w:val="28"/>
                      <w:sz w:val="21"/>
                      <w:szCs w:val="21"/>
                    </w:rPr>
                  </w:pPr>
                </w:p>
              </w:tc>
              <w:tc>
                <w:tcPr>
                  <w:tcW w:w="1559" w:type="pct"/>
                  <w:vAlign w:val="center"/>
                </w:tcPr>
                <w:p>
                  <w:pPr>
                    <w:pStyle w:val="98"/>
                    <w:spacing w:line="400" w:lineRule="exact"/>
                    <w:jc w:val="center"/>
                    <w:rPr>
                      <w:b w:val="0"/>
                      <w:kern w:val="28"/>
                      <w:sz w:val="21"/>
                      <w:szCs w:val="21"/>
                    </w:rPr>
                  </w:pPr>
                  <w:r>
                    <w:rPr>
                      <w:rFonts w:hint="eastAsia"/>
                      <w:b w:val="0"/>
                      <w:kern w:val="28"/>
                      <w:sz w:val="21"/>
                      <w:szCs w:val="21"/>
                    </w:rPr>
                    <w:t>加热挤出覆膜废气</w:t>
                  </w:r>
                </w:p>
              </w:tc>
              <w:tc>
                <w:tcPr>
                  <w:tcW w:w="2220" w:type="pct"/>
                  <w:vAlign w:val="center"/>
                </w:tcPr>
                <w:p>
                  <w:pPr>
                    <w:pStyle w:val="68"/>
                    <w:rPr>
                      <w:szCs w:val="21"/>
                    </w:rPr>
                  </w:pPr>
                  <w:r>
                    <w:rPr>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4" w:type="pct"/>
                  <w:vAlign w:val="center"/>
                </w:tcPr>
                <w:p>
                  <w:pPr>
                    <w:pStyle w:val="98"/>
                    <w:spacing w:line="400" w:lineRule="exact"/>
                    <w:jc w:val="center"/>
                    <w:rPr>
                      <w:b w:val="0"/>
                      <w:kern w:val="28"/>
                      <w:sz w:val="21"/>
                      <w:szCs w:val="21"/>
                    </w:rPr>
                  </w:pPr>
                  <w:r>
                    <w:rPr>
                      <w:rFonts w:hint="eastAsia"/>
                      <w:b w:val="0"/>
                      <w:kern w:val="28"/>
                      <w:sz w:val="21"/>
                      <w:szCs w:val="21"/>
                    </w:rPr>
                    <w:t>2</w:t>
                  </w:r>
                </w:p>
              </w:tc>
              <w:tc>
                <w:tcPr>
                  <w:tcW w:w="757" w:type="pct"/>
                  <w:vAlign w:val="center"/>
                </w:tcPr>
                <w:p>
                  <w:pPr>
                    <w:pStyle w:val="98"/>
                    <w:spacing w:line="400" w:lineRule="exact"/>
                    <w:jc w:val="center"/>
                    <w:rPr>
                      <w:b w:val="0"/>
                      <w:kern w:val="28"/>
                      <w:sz w:val="21"/>
                      <w:szCs w:val="21"/>
                    </w:rPr>
                  </w:pPr>
                  <w:r>
                    <w:rPr>
                      <w:rFonts w:hint="eastAsia"/>
                      <w:b w:val="0"/>
                      <w:kern w:val="28"/>
                      <w:sz w:val="21"/>
                      <w:szCs w:val="21"/>
                    </w:rPr>
                    <w:t>废水</w:t>
                  </w:r>
                </w:p>
              </w:tc>
              <w:tc>
                <w:tcPr>
                  <w:tcW w:w="1559" w:type="pct"/>
                  <w:vAlign w:val="center"/>
                </w:tcPr>
                <w:p>
                  <w:pPr>
                    <w:pStyle w:val="98"/>
                    <w:spacing w:line="400" w:lineRule="exact"/>
                    <w:jc w:val="center"/>
                    <w:rPr>
                      <w:b w:val="0"/>
                      <w:kern w:val="28"/>
                      <w:sz w:val="21"/>
                      <w:szCs w:val="21"/>
                    </w:rPr>
                  </w:pPr>
                  <w:r>
                    <w:rPr>
                      <w:rFonts w:hint="eastAsia"/>
                      <w:b w:val="0"/>
                      <w:sz w:val="21"/>
                      <w:szCs w:val="21"/>
                    </w:rPr>
                    <w:t>生活污水</w:t>
                  </w:r>
                </w:p>
              </w:tc>
              <w:tc>
                <w:tcPr>
                  <w:tcW w:w="2220" w:type="pct"/>
                  <w:vAlign w:val="center"/>
                </w:tcPr>
                <w:p>
                  <w:pPr>
                    <w:pStyle w:val="98"/>
                    <w:spacing w:line="400" w:lineRule="exact"/>
                    <w:jc w:val="center"/>
                    <w:rPr>
                      <w:b w:val="0"/>
                      <w:kern w:val="28"/>
                      <w:sz w:val="21"/>
                      <w:szCs w:val="21"/>
                    </w:rPr>
                  </w:pPr>
                  <w:r>
                    <w:rPr>
                      <w:rFonts w:hint="eastAsia"/>
                      <w:b w:val="0"/>
                      <w:kern w:val="28"/>
                      <w:sz w:val="21"/>
                      <w:szCs w:val="21"/>
                    </w:rPr>
                    <w:t>COD、氨氮、BOD</w:t>
                  </w:r>
                  <w:r>
                    <w:rPr>
                      <w:rFonts w:hint="eastAsia"/>
                      <w:b w:val="0"/>
                      <w:kern w:val="28"/>
                      <w:sz w:val="21"/>
                      <w:szCs w:val="21"/>
                      <w:vertAlign w:val="subscript"/>
                    </w:rPr>
                    <w:t>5</w:t>
                  </w:r>
                  <w:r>
                    <w:rPr>
                      <w:rFonts w:hint="eastAsia"/>
                      <w:b w:val="0"/>
                      <w:kern w:val="28"/>
                      <w:sz w:val="21"/>
                      <w:szCs w:val="21"/>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Align w:val="center"/>
                </w:tcPr>
                <w:p>
                  <w:pPr>
                    <w:pStyle w:val="98"/>
                    <w:spacing w:line="400" w:lineRule="exact"/>
                    <w:jc w:val="center"/>
                    <w:rPr>
                      <w:b w:val="0"/>
                      <w:kern w:val="28"/>
                      <w:sz w:val="21"/>
                      <w:szCs w:val="21"/>
                    </w:rPr>
                  </w:pPr>
                  <w:r>
                    <w:rPr>
                      <w:rFonts w:hint="eastAsia"/>
                      <w:b w:val="0"/>
                      <w:kern w:val="28"/>
                      <w:sz w:val="21"/>
                      <w:szCs w:val="21"/>
                    </w:rPr>
                    <w:t>3</w:t>
                  </w:r>
                </w:p>
              </w:tc>
              <w:tc>
                <w:tcPr>
                  <w:tcW w:w="757" w:type="pct"/>
                </w:tcPr>
                <w:p>
                  <w:pPr>
                    <w:pStyle w:val="98"/>
                    <w:spacing w:line="400" w:lineRule="exact"/>
                    <w:jc w:val="center"/>
                    <w:rPr>
                      <w:b w:val="0"/>
                      <w:kern w:val="28"/>
                      <w:sz w:val="21"/>
                      <w:szCs w:val="21"/>
                    </w:rPr>
                  </w:pPr>
                  <w:r>
                    <w:rPr>
                      <w:rFonts w:hint="eastAsia"/>
                      <w:b w:val="0"/>
                      <w:kern w:val="28"/>
                      <w:sz w:val="21"/>
                      <w:szCs w:val="21"/>
                    </w:rPr>
                    <w:t>噪声</w:t>
                  </w:r>
                </w:p>
              </w:tc>
              <w:tc>
                <w:tcPr>
                  <w:tcW w:w="1559" w:type="pct"/>
                  <w:vAlign w:val="center"/>
                </w:tcPr>
                <w:p>
                  <w:pPr>
                    <w:pStyle w:val="98"/>
                    <w:spacing w:line="400" w:lineRule="exact"/>
                    <w:jc w:val="center"/>
                    <w:rPr>
                      <w:b w:val="0"/>
                      <w:sz w:val="21"/>
                      <w:szCs w:val="21"/>
                    </w:rPr>
                  </w:pPr>
                  <w:r>
                    <w:rPr>
                      <w:rFonts w:hint="eastAsia"/>
                      <w:b w:val="0"/>
                      <w:sz w:val="21"/>
                      <w:szCs w:val="21"/>
                    </w:rPr>
                    <w:t>设备生产</w:t>
                  </w:r>
                </w:p>
              </w:tc>
              <w:tc>
                <w:tcPr>
                  <w:tcW w:w="2220" w:type="pct"/>
                  <w:vAlign w:val="center"/>
                </w:tcPr>
                <w:p>
                  <w:pPr>
                    <w:pStyle w:val="98"/>
                    <w:spacing w:line="400" w:lineRule="exact"/>
                    <w:jc w:val="center"/>
                    <w:rPr>
                      <w:b w:val="0"/>
                      <w:kern w:val="28"/>
                      <w:sz w:val="21"/>
                      <w:szCs w:val="21"/>
                    </w:rPr>
                  </w:pPr>
                  <w:r>
                    <w:rPr>
                      <w:rFonts w:hint="eastAsia"/>
                      <w:b w:val="0"/>
                      <w:kern w:val="28"/>
                      <w:sz w:val="21"/>
                      <w:szCs w:val="21"/>
                    </w:rPr>
                    <w:t>等效A声级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Align w:val="center"/>
                </w:tcPr>
                <w:p>
                  <w:pPr>
                    <w:pStyle w:val="98"/>
                    <w:spacing w:line="400" w:lineRule="exact"/>
                    <w:jc w:val="center"/>
                    <w:rPr>
                      <w:b w:val="0"/>
                      <w:kern w:val="28"/>
                      <w:sz w:val="21"/>
                      <w:szCs w:val="21"/>
                    </w:rPr>
                  </w:pPr>
                  <w:r>
                    <w:rPr>
                      <w:rFonts w:hint="eastAsia"/>
                      <w:b w:val="0"/>
                      <w:kern w:val="28"/>
                      <w:sz w:val="21"/>
                      <w:szCs w:val="21"/>
                    </w:rPr>
                    <w:t>4</w:t>
                  </w:r>
                </w:p>
              </w:tc>
              <w:tc>
                <w:tcPr>
                  <w:tcW w:w="757" w:type="pct"/>
                  <w:vMerge w:val="restart"/>
                  <w:vAlign w:val="center"/>
                </w:tcPr>
                <w:p>
                  <w:pPr>
                    <w:pStyle w:val="98"/>
                    <w:spacing w:line="400" w:lineRule="exact"/>
                    <w:jc w:val="center"/>
                    <w:rPr>
                      <w:b w:val="0"/>
                      <w:kern w:val="28"/>
                      <w:sz w:val="21"/>
                      <w:szCs w:val="21"/>
                    </w:rPr>
                  </w:pPr>
                  <w:r>
                    <w:rPr>
                      <w:rFonts w:hint="eastAsia"/>
                      <w:b w:val="0"/>
                      <w:kern w:val="28"/>
                      <w:sz w:val="21"/>
                      <w:szCs w:val="21"/>
                    </w:rPr>
                    <w:t>固废</w:t>
                  </w:r>
                </w:p>
              </w:tc>
              <w:tc>
                <w:tcPr>
                  <w:tcW w:w="1559" w:type="pct"/>
                  <w:vAlign w:val="center"/>
                </w:tcPr>
                <w:p>
                  <w:pPr>
                    <w:pStyle w:val="98"/>
                    <w:spacing w:line="400" w:lineRule="exact"/>
                    <w:jc w:val="center"/>
                    <w:rPr>
                      <w:b w:val="0"/>
                      <w:sz w:val="21"/>
                      <w:szCs w:val="21"/>
                    </w:rPr>
                  </w:pPr>
                  <w:r>
                    <w:rPr>
                      <w:rFonts w:hint="eastAsia"/>
                      <w:b w:val="0"/>
                      <w:sz w:val="21"/>
                      <w:szCs w:val="21"/>
                    </w:rPr>
                    <w:t>一般固废</w:t>
                  </w:r>
                </w:p>
              </w:tc>
              <w:tc>
                <w:tcPr>
                  <w:tcW w:w="2220" w:type="pct"/>
                  <w:vAlign w:val="center"/>
                </w:tcPr>
                <w:p>
                  <w:pPr>
                    <w:pStyle w:val="98"/>
                    <w:spacing w:line="400" w:lineRule="exact"/>
                    <w:jc w:val="center"/>
                    <w:rPr>
                      <w:b w:val="0"/>
                      <w:kern w:val="28"/>
                      <w:sz w:val="21"/>
                      <w:szCs w:val="21"/>
                    </w:rPr>
                  </w:pPr>
                  <w:r>
                    <w:rPr>
                      <w:rFonts w:hint="eastAsia"/>
                      <w:b w:val="0"/>
                      <w:sz w:val="21"/>
                      <w:szCs w:val="21"/>
                    </w:rPr>
                    <w:t>废包装材料、收尘灰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vAlign w:val="center"/>
                </w:tcPr>
                <w:p>
                  <w:pPr>
                    <w:pStyle w:val="98"/>
                    <w:spacing w:line="400" w:lineRule="exact"/>
                    <w:jc w:val="center"/>
                    <w:rPr>
                      <w:b w:val="0"/>
                      <w:kern w:val="28"/>
                      <w:sz w:val="21"/>
                      <w:szCs w:val="21"/>
                    </w:rPr>
                  </w:pPr>
                  <w:r>
                    <w:rPr>
                      <w:rFonts w:hint="eastAsia"/>
                      <w:b w:val="0"/>
                      <w:kern w:val="28"/>
                      <w:sz w:val="21"/>
                      <w:szCs w:val="21"/>
                    </w:rPr>
                    <w:t>5</w:t>
                  </w:r>
                </w:p>
              </w:tc>
              <w:tc>
                <w:tcPr>
                  <w:tcW w:w="757" w:type="pct"/>
                  <w:vMerge w:val="continue"/>
                </w:tcPr>
                <w:p>
                  <w:pPr>
                    <w:pStyle w:val="98"/>
                    <w:spacing w:line="400" w:lineRule="exact"/>
                    <w:jc w:val="center"/>
                    <w:rPr>
                      <w:b w:val="0"/>
                      <w:kern w:val="28"/>
                      <w:sz w:val="21"/>
                      <w:szCs w:val="21"/>
                    </w:rPr>
                  </w:pPr>
                </w:p>
              </w:tc>
              <w:tc>
                <w:tcPr>
                  <w:tcW w:w="1559" w:type="pct"/>
                  <w:vAlign w:val="center"/>
                </w:tcPr>
                <w:p>
                  <w:pPr>
                    <w:pStyle w:val="98"/>
                    <w:spacing w:line="400" w:lineRule="exact"/>
                    <w:jc w:val="center"/>
                    <w:rPr>
                      <w:b w:val="0"/>
                      <w:sz w:val="21"/>
                      <w:szCs w:val="21"/>
                    </w:rPr>
                  </w:pPr>
                  <w:r>
                    <w:rPr>
                      <w:rFonts w:hint="eastAsia"/>
                      <w:b w:val="0"/>
                      <w:sz w:val="21"/>
                      <w:szCs w:val="21"/>
                    </w:rPr>
                    <w:t>危险固废</w:t>
                  </w:r>
                </w:p>
              </w:tc>
              <w:tc>
                <w:tcPr>
                  <w:tcW w:w="2220" w:type="pct"/>
                  <w:vAlign w:val="center"/>
                </w:tcPr>
                <w:p>
                  <w:pPr>
                    <w:pStyle w:val="98"/>
                    <w:spacing w:line="400" w:lineRule="exact"/>
                    <w:jc w:val="center"/>
                    <w:rPr>
                      <w:b w:val="0"/>
                      <w:kern w:val="28"/>
                      <w:sz w:val="21"/>
                      <w:szCs w:val="21"/>
                    </w:rPr>
                  </w:pPr>
                  <w:r>
                    <w:rPr>
                      <w:rFonts w:hint="eastAsia"/>
                      <w:b w:val="0"/>
                      <w:sz w:val="21"/>
                      <w:szCs w:val="21"/>
                    </w:rPr>
                    <w:t>废活性炭、</w:t>
                  </w:r>
                  <w:r>
                    <w:rPr>
                      <w:rFonts w:hint="eastAsia"/>
                      <w:sz w:val="21"/>
                      <w:szCs w:val="21"/>
                      <w:u w:val="single"/>
                    </w:rPr>
                    <w:t>废UV灯管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4" w:type="pct"/>
                  <w:vAlign w:val="center"/>
                </w:tcPr>
                <w:p>
                  <w:pPr>
                    <w:pStyle w:val="98"/>
                    <w:spacing w:line="400" w:lineRule="exact"/>
                    <w:jc w:val="center"/>
                    <w:rPr>
                      <w:b w:val="0"/>
                      <w:kern w:val="28"/>
                      <w:sz w:val="21"/>
                      <w:szCs w:val="21"/>
                    </w:rPr>
                  </w:pPr>
                  <w:r>
                    <w:rPr>
                      <w:rFonts w:hint="eastAsia"/>
                      <w:b w:val="0"/>
                      <w:kern w:val="28"/>
                      <w:sz w:val="21"/>
                      <w:szCs w:val="21"/>
                    </w:rPr>
                    <w:t>6</w:t>
                  </w:r>
                </w:p>
              </w:tc>
              <w:tc>
                <w:tcPr>
                  <w:tcW w:w="757" w:type="pct"/>
                  <w:vMerge w:val="continue"/>
                </w:tcPr>
                <w:p>
                  <w:pPr>
                    <w:pStyle w:val="98"/>
                    <w:spacing w:line="400" w:lineRule="exact"/>
                    <w:jc w:val="center"/>
                    <w:rPr>
                      <w:b w:val="0"/>
                      <w:kern w:val="28"/>
                      <w:sz w:val="21"/>
                      <w:szCs w:val="21"/>
                    </w:rPr>
                  </w:pPr>
                </w:p>
              </w:tc>
              <w:tc>
                <w:tcPr>
                  <w:tcW w:w="1559" w:type="pct"/>
                  <w:vAlign w:val="center"/>
                </w:tcPr>
                <w:p>
                  <w:pPr>
                    <w:pStyle w:val="98"/>
                    <w:spacing w:line="400" w:lineRule="exact"/>
                    <w:jc w:val="center"/>
                    <w:rPr>
                      <w:b w:val="0"/>
                      <w:sz w:val="21"/>
                      <w:szCs w:val="21"/>
                    </w:rPr>
                  </w:pPr>
                  <w:r>
                    <w:rPr>
                      <w:rFonts w:hint="eastAsia"/>
                      <w:b w:val="0"/>
                      <w:sz w:val="21"/>
                      <w:szCs w:val="21"/>
                    </w:rPr>
                    <w:t>生活垃圾</w:t>
                  </w:r>
                </w:p>
              </w:tc>
              <w:tc>
                <w:tcPr>
                  <w:tcW w:w="2220" w:type="pct"/>
                  <w:vAlign w:val="center"/>
                </w:tcPr>
                <w:p>
                  <w:pPr>
                    <w:pStyle w:val="98"/>
                    <w:spacing w:line="400" w:lineRule="exact"/>
                    <w:jc w:val="center"/>
                    <w:rPr>
                      <w:b w:val="0"/>
                      <w:sz w:val="21"/>
                      <w:szCs w:val="21"/>
                    </w:rPr>
                  </w:pPr>
                  <w:r>
                    <w:rPr>
                      <w:rFonts w:hint="eastAsia"/>
                      <w:b w:val="0"/>
                      <w:sz w:val="21"/>
                      <w:szCs w:val="21"/>
                    </w:rPr>
                    <w:t>生活垃圾</w:t>
                  </w:r>
                </w:p>
              </w:tc>
            </w:tr>
          </w:tbl>
          <w:p>
            <w:pPr>
              <w:pStyle w:val="51"/>
              <w:ind w:firstLine="4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20" w:type="dxa"/>
            <w:vAlign w:val="center"/>
          </w:tcPr>
          <w:p>
            <w:pPr>
              <w:pStyle w:val="19"/>
              <w:adjustRightInd w:val="0"/>
              <w:snapToGrid w:val="0"/>
              <w:spacing w:before="0" w:beforeAutospacing="0" w:after="0" w:afterAutospacing="0"/>
              <w:jc w:val="center"/>
              <w:rPr>
                <w:rFonts w:cs="宋体"/>
                <w:sz w:val="21"/>
                <w:szCs w:val="21"/>
              </w:rPr>
            </w:pPr>
            <w:r>
              <w:rPr>
                <w:rFonts w:hint="eastAsia" w:cs="宋体"/>
                <w:bCs/>
                <w:kern w:val="2"/>
                <w:sz w:val="21"/>
                <w:szCs w:val="21"/>
              </w:rPr>
              <w:t>与项目有关的原有环境污染问题</w:t>
            </w:r>
          </w:p>
        </w:tc>
        <w:tc>
          <w:tcPr>
            <w:tcW w:w="8640" w:type="dxa"/>
          </w:tcPr>
          <w:p>
            <w:pPr>
              <w:pStyle w:val="51"/>
              <w:ind w:firstLine="480"/>
            </w:pPr>
            <w:r>
              <w:rPr>
                <w:rFonts w:hint="eastAsia"/>
              </w:rPr>
              <w:t>本项目为新建项目，利用现有厂房进行建设，租赁协议见附件3，不存在原有环境污染问题。</w:t>
            </w:r>
          </w:p>
          <w:p>
            <w:pPr>
              <w:spacing w:line="520" w:lineRule="exact"/>
              <w:ind w:firstLine="480" w:firstLineChars="200"/>
              <w:rPr>
                <w:sz w:val="24"/>
              </w:rPr>
            </w:pPr>
            <w:r>
              <w:rPr>
                <w:sz w:val="24"/>
              </w:rPr>
              <w:t>本项目厂房</w:t>
            </w:r>
            <w:r>
              <w:rPr>
                <w:rFonts w:hint="eastAsia"/>
                <w:sz w:val="24"/>
              </w:rPr>
              <w:t>由洛阳恒成集装袋包装有限公司</w:t>
            </w:r>
            <w:r>
              <w:rPr>
                <w:sz w:val="24"/>
              </w:rPr>
              <w:t>租用洛阳大福摩托车有限公司</w:t>
            </w:r>
            <w:r>
              <w:rPr>
                <w:rFonts w:hint="eastAsia"/>
                <w:sz w:val="24"/>
              </w:rPr>
              <w:t>，并转租给洛阳和一集装袋包装有限公司</w:t>
            </w:r>
            <w:r>
              <w:rPr>
                <w:sz w:val="24"/>
              </w:rPr>
              <w:t>，洛阳大福摩托车有限公司于2015年由济源蓝天科技有限责任公司编制完成《洛阳大福摩托车有限公司年产20万辆电动三轮及摩托车零部件项目环境影响报告书》，并于2015年6月3日由洛阳市环境保护局以洛环审[2015]069号文进行审批，2016年12月21日偃师市环境保护局以偃环验[2016]03号进行验收。</w:t>
            </w:r>
          </w:p>
          <w:p>
            <w:pPr>
              <w:spacing w:line="520" w:lineRule="exact"/>
              <w:ind w:firstLine="480" w:firstLineChars="200"/>
              <w:rPr>
                <w:sz w:val="24"/>
              </w:rPr>
            </w:pPr>
            <w:r>
              <w:rPr>
                <w:rFonts w:hint="eastAsia"/>
                <w:sz w:val="24"/>
              </w:rPr>
              <w:t>本项目租用车间原为</w:t>
            </w:r>
            <w:r>
              <w:rPr>
                <w:sz w:val="24"/>
              </w:rPr>
              <w:t>洛阳大福摩托车有限公司</w:t>
            </w:r>
            <w:r>
              <w:rPr>
                <w:rFonts w:hint="eastAsia"/>
                <w:sz w:val="24"/>
              </w:rPr>
              <w:t>焊接车间，后用于洛阳恒成集装袋包装有限公司覆膜工序生产区，现已搬至东侧车间，现场勘查时，车间已完全清空，不存在原有污染问题。</w:t>
            </w: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spacing w:line="520" w:lineRule="exact"/>
              <w:rPr>
                <w:kern w:val="0"/>
              </w:rPr>
            </w:pPr>
          </w:p>
        </w:tc>
      </w:tr>
    </w:tbl>
    <w:p>
      <w:pPr>
        <w:pStyle w:val="19"/>
        <w:adjustRightInd w:val="0"/>
        <w:snapToGrid w:val="0"/>
        <w:spacing w:before="0" w:beforeAutospacing="0" w:after="0" w:afterAutospacing="0"/>
        <w:jc w:val="center"/>
        <w:rPr>
          <w:rFonts w:cs="宋体"/>
          <w:bCs/>
          <w:kern w:val="2"/>
          <w:sz w:val="21"/>
          <w:szCs w:val="21"/>
        </w:rPr>
        <w:sectPr>
          <w:pgSz w:w="11906" w:h="16838"/>
          <w:pgMar w:top="1701" w:right="1531" w:bottom="1701" w:left="1531" w:header="851" w:footer="851" w:gutter="0"/>
          <w:cols w:space="720" w:num="1"/>
          <w:docGrid w:linePitch="312" w:charSpace="0"/>
        </w:sectPr>
      </w:pPr>
    </w:p>
    <w:p>
      <w:pPr>
        <w:pStyle w:val="19"/>
        <w:adjustRightInd w:val="0"/>
        <w:snapToGrid w:val="0"/>
        <w:spacing w:before="0" w:beforeAutospacing="0" w:after="0" w:afterAutospacing="0" w:line="14" w:lineRule="auto"/>
        <w:jc w:val="center"/>
        <w:outlineLvl w:val="0"/>
        <w:rPr>
          <w:rFonts w:ascii="黑体" w:hAnsi="黑体" w:eastAsia="黑体"/>
          <w:snapToGrid w:val="0"/>
          <w:sz w:val="30"/>
          <w:szCs w:val="30"/>
        </w:rPr>
      </w:pPr>
    </w:p>
    <w:p>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6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426"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区域环境质量现状</w:t>
            </w:r>
          </w:p>
        </w:tc>
        <w:tc>
          <w:tcPr>
            <w:tcW w:w="8635" w:type="dxa"/>
            <w:vAlign w:val="center"/>
          </w:tcPr>
          <w:p>
            <w:pPr>
              <w:pStyle w:val="91"/>
              <w:rPr>
                <w:color w:val="auto"/>
              </w:rPr>
            </w:pPr>
            <w:r>
              <w:rPr>
                <w:color w:val="auto"/>
              </w:rPr>
              <w:t>1. 环境空气质量现状</w:t>
            </w:r>
          </w:p>
          <w:p>
            <w:pPr>
              <w:spacing w:line="520" w:lineRule="exact"/>
              <w:rPr>
                <w:sz w:val="24"/>
              </w:rPr>
            </w:pPr>
            <w:r>
              <w:rPr>
                <w:sz w:val="24"/>
              </w:rPr>
              <w:t>1.1基本污染物环境质量现状</w:t>
            </w:r>
          </w:p>
          <w:p>
            <w:pPr>
              <w:pStyle w:val="93"/>
              <w:ind w:firstLine="480" w:firstLineChars="200"/>
              <w:rPr>
                <w:sz w:val="24"/>
                <w:szCs w:val="24"/>
              </w:rPr>
            </w:pPr>
            <w:r>
              <w:rPr>
                <w:rFonts w:hint="eastAsia"/>
                <w:sz w:val="24"/>
                <w:szCs w:val="24"/>
              </w:rPr>
              <w:t>（1）</w:t>
            </w:r>
            <w:r>
              <w:rPr>
                <w:sz w:val="24"/>
                <w:szCs w:val="24"/>
              </w:rPr>
              <w:t>空气质量达标区判定</w:t>
            </w:r>
          </w:p>
          <w:p>
            <w:pPr>
              <w:pStyle w:val="51"/>
              <w:ind w:firstLine="480"/>
            </w:pPr>
            <w:r>
              <w:t>根据《环境空气质量标准》（GB3095-2012）及《洛阳市人民政府关于调整洛阳市环境空气质量功能区划分的通知》洛政【2009】69号，本项目所在地区属于二类区，环境空气功能区质量要求应执行二级标准要求。</w:t>
            </w:r>
          </w:p>
          <w:p>
            <w:pPr>
              <w:pStyle w:val="51"/>
              <w:ind w:firstLine="480"/>
            </w:pPr>
            <w:r>
              <w:t>根据《2021年洛阳市生态环境状况公报》可知：2021年，洛阳市城区环境空气质量优、良天数为246天（评价因子为PM</w:t>
            </w:r>
            <w:r>
              <w:rPr>
                <w:vertAlign w:val="subscript"/>
              </w:rPr>
              <w:t>2.5</w:t>
            </w:r>
            <w:r>
              <w:t>、PM</w:t>
            </w:r>
            <w:r>
              <w:rPr>
                <w:vertAlign w:val="subscript"/>
              </w:rPr>
              <w:t>10</w:t>
            </w:r>
            <w:r>
              <w:t>、SO</w:t>
            </w:r>
            <w:r>
              <w:rPr>
                <w:vertAlign w:val="subscript"/>
              </w:rPr>
              <w:t>2</w:t>
            </w:r>
            <w:r>
              <w:t>、NO</w:t>
            </w:r>
            <w:r>
              <w:rPr>
                <w:vertAlign w:val="subscript"/>
              </w:rPr>
              <w:t>2</w:t>
            </w:r>
            <w:r>
              <w:t>、CO和O</w:t>
            </w:r>
            <w:r>
              <w:rPr>
                <w:vertAlign w:val="subscript"/>
              </w:rPr>
              <w:t>3</w:t>
            </w:r>
            <w:r>
              <w:t>六项），较2020年（244天）增加2天，达标率为67.4%。</w:t>
            </w:r>
          </w:p>
          <w:p>
            <w:pPr>
              <w:pStyle w:val="51"/>
              <w:ind w:firstLine="480"/>
            </w:pPr>
            <w:r>
              <w:t>表</w:t>
            </w:r>
            <w:r>
              <w:rPr>
                <w:rFonts w:hint="eastAsia"/>
              </w:rPr>
              <w:t>15</w:t>
            </w:r>
            <w:r>
              <w:t xml:space="preserve">            洛阳市</w:t>
            </w:r>
            <w:r>
              <w:rPr>
                <w:rFonts w:hint="eastAsia"/>
              </w:rPr>
              <w:t>2021年</w:t>
            </w:r>
            <w:r>
              <w:t>空气质量现状评价表</w:t>
            </w:r>
          </w:p>
          <w:tbl>
            <w:tblPr>
              <w:tblStyle w:val="2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824"/>
              <w:gridCol w:w="1210"/>
              <w:gridCol w:w="1280"/>
              <w:gridCol w:w="1156"/>
              <w:gridCol w:w="11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tcBorders>
                    <w:tl2br w:val="nil"/>
                    <w:tr2bl w:val="nil"/>
                  </w:tcBorders>
                  <w:vAlign w:val="center"/>
                </w:tcPr>
                <w:p>
                  <w:pPr>
                    <w:pStyle w:val="62"/>
                    <w:rPr>
                      <w:sz w:val="21"/>
                      <w:szCs w:val="21"/>
                    </w:rPr>
                  </w:pPr>
                  <w:r>
                    <w:rPr>
                      <w:sz w:val="21"/>
                      <w:szCs w:val="21"/>
                    </w:rPr>
                    <w:t>污染物</w:t>
                  </w:r>
                </w:p>
              </w:tc>
              <w:tc>
                <w:tcPr>
                  <w:tcW w:w="1683" w:type="pct"/>
                  <w:tcBorders>
                    <w:tl2br w:val="nil"/>
                    <w:tr2bl w:val="nil"/>
                  </w:tcBorders>
                  <w:vAlign w:val="center"/>
                </w:tcPr>
                <w:p>
                  <w:pPr>
                    <w:pStyle w:val="62"/>
                    <w:rPr>
                      <w:sz w:val="21"/>
                      <w:szCs w:val="21"/>
                    </w:rPr>
                  </w:pPr>
                  <w:r>
                    <w:rPr>
                      <w:sz w:val="21"/>
                      <w:szCs w:val="21"/>
                    </w:rPr>
                    <w:t>年评价指标</w:t>
                  </w:r>
                </w:p>
              </w:tc>
              <w:tc>
                <w:tcPr>
                  <w:tcW w:w="721" w:type="pct"/>
                  <w:tcBorders>
                    <w:tl2br w:val="nil"/>
                    <w:tr2bl w:val="nil"/>
                  </w:tcBorders>
                  <w:vAlign w:val="center"/>
                </w:tcPr>
                <w:p>
                  <w:pPr>
                    <w:pStyle w:val="62"/>
                    <w:rPr>
                      <w:sz w:val="21"/>
                      <w:szCs w:val="21"/>
                    </w:rPr>
                  </w:pPr>
                  <w:r>
                    <w:rPr>
                      <w:sz w:val="21"/>
                      <w:szCs w:val="21"/>
                    </w:rPr>
                    <w:t>现状浓度（μg/m</w:t>
                  </w:r>
                  <w:r>
                    <w:rPr>
                      <w:sz w:val="21"/>
                      <w:szCs w:val="21"/>
                      <w:vertAlign w:val="superscript"/>
                    </w:rPr>
                    <w:t>3</w:t>
                  </w:r>
                  <w:r>
                    <w:rPr>
                      <w:sz w:val="21"/>
                      <w:szCs w:val="21"/>
                    </w:rPr>
                    <w:t>）</w:t>
                  </w:r>
                </w:p>
              </w:tc>
              <w:tc>
                <w:tcPr>
                  <w:tcW w:w="763" w:type="pct"/>
                  <w:tcBorders>
                    <w:tl2br w:val="nil"/>
                    <w:tr2bl w:val="nil"/>
                  </w:tcBorders>
                  <w:vAlign w:val="center"/>
                </w:tcPr>
                <w:p>
                  <w:pPr>
                    <w:pStyle w:val="62"/>
                    <w:rPr>
                      <w:sz w:val="21"/>
                      <w:szCs w:val="21"/>
                    </w:rPr>
                  </w:pPr>
                  <w:r>
                    <w:rPr>
                      <w:sz w:val="21"/>
                      <w:szCs w:val="21"/>
                    </w:rPr>
                    <w:t>标准值（μg/m</w:t>
                  </w:r>
                  <w:r>
                    <w:rPr>
                      <w:sz w:val="21"/>
                      <w:szCs w:val="21"/>
                      <w:vertAlign w:val="superscript"/>
                    </w:rPr>
                    <w:t>3</w:t>
                  </w:r>
                  <w:r>
                    <w:rPr>
                      <w:sz w:val="21"/>
                      <w:szCs w:val="21"/>
                    </w:rPr>
                    <w:t>）</w:t>
                  </w:r>
                </w:p>
              </w:tc>
              <w:tc>
                <w:tcPr>
                  <w:tcW w:w="689" w:type="pct"/>
                  <w:tcBorders>
                    <w:tl2br w:val="nil"/>
                    <w:tr2bl w:val="nil"/>
                  </w:tcBorders>
                  <w:vAlign w:val="center"/>
                </w:tcPr>
                <w:p>
                  <w:pPr>
                    <w:pStyle w:val="62"/>
                    <w:rPr>
                      <w:sz w:val="21"/>
                      <w:szCs w:val="21"/>
                    </w:rPr>
                  </w:pPr>
                  <w:r>
                    <w:rPr>
                      <w:sz w:val="21"/>
                      <w:szCs w:val="21"/>
                    </w:rPr>
                    <w:t>占标率/%</w:t>
                  </w:r>
                </w:p>
              </w:tc>
              <w:tc>
                <w:tcPr>
                  <w:tcW w:w="689" w:type="pct"/>
                  <w:tcBorders>
                    <w:tl2br w:val="nil"/>
                    <w:tr2bl w:val="nil"/>
                  </w:tcBorders>
                  <w:vAlign w:val="center"/>
                </w:tcPr>
                <w:p>
                  <w:pPr>
                    <w:pStyle w:val="62"/>
                    <w:rPr>
                      <w:sz w:val="21"/>
                      <w:szCs w:val="21"/>
                    </w:rPr>
                  </w:pPr>
                  <w:r>
                    <w:rPr>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tcBorders>
                    <w:tl2br w:val="nil"/>
                    <w:tr2bl w:val="nil"/>
                  </w:tcBorders>
                  <w:vAlign w:val="center"/>
                </w:tcPr>
                <w:p>
                  <w:pPr>
                    <w:pStyle w:val="62"/>
                    <w:rPr>
                      <w:sz w:val="21"/>
                      <w:szCs w:val="21"/>
                    </w:rPr>
                  </w:pPr>
                  <w:r>
                    <w:rPr>
                      <w:sz w:val="21"/>
                      <w:szCs w:val="21"/>
                    </w:rPr>
                    <w:t>SO</w:t>
                  </w:r>
                  <w:r>
                    <w:rPr>
                      <w:sz w:val="21"/>
                      <w:szCs w:val="21"/>
                      <w:vertAlign w:val="subscript"/>
                    </w:rPr>
                    <w:t>2</w:t>
                  </w:r>
                </w:p>
              </w:tc>
              <w:tc>
                <w:tcPr>
                  <w:tcW w:w="1683" w:type="pct"/>
                  <w:tcBorders>
                    <w:tl2br w:val="nil"/>
                    <w:tr2bl w:val="nil"/>
                  </w:tcBorders>
                  <w:vAlign w:val="center"/>
                </w:tcPr>
                <w:p>
                  <w:pPr>
                    <w:pStyle w:val="62"/>
                    <w:rPr>
                      <w:sz w:val="21"/>
                      <w:szCs w:val="21"/>
                    </w:rPr>
                  </w:pPr>
                  <w:r>
                    <w:rPr>
                      <w:sz w:val="21"/>
                      <w:szCs w:val="21"/>
                    </w:rPr>
                    <w:t>年平均质量浓度</w:t>
                  </w:r>
                </w:p>
              </w:tc>
              <w:tc>
                <w:tcPr>
                  <w:tcW w:w="721" w:type="pct"/>
                  <w:tcBorders>
                    <w:tl2br w:val="nil"/>
                    <w:tr2bl w:val="nil"/>
                  </w:tcBorders>
                  <w:vAlign w:val="center"/>
                </w:tcPr>
                <w:p>
                  <w:pPr>
                    <w:spacing w:line="360" w:lineRule="exact"/>
                    <w:jc w:val="center"/>
                    <w:rPr>
                      <w:szCs w:val="21"/>
                    </w:rPr>
                  </w:pPr>
                  <w:r>
                    <w:rPr>
                      <w:szCs w:val="21"/>
                    </w:rPr>
                    <w:t>6</w:t>
                  </w:r>
                </w:p>
              </w:tc>
              <w:tc>
                <w:tcPr>
                  <w:tcW w:w="763" w:type="pct"/>
                  <w:tcBorders>
                    <w:tl2br w:val="nil"/>
                    <w:tr2bl w:val="nil"/>
                  </w:tcBorders>
                  <w:vAlign w:val="center"/>
                </w:tcPr>
                <w:p>
                  <w:pPr>
                    <w:spacing w:line="360" w:lineRule="exact"/>
                    <w:jc w:val="center"/>
                    <w:rPr>
                      <w:szCs w:val="21"/>
                    </w:rPr>
                  </w:pPr>
                  <w:r>
                    <w:rPr>
                      <w:szCs w:val="21"/>
                    </w:rPr>
                    <w:t>60</w:t>
                  </w:r>
                </w:p>
              </w:tc>
              <w:tc>
                <w:tcPr>
                  <w:tcW w:w="689" w:type="pct"/>
                  <w:tcBorders>
                    <w:tl2br w:val="nil"/>
                    <w:tr2bl w:val="nil"/>
                  </w:tcBorders>
                  <w:vAlign w:val="center"/>
                </w:tcPr>
                <w:p>
                  <w:pPr>
                    <w:spacing w:line="360" w:lineRule="exact"/>
                    <w:jc w:val="center"/>
                    <w:rPr>
                      <w:szCs w:val="21"/>
                    </w:rPr>
                  </w:pPr>
                  <w:r>
                    <w:rPr>
                      <w:szCs w:val="21"/>
                    </w:rPr>
                    <w:t>10</w:t>
                  </w:r>
                </w:p>
              </w:tc>
              <w:tc>
                <w:tcPr>
                  <w:tcW w:w="689" w:type="pct"/>
                  <w:tcBorders>
                    <w:tl2br w:val="nil"/>
                    <w:tr2bl w:val="nil"/>
                  </w:tcBorders>
                  <w:vAlign w:val="center"/>
                </w:tcPr>
                <w:p>
                  <w:pPr>
                    <w:spacing w:line="360" w:lineRule="exact"/>
                    <w:jc w:val="center"/>
                    <w:rPr>
                      <w:szCs w:val="21"/>
                    </w:rPr>
                  </w:pPr>
                  <w:r>
                    <w:rPr>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tcBorders>
                    <w:tl2br w:val="nil"/>
                    <w:tr2bl w:val="nil"/>
                  </w:tcBorders>
                  <w:vAlign w:val="center"/>
                </w:tcPr>
                <w:p>
                  <w:pPr>
                    <w:pStyle w:val="62"/>
                    <w:rPr>
                      <w:sz w:val="21"/>
                      <w:szCs w:val="21"/>
                    </w:rPr>
                  </w:pPr>
                  <w:r>
                    <w:rPr>
                      <w:sz w:val="21"/>
                      <w:szCs w:val="21"/>
                    </w:rPr>
                    <w:t>NO</w:t>
                  </w:r>
                  <w:r>
                    <w:rPr>
                      <w:sz w:val="21"/>
                      <w:szCs w:val="21"/>
                      <w:vertAlign w:val="subscript"/>
                    </w:rPr>
                    <w:t>2</w:t>
                  </w:r>
                </w:p>
              </w:tc>
              <w:tc>
                <w:tcPr>
                  <w:tcW w:w="1683" w:type="pct"/>
                  <w:tcBorders>
                    <w:tl2br w:val="nil"/>
                    <w:tr2bl w:val="nil"/>
                  </w:tcBorders>
                  <w:vAlign w:val="center"/>
                </w:tcPr>
                <w:p>
                  <w:pPr>
                    <w:pStyle w:val="62"/>
                    <w:rPr>
                      <w:sz w:val="21"/>
                      <w:szCs w:val="21"/>
                    </w:rPr>
                  </w:pPr>
                  <w:r>
                    <w:rPr>
                      <w:sz w:val="21"/>
                      <w:szCs w:val="21"/>
                    </w:rPr>
                    <w:t>年平均质量浓度</w:t>
                  </w:r>
                </w:p>
              </w:tc>
              <w:tc>
                <w:tcPr>
                  <w:tcW w:w="721" w:type="pct"/>
                  <w:tcBorders>
                    <w:tl2br w:val="nil"/>
                    <w:tr2bl w:val="nil"/>
                  </w:tcBorders>
                  <w:vAlign w:val="center"/>
                </w:tcPr>
                <w:p>
                  <w:pPr>
                    <w:spacing w:line="360" w:lineRule="exact"/>
                    <w:jc w:val="center"/>
                    <w:rPr>
                      <w:szCs w:val="21"/>
                    </w:rPr>
                  </w:pPr>
                  <w:r>
                    <w:rPr>
                      <w:szCs w:val="21"/>
                    </w:rPr>
                    <w:t>29</w:t>
                  </w:r>
                </w:p>
              </w:tc>
              <w:tc>
                <w:tcPr>
                  <w:tcW w:w="763" w:type="pct"/>
                  <w:tcBorders>
                    <w:tl2br w:val="nil"/>
                    <w:tr2bl w:val="nil"/>
                  </w:tcBorders>
                  <w:vAlign w:val="center"/>
                </w:tcPr>
                <w:p>
                  <w:pPr>
                    <w:spacing w:line="360" w:lineRule="exact"/>
                    <w:jc w:val="center"/>
                    <w:rPr>
                      <w:szCs w:val="21"/>
                    </w:rPr>
                  </w:pPr>
                  <w:r>
                    <w:rPr>
                      <w:szCs w:val="21"/>
                    </w:rPr>
                    <w:t>40</w:t>
                  </w:r>
                </w:p>
              </w:tc>
              <w:tc>
                <w:tcPr>
                  <w:tcW w:w="689" w:type="pct"/>
                  <w:tcBorders>
                    <w:tl2br w:val="nil"/>
                    <w:tr2bl w:val="nil"/>
                  </w:tcBorders>
                  <w:vAlign w:val="center"/>
                </w:tcPr>
                <w:p>
                  <w:pPr>
                    <w:spacing w:line="360" w:lineRule="exact"/>
                    <w:jc w:val="center"/>
                    <w:rPr>
                      <w:szCs w:val="21"/>
                    </w:rPr>
                  </w:pPr>
                  <w:r>
                    <w:rPr>
                      <w:szCs w:val="21"/>
                    </w:rPr>
                    <w:t>72.5</w:t>
                  </w:r>
                </w:p>
              </w:tc>
              <w:tc>
                <w:tcPr>
                  <w:tcW w:w="689" w:type="pct"/>
                  <w:tcBorders>
                    <w:tl2br w:val="nil"/>
                    <w:tr2bl w:val="nil"/>
                  </w:tcBorders>
                  <w:vAlign w:val="center"/>
                </w:tcPr>
                <w:p>
                  <w:pPr>
                    <w:spacing w:line="360" w:lineRule="exact"/>
                    <w:jc w:val="center"/>
                    <w:rPr>
                      <w:szCs w:val="21"/>
                    </w:rPr>
                  </w:pPr>
                  <w:r>
                    <w:rPr>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54" w:type="pct"/>
                  <w:tcBorders>
                    <w:tl2br w:val="nil"/>
                    <w:tr2bl w:val="nil"/>
                  </w:tcBorders>
                  <w:vAlign w:val="center"/>
                </w:tcPr>
                <w:p>
                  <w:pPr>
                    <w:pStyle w:val="62"/>
                    <w:rPr>
                      <w:sz w:val="21"/>
                      <w:szCs w:val="21"/>
                    </w:rPr>
                  </w:pPr>
                  <w:r>
                    <w:rPr>
                      <w:sz w:val="21"/>
                      <w:szCs w:val="21"/>
                    </w:rPr>
                    <w:t>PM</w:t>
                  </w:r>
                  <w:r>
                    <w:rPr>
                      <w:sz w:val="21"/>
                      <w:szCs w:val="21"/>
                      <w:vertAlign w:val="subscript"/>
                    </w:rPr>
                    <w:t>10</w:t>
                  </w:r>
                </w:p>
              </w:tc>
              <w:tc>
                <w:tcPr>
                  <w:tcW w:w="1683" w:type="pct"/>
                  <w:tcBorders>
                    <w:tl2br w:val="nil"/>
                    <w:tr2bl w:val="nil"/>
                  </w:tcBorders>
                  <w:vAlign w:val="center"/>
                </w:tcPr>
                <w:p>
                  <w:pPr>
                    <w:pStyle w:val="62"/>
                    <w:rPr>
                      <w:sz w:val="21"/>
                      <w:szCs w:val="21"/>
                    </w:rPr>
                  </w:pPr>
                  <w:r>
                    <w:rPr>
                      <w:sz w:val="21"/>
                      <w:szCs w:val="21"/>
                    </w:rPr>
                    <w:t>年平均质量浓度</w:t>
                  </w:r>
                </w:p>
              </w:tc>
              <w:tc>
                <w:tcPr>
                  <w:tcW w:w="721" w:type="pct"/>
                  <w:tcBorders>
                    <w:tl2br w:val="nil"/>
                    <w:tr2bl w:val="nil"/>
                  </w:tcBorders>
                  <w:vAlign w:val="center"/>
                </w:tcPr>
                <w:p>
                  <w:pPr>
                    <w:spacing w:line="360" w:lineRule="exact"/>
                    <w:jc w:val="center"/>
                    <w:rPr>
                      <w:spacing w:val="-10"/>
                      <w:szCs w:val="21"/>
                    </w:rPr>
                  </w:pPr>
                  <w:r>
                    <w:rPr>
                      <w:spacing w:val="-10"/>
                      <w:szCs w:val="21"/>
                    </w:rPr>
                    <w:t>77</w:t>
                  </w:r>
                </w:p>
              </w:tc>
              <w:tc>
                <w:tcPr>
                  <w:tcW w:w="763" w:type="pct"/>
                  <w:tcBorders>
                    <w:tl2br w:val="nil"/>
                    <w:tr2bl w:val="nil"/>
                  </w:tcBorders>
                  <w:vAlign w:val="center"/>
                </w:tcPr>
                <w:p>
                  <w:pPr>
                    <w:spacing w:line="360" w:lineRule="exact"/>
                    <w:jc w:val="center"/>
                    <w:rPr>
                      <w:spacing w:val="-10"/>
                      <w:szCs w:val="21"/>
                    </w:rPr>
                  </w:pPr>
                  <w:r>
                    <w:rPr>
                      <w:spacing w:val="-10"/>
                      <w:szCs w:val="21"/>
                    </w:rPr>
                    <w:t>70</w:t>
                  </w:r>
                </w:p>
              </w:tc>
              <w:tc>
                <w:tcPr>
                  <w:tcW w:w="689" w:type="pct"/>
                  <w:tcBorders>
                    <w:tl2br w:val="nil"/>
                    <w:tr2bl w:val="nil"/>
                  </w:tcBorders>
                  <w:vAlign w:val="center"/>
                </w:tcPr>
                <w:p>
                  <w:pPr>
                    <w:spacing w:line="360" w:lineRule="exact"/>
                    <w:jc w:val="center"/>
                    <w:rPr>
                      <w:spacing w:val="-10"/>
                      <w:szCs w:val="21"/>
                    </w:rPr>
                  </w:pPr>
                  <w:r>
                    <w:rPr>
                      <w:spacing w:val="-10"/>
                      <w:szCs w:val="21"/>
                    </w:rPr>
                    <w:t>110</w:t>
                  </w:r>
                </w:p>
              </w:tc>
              <w:tc>
                <w:tcPr>
                  <w:tcW w:w="689" w:type="pct"/>
                  <w:tcBorders>
                    <w:tl2br w:val="nil"/>
                    <w:tr2bl w:val="nil"/>
                  </w:tcBorders>
                  <w:vAlign w:val="center"/>
                </w:tcPr>
                <w:p>
                  <w:pPr>
                    <w:spacing w:line="360" w:lineRule="exact"/>
                    <w:jc w:val="center"/>
                    <w:rPr>
                      <w:szCs w:val="21"/>
                    </w:rPr>
                  </w:pPr>
                  <w:r>
                    <w:rPr>
                      <w:szCs w:val="21"/>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tcBorders>
                    <w:tl2br w:val="nil"/>
                    <w:tr2bl w:val="nil"/>
                  </w:tcBorders>
                  <w:vAlign w:val="center"/>
                </w:tcPr>
                <w:p>
                  <w:pPr>
                    <w:pStyle w:val="62"/>
                    <w:rPr>
                      <w:sz w:val="21"/>
                      <w:szCs w:val="21"/>
                    </w:rPr>
                  </w:pPr>
                  <w:r>
                    <w:rPr>
                      <w:sz w:val="21"/>
                      <w:szCs w:val="21"/>
                    </w:rPr>
                    <w:t>PM</w:t>
                  </w:r>
                  <w:r>
                    <w:rPr>
                      <w:sz w:val="21"/>
                      <w:szCs w:val="21"/>
                      <w:vertAlign w:val="subscript"/>
                    </w:rPr>
                    <w:t>2.5</w:t>
                  </w:r>
                </w:p>
              </w:tc>
              <w:tc>
                <w:tcPr>
                  <w:tcW w:w="1683" w:type="pct"/>
                  <w:tcBorders>
                    <w:tl2br w:val="nil"/>
                    <w:tr2bl w:val="nil"/>
                  </w:tcBorders>
                  <w:vAlign w:val="center"/>
                </w:tcPr>
                <w:p>
                  <w:pPr>
                    <w:pStyle w:val="62"/>
                    <w:rPr>
                      <w:sz w:val="21"/>
                      <w:szCs w:val="21"/>
                    </w:rPr>
                  </w:pPr>
                  <w:r>
                    <w:rPr>
                      <w:sz w:val="21"/>
                      <w:szCs w:val="21"/>
                    </w:rPr>
                    <w:t>年平均质量浓度</w:t>
                  </w:r>
                </w:p>
              </w:tc>
              <w:tc>
                <w:tcPr>
                  <w:tcW w:w="721" w:type="pct"/>
                  <w:tcBorders>
                    <w:tl2br w:val="nil"/>
                    <w:tr2bl w:val="nil"/>
                  </w:tcBorders>
                  <w:vAlign w:val="center"/>
                </w:tcPr>
                <w:p>
                  <w:pPr>
                    <w:spacing w:line="360" w:lineRule="exact"/>
                    <w:jc w:val="center"/>
                    <w:rPr>
                      <w:szCs w:val="21"/>
                    </w:rPr>
                  </w:pPr>
                  <w:r>
                    <w:rPr>
                      <w:szCs w:val="21"/>
                    </w:rPr>
                    <w:t>43</w:t>
                  </w:r>
                </w:p>
              </w:tc>
              <w:tc>
                <w:tcPr>
                  <w:tcW w:w="763" w:type="pct"/>
                  <w:tcBorders>
                    <w:tl2br w:val="nil"/>
                    <w:tr2bl w:val="nil"/>
                  </w:tcBorders>
                  <w:vAlign w:val="center"/>
                </w:tcPr>
                <w:p>
                  <w:pPr>
                    <w:spacing w:line="360" w:lineRule="exact"/>
                    <w:jc w:val="center"/>
                    <w:rPr>
                      <w:szCs w:val="21"/>
                    </w:rPr>
                  </w:pPr>
                  <w:r>
                    <w:rPr>
                      <w:szCs w:val="21"/>
                    </w:rPr>
                    <w:t>35</w:t>
                  </w:r>
                </w:p>
              </w:tc>
              <w:tc>
                <w:tcPr>
                  <w:tcW w:w="689" w:type="pct"/>
                  <w:tcBorders>
                    <w:tl2br w:val="nil"/>
                    <w:tr2bl w:val="nil"/>
                  </w:tcBorders>
                  <w:vAlign w:val="center"/>
                </w:tcPr>
                <w:p>
                  <w:pPr>
                    <w:spacing w:line="360" w:lineRule="exact"/>
                    <w:jc w:val="center"/>
                    <w:rPr>
                      <w:szCs w:val="21"/>
                    </w:rPr>
                  </w:pPr>
                  <w:r>
                    <w:rPr>
                      <w:szCs w:val="21"/>
                    </w:rPr>
                    <w:t>122</w:t>
                  </w:r>
                </w:p>
              </w:tc>
              <w:tc>
                <w:tcPr>
                  <w:tcW w:w="689" w:type="pct"/>
                  <w:tcBorders>
                    <w:tl2br w:val="nil"/>
                    <w:tr2bl w:val="nil"/>
                  </w:tcBorders>
                  <w:vAlign w:val="center"/>
                </w:tcPr>
                <w:p>
                  <w:pPr>
                    <w:spacing w:line="360" w:lineRule="exact"/>
                    <w:jc w:val="center"/>
                    <w:rPr>
                      <w:szCs w:val="21"/>
                    </w:rPr>
                  </w:pPr>
                  <w:r>
                    <w:rPr>
                      <w:szCs w:val="21"/>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4" w:type="pct"/>
                  <w:tcBorders>
                    <w:tl2br w:val="nil"/>
                    <w:tr2bl w:val="nil"/>
                  </w:tcBorders>
                  <w:vAlign w:val="center"/>
                </w:tcPr>
                <w:p>
                  <w:pPr>
                    <w:pStyle w:val="62"/>
                    <w:rPr>
                      <w:sz w:val="21"/>
                      <w:szCs w:val="21"/>
                    </w:rPr>
                  </w:pPr>
                  <w:r>
                    <w:rPr>
                      <w:sz w:val="21"/>
                      <w:szCs w:val="21"/>
                    </w:rPr>
                    <w:t>CO</w:t>
                  </w:r>
                </w:p>
              </w:tc>
              <w:tc>
                <w:tcPr>
                  <w:tcW w:w="1683" w:type="pct"/>
                  <w:tcBorders>
                    <w:tl2br w:val="nil"/>
                    <w:tr2bl w:val="nil"/>
                  </w:tcBorders>
                  <w:vAlign w:val="center"/>
                </w:tcPr>
                <w:p>
                  <w:pPr>
                    <w:pStyle w:val="62"/>
                    <w:rPr>
                      <w:sz w:val="21"/>
                      <w:szCs w:val="21"/>
                    </w:rPr>
                  </w:pPr>
                  <w:r>
                    <w:rPr>
                      <w:sz w:val="21"/>
                      <w:szCs w:val="21"/>
                    </w:rPr>
                    <w:t>24小时平均第95百分位数浓度</w:t>
                  </w:r>
                </w:p>
              </w:tc>
              <w:tc>
                <w:tcPr>
                  <w:tcW w:w="721" w:type="pct"/>
                  <w:tcBorders>
                    <w:tl2br w:val="nil"/>
                    <w:tr2bl w:val="nil"/>
                  </w:tcBorders>
                  <w:vAlign w:val="center"/>
                </w:tcPr>
                <w:p>
                  <w:pPr>
                    <w:spacing w:line="360" w:lineRule="exact"/>
                    <w:jc w:val="center"/>
                    <w:rPr>
                      <w:szCs w:val="21"/>
                    </w:rPr>
                  </w:pPr>
                  <w:r>
                    <w:rPr>
                      <w:szCs w:val="21"/>
                    </w:rPr>
                    <w:t>1.1mg/m</w:t>
                  </w:r>
                  <w:r>
                    <w:rPr>
                      <w:szCs w:val="21"/>
                      <w:vertAlign w:val="superscript"/>
                    </w:rPr>
                    <w:t>3</w:t>
                  </w:r>
                </w:p>
              </w:tc>
              <w:tc>
                <w:tcPr>
                  <w:tcW w:w="763" w:type="pct"/>
                  <w:tcBorders>
                    <w:tl2br w:val="nil"/>
                    <w:tr2bl w:val="nil"/>
                  </w:tcBorders>
                  <w:vAlign w:val="center"/>
                </w:tcPr>
                <w:p>
                  <w:pPr>
                    <w:spacing w:line="360" w:lineRule="exact"/>
                    <w:jc w:val="center"/>
                    <w:rPr>
                      <w:szCs w:val="21"/>
                    </w:rPr>
                  </w:pPr>
                  <w:r>
                    <w:rPr>
                      <w:szCs w:val="21"/>
                    </w:rPr>
                    <w:t>4mg/m</w:t>
                  </w:r>
                  <w:r>
                    <w:rPr>
                      <w:szCs w:val="21"/>
                      <w:vertAlign w:val="superscript"/>
                    </w:rPr>
                    <w:t>3</w:t>
                  </w:r>
                </w:p>
              </w:tc>
              <w:tc>
                <w:tcPr>
                  <w:tcW w:w="689" w:type="pct"/>
                  <w:tcBorders>
                    <w:tl2br w:val="nil"/>
                    <w:tr2bl w:val="nil"/>
                  </w:tcBorders>
                  <w:vAlign w:val="center"/>
                </w:tcPr>
                <w:p>
                  <w:pPr>
                    <w:spacing w:line="360" w:lineRule="exact"/>
                    <w:jc w:val="center"/>
                    <w:rPr>
                      <w:szCs w:val="21"/>
                    </w:rPr>
                  </w:pPr>
                  <w:r>
                    <w:rPr>
                      <w:szCs w:val="21"/>
                    </w:rPr>
                    <w:t>27.5</w:t>
                  </w:r>
                </w:p>
              </w:tc>
              <w:tc>
                <w:tcPr>
                  <w:tcW w:w="689" w:type="pct"/>
                  <w:tcBorders>
                    <w:tl2br w:val="nil"/>
                    <w:tr2bl w:val="nil"/>
                  </w:tcBorders>
                  <w:vAlign w:val="center"/>
                </w:tcPr>
                <w:p>
                  <w:pPr>
                    <w:spacing w:line="360" w:lineRule="exact"/>
                    <w:jc w:val="center"/>
                    <w:rPr>
                      <w:szCs w:val="21"/>
                    </w:rPr>
                  </w:pPr>
                  <w:r>
                    <w:rPr>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54" w:type="pct"/>
                  <w:tcBorders>
                    <w:tl2br w:val="nil"/>
                    <w:tr2bl w:val="nil"/>
                  </w:tcBorders>
                  <w:vAlign w:val="center"/>
                </w:tcPr>
                <w:p>
                  <w:pPr>
                    <w:pStyle w:val="62"/>
                    <w:rPr>
                      <w:sz w:val="21"/>
                      <w:szCs w:val="21"/>
                    </w:rPr>
                  </w:pPr>
                  <w:r>
                    <w:rPr>
                      <w:sz w:val="21"/>
                      <w:szCs w:val="21"/>
                    </w:rPr>
                    <w:t>O</w:t>
                  </w:r>
                  <w:r>
                    <w:rPr>
                      <w:sz w:val="21"/>
                      <w:szCs w:val="21"/>
                      <w:vertAlign w:val="subscript"/>
                    </w:rPr>
                    <w:t>3</w:t>
                  </w:r>
                </w:p>
              </w:tc>
              <w:tc>
                <w:tcPr>
                  <w:tcW w:w="1683" w:type="pct"/>
                  <w:tcBorders>
                    <w:tl2br w:val="nil"/>
                    <w:tr2bl w:val="nil"/>
                  </w:tcBorders>
                  <w:vAlign w:val="center"/>
                </w:tcPr>
                <w:p>
                  <w:pPr>
                    <w:pStyle w:val="62"/>
                    <w:rPr>
                      <w:sz w:val="21"/>
                      <w:szCs w:val="21"/>
                    </w:rPr>
                  </w:pPr>
                  <w:r>
                    <w:rPr>
                      <w:sz w:val="21"/>
                      <w:szCs w:val="21"/>
                    </w:rPr>
                    <w:t>日最大8小时滑动平均值第90百分位数浓度</w:t>
                  </w:r>
                </w:p>
              </w:tc>
              <w:tc>
                <w:tcPr>
                  <w:tcW w:w="721" w:type="pct"/>
                  <w:tcBorders>
                    <w:tl2br w:val="nil"/>
                    <w:tr2bl w:val="nil"/>
                  </w:tcBorders>
                  <w:vAlign w:val="center"/>
                </w:tcPr>
                <w:p>
                  <w:pPr>
                    <w:spacing w:line="360" w:lineRule="exact"/>
                    <w:jc w:val="center"/>
                    <w:rPr>
                      <w:szCs w:val="21"/>
                    </w:rPr>
                  </w:pPr>
                  <w:r>
                    <w:rPr>
                      <w:szCs w:val="21"/>
                    </w:rPr>
                    <w:t>172</w:t>
                  </w:r>
                </w:p>
              </w:tc>
              <w:tc>
                <w:tcPr>
                  <w:tcW w:w="763" w:type="pct"/>
                  <w:tcBorders>
                    <w:tl2br w:val="nil"/>
                    <w:tr2bl w:val="nil"/>
                  </w:tcBorders>
                  <w:vAlign w:val="center"/>
                </w:tcPr>
                <w:p>
                  <w:pPr>
                    <w:spacing w:line="360" w:lineRule="exact"/>
                    <w:jc w:val="center"/>
                    <w:rPr>
                      <w:szCs w:val="21"/>
                    </w:rPr>
                  </w:pPr>
                  <w:r>
                    <w:rPr>
                      <w:szCs w:val="21"/>
                    </w:rPr>
                    <w:t>160</w:t>
                  </w:r>
                </w:p>
              </w:tc>
              <w:tc>
                <w:tcPr>
                  <w:tcW w:w="689" w:type="pct"/>
                  <w:tcBorders>
                    <w:tl2br w:val="nil"/>
                    <w:tr2bl w:val="nil"/>
                  </w:tcBorders>
                  <w:vAlign w:val="center"/>
                </w:tcPr>
                <w:p>
                  <w:pPr>
                    <w:spacing w:line="360" w:lineRule="exact"/>
                    <w:jc w:val="center"/>
                    <w:rPr>
                      <w:szCs w:val="21"/>
                    </w:rPr>
                  </w:pPr>
                  <w:r>
                    <w:rPr>
                      <w:szCs w:val="21"/>
                    </w:rPr>
                    <w:t>107.5</w:t>
                  </w:r>
                </w:p>
              </w:tc>
              <w:tc>
                <w:tcPr>
                  <w:tcW w:w="689" w:type="pct"/>
                  <w:tcBorders>
                    <w:tl2br w:val="nil"/>
                    <w:tr2bl w:val="nil"/>
                  </w:tcBorders>
                  <w:vAlign w:val="center"/>
                </w:tcPr>
                <w:p>
                  <w:pPr>
                    <w:spacing w:line="360" w:lineRule="exact"/>
                    <w:jc w:val="center"/>
                    <w:rPr>
                      <w:szCs w:val="21"/>
                    </w:rPr>
                  </w:pPr>
                  <w:r>
                    <w:rPr>
                      <w:szCs w:val="21"/>
                    </w:rPr>
                    <w:t>不达标</w:t>
                  </w:r>
                </w:p>
              </w:tc>
            </w:tr>
          </w:tbl>
          <w:p>
            <w:pPr>
              <w:pStyle w:val="51"/>
              <w:ind w:firstLine="480"/>
            </w:pPr>
            <w:r>
              <w:t>由上表可知，SO</w:t>
            </w:r>
            <w:r>
              <w:rPr>
                <w:vertAlign w:val="subscript"/>
              </w:rPr>
              <w:t>2</w:t>
            </w:r>
            <w:r>
              <w:t>、NO</w:t>
            </w:r>
            <w:r>
              <w:rPr>
                <w:vertAlign w:val="subscript"/>
              </w:rPr>
              <w:t>2</w:t>
            </w:r>
            <w:r>
              <w:t>年均质量浓度</w:t>
            </w:r>
            <w:r>
              <w:rPr>
                <w:rFonts w:hint="eastAsia"/>
              </w:rPr>
              <w:t>、</w:t>
            </w:r>
            <w:r>
              <w:t>CO24小时平均第95百分位数浓度满足《环境空气质量标准》（GB3095-2012）二级标准；PM</w:t>
            </w:r>
            <w:r>
              <w:rPr>
                <w:vertAlign w:val="subscript"/>
              </w:rPr>
              <w:t>10</w:t>
            </w:r>
            <w:r>
              <w:t>、PM</w:t>
            </w:r>
            <w:r>
              <w:rPr>
                <w:vertAlign w:val="subscript"/>
              </w:rPr>
              <w:t>2.5</w:t>
            </w:r>
            <w:r>
              <w:t>的年均浓度</w:t>
            </w:r>
            <w:r>
              <w:rPr>
                <w:rFonts w:hint="eastAsia"/>
              </w:rPr>
              <w:t>和</w:t>
            </w:r>
            <w:r>
              <w:t>O</w:t>
            </w:r>
            <w:r>
              <w:rPr>
                <w:vertAlign w:val="subscript"/>
              </w:rPr>
              <w:t>3</w:t>
            </w:r>
            <w:r>
              <w:t>日最大8小时滑动平均值第90百分位数浓度超过《环境空气质量标准》（GB3095-2012）二级标准。因此，洛阳市为不达标区。</w:t>
            </w:r>
          </w:p>
          <w:p>
            <w:pPr>
              <w:spacing w:line="520" w:lineRule="exact"/>
              <w:ind w:firstLine="480" w:firstLineChars="200"/>
              <w:rPr>
                <w:rFonts w:ascii="宋体" w:hAnsi="宋体" w:cs="宋体"/>
                <w:sz w:val="24"/>
              </w:rPr>
            </w:pPr>
            <w:r>
              <w:rPr>
                <w:rFonts w:hint="eastAsia"/>
                <w:sz w:val="24"/>
              </w:rPr>
              <w:t>（2）</w:t>
            </w:r>
            <w:r>
              <w:rPr>
                <w:rFonts w:hint="eastAsia" w:ascii="宋体" w:hAnsi="宋体" w:cs="宋体"/>
                <w:sz w:val="24"/>
              </w:rPr>
              <w:t xml:space="preserve">环境质量改善计划 </w:t>
            </w:r>
          </w:p>
          <w:p>
            <w:pPr>
              <w:pStyle w:val="51"/>
              <w:ind w:firstLine="480"/>
            </w:pPr>
            <w:r>
              <w:rPr>
                <w:rFonts w:hint="eastAsia"/>
              </w:rPr>
              <w:t>目</w:t>
            </w:r>
            <w:r>
              <w:t>前</w:t>
            </w:r>
            <w:r>
              <w:rPr>
                <w:rFonts w:hint="eastAsia"/>
              </w:rPr>
              <w:t>偃师区出台了《偃师区2022年大气、水、土壤污染防治攻坚战及农业农村污染治理攻坚战实施方案》偃环攻坚办〔2022〕8号</w:t>
            </w:r>
            <w:r>
              <w:t>等措施，</w:t>
            </w:r>
            <w:r>
              <w:rPr>
                <w:rFonts w:hint="eastAsia"/>
              </w:rPr>
              <w:t>将不断</w:t>
            </w:r>
            <w:r>
              <w:t>改善区域大气环境质量</w:t>
            </w:r>
            <w:r>
              <w:rPr>
                <w:rFonts w:hint="eastAsia"/>
              </w:rPr>
              <w:t>。</w:t>
            </w:r>
          </w:p>
          <w:p>
            <w:pPr>
              <w:pStyle w:val="51"/>
              <w:ind w:firstLine="480"/>
            </w:pPr>
            <w:r>
              <w:rPr>
                <w:rFonts w:hint="eastAsia"/>
              </w:rPr>
              <w:t>环境空气质量改善目标：</w:t>
            </w:r>
          </w:p>
          <w:p>
            <w:pPr>
              <w:pStyle w:val="51"/>
              <w:ind w:firstLine="480"/>
            </w:pPr>
            <w:r>
              <w:rPr>
                <w:rFonts w:hint="eastAsia"/>
              </w:rPr>
              <w:t>全区环境空气质量改善目标：可吸入颗粒物（PM</w:t>
            </w:r>
            <w:r>
              <w:rPr>
                <w:rFonts w:hint="eastAsia"/>
                <w:vertAlign w:val="subscript"/>
              </w:rPr>
              <w:t>10</w:t>
            </w:r>
            <w:r>
              <w:rPr>
                <w:rFonts w:hint="eastAsia"/>
              </w:rPr>
              <w:t>）平均浓度控制在86微克/立方米以下，细颗粒物（PM</w:t>
            </w:r>
            <w:r>
              <w:rPr>
                <w:rFonts w:hint="eastAsia"/>
                <w:vertAlign w:val="subscript"/>
              </w:rPr>
              <w:t>2.5</w:t>
            </w:r>
            <w:r>
              <w:rPr>
                <w:rFonts w:hint="eastAsia"/>
              </w:rPr>
              <w:t>）平均浓度控制在43微克/立方米以下，优良天数237天，重度及以上污染天数目标值5天，5-9月臭氧超标天数目标值52天。</w:t>
            </w:r>
          </w:p>
          <w:p>
            <w:pPr>
              <w:spacing w:line="520" w:lineRule="exact"/>
              <w:rPr>
                <w:sz w:val="24"/>
              </w:rPr>
            </w:pPr>
            <w:r>
              <w:rPr>
                <w:rFonts w:hint="eastAsia"/>
                <w:sz w:val="24"/>
              </w:rPr>
              <w:t>1.2</w:t>
            </w:r>
            <w:r>
              <w:rPr>
                <w:sz w:val="24"/>
              </w:rPr>
              <w:t>其他污染物环境质量现状</w:t>
            </w:r>
          </w:p>
          <w:p>
            <w:pPr>
              <w:pStyle w:val="51"/>
              <w:ind w:firstLine="480"/>
            </w:pPr>
            <w:r>
              <w:t>为了解建设项目所在区域环境空气质量现状，本次评价引用偃师市金天物资回收有限公司委托河南松筠检测技术有限公司对项目周边的环境空气质量进行了检测，检测时间为2020年11月8日~11月14日，检测因子为非甲烷总烃。</w:t>
            </w:r>
          </w:p>
          <w:p>
            <w:pPr>
              <w:pStyle w:val="99"/>
              <w:numPr>
                <w:ilvl w:val="0"/>
                <w:numId w:val="1"/>
              </w:numPr>
              <w:ind w:firstLineChars="0"/>
            </w:pPr>
            <w:r>
              <w:t>测点位</w:t>
            </w:r>
          </w:p>
          <w:p>
            <w:pPr>
              <w:pStyle w:val="99"/>
              <w:ind w:firstLine="480"/>
            </w:pPr>
            <w:r>
              <w:t>监测点位基本信息见表</w:t>
            </w:r>
            <w:r>
              <w:rPr>
                <w:rFonts w:hint="eastAsia"/>
              </w:rPr>
              <w:t>15</w:t>
            </w:r>
            <w:r>
              <w:t>，监测点位图见附图</w:t>
            </w:r>
            <w:r>
              <w:rPr>
                <w:rFonts w:hint="eastAsia"/>
              </w:rPr>
              <w:t>九</w:t>
            </w:r>
            <w:r>
              <w:t>。</w:t>
            </w:r>
          </w:p>
          <w:p>
            <w:pPr>
              <w:pStyle w:val="53"/>
              <w:ind w:firstLine="480"/>
            </w:pPr>
            <w:r>
              <w:t>表</w:t>
            </w:r>
            <w:r>
              <w:rPr>
                <w:rFonts w:hint="eastAsia"/>
              </w:rPr>
              <w:t>15</w:t>
            </w:r>
            <w:r>
              <w:t xml:space="preserve">                监测点位基本信息</w:t>
            </w:r>
          </w:p>
          <w:tbl>
            <w:tblPr>
              <w:tblStyle w:val="2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35"/>
              <w:gridCol w:w="1131"/>
              <w:gridCol w:w="862"/>
              <w:gridCol w:w="862"/>
              <w:gridCol w:w="1295"/>
              <w:gridCol w:w="1582"/>
              <w:gridCol w:w="1146"/>
              <w:gridCol w:w="10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259" w:type="pct"/>
                  <w:vMerge w:val="restart"/>
                  <w:vAlign w:val="center"/>
                </w:tcPr>
                <w:p>
                  <w:pPr>
                    <w:pStyle w:val="68"/>
                    <w:rPr>
                      <w:szCs w:val="22"/>
                    </w:rPr>
                  </w:pPr>
                  <w:r>
                    <w:rPr>
                      <w:szCs w:val="22"/>
                    </w:rPr>
                    <w:t>编号</w:t>
                  </w:r>
                </w:p>
              </w:tc>
              <w:tc>
                <w:tcPr>
                  <w:tcW w:w="674" w:type="pct"/>
                  <w:vMerge w:val="restart"/>
                  <w:vAlign w:val="center"/>
                </w:tcPr>
                <w:p>
                  <w:pPr>
                    <w:pStyle w:val="68"/>
                    <w:rPr>
                      <w:szCs w:val="22"/>
                    </w:rPr>
                  </w:pPr>
                  <w:r>
                    <w:rPr>
                      <w:szCs w:val="22"/>
                    </w:rPr>
                    <w:t>监测点名称</w:t>
                  </w:r>
                </w:p>
              </w:tc>
              <w:tc>
                <w:tcPr>
                  <w:tcW w:w="1028" w:type="pct"/>
                  <w:gridSpan w:val="2"/>
                  <w:vAlign w:val="center"/>
                </w:tcPr>
                <w:p>
                  <w:pPr>
                    <w:pStyle w:val="68"/>
                    <w:rPr>
                      <w:szCs w:val="22"/>
                    </w:rPr>
                  </w:pPr>
                  <w:r>
                    <w:rPr>
                      <w:szCs w:val="22"/>
                    </w:rPr>
                    <w:t>监测点坐标</w:t>
                  </w:r>
                </w:p>
              </w:tc>
              <w:tc>
                <w:tcPr>
                  <w:tcW w:w="772" w:type="pct"/>
                  <w:vMerge w:val="restart"/>
                  <w:vAlign w:val="center"/>
                </w:tcPr>
                <w:p>
                  <w:pPr>
                    <w:pStyle w:val="68"/>
                    <w:rPr>
                      <w:szCs w:val="22"/>
                    </w:rPr>
                  </w:pPr>
                  <w:r>
                    <w:rPr>
                      <w:szCs w:val="22"/>
                    </w:rPr>
                    <w:t>监测因子</w:t>
                  </w:r>
                </w:p>
              </w:tc>
              <w:tc>
                <w:tcPr>
                  <w:tcW w:w="943" w:type="pct"/>
                  <w:vMerge w:val="restart"/>
                  <w:vAlign w:val="center"/>
                </w:tcPr>
                <w:p>
                  <w:pPr>
                    <w:pStyle w:val="68"/>
                    <w:rPr>
                      <w:szCs w:val="22"/>
                    </w:rPr>
                  </w:pPr>
                  <w:r>
                    <w:rPr>
                      <w:szCs w:val="22"/>
                    </w:rPr>
                    <w:t>监测时段</w:t>
                  </w:r>
                </w:p>
              </w:tc>
              <w:tc>
                <w:tcPr>
                  <w:tcW w:w="683" w:type="pct"/>
                  <w:vMerge w:val="restart"/>
                  <w:vAlign w:val="center"/>
                </w:tcPr>
                <w:p>
                  <w:pPr>
                    <w:pStyle w:val="68"/>
                    <w:rPr>
                      <w:szCs w:val="22"/>
                    </w:rPr>
                  </w:pPr>
                  <w:r>
                    <w:rPr>
                      <w:szCs w:val="22"/>
                    </w:rPr>
                    <w:t>相对站址方位</w:t>
                  </w:r>
                </w:p>
              </w:tc>
              <w:tc>
                <w:tcPr>
                  <w:tcW w:w="641" w:type="pct"/>
                  <w:vMerge w:val="restart"/>
                  <w:vAlign w:val="center"/>
                </w:tcPr>
                <w:p>
                  <w:pPr>
                    <w:pStyle w:val="68"/>
                    <w:rPr>
                      <w:szCs w:val="22"/>
                    </w:rPr>
                  </w:pPr>
                  <w:r>
                    <w:rPr>
                      <w:szCs w:val="22"/>
                    </w:rPr>
                    <w:t>相对厂界距离（m）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259" w:type="pct"/>
                  <w:vMerge w:val="continue"/>
                  <w:vAlign w:val="center"/>
                </w:tcPr>
                <w:p>
                  <w:pPr>
                    <w:pStyle w:val="68"/>
                    <w:rPr>
                      <w:szCs w:val="22"/>
                    </w:rPr>
                  </w:pPr>
                </w:p>
              </w:tc>
              <w:tc>
                <w:tcPr>
                  <w:tcW w:w="674" w:type="pct"/>
                  <w:vMerge w:val="continue"/>
                  <w:vAlign w:val="center"/>
                </w:tcPr>
                <w:p>
                  <w:pPr>
                    <w:pStyle w:val="68"/>
                    <w:rPr>
                      <w:szCs w:val="22"/>
                    </w:rPr>
                  </w:pPr>
                </w:p>
              </w:tc>
              <w:tc>
                <w:tcPr>
                  <w:tcW w:w="514" w:type="pct"/>
                  <w:vAlign w:val="center"/>
                </w:tcPr>
                <w:p>
                  <w:pPr>
                    <w:pStyle w:val="68"/>
                    <w:rPr>
                      <w:szCs w:val="22"/>
                    </w:rPr>
                  </w:pPr>
                  <w:r>
                    <w:rPr>
                      <w:szCs w:val="22"/>
                    </w:rPr>
                    <w:t>X（m）</w:t>
                  </w:r>
                </w:p>
              </w:tc>
              <w:tc>
                <w:tcPr>
                  <w:tcW w:w="514" w:type="pct"/>
                  <w:vAlign w:val="center"/>
                </w:tcPr>
                <w:p>
                  <w:pPr>
                    <w:pStyle w:val="68"/>
                    <w:rPr>
                      <w:szCs w:val="22"/>
                    </w:rPr>
                  </w:pPr>
                  <w:r>
                    <w:rPr>
                      <w:szCs w:val="22"/>
                    </w:rPr>
                    <w:t>Y（m）</w:t>
                  </w:r>
                </w:p>
              </w:tc>
              <w:tc>
                <w:tcPr>
                  <w:tcW w:w="772" w:type="pct"/>
                  <w:vMerge w:val="continue"/>
                  <w:vAlign w:val="center"/>
                </w:tcPr>
                <w:p>
                  <w:pPr>
                    <w:pStyle w:val="68"/>
                    <w:rPr>
                      <w:szCs w:val="22"/>
                    </w:rPr>
                  </w:pPr>
                </w:p>
              </w:tc>
              <w:tc>
                <w:tcPr>
                  <w:tcW w:w="943" w:type="pct"/>
                  <w:vMerge w:val="continue"/>
                  <w:vAlign w:val="center"/>
                </w:tcPr>
                <w:p>
                  <w:pPr>
                    <w:pStyle w:val="68"/>
                    <w:rPr>
                      <w:szCs w:val="22"/>
                    </w:rPr>
                  </w:pPr>
                </w:p>
              </w:tc>
              <w:tc>
                <w:tcPr>
                  <w:tcW w:w="683" w:type="pct"/>
                  <w:vMerge w:val="continue"/>
                  <w:vAlign w:val="center"/>
                </w:tcPr>
                <w:p>
                  <w:pPr>
                    <w:pStyle w:val="68"/>
                    <w:rPr>
                      <w:szCs w:val="22"/>
                    </w:rPr>
                  </w:pPr>
                </w:p>
              </w:tc>
              <w:tc>
                <w:tcPr>
                  <w:tcW w:w="641" w:type="pct"/>
                  <w:vMerge w:val="continue"/>
                  <w:vAlign w:val="center"/>
                </w:tcPr>
                <w:p>
                  <w:pPr>
                    <w:pStyle w:val="68"/>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9" w:type="pct"/>
                  <w:vAlign w:val="center"/>
                </w:tcPr>
                <w:p>
                  <w:pPr>
                    <w:pStyle w:val="68"/>
                    <w:rPr>
                      <w:szCs w:val="22"/>
                    </w:rPr>
                  </w:pPr>
                  <w:r>
                    <w:rPr>
                      <w:szCs w:val="22"/>
                    </w:rPr>
                    <w:t>1#</w:t>
                  </w:r>
                </w:p>
              </w:tc>
              <w:tc>
                <w:tcPr>
                  <w:tcW w:w="674" w:type="pct"/>
                  <w:vAlign w:val="center"/>
                </w:tcPr>
                <w:p>
                  <w:pPr>
                    <w:pStyle w:val="68"/>
                    <w:rPr>
                      <w:szCs w:val="22"/>
                    </w:rPr>
                  </w:pPr>
                  <w:r>
                    <w:rPr>
                      <w:szCs w:val="22"/>
                    </w:rPr>
                    <w:t>项目选址</w:t>
                  </w:r>
                </w:p>
              </w:tc>
              <w:tc>
                <w:tcPr>
                  <w:tcW w:w="514" w:type="pct"/>
                  <w:vAlign w:val="center"/>
                </w:tcPr>
                <w:p>
                  <w:pPr>
                    <w:pStyle w:val="68"/>
                    <w:rPr>
                      <w:szCs w:val="22"/>
                    </w:rPr>
                  </w:pPr>
                  <w:r>
                    <w:rPr>
                      <w:szCs w:val="22"/>
                    </w:rPr>
                    <w:t>0</w:t>
                  </w:r>
                </w:p>
              </w:tc>
              <w:tc>
                <w:tcPr>
                  <w:tcW w:w="514" w:type="pct"/>
                  <w:vAlign w:val="center"/>
                </w:tcPr>
                <w:p>
                  <w:pPr>
                    <w:pStyle w:val="68"/>
                    <w:rPr>
                      <w:szCs w:val="22"/>
                    </w:rPr>
                  </w:pPr>
                  <w:r>
                    <w:rPr>
                      <w:szCs w:val="22"/>
                    </w:rPr>
                    <w:t>0</w:t>
                  </w:r>
                </w:p>
              </w:tc>
              <w:tc>
                <w:tcPr>
                  <w:tcW w:w="772" w:type="pct"/>
                  <w:vMerge w:val="restart"/>
                  <w:vAlign w:val="center"/>
                </w:tcPr>
                <w:p>
                  <w:pPr>
                    <w:pStyle w:val="68"/>
                    <w:rPr>
                      <w:szCs w:val="22"/>
                    </w:rPr>
                  </w:pPr>
                  <w:r>
                    <w:rPr>
                      <w:szCs w:val="22"/>
                    </w:rPr>
                    <w:t>非甲烷总烃</w:t>
                  </w:r>
                </w:p>
              </w:tc>
              <w:tc>
                <w:tcPr>
                  <w:tcW w:w="943" w:type="pct"/>
                  <w:vMerge w:val="restart"/>
                  <w:vAlign w:val="center"/>
                </w:tcPr>
                <w:p>
                  <w:pPr>
                    <w:pStyle w:val="68"/>
                    <w:rPr>
                      <w:szCs w:val="22"/>
                    </w:rPr>
                  </w:pPr>
                  <w:r>
                    <w:rPr>
                      <w:szCs w:val="22"/>
                    </w:rPr>
                    <w:t>2020年11月8日-14日</w:t>
                  </w:r>
                </w:p>
              </w:tc>
              <w:tc>
                <w:tcPr>
                  <w:tcW w:w="683" w:type="pct"/>
                  <w:vAlign w:val="center"/>
                </w:tcPr>
                <w:p>
                  <w:pPr>
                    <w:pStyle w:val="68"/>
                    <w:rPr>
                      <w:szCs w:val="22"/>
                    </w:rPr>
                  </w:pPr>
                  <w:r>
                    <w:rPr>
                      <w:szCs w:val="22"/>
                    </w:rPr>
                    <w:t>/</w:t>
                  </w:r>
                </w:p>
              </w:tc>
              <w:tc>
                <w:tcPr>
                  <w:tcW w:w="641" w:type="pct"/>
                  <w:vAlign w:val="center"/>
                </w:tcPr>
                <w:p>
                  <w:pPr>
                    <w:pStyle w:val="68"/>
                    <w:rPr>
                      <w:szCs w:val="22"/>
                    </w:rPr>
                  </w:pPr>
                  <w:r>
                    <w:rPr>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9" w:type="pct"/>
                  <w:vAlign w:val="center"/>
                </w:tcPr>
                <w:p>
                  <w:pPr>
                    <w:pStyle w:val="68"/>
                    <w:rPr>
                      <w:szCs w:val="22"/>
                    </w:rPr>
                  </w:pPr>
                  <w:r>
                    <w:rPr>
                      <w:szCs w:val="22"/>
                    </w:rPr>
                    <w:t>2#</w:t>
                  </w:r>
                </w:p>
              </w:tc>
              <w:tc>
                <w:tcPr>
                  <w:tcW w:w="674" w:type="pct"/>
                  <w:vAlign w:val="center"/>
                </w:tcPr>
                <w:p>
                  <w:pPr>
                    <w:pStyle w:val="68"/>
                    <w:rPr>
                      <w:szCs w:val="22"/>
                    </w:rPr>
                  </w:pPr>
                  <w:r>
                    <w:rPr>
                      <w:szCs w:val="22"/>
                    </w:rPr>
                    <w:t>前李村</w:t>
                  </w:r>
                </w:p>
              </w:tc>
              <w:tc>
                <w:tcPr>
                  <w:tcW w:w="514" w:type="pct"/>
                  <w:vAlign w:val="center"/>
                </w:tcPr>
                <w:p>
                  <w:pPr>
                    <w:pStyle w:val="68"/>
                    <w:rPr>
                      <w:szCs w:val="22"/>
                    </w:rPr>
                  </w:pPr>
                  <w:r>
                    <w:rPr>
                      <w:szCs w:val="22"/>
                    </w:rPr>
                    <w:t>-10</w:t>
                  </w:r>
                  <w:r>
                    <w:rPr>
                      <w:rFonts w:hint="eastAsia"/>
                      <w:szCs w:val="22"/>
                    </w:rPr>
                    <w:t>00</w:t>
                  </w:r>
                </w:p>
              </w:tc>
              <w:tc>
                <w:tcPr>
                  <w:tcW w:w="514" w:type="pct"/>
                  <w:vAlign w:val="center"/>
                </w:tcPr>
                <w:p>
                  <w:pPr>
                    <w:pStyle w:val="68"/>
                    <w:rPr>
                      <w:szCs w:val="22"/>
                    </w:rPr>
                  </w:pPr>
                  <w:r>
                    <w:rPr>
                      <w:szCs w:val="22"/>
                    </w:rPr>
                    <w:t>-</w:t>
                  </w:r>
                  <w:r>
                    <w:rPr>
                      <w:rFonts w:hint="eastAsia"/>
                      <w:szCs w:val="22"/>
                    </w:rPr>
                    <w:t>450</w:t>
                  </w:r>
                </w:p>
              </w:tc>
              <w:tc>
                <w:tcPr>
                  <w:tcW w:w="772" w:type="pct"/>
                  <w:vMerge w:val="continue"/>
                  <w:vAlign w:val="center"/>
                </w:tcPr>
                <w:p>
                  <w:pPr>
                    <w:pStyle w:val="68"/>
                    <w:rPr>
                      <w:szCs w:val="22"/>
                    </w:rPr>
                  </w:pPr>
                </w:p>
              </w:tc>
              <w:tc>
                <w:tcPr>
                  <w:tcW w:w="943" w:type="pct"/>
                  <w:vMerge w:val="continue"/>
                  <w:vAlign w:val="center"/>
                </w:tcPr>
                <w:p>
                  <w:pPr>
                    <w:pStyle w:val="68"/>
                    <w:rPr>
                      <w:szCs w:val="22"/>
                    </w:rPr>
                  </w:pPr>
                </w:p>
              </w:tc>
              <w:tc>
                <w:tcPr>
                  <w:tcW w:w="683" w:type="pct"/>
                  <w:vAlign w:val="center"/>
                </w:tcPr>
                <w:p>
                  <w:pPr>
                    <w:pStyle w:val="68"/>
                    <w:rPr>
                      <w:szCs w:val="22"/>
                    </w:rPr>
                  </w:pPr>
                  <w:r>
                    <w:rPr>
                      <w:szCs w:val="22"/>
                    </w:rPr>
                    <w:t>WS</w:t>
                  </w:r>
                </w:p>
              </w:tc>
              <w:tc>
                <w:tcPr>
                  <w:tcW w:w="641" w:type="pct"/>
                  <w:vAlign w:val="center"/>
                </w:tcPr>
                <w:p>
                  <w:pPr>
                    <w:pStyle w:val="68"/>
                    <w:rPr>
                      <w:szCs w:val="22"/>
                    </w:rPr>
                  </w:pPr>
                  <w:r>
                    <w:rPr>
                      <w:rFonts w:hint="eastAsia"/>
                      <w:szCs w:val="22"/>
                    </w:rPr>
                    <w:t>约</w:t>
                  </w:r>
                  <w:r>
                    <w:rPr>
                      <w:szCs w:val="22"/>
                    </w:rPr>
                    <w:t>12</w:t>
                  </w:r>
                  <w:r>
                    <w:rPr>
                      <w:rFonts w:hint="eastAsia"/>
                      <w:szCs w:val="22"/>
                    </w:rPr>
                    <w:t>00</w:t>
                  </w:r>
                </w:p>
              </w:tc>
            </w:tr>
          </w:tbl>
          <w:p>
            <w:pPr>
              <w:pStyle w:val="51"/>
              <w:ind w:firstLine="480"/>
            </w:pPr>
            <w:r>
              <w:t>②监测结果</w:t>
            </w:r>
          </w:p>
          <w:p>
            <w:pPr>
              <w:pStyle w:val="51"/>
              <w:ind w:firstLine="480"/>
            </w:pPr>
            <w:r>
              <w:t>环境空气质量现状检测统计结果见表</w:t>
            </w:r>
            <w:r>
              <w:rPr>
                <w:rFonts w:hint="eastAsia"/>
              </w:rPr>
              <w:t>16</w:t>
            </w:r>
            <w:r>
              <w:t>。</w:t>
            </w:r>
          </w:p>
          <w:p>
            <w:pPr>
              <w:pStyle w:val="53"/>
              <w:ind w:firstLine="480"/>
            </w:pPr>
            <w:r>
              <w:t>表</w:t>
            </w:r>
            <w:r>
              <w:rPr>
                <w:rFonts w:hint="eastAsia"/>
              </w:rPr>
              <w:t>16</w:t>
            </w:r>
            <w:r>
              <w:t xml:space="preserve">        环境空气质量现状监测结果一览表</w:t>
            </w:r>
          </w:p>
          <w:tbl>
            <w:tblPr>
              <w:tblStyle w:val="2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83"/>
              <w:gridCol w:w="1522"/>
              <w:gridCol w:w="1918"/>
              <w:gridCol w:w="1138"/>
              <w:gridCol w:w="1263"/>
              <w:gridCol w:w="1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46" w:type="pct"/>
                  <w:vAlign w:val="center"/>
                </w:tcPr>
                <w:p>
                  <w:pPr>
                    <w:pStyle w:val="68"/>
                    <w:rPr>
                      <w:szCs w:val="22"/>
                    </w:rPr>
                  </w:pPr>
                  <w:r>
                    <w:rPr>
                      <w:szCs w:val="22"/>
                    </w:rPr>
                    <w:t>监测点位</w:t>
                  </w:r>
                </w:p>
              </w:tc>
              <w:tc>
                <w:tcPr>
                  <w:tcW w:w="907" w:type="pct"/>
                  <w:vAlign w:val="center"/>
                </w:tcPr>
                <w:p>
                  <w:pPr>
                    <w:pStyle w:val="68"/>
                    <w:rPr>
                      <w:szCs w:val="22"/>
                    </w:rPr>
                  </w:pPr>
                  <w:r>
                    <w:rPr>
                      <w:szCs w:val="22"/>
                    </w:rPr>
                    <w:t>监测项目</w:t>
                  </w:r>
                </w:p>
              </w:tc>
              <w:tc>
                <w:tcPr>
                  <w:tcW w:w="1143" w:type="pct"/>
                  <w:vAlign w:val="center"/>
                </w:tcPr>
                <w:p>
                  <w:pPr>
                    <w:pStyle w:val="68"/>
                    <w:rPr>
                      <w:szCs w:val="22"/>
                    </w:rPr>
                  </w:pPr>
                  <w:r>
                    <w:rPr>
                      <w:szCs w:val="22"/>
                    </w:rPr>
                    <w:t>测值范围</w:t>
                  </w:r>
                </w:p>
              </w:tc>
              <w:tc>
                <w:tcPr>
                  <w:tcW w:w="678" w:type="pct"/>
                  <w:vAlign w:val="center"/>
                </w:tcPr>
                <w:p>
                  <w:pPr>
                    <w:pStyle w:val="68"/>
                    <w:rPr>
                      <w:szCs w:val="22"/>
                    </w:rPr>
                  </w:pPr>
                  <w:r>
                    <w:rPr>
                      <w:szCs w:val="22"/>
                    </w:rPr>
                    <w:t>标准值</w:t>
                  </w:r>
                </w:p>
              </w:tc>
              <w:tc>
                <w:tcPr>
                  <w:tcW w:w="753" w:type="pct"/>
                  <w:vAlign w:val="center"/>
                </w:tcPr>
                <w:p>
                  <w:pPr>
                    <w:pStyle w:val="68"/>
                    <w:rPr>
                      <w:szCs w:val="22"/>
                    </w:rPr>
                  </w:pPr>
                  <w:r>
                    <w:rPr>
                      <w:szCs w:val="22"/>
                    </w:rPr>
                    <w:t>超标率（%）</w:t>
                  </w:r>
                </w:p>
              </w:tc>
              <w:tc>
                <w:tcPr>
                  <w:tcW w:w="873" w:type="pct"/>
                  <w:vAlign w:val="center"/>
                </w:tcPr>
                <w:p>
                  <w:pPr>
                    <w:pStyle w:val="68"/>
                    <w:rPr>
                      <w:szCs w:val="22"/>
                    </w:rPr>
                  </w:pPr>
                  <w:r>
                    <w:rPr>
                      <w:szCs w:val="22"/>
                    </w:rPr>
                    <w:t>最大超标倍数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6" w:type="pct"/>
                  <w:vAlign w:val="center"/>
                </w:tcPr>
                <w:p>
                  <w:pPr>
                    <w:pStyle w:val="68"/>
                    <w:rPr>
                      <w:szCs w:val="22"/>
                    </w:rPr>
                  </w:pPr>
                  <w:r>
                    <w:rPr>
                      <w:bCs/>
                      <w:szCs w:val="22"/>
                    </w:rPr>
                    <w:t>项目厂区</w:t>
                  </w:r>
                </w:p>
              </w:tc>
              <w:tc>
                <w:tcPr>
                  <w:tcW w:w="907" w:type="pct"/>
                  <w:vAlign w:val="center"/>
                </w:tcPr>
                <w:p>
                  <w:pPr>
                    <w:pStyle w:val="68"/>
                    <w:rPr>
                      <w:szCs w:val="22"/>
                    </w:rPr>
                  </w:pPr>
                  <w:r>
                    <w:rPr>
                      <w:szCs w:val="22"/>
                    </w:rPr>
                    <w:t>非甲烷总烃</w:t>
                  </w:r>
                </w:p>
              </w:tc>
              <w:tc>
                <w:tcPr>
                  <w:tcW w:w="1143" w:type="pct"/>
                  <w:vAlign w:val="center"/>
                </w:tcPr>
                <w:p>
                  <w:pPr>
                    <w:pStyle w:val="68"/>
                    <w:rPr>
                      <w:szCs w:val="22"/>
                    </w:rPr>
                  </w:pPr>
                  <w:r>
                    <w:rPr>
                      <w:szCs w:val="22"/>
                    </w:rPr>
                    <w:t>360~580 ug/m</w:t>
                  </w:r>
                  <w:r>
                    <w:rPr>
                      <w:szCs w:val="22"/>
                      <w:vertAlign w:val="superscript"/>
                    </w:rPr>
                    <w:t>3</w:t>
                  </w:r>
                </w:p>
              </w:tc>
              <w:tc>
                <w:tcPr>
                  <w:tcW w:w="678" w:type="pct"/>
                  <w:vAlign w:val="center"/>
                </w:tcPr>
                <w:p>
                  <w:pPr>
                    <w:pStyle w:val="68"/>
                    <w:rPr>
                      <w:szCs w:val="22"/>
                    </w:rPr>
                  </w:pPr>
                  <w:r>
                    <w:rPr>
                      <w:szCs w:val="22"/>
                    </w:rPr>
                    <w:t>2000ug/m</w:t>
                  </w:r>
                  <w:r>
                    <w:rPr>
                      <w:szCs w:val="22"/>
                      <w:vertAlign w:val="superscript"/>
                    </w:rPr>
                    <w:t>3</w:t>
                  </w:r>
                </w:p>
              </w:tc>
              <w:tc>
                <w:tcPr>
                  <w:tcW w:w="753" w:type="pct"/>
                  <w:vAlign w:val="center"/>
                </w:tcPr>
                <w:p>
                  <w:pPr>
                    <w:pStyle w:val="68"/>
                    <w:rPr>
                      <w:szCs w:val="22"/>
                    </w:rPr>
                  </w:pPr>
                  <w:r>
                    <w:rPr>
                      <w:szCs w:val="22"/>
                    </w:rPr>
                    <w:t>0</w:t>
                  </w:r>
                </w:p>
              </w:tc>
              <w:tc>
                <w:tcPr>
                  <w:tcW w:w="873" w:type="pct"/>
                  <w:vAlign w:val="center"/>
                </w:tcPr>
                <w:p>
                  <w:pPr>
                    <w:pStyle w:val="68"/>
                    <w:rPr>
                      <w:szCs w:val="22"/>
                    </w:rPr>
                  </w:pPr>
                  <w:r>
                    <w:rPr>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6" w:type="pct"/>
                  <w:vAlign w:val="center"/>
                </w:tcPr>
                <w:p>
                  <w:pPr>
                    <w:pStyle w:val="68"/>
                    <w:rPr>
                      <w:szCs w:val="22"/>
                    </w:rPr>
                  </w:pPr>
                  <w:r>
                    <w:rPr>
                      <w:szCs w:val="22"/>
                    </w:rPr>
                    <w:t>前李村</w:t>
                  </w:r>
                </w:p>
              </w:tc>
              <w:tc>
                <w:tcPr>
                  <w:tcW w:w="907" w:type="pct"/>
                  <w:vAlign w:val="center"/>
                </w:tcPr>
                <w:p>
                  <w:pPr>
                    <w:pStyle w:val="68"/>
                    <w:rPr>
                      <w:szCs w:val="22"/>
                    </w:rPr>
                  </w:pPr>
                  <w:r>
                    <w:rPr>
                      <w:szCs w:val="22"/>
                    </w:rPr>
                    <w:t>非甲烷总烃</w:t>
                  </w:r>
                </w:p>
              </w:tc>
              <w:tc>
                <w:tcPr>
                  <w:tcW w:w="1143" w:type="pct"/>
                  <w:vAlign w:val="center"/>
                </w:tcPr>
                <w:p>
                  <w:pPr>
                    <w:pStyle w:val="68"/>
                    <w:rPr>
                      <w:szCs w:val="22"/>
                    </w:rPr>
                  </w:pPr>
                  <w:r>
                    <w:rPr>
                      <w:szCs w:val="22"/>
                    </w:rPr>
                    <w:t>360~510 ug/m</w:t>
                  </w:r>
                  <w:r>
                    <w:rPr>
                      <w:szCs w:val="22"/>
                      <w:vertAlign w:val="superscript"/>
                    </w:rPr>
                    <w:t>3</w:t>
                  </w:r>
                </w:p>
              </w:tc>
              <w:tc>
                <w:tcPr>
                  <w:tcW w:w="678" w:type="pct"/>
                  <w:vAlign w:val="center"/>
                </w:tcPr>
                <w:p>
                  <w:pPr>
                    <w:pStyle w:val="68"/>
                    <w:rPr>
                      <w:szCs w:val="22"/>
                    </w:rPr>
                  </w:pPr>
                  <w:r>
                    <w:rPr>
                      <w:szCs w:val="22"/>
                    </w:rPr>
                    <w:t>2000ug/m</w:t>
                  </w:r>
                  <w:r>
                    <w:rPr>
                      <w:szCs w:val="22"/>
                      <w:vertAlign w:val="superscript"/>
                    </w:rPr>
                    <w:t>3</w:t>
                  </w:r>
                </w:p>
              </w:tc>
              <w:tc>
                <w:tcPr>
                  <w:tcW w:w="753" w:type="pct"/>
                  <w:vAlign w:val="center"/>
                </w:tcPr>
                <w:p>
                  <w:pPr>
                    <w:pStyle w:val="68"/>
                    <w:rPr>
                      <w:szCs w:val="22"/>
                    </w:rPr>
                  </w:pPr>
                  <w:r>
                    <w:rPr>
                      <w:szCs w:val="22"/>
                    </w:rPr>
                    <w:t>0</w:t>
                  </w:r>
                </w:p>
              </w:tc>
              <w:tc>
                <w:tcPr>
                  <w:tcW w:w="873" w:type="pct"/>
                  <w:vAlign w:val="center"/>
                </w:tcPr>
                <w:p>
                  <w:pPr>
                    <w:pStyle w:val="68"/>
                    <w:rPr>
                      <w:szCs w:val="22"/>
                    </w:rPr>
                  </w:pPr>
                  <w:r>
                    <w:rPr>
                      <w:szCs w:val="22"/>
                    </w:rPr>
                    <w:t>/</w:t>
                  </w:r>
                </w:p>
              </w:tc>
            </w:tr>
          </w:tbl>
          <w:p>
            <w:pPr>
              <w:spacing w:line="520" w:lineRule="exact"/>
              <w:ind w:firstLine="480" w:firstLineChars="200"/>
              <w:rPr>
                <w:sz w:val="24"/>
              </w:rPr>
            </w:pPr>
            <w:r>
              <w:rPr>
                <w:bCs/>
                <w:sz w:val="24"/>
              </w:rPr>
              <w:t>由上表可知，拟建项目评价范围的特征污染因子非甲烷总烃1小时平均浓度</w:t>
            </w:r>
            <w:r>
              <w:rPr>
                <w:rFonts w:hint="eastAsia"/>
                <w:bCs/>
                <w:sz w:val="24"/>
              </w:rPr>
              <w:t>满足《大气污染物综合排放标准详解》中非甲烷总烃≤2mg/m</w:t>
            </w:r>
            <w:r>
              <w:rPr>
                <w:rFonts w:hint="eastAsia"/>
                <w:bCs/>
                <w:sz w:val="24"/>
                <w:vertAlign w:val="superscript"/>
              </w:rPr>
              <w:t>3</w:t>
            </w:r>
            <w:r>
              <w:rPr>
                <w:rFonts w:hint="eastAsia"/>
                <w:bCs/>
                <w:sz w:val="24"/>
              </w:rPr>
              <w:t>的要求。</w:t>
            </w:r>
          </w:p>
          <w:p>
            <w:pPr>
              <w:pStyle w:val="91"/>
              <w:rPr>
                <w:color w:val="auto"/>
              </w:rPr>
            </w:pPr>
            <w:r>
              <w:rPr>
                <w:color w:val="auto"/>
              </w:rPr>
              <w:t>2. 地表水环境质量现状</w:t>
            </w:r>
          </w:p>
          <w:p>
            <w:pPr>
              <w:pStyle w:val="51"/>
              <w:ind w:firstLine="480"/>
            </w:pPr>
            <w:r>
              <w:t>本项目生活污水经厂区化粪池预处理后</w:t>
            </w:r>
            <w:r>
              <w:rPr>
                <w:rFonts w:hint="eastAsia"/>
              </w:rPr>
              <w:t>通过市政管网排入偃师市第三污水处理厂。</w:t>
            </w:r>
          </w:p>
          <w:p>
            <w:pPr>
              <w:pStyle w:val="51"/>
              <w:ind w:firstLine="480"/>
            </w:pPr>
            <w:r>
              <w:t>根据《2021年洛阳市生态环境状况公报》可知：2021 年，全市共设置地表水监测断面22 个。其中，黄河流域设置20个监测断面，分别是伊河陶湾、伊河潭头、伊河窑北坡、伊河鸣皋、伊河龙门大桥、伊河西石坝、伊河岳滩，洛河故县水库、洛河长水、洛河温庄、洛河高崖寨、洛河白马寺、伊洛河汇合处，涧河党湾、金水河尚庄、金水河下河、瀍河中后李、明白河庙湾、二道河入黄河口、小浪底大横岭；淮河流域和长江流域各设置1 个监测断面，分别是北汝河紫罗山和淯河前龙脖。监测河段总长度为724.5 千米，其中黄河流域监测河段长度为569.2 千米。</w:t>
            </w:r>
          </w:p>
          <w:p>
            <w:pPr>
              <w:pStyle w:val="51"/>
              <w:ind w:firstLine="480"/>
            </w:pPr>
            <w:r>
              <w:t>2021 年，全市主要监测河流中，伊河、洛河、汝河、小浪底水库、涧河均为</w:t>
            </w:r>
            <w:r>
              <w:rPr>
                <w:rFonts w:ascii="宋体"/>
              </w:rPr>
              <w:t>Ⅱ</w:t>
            </w:r>
            <w:r>
              <w:t>类，水质状况为“优”，伊洛河水质为</w:t>
            </w:r>
            <w:r>
              <w:rPr>
                <w:rFonts w:ascii="宋体"/>
              </w:rPr>
              <w:t>Ⅲ</w:t>
            </w:r>
            <w:r>
              <w:t>类，水质状况为“良好”。</w:t>
            </w:r>
          </w:p>
          <w:p>
            <w:pPr>
              <w:pStyle w:val="51"/>
              <w:ind w:firstLine="480"/>
            </w:pPr>
            <w:r>
              <w:t>本项目最近水体为洛河，洛河水质为</w:t>
            </w:r>
            <w:r>
              <w:rPr>
                <w:rFonts w:ascii="宋体"/>
              </w:rPr>
              <w:t>Ⅱ</w:t>
            </w:r>
            <w:r>
              <w:t>类，水质状况为“优”。</w:t>
            </w:r>
          </w:p>
          <w:p>
            <w:pPr>
              <w:pStyle w:val="91"/>
              <w:rPr>
                <w:color w:val="auto"/>
              </w:rPr>
            </w:pPr>
            <w:r>
              <w:rPr>
                <w:rFonts w:hint="eastAsia"/>
                <w:color w:val="auto"/>
              </w:rPr>
              <w:t>3</w:t>
            </w:r>
            <w:r>
              <w:rPr>
                <w:color w:val="auto"/>
              </w:rPr>
              <w:t>. 声环境质量现状</w:t>
            </w:r>
          </w:p>
          <w:p>
            <w:pPr>
              <w:pStyle w:val="51"/>
              <w:ind w:firstLine="480"/>
              <w:rPr>
                <w:rFonts w:ascii="宋体" w:hAnsi="宋体" w:cs="宋体"/>
                <w:kern w:val="0"/>
                <w:szCs w:val="21"/>
              </w:rPr>
            </w:pPr>
            <w:r>
              <w:t>根据现场勘查，项目厂界外周边50米范围内无声环境保护目标，本次评价不开展声环境现状评价。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26"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保护</w:t>
            </w:r>
          </w:p>
          <w:p>
            <w:pPr>
              <w:adjustRightInd w:val="0"/>
              <w:snapToGrid w:val="0"/>
              <w:jc w:val="center"/>
              <w:rPr>
                <w:rFonts w:ascii="宋体" w:hAnsi="宋体" w:cs="宋体"/>
                <w:kern w:val="0"/>
                <w:szCs w:val="21"/>
              </w:rPr>
            </w:pPr>
            <w:r>
              <w:rPr>
                <w:rFonts w:hint="eastAsia" w:ascii="宋体" w:hAnsi="宋体" w:cs="宋体"/>
                <w:kern w:val="0"/>
                <w:szCs w:val="21"/>
              </w:rPr>
              <w:t>目标</w:t>
            </w:r>
          </w:p>
        </w:tc>
        <w:tc>
          <w:tcPr>
            <w:tcW w:w="8635" w:type="dxa"/>
            <w:vAlign w:val="center"/>
          </w:tcPr>
          <w:p>
            <w:pPr>
              <w:pStyle w:val="51"/>
              <w:ind w:firstLine="480"/>
            </w:pPr>
            <w:r>
              <w:t>本项目周围环境保护目标见</w:t>
            </w:r>
            <w:r>
              <w:rPr>
                <w:rFonts w:hint="eastAsia"/>
              </w:rPr>
              <w:t>下表</w:t>
            </w:r>
            <w:r>
              <w:t>。</w:t>
            </w:r>
          </w:p>
          <w:p>
            <w:pPr>
              <w:pStyle w:val="53"/>
              <w:ind w:firstLine="480"/>
            </w:pPr>
            <w:r>
              <w:t>表</w:t>
            </w:r>
            <w:r>
              <w:rPr>
                <w:rFonts w:hint="eastAsia"/>
              </w:rPr>
              <w:t>17</w:t>
            </w:r>
            <w:r>
              <w:t xml:space="preserve">        本项目环境保护目标</w:t>
            </w:r>
            <w:r>
              <w:rPr>
                <w:rFonts w:hint="eastAsia"/>
              </w:rPr>
              <w:t>（声、地下水和生态环境）</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498"/>
              <w:gridCol w:w="1196"/>
              <w:gridCol w:w="1045"/>
              <w:gridCol w:w="2394"/>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2" w:type="pct"/>
                  <w:vAlign w:val="center"/>
                </w:tcPr>
                <w:p>
                  <w:pPr>
                    <w:pStyle w:val="68"/>
                    <w:spacing w:line="400" w:lineRule="exact"/>
                    <w:rPr>
                      <w:snapToGrid w:val="0"/>
                      <w:kern w:val="0"/>
                    </w:rPr>
                  </w:pPr>
                  <w:r>
                    <w:rPr>
                      <w:snapToGrid w:val="0"/>
                      <w:kern w:val="0"/>
                    </w:rPr>
                    <w:t>序号</w:t>
                  </w:r>
                </w:p>
              </w:tc>
              <w:tc>
                <w:tcPr>
                  <w:tcW w:w="893" w:type="pct"/>
                  <w:vAlign w:val="center"/>
                </w:tcPr>
                <w:p>
                  <w:pPr>
                    <w:pStyle w:val="68"/>
                    <w:spacing w:line="400" w:lineRule="exact"/>
                    <w:rPr>
                      <w:snapToGrid w:val="0"/>
                      <w:kern w:val="0"/>
                    </w:rPr>
                  </w:pPr>
                  <w:r>
                    <w:t>环境要素</w:t>
                  </w:r>
                </w:p>
              </w:tc>
              <w:tc>
                <w:tcPr>
                  <w:tcW w:w="713" w:type="pct"/>
                  <w:vAlign w:val="center"/>
                </w:tcPr>
                <w:p>
                  <w:pPr>
                    <w:pStyle w:val="68"/>
                    <w:spacing w:line="400" w:lineRule="exact"/>
                    <w:rPr>
                      <w:snapToGrid w:val="0"/>
                      <w:kern w:val="0"/>
                    </w:rPr>
                  </w:pPr>
                  <w:r>
                    <w:rPr>
                      <w:snapToGrid w:val="0"/>
                      <w:kern w:val="0"/>
                    </w:rPr>
                    <w:t>保护目标</w:t>
                  </w:r>
                </w:p>
              </w:tc>
              <w:tc>
                <w:tcPr>
                  <w:tcW w:w="623" w:type="pct"/>
                  <w:vAlign w:val="center"/>
                </w:tcPr>
                <w:p>
                  <w:pPr>
                    <w:pStyle w:val="68"/>
                    <w:spacing w:line="400" w:lineRule="exact"/>
                    <w:rPr>
                      <w:snapToGrid w:val="0"/>
                      <w:kern w:val="0"/>
                    </w:rPr>
                  </w:pPr>
                  <w:r>
                    <w:rPr>
                      <w:snapToGrid w:val="0"/>
                      <w:kern w:val="0"/>
                    </w:rPr>
                    <w:t>方位</w:t>
                  </w:r>
                </w:p>
              </w:tc>
              <w:tc>
                <w:tcPr>
                  <w:tcW w:w="1427" w:type="pct"/>
                  <w:vAlign w:val="center"/>
                </w:tcPr>
                <w:p>
                  <w:pPr>
                    <w:pStyle w:val="68"/>
                    <w:spacing w:line="400" w:lineRule="exact"/>
                    <w:rPr>
                      <w:snapToGrid w:val="0"/>
                      <w:kern w:val="0"/>
                    </w:rPr>
                  </w:pPr>
                  <w:r>
                    <w:rPr>
                      <w:snapToGrid w:val="0"/>
                      <w:kern w:val="0"/>
                    </w:rPr>
                    <w:t>与厂界最近距离</w:t>
                  </w:r>
                  <w:r>
                    <w:t>（m）</w:t>
                  </w:r>
                </w:p>
              </w:tc>
              <w:tc>
                <w:tcPr>
                  <w:tcW w:w="893" w:type="pct"/>
                  <w:vAlign w:val="center"/>
                </w:tcPr>
                <w:p>
                  <w:pPr>
                    <w:pStyle w:val="68"/>
                    <w:spacing w:line="400" w:lineRule="exact"/>
                    <w:rPr>
                      <w:snapToGrid w:val="0"/>
                      <w:kern w:val="0"/>
                    </w:rPr>
                  </w:pPr>
                  <w:r>
                    <w:t>目标功能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2" w:type="pct"/>
                  <w:vAlign w:val="center"/>
                </w:tcPr>
                <w:p>
                  <w:pPr>
                    <w:pStyle w:val="68"/>
                    <w:spacing w:line="400" w:lineRule="exact"/>
                    <w:rPr>
                      <w:snapToGrid w:val="0"/>
                      <w:kern w:val="0"/>
                    </w:rPr>
                  </w:pPr>
                  <w:r>
                    <w:rPr>
                      <w:rFonts w:hint="eastAsia"/>
                      <w:snapToGrid w:val="0"/>
                      <w:kern w:val="0"/>
                    </w:rPr>
                    <w:t>1</w:t>
                  </w:r>
                </w:p>
              </w:tc>
              <w:tc>
                <w:tcPr>
                  <w:tcW w:w="893" w:type="pct"/>
                  <w:vAlign w:val="center"/>
                </w:tcPr>
                <w:p>
                  <w:pPr>
                    <w:pStyle w:val="68"/>
                    <w:spacing w:line="400" w:lineRule="exact"/>
                  </w:pPr>
                  <w:r>
                    <w:rPr>
                      <w:rFonts w:hint="eastAsia"/>
                    </w:rPr>
                    <w:t>大气</w:t>
                  </w:r>
                </w:p>
              </w:tc>
              <w:tc>
                <w:tcPr>
                  <w:tcW w:w="3655" w:type="pct"/>
                  <w:gridSpan w:val="4"/>
                  <w:vAlign w:val="center"/>
                </w:tcPr>
                <w:p>
                  <w:pPr>
                    <w:pStyle w:val="68"/>
                    <w:spacing w:line="400" w:lineRule="exact"/>
                  </w:pPr>
                  <w:r>
                    <w:t>项目</w:t>
                  </w:r>
                  <w:r>
                    <w:rPr>
                      <w:rFonts w:hint="eastAsia"/>
                    </w:rPr>
                    <w:t>5</w:t>
                  </w:r>
                  <w:r>
                    <w:t>0</w:t>
                  </w:r>
                  <w:r>
                    <w:rPr>
                      <w:rFonts w:hint="eastAsia"/>
                    </w:rPr>
                    <w:t>0</w:t>
                  </w:r>
                  <w:r>
                    <w:t>m范围内无</w:t>
                  </w:r>
                  <w:r>
                    <w:rPr>
                      <w:rFonts w:hint="eastAsia"/>
                    </w:rPr>
                    <w:t>大气环境</w:t>
                  </w:r>
                  <w:r>
                    <w:t>敏感点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452" w:type="pct"/>
                  <w:vAlign w:val="center"/>
                </w:tcPr>
                <w:p>
                  <w:pPr>
                    <w:pStyle w:val="68"/>
                    <w:spacing w:line="400" w:lineRule="exact"/>
                    <w:rPr>
                      <w:snapToGrid w:val="0"/>
                      <w:kern w:val="0"/>
                    </w:rPr>
                  </w:pPr>
                  <w:r>
                    <w:rPr>
                      <w:rFonts w:hint="eastAsia"/>
                      <w:snapToGrid w:val="0"/>
                      <w:kern w:val="0"/>
                    </w:rPr>
                    <w:t>2</w:t>
                  </w:r>
                </w:p>
              </w:tc>
              <w:tc>
                <w:tcPr>
                  <w:tcW w:w="893" w:type="pct"/>
                  <w:vAlign w:val="center"/>
                </w:tcPr>
                <w:p>
                  <w:pPr>
                    <w:pStyle w:val="68"/>
                    <w:spacing w:line="400" w:lineRule="exact"/>
                  </w:pPr>
                  <w:r>
                    <w:rPr>
                      <w:rFonts w:hint="eastAsia"/>
                    </w:rPr>
                    <w:t>声环境</w:t>
                  </w:r>
                </w:p>
              </w:tc>
              <w:tc>
                <w:tcPr>
                  <w:tcW w:w="3655" w:type="pct"/>
                  <w:gridSpan w:val="4"/>
                </w:tcPr>
                <w:p>
                  <w:pPr>
                    <w:pStyle w:val="68"/>
                    <w:spacing w:line="400" w:lineRule="exact"/>
                  </w:pPr>
                  <w:r>
                    <w:t>项目</w:t>
                  </w:r>
                  <w:r>
                    <w:rPr>
                      <w:rFonts w:hint="eastAsia"/>
                    </w:rPr>
                    <w:t>5</w:t>
                  </w:r>
                  <w:r>
                    <w:t>0m范围内无</w:t>
                  </w:r>
                  <w:r>
                    <w:rPr>
                      <w:rFonts w:hint="eastAsia"/>
                    </w:rPr>
                    <w:t>声环境</w:t>
                  </w:r>
                  <w:r>
                    <w:t>敏感点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452" w:type="pct"/>
                  <w:vAlign w:val="center"/>
                </w:tcPr>
                <w:p>
                  <w:pPr>
                    <w:pStyle w:val="68"/>
                    <w:spacing w:line="400" w:lineRule="exact"/>
                    <w:rPr>
                      <w:snapToGrid w:val="0"/>
                      <w:kern w:val="0"/>
                    </w:rPr>
                  </w:pPr>
                  <w:r>
                    <w:rPr>
                      <w:rFonts w:hint="eastAsia"/>
                      <w:snapToGrid w:val="0"/>
                      <w:kern w:val="0"/>
                    </w:rPr>
                    <w:t>3</w:t>
                  </w:r>
                </w:p>
              </w:tc>
              <w:tc>
                <w:tcPr>
                  <w:tcW w:w="893" w:type="pct"/>
                  <w:vAlign w:val="center"/>
                </w:tcPr>
                <w:p>
                  <w:pPr>
                    <w:pStyle w:val="68"/>
                    <w:spacing w:line="400" w:lineRule="exact"/>
                    <w:rPr>
                      <w:snapToGrid w:val="0"/>
                      <w:kern w:val="0"/>
                    </w:rPr>
                  </w:pPr>
                  <w:r>
                    <w:rPr>
                      <w:snapToGrid w:val="0"/>
                      <w:kern w:val="0"/>
                    </w:rPr>
                    <w:t>地</w:t>
                  </w:r>
                  <w:r>
                    <w:rPr>
                      <w:rFonts w:hint="eastAsia"/>
                      <w:snapToGrid w:val="0"/>
                      <w:kern w:val="0"/>
                    </w:rPr>
                    <w:t>下</w:t>
                  </w:r>
                  <w:r>
                    <w:rPr>
                      <w:snapToGrid w:val="0"/>
                      <w:kern w:val="0"/>
                    </w:rPr>
                    <w:t>水</w:t>
                  </w:r>
                  <w:r>
                    <w:rPr>
                      <w:rFonts w:hint="eastAsia"/>
                      <w:snapToGrid w:val="0"/>
                      <w:kern w:val="0"/>
                    </w:rPr>
                    <w:t>环境</w:t>
                  </w:r>
                </w:p>
              </w:tc>
              <w:tc>
                <w:tcPr>
                  <w:tcW w:w="3655" w:type="pct"/>
                  <w:gridSpan w:val="4"/>
                  <w:vAlign w:val="center"/>
                </w:tcPr>
                <w:p>
                  <w:pPr>
                    <w:pStyle w:val="68"/>
                    <w:spacing w:line="400" w:lineRule="exact"/>
                  </w:pPr>
                  <w:r>
                    <w:rPr>
                      <w:rFonts w:hint="eastAsia"/>
                      <w:szCs w:val="21"/>
                    </w:rPr>
                    <w:t>厂界外500m范围内无地下水环境保护目标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452" w:type="pct"/>
                  <w:vAlign w:val="center"/>
                </w:tcPr>
                <w:p>
                  <w:pPr>
                    <w:pStyle w:val="68"/>
                    <w:spacing w:line="400" w:lineRule="exact"/>
                    <w:rPr>
                      <w:snapToGrid w:val="0"/>
                      <w:kern w:val="0"/>
                    </w:rPr>
                  </w:pPr>
                  <w:r>
                    <w:rPr>
                      <w:rFonts w:hint="eastAsia"/>
                      <w:snapToGrid w:val="0"/>
                      <w:kern w:val="0"/>
                    </w:rPr>
                    <w:t>4</w:t>
                  </w:r>
                </w:p>
              </w:tc>
              <w:tc>
                <w:tcPr>
                  <w:tcW w:w="893" w:type="pct"/>
                  <w:vAlign w:val="center"/>
                </w:tcPr>
                <w:p>
                  <w:pPr>
                    <w:pStyle w:val="68"/>
                    <w:spacing w:line="400" w:lineRule="exact"/>
                    <w:rPr>
                      <w:snapToGrid w:val="0"/>
                      <w:kern w:val="0"/>
                    </w:rPr>
                  </w:pPr>
                  <w:r>
                    <w:rPr>
                      <w:rFonts w:hint="eastAsia"/>
                      <w:snapToGrid w:val="0"/>
                      <w:kern w:val="0"/>
                    </w:rPr>
                    <w:t>生态环境</w:t>
                  </w:r>
                </w:p>
              </w:tc>
              <w:tc>
                <w:tcPr>
                  <w:tcW w:w="3655" w:type="pct"/>
                  <w:gridSpan w:val="4"/>
                  <w:vAlign w:val="center"/>
                </w:tcPr>
                <w:p>
                  <w:pPr>
                    <w:pStyle w:val="68"/>
                    <w:spacing w:line="400" w:lineRule="exact"/>
                    <w:rPr>
                      <w:kern w:val="0"/>
                    </w:rPr>
                  </w:pPr>
                  <w:r>
                    <w:rPr>
                      <w:rFonts w:hint="eastAsia"/>
                      <w:kern w:val="0"/>
                    </w:rPr>
                    <w:t>本项目评价范围无生态保护目标</w:t>
                  </w:r>
                </w:p>
              </w:tc>
            </w:tr>
          </w:tbl>
          <w:p>
            <w:pPr>
              <w:adjustRightInd w:val="0"/>
              <w:snapToGrid w:val="0"/>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26" w:type="dxa"/>
            <w:tcMar>
              <w:left w:w="28" w:type="dxa"/>
              <w:right w:w="28"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污染物排放控制标准</w:t>
            </w:r>
          </w:p>
        </w:tc>
        <w:tc>
          <w:tcPr>
            <w:tcW w:w="8635" w:type="dxa"/>
            <w:vAlign w:val="center"/>
          </w:tcPr>
          <w:p>
            <w:pPr>
              <w:pStyle w:val="51"/>
              <w:ind w:firstLine="480"/>
            </w:pPr>
            <w:r>
              <w:t>（1）废气</w:t>
            </w:r>
          </w:p>
          <w:p>
            <w:pPr>
              <w:pStyle w:val="51"/>
              <w:ind w:firstLine="480"/>
            </w:pPr>
            <w:r>
              <w:rPr>
                <w:rFonts w:hint="eastAsia"/>
              </w:rPr>
              <w:t xml:space="preserve"> 覆膜废气</w:t>
            </w:r>
            <w:r>
              <w:t>执行《合成树脂工业污染物排放标准》（GB31572-2015）表5特别排放限值（排气筒高度应不低于15 m）</w:t>
            </w:r>
            <w:r>
              <w:rPr>
                <w:rFonts w:hint="eastAsia"/>
              </w:rPr>
              <w:t>。</w:t>
            </w:r>
          </w:p>
          <w:p>
            <w:pPr>
              <w:pStyle w:val="51"/>
              <w:spacing w:line="500" w:lineRule="exact"/>
              <w:ind w:firstLine="480"/>
            </w:pPr>
            <w:r>
              <w:t>同时应满足河南省《关于全省开展工业企业挥发性有机物专项治理工作中排放建议值的通知》（豫环攻坚办【2017】162号）相关要求（建议排放浓度≤80 mg/m</w:t>
            </w:r>
            <w:r>
              <w:rPr>
                <w:vertAlign w:val="superscript"/>
              </w:rPr>
              <w:t>3</w:t>
            </w:r>
            <w:r>
              <w:t>，建议去除效率应≥70%；工业企业边界挥发性有机物排放建议值≤2.0 mg/m</w:t>
            </w:r>
            <w:r>
              <w:rPr>
                <w:vertAlign w:val="superscript"/>
              </w:rPr>
              <w:t>3</w:t>
            </w:r>
            <w:r>
              <w:t>）。</w:t>
            </w:r>
          </w:p>
          <w:p>
            <w:pPr>
              <w:pStyle w:val="51"/>
              <w:spacing w:line="500" w:lineRule="exact"/>
              <w:ind w:firstLine="480"/>
            </w:pPr>
            <w:r>
              <w:rPr>
                <w:rFonts w:hint="eastAsia"/>
              </w:rPr>
              <w:t>无组织废气</w:t>
            </w:r>
            <w:r>
              <w:t>满足《挥发性有机物无组织排放控制标准》（GB37822-2019），厂区内VOCS无组织排放限值（特别排放限值：监控点处1m平均浓度值≤6mg/m</w:t>
            </w:r>
            <w:r>
              <w:rPr>
                <w:vertAlign w:val="superscript"/>
              </w:rPr>
              <w:t>3</w:t>
            </w:r>
            <w:r>
              <w:t>，监控点处任意一次浓度值≤20 mg/m</w:t>
            </w:r>
            <w:r>
              <w:rPr>
                <w:vertAlign w:val="superscript"/>
              </w:rPr>
              <w:t>3</w:t>
            </w:r>
            <w:r>
              <w:t>）。</w:t>
            </w:r>
          </w:p>
          <w:p>
            <w:pPr>
              <w:pStyle w:val="51"/>
              <w:ind w:firstLine="480"/>
            </w:pPr>
            <w:r>
              <w:t>废气排放标准见表</w:t>
            </w:r>
            <w:r>
              <w:rPr>
                <w:rFonts w:hint="eastAsia"/>
              </w:rPr>
              <w:t>18</w:t>
            </w:r>
            <w:r>
              <w:t>~表</w:t>
            </w:r>
            <w:r>
              <w:rPr>
                <w:rFonts w:hint="eastAsia"/>
              </w:rPr>
              <w:t>20</w:t>
            </w:r>
            <w:r>
              <w:t>。</w:t>
            </w:r>
          </w:p>
          <w:p>
            <w:pPr>
              <w:pStyle w:val="53"/>
              <w:ind w:firstLine="480"/>
            </w:pPr>
            <w:r>
              <w:t>表</w:t>
            </w:r>
            <w:r>
              <w:rPr>
                <w:rFonts w:hint="eastAsia"/>
              </w:rPr>
              <w:t>18</w:t>
            </w:r>
            <w:r>
              <w:t xml:space="preserve">            合成树脂工业大气污染物特别排放限值</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461"/>
              <w:gridCol w:w="2002"/>
              <w:gridCol w:w="1802"/>
              <w:gridCol w:w="1923"/>
              <w:gridCol w:w="12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4" w:hRule="atLeast"/>
                <w:jc w:val="center"/>
              </w:trPr>
              <w:tc>
                <w:tcPr>
                  <w:tcW w:w="871" w:type="pct"/>
                  <w:vMerge w:val="restart"/>
                  <w:vAlign w:val="center"/>
                </w:tcPr>
                <w:p>
                  <w:pPr>
                    <w:pStyle w:val="68"/>
                  </w:pPr>
                  <w:r>
                    <w:rPr>
                      <w:rFonts w:hint="eastAsia"/>
                    </w:rPr>
                    <w:t>污染物</w:t>
                  </w:r>
                </w:p>
              </w:tc>
              <w:tc>
                <w:tcPr>
                  <w:tcW w:w="2267" w:type="pct"/>
                  <w:gridSpan w:val="2"/>
                  <w:vAlign w:val="center"/>
                </w:tcPr>
                <w:p>
                  <w:pPr>
                    <w:pStyle w:val="68"/>
                  </w:pPr>
                  <w:r>
                    <w:rPr>
                      <w:rFonts w:hint="eastAsia"/>
                    </w:rPr>
                    <w:t>有组织排放</w:t>
                  </w:r>
                </w:p>
              </w:tc>
              <w:tc>
                <w:tcPr>
                  <w:tcW w:w="1861" w:type="pct"/>
                  <w:gridSpan w:val="2"/>
                  <w:vAlign w:val="center"/>
                </w:tcPr>
                <w:p>
                  <w:pPr>
                    <w:pStyle w:val="68"/>
                  </w:pPr>
                  <w:r>
                    <w:rPr>
                      <w:rFonts w:hint="eastAsia"/>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14" w:hRule="atLeast"/>
                <w:jc w:val="center"/>
              </w:trPr>
              <w:tc>
                <w:tcPr>
                  <w:tcW w:w="871" w:type="pct"/>
                  <w:vMerge w:val="continue"/>
                  <w:vAlign w:val="center"/>
                </w:tcPr>
                <w:p>
                  <w:pPr>
                    <w:pStyle w:val="68"/>
                  </w:pPr>
                </w:p>
              </w:tc>
              <w:tc>
                <w:tcPr>
                  <w:tcW w:w="1193" w:type="pct"/>
                  <w:vAlign w:val="center"/>
                </w:tcPr>
                <w:p>
                  <w:pPr>
                    <w:pStyle w:val="68"/>
                  </w:pPr>
                  <w:r>
                    <w:rPr>
                      <w:rFonts w:hint="eastAsia"/>
                    </w:rPr>
                    <w:t>特别排放限值</w:t>
                  </w:r>
                </w:p>
              </w:tc>
              <w:tc>
                <w:tcPr>
                  <w:tcW w:w="1074" w:type="pct"/>
                  <w:vAlign w:val="center"/>
                </w:tcPr>
                <w:p>
                  <w:pPr>
                    <w:pStyle w:val="68"/>
                    <w:rPr>
                      <w:highlight w:val="yellow"/>
                    </w:rPr>
                  </w:pPr>
                  <w:r>
                    <w:rPr>
                      <w:rFonts w:hint="eastAsia"/>
                    </w:rPr>
                    <w:t>排气筒高度</w:t>
                  </w:r>
                </w:p>
              </w:tc>
              <w:tc>
                <w:tcPr>
                  <w:tcW w:w="1146" w:type="pct"/>
                  <w:vAlign w:val="center"/>
                </w:tcPr>
                <w:p>
                  <w:pPr>
                    <w:pStyle w:val="68"/>
                  </w:pPr>
                  <w:r>
                    <w:rPr>
                      <w:rFonts w:hint="eastAsia"/>
                    </w:rPr>
                    <w:t>监控点</w:t>
                  </w:r>
                </w:p>
              </w:tc>
              <w:tc>
                <w:tcPr>
                  <w:tcW w:w="715" w:type="pct"/>
                  <w:vAlign w:val="center"/>
                </w:tcPr>
                <w:p>
                  <w:pPr>
                    <w:pStyle w:val="68"/>
                  </w:pPr>
                  <w:r>
                    <w:rPr>
                      <w:rFonts w:hint="eastAsia"/>
                    </w:rPr>
                    <w:t>浓度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 w:hRule="atLeast"/>
                <w:jc w:val="center"/>
              </w:trPr>
              <w:tc>
                <w:tcPr>
                  <w:tcW w:w="871" w:type="pct"/>
                  <w:vAlign w:val="center"/>
                </w:tcPr>
                <w:p>
                  <w:pPr>
                    <w:pStyle w:val="68"/>
                  </w:pPr>
                  <w:r>
                    <w:rPr>
                      <w:rFonts w:hint="eastAsia"/>
                    </w:rPr>
                    <w:t>非甲烷总烃</w:t>
                  </w:r>
                </w:p>
              </w:tc>
              <w:tc>
                <w:tcPr>
                  <w:tcW w:w="1193" w:type="pct"/>
                  <w:vAlign w:val="center"/>
                </w:tcPr>
                <w:p>
                  <w:pPr>
                    <w:pStyle w:val="68"/>
                  </w:pPr>
                  <w:r>
                    <w:t>60mg/m</w:t>
                  </w:r>
                  <w:r>
                    <w:rPr>
                      <w:vertAlign w:val="superscript"/>
                    </w:rPr>
                    <w:t>3</w:t>
                  </w:r>
                </w:p>
              </w:tc>
              <w:tc>
                <w:tcPr>
                  <w:tcW w:w="1074" w:type="pct"/>
                  <w:vAlign w:val="center"/>
                </w:tcPr>
                <w:p>
                  <w:pPr>
                    <w:pStyle w:val="68"/>
                    <w:rPr>
                      <w:highlight w:val="yellow"/>
                    </w:rPr>
                  </w:pPr>
                  <w:r>
                    <w:t>15m</w:t>
                  </w:r>
                </w:p>
              </w:tc>
              <w:tc>
                <w:tcPr>
                  <w:tcW w:w="1146" w:type="pct"/>
                  <w:vAlign w:val="center"/>
                </w:tcPr>
                <w:p>
                  <w:pPr>
                    <w:pStyle w:val="68"/>
                  </w:pPr>
                  <w:r>
                    <w:rPr>
                      <w:rFonts w:hint="eastAsia"/>
                    </w:rPr>
                    <w:t>周界外浓度最高点</w:t>
                  </w:r>
                </w:p>
              </w:tc>
              <w:tc>
                <w:tcPr>
                  <w:tcW w:w="715" w:type="pct"/>
                  <w:vAlign w:val="center"/>
                </w:tcPr>
                <w:p>
                  <w:pPr>
                    <w:pStyle w:val="68"/>
                  </w:pPr>
                  <w:r>
                    <w:t>4.0mg/m</w:t>
                  </w:r>
                  <w:r>
                    <w:rPr>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 w:hRule="atLeast"/>
                <w:jc w:val="center"/>
              </w:trPr>
              <w:tc>
                <w:tcPr>
                  <w:tcW w:w="871" w:type="pct"/>
                  <w:vAlign w:val="center"/>
                </w:tcPr>
                <w:p>
                  <w:pPr>
                    <w:pStyle w:val="68"/>
                  </w:pPr>
                  <w:r>
                    <w:rPr>
                      <w:rFonts w:hint="eastAsia"/>
                    </w:rPr>
                    <w:t>颗粒物</w:t>
                  </w:r>
                </w:p>
              </w:tc>
              <w:tc>
                <w:tcPr>
                  <w:tcW w:w="1193" w:type="pct"/>
                  <w:vAlign w:val="center"/>
                </w:tcPr>
                <w:p>
                  <w:pPr>
                    <w:pStyle w:val="68"/>
                  </w:pPr>
                  <w:r>
                    <w:rPr>
                      <w:rFonts w:hint="eastAsia"/>
                    </w:rPr>
                    <w:t>2</w:t>
                  </w:r>
                  <w:r>
                    <w:t>0mg/m</w:t>
                  </w:r>
                  <w:r>
                    <w:rPr>
                      <w:vertAlign w:val="superscript"/>
                    </w:rPr>
                    <w:t>3</w:t>
                  </w:r>
                </w:p>
              </w:tc>
              <w:tc>
                <w:tcPr>
                  <w:tcW w:w="1074" w:type="pct"/>
                  <w:vAlign w:val="center"/>
                </w:tcPr>
                <w:p>
                  <w:pPr>
                    <w:pStyle w:val="68"/>
                    <w:rPr>
                      <w:highlight w:val="yellow"/>
                    </w:rPr>
                  </w:pPr>
                  <w:r>
                    <w:t>15m</w:t>
                  </w:r>
                </w:p>
              </w:tc>
              <w:tc>
                <w:tcPr>
                  <w:tcW w:w="1146" w:type="pct"/>
                  <w:vAlign w:val="center"/>
                </w:tcPr>
                <w:p>
                  <w:pPr>
                    <w:pStyle w:val="68"/>
                  </w:pPr>
                  <w:r>
                    <w:rPr>
                      <w:rFonts w:hint="eastAsia"/>
                    </w:rPr>
                    <w:t>周界外浓度最高点</w:t>
                  </w:r>
                </w:p>
              </w:tc>
              <w:tc>
                <w:tcPr>
                  <w:tcW w:w="715" w:type="pct"/>
                  <w:vAlign w:val="center"/>
                </w:tcPr>
                <w:p>
                  <w:pPr>
                    <w:pStyle w:val="68"/>
                  </w:pPr>
                  <w:r>
                    <w:rPr>
                      <w:rFonts w:hint="eastAsia"/>
                    </w:rPr>
                    <w:t>1</w:t>
                  </w:r>
                  <w:r>
                    <w:t>.0mg/m</w:t>
                  </w:r>
                  <w:r>
                    <w:rPr>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 w:hRule="atLeast"/>
                <w:jc w:val="center"/>
              </w:trPr>
              <w:tc>
                <w:tcPr>
                  <w:tcW w:w="5000" w:type="pct"/>
                  <w:gridSpan w:val="5"/>
                  <w:vAlign w:val="center"/>
                </w:tcPr>
                <w:p>
                  <w:pPr>
                    <w:pStyle w:val="68"/>
                  </w:pPr>
                  <w:r>
                    <w:rPr>
                      <w:rFonts w:hint="eastAsia"/>
                    </w:rPr>
                    <w:t>单位产品非甲烷总烃排放量</w:t>
                  </w:r>
                  <w:r>
                    <w:t xml:space="preserve">0.3kg/t </w:t>
                  </w:r>
                  <w:r>
                    <w:rPr>
                      <w:rFonts w:hint="eastAsia"/>
                    </w:rPr>
                    <w:t>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 w:hRule="atLeast"/>
                <w:jc w:val="center"/>
              </w:trPr>
              <w:tc>
                <w:tcPr>
                  <w:tcW w:w="5000" w:type="pct"/>
                  <w:gridSpan w:val="5"/>
                  <w:vAlign w:val="center"/>
                </w:tcPr>
                <w:p>
                  <w:pPr>
                    <w:pStyle w:val="68"/>
                    <w:jc w:val="left"/>
                  </w:pPr>
                  <w:r>
                    <w:rPr>
                      <w:rFonts w:hint="eastAsia"/>
                    </w:rPr>
                    <w:t>注：排气筒高度还应高出周围</w:t>
                  </w:r>
                  <w:r>
                    <w:t>200m</w:t>
                  </w:r>
                  <w:r>
                    <w:rPr>
                      <w:rFonts w:hint="eastAsia"/>
                    </w:rPr>
                    <w:t>半径范围的建筑物</w:t>
                  </w:r>
                  <w:r>
                    <w:t>5m</w:t>
                  </w:r>
                  <w:r>
                    <w:rPr>
                      <w:rFonts w:hint="eastAsia"/>
                    </w:rPr>
                    <w:t>以上。</w:t>
                  </w:r>
                </w:p>
              </w:tc>
            </w:tr>
          </w:tbl>
          <w:p>
            <w:pPr>
              <w:pStyle w:val="53"/>
              <w:ind w:firstLine="480"/>
            </w:pPr>
            <w:r>
              <w:t>表</w:t>
            </w:r>
            <w:r>
              <w:rPr>
                <w:rFonts w:hint="eastAsia"/>
              </w:rPr>
              <w:t>19</w:t>
            </w:r>
            <w:r>
              <w:t xml:space="preserve">   《挥发性有机物无组织排放控制标准》（GB 37822-2019）</w:t>
            </w:r>
          </w:p>
          <w:tbl>
            <w:tblPr>
              <w:tblStyle w:val="2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5"/>
              <w:gridCol w:w="1596"/>
              <w:gridCol w:w="2985"/>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3" w:type="pct"/>
                  <w:vAlign w:val="center"/>
                </w:tcPr>
                <w:p>
                  <w:pPr>
                    <w:jc w:val="center"/>
                  </w:pPr>
                  <w:r>
                    <w:t>污染物项目</w:t>
                  </w:r>
                </w:p>
              </w:tc>
              <w:tc>
                <w:tcPr>
                  <w:tcW w:w="951" w:type="pct"/>
                  <w:vAlign w:val="center"/>
                </w:tcPr>
                <w:p>
                  <w:pPr>
                    <w:jc w:val="center"/>
                  </w:pPr>
                  <w:r>
                    <w:t>特别排放限值</w:t>
                  </w:r>
                </w:p>
              </w:tc>
              <w:tc>
                <w:tcPr>
                  <w:tcW w:w="1779" w:type="pct"/>
                  <w:vAlign w:val="center"/>
                </w:tcPr>
                <w:p>
                  <w:pPr>
                    <w:jc w:val="center"/>
                  </w:pPr>
                  <w:r>
                    <w:t>限值含义</w:t>
                  </w:r>
                </w:p>
              </w:tc>
              <w:tc>
                <w:tcPr>
                  <w:tcW w:w="1337" w:type="pct"/>
                  <w:vAlign w:val="center"/>
                </w:tcPr>
                <w:p>
                  <w:pPr>
                    <w:jc w:val="center"/>
                  </w:pPr>
                  <w:r>
                    <w:t>无组织排放监控位置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3" w:type="pct"/>
                  <w:vMerge w:val="restart"/>
                  <w:vAlign w:val="center"/>
                </w:tcPr>
                <w:p>
                  <w:pPr>
                    <w:jc w:val="center"/>
                  </w:pPr>
                  <w:r>
                    <w:t>非甲烷总烃（NMHC）</w:t>
                  </w:r>
                </w:p>
              </w:tc>
              <w:tc>
                <w:tcPr>
                  <w:tcW w:w="951" w:type="pct"/>
                  <w:vAlign w:val="center"/>
                </w:tcPr>
                <w:p>
                  <w:pPr>
                    <w:jc w:val="center"/>
                  </w:pPr>
                  <w:r>
                    <w:t>6 mg/m</w:t>
                  </w:r>
                  <w:r>
                    <w:rPr>
                      <w:vertAlign w:val="superscript"/>
                    </w:rPr>
                    <w:t>3</w:t>
                  </w:r>
                </w:p>
              </w:tc>
              <w:tc>
                <w:tcPr>
                  <w:tcW w:w="1779" w:type="pct"/>
                  <w:vAlign w:val="center"/>
                </w:tcPr>
                <w:p>
                  <w:pPr>
                    <w:jc w:val="center"/>
                  </w:pPr>
                  <w:r>
                    <w:t>监控点处1h平均浓度值</w:t>
                  </w:r>
                </w:p>
              </w:tc>
              <w:tc>
                <w:tcPr>
                  <w:tcW w:w="1337" w:type="pct"/>
                  <w:vMerge w:val="restart"/>
                  <w:vAlign w:val="center"/>
                </w:tcPr>
                <w:p>
                  <w:pPr>
                    <w:jc w:val="center"/>
                  </w:pPr>
                  <w:r>
                    <w:t>在厂房外设置监控点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3" w:type="pct"/>
                  <w:vMerge w:val="continue"/>
                  <w:vAlign w:val="center"/>
                </w:tcPr>
                <w:p>
                  <w:pPr>
                    <w:jc w:val="center"/>
                  </w:pPr>
                </w:p>
              </w:tc>
              <w:tc>
                <w:tcPr>
                  <w:tcW w:w="951" w:type="pct"/>
                  <w:vAlign w:val="center"/>
                </w:tcPr>
                <w:p>
                  <w:pPr>
                    <w:jc w:val="center"/>
                  </w:pPr>
                  <w:r>
                    <w:t>20 mg/m</w:t>
                  </w:r>
                  <w:r>
                    <w:rPr>
                      <w:vertAlign w:val="superscript"/>
                    </w:rPr>
                    <w:t>3</w:t>
                  </w:r>
                </w:p>
              </w:tc>
              <w:tc>
                <w:tcPr>
                  <w:tcW w:w="1779" w:type="pct"/>
                  <w:vAlign w:val="center"/>
                </w:tcPr>
                <w:p>
                  <w:pPr>
                    <w:jc w:val="center"/>
                  </w:pPr>
                  <w:r>
                    <w:t>监控点出任意一次浓度值</w:t>
                  </w:r>
                </w:p>
              </w:tc>
              <w:tc>
                <w:tcPr>
                  <w:tcW w:w="1337" w:type="pct"/>
                  <w:vMerge w:val="continue"/>
                  <w:vAlign w:val="center"/>
                </w:tcPr>
                <w:p>
                  <w:pPr>
                    <w:jc w:val="center"/>
                  </w:pPr>
                </w:p>
              </w:tc>
            </w:tr>
          </w:tbl>
          <w:p>
            <w:pPr>
              <w:pStyle w:val="53"/>
              <w:ind w:firstLine="480"/>
              <w:rPr>
                <w:sz w:val="21"/>
                <w:vertAlign w:val="superscript"/>
              </w:rPr>
            </w:pPr>
            <w:r>
              <w:t>表</w:t>
            </w:r>
            <w:r>
              <w:rPr>
                <w:rFonts w:hint="eastAsia"/>
              </w:rPr>
              <w:t>20</w:t>
            </w:r>
            <w:r>
              <w:t xml:space="preserve">  工业企业挥发性有机物专项治理工作中排放建议值的通知</w:t>
            </w:r>
          </w:p>
          <w:tbl>
            <w:tblPr>
              <w:tblStyle w:val="2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50"/>
              <w:gridCol w:w="1163"/>
              <w:gridCol w:w="1654"/>
              <w:gridCol w:w="1386"/>
              <w:gridCol w:w="1691"/>
              <w:gridCol w:w="1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5" w:type="pct"/>
                  <w:vAlign w:val="center"/>
                </w:tcPr>
                <w:p>
                  <w:pPr>
                    <w:pStyle w:val="68"/>
                    <w:spacing w:line="320" w:lineRule="exact"/>
                  </w:pPr>
                  <w:r>
                    <w:t>排放方式</w:t>
                  </w:r>
                </w:p>
              </w:tc>
              <w:tc>
                <w:tcPr>
                  <w:tcW w:w="693" w:type="pct"/>
                  <w:vAlign w:val="center"/>
                </w:tcPr>
                <w:p>
                  <w:pPr>
                    <w:pStyle w:val="68"/>
                    <w:spacing w:line="320" w:lineRule="exact"/>
                  </w:pPr>
                  <w:r>
                    <w:t>行业</w:t>
                  </w:r>
                </w:p>
              </w:tc>
              <w:tc>
                <w:tcPr>
                  <w:tcW w:w="986" w:type="pct"/>
                  <w:vAlign w:val="center"/>
                </w:tcPr>
                <w:p>
                  <w:pPr>
                    <w:pStyle w:val="68"/>
                    <w:spacing w:line="320" w:lineRule="exact"/>
                  </w:pPr>
                  <w:r>
                    <w:t>工艺设施</w:t>
                  </w:r>
                </w:p>
              </w:tc>
              <w:tc>
                <w:tcPr>
                  <w:tcW w:w="826" w:type="pct"/>
                  <w:vAlign w:val="center"/>
                </w:tcPr>
                <w:p>
                  <w:pPr>
                    <w:pStyle w:val="68"/>
                    <w:spacing w:line="320" w:lineRule="exact"/>
                  </w:pPr>
                  <w:r>
                    <w:t>污染物</w:t>
                  </w:r>
                </w:p>
              </w:tc>
              <w:tc>
                <w:tcPr>
                  <w:tcW w:w="1008" w:type="pct"/>
                  <w:vAlign w:val="center"/>
                </w:tcPr>
                <w:p>
                  <w:pPr>
                    <w:pStyle w:val="68"/>
                    <w:spacing w:line="320" w:lineRule="exact"/>
                  </w:pPr>
                  <w:r>
                    <w:t>建议排放浓度</w:t>
                  </w:r>
                </w:p>
              </w:tc>
              <w:tc>
                <w:tcPr>
                  <w:tcW w:w="742" w:type="pct"/>
                  <w:vAlign w:val="center"/>
                </w:tcPr>
                <w:p>
                  <w:pPr>
                    <w:pStyle w:val="68"/>
                    <w:spacing w:line="320" w:lineRule="exact"/>
                  </w:pPr>
                  <w:r>
                    <w:t>去除效率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5" w:type="pct"/>
                  <w:vAlign w:val="center"/>
                </w:tcPr>
                <w:p>
                  <w:pPr>
                    <w:pStyle w:val="68"/>
                    <w:spacing w:line="320" w:lineRule="exact"/>
                  </w:pPr>
                  <w:r>
                    <w:t>有组织</w:t>
                  </w:r>
                </w:p>
              </w:tc>
              <w:tc>
                <w:tcPr>
                  <w:tcW w:w="693" w:type="pct"/>
                  <w:vMerge w:val="restart"/>
                  <w:vAlign w:val="center"/>
                </w:tcPr>
                <w:p>
                  <w:pPr>
                    <w:pStyle w:val="68"/>
                    <w:spacing w:line="320" w:lineRule="exact"/>
                  </w:pPr>
                  <w:r>
                    <w:t>其他企业</w:t>
                  </w:r>
                </w:p>
              </w:tc>
              <w:tc>
                <w:tcPr>
                  <w:tcW w:w="986" w:type="pct"/>
                  <w:vAlign w:val="center"/>
                </w:tcPr>
                <w:p>
                  <w:pPr>
                    <w:pStyle w:val="68"/>
                    <w:spacing w:line="320" w:lineRule="exact"/>
                  </w:pPr>
                  <w:r>
                    <w:t>排放口</w:t>
                  </w:r>
                </w:p>
              </w:tc>
              <w:tc>
                <w:tcPr>
                  <w:tcW w:w="826" w:type="pct"/>
                  <w:vAlign w:val="center"/>
                </w:tcPr>
                <w:p>
                  <w:pPr>
                    <w:pStyle w:val="68"/>
                    <w:spacing w:line="320" w:lineRule="exact"/>
                  </w:pPr>
                  <w:r>
                    <w:t>非甲烷总烃</w:t>
                  </w:r>
                </w:p>
              </w:tc>
              <w:tc>
                <w:tcPr>
                  <w:tcW w:w="1008" w:type="pct"/>
                  <w:vAlign w:val="center"/>
                </w:tcPr>
                <w:p>
                  <w:pPr>
                    <w:pStyle w:val="68"/>
                    <w:spacing w:line="320" w:lineRule="exact"/>
                  </w:pPr>
                  <w:r>
                    <w:t>80.0 mg/m</w:t>
                  </w:r>
                  <w:r>
                    <w:rPr>
                      <w:vertAlign w:val="superscript"/>
                    </w:rPr>
                    <w:t>3</w:t>
                  </w:r>
                </w:p>
              </w:tc>
              <w:tc>
                <w:tcPr>
                  <w:tcW w:w="742" w:type="pct"/>
                  <w:vAlign w:val="center"/>
                </w:tcPr>
                <w:p>
                  <w:pPr>
                    <w:pStyle w:val="68"/>
                    <w:spacing w:line="320" w:lineRule="exact"/>
                  </w:pPr>
                  <w: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5" w:type="pct"/>
                  <w:vAlign w:val="center"/>
                </w:tcPr>
                <w:p>
                  <w:pPr>
                    <w:pStyle w:val="68"/>
                    <w:spacing w:line="320" w:lineRule="exact"/>
                  </w:pPr>
                  <w:r>
                    <w:t>无组织</w:t>
                  </w:r>
                </w:p>
              </w:tc>
              <w:tc>
                <w:tcPr>
                  <w:tcW w:w="693" w:type="pct"/>
                  <w:vMerge w:val="continue"/>
                  <w:vAlign w:val="center"/>
                </w:tcPr>
                <w:p>
                  <w:pPr>
                    <w:pStyle w:val="68"/>
                    <w:spacing w:line="320" w:lineRule="exact"/>
                  </w:pPr>
                </w:p>
              </w:tc>
              <w:tc>
                <w:tcPr>
                  <w:tcW w:w="986" w:type="pct"/>
                  <w:vAlign w:val="center"/>
                </w:tcPr>
                <w:p>
                  <w:pPr>
                    <w:pStyle w:val="68"/>
                    <w:spacing w:line="320" w:lineRule="exact"/>
                  </w:pPr>
                  <w:r>
                    <w:t>厂界</w:t>
                  </w:r>
                </w:p>
              </w:tc>
              <w:tc>
                <w:tcPr>
                  <w:tcW w:w="826" w:type="pct"/>
                  <w:vAlign w:val="center"/>
                </w:tcPr>
                <w:p>
                  <w:pPr>
                    <w:pStyle w:val="68"/>
                    <w:spacing w:line="320" w:lineRule="exact"/>
                  </w:pPr>
                  <w:r>
                    <w:t>非甲烷总烃</w:t>
                  </w:r>
                </w:p>
              </w:tc>
              <w:tc>
                <w:tcPr>
                  <w:tcW w:w="1008" w:type="pct"/>
                  <w:vAlign w:val="center"/>
                </w:tcPr>
                <w:p>
                  <w:pPr>
                    <w:pStyle w:val="68"/>
                    <w:spacing w:line="320" w:lineRule="exact"/>
                  </w:pPr>
                  <w:r>
                    <w:t>2.0 mg/m</w:t>
                  </w:r>
                  <w:r>
                    <w:rPr>
                      <w:vertAlign w:val="superscript"/>
                    </w:rPr>
                    <w:t>3</w:t>
                  </w:r>
                </w:p>
              </w:tc>
              <w:tc>
                <w:tcPr>
                  <w:tcW w:w="742" w:type="pct"/>
                  <w:vAlign w:val="center"/>
                </w:tcPr>
                <w:p>
                  <w:pPr>
                    <w:pStyle w:val="68"/>
                    <w:spacing w:line="320" w:lineRule="exact"/>
                  </w:pPr>
                  <w:r>
                    <w:t>/</w:t>
                  </w:r>
                </w:p>
              </w:tc>
            </w:tr>
          </w:tbl>
          <w:p>
            <w:pPr>
              <w:pStyle w:val="51"/>
              <w:ind w:firstLine="480"/>
            </w:pPr>
            <w:r>
              <w:t>（2）废水</w:t>
            </w:r>
          </w:p>
          <w:p>
            <w:pPr>
              <w:pStyle w:val="51"/>
              <w:ind w:firstLine="480"/>
            </w:pPr>
            <w:r>
              <w:t>本项目生活污水依托厂区化粪池预处理后满足《污水综合排放标准》（GB8978-1996）表4三级标准后通过市政污水管网送偃师市第三污水处理厂深度处理，具体标准值见下表。</w:t>
            </w:r>
          </w:p>
          <w:p>
            <w:pPr>
              <w:spacing w:line="520" w:lineRule="exact"/>
              <w:ind w:firstLine="480" w:firstLineChars="200"/>
              <w:rPr>
                <w:sz w:val="24"/>
              </w:rPr>
            </w:pPr>
            <w:r>
              <w:rPr>
                <w:rFonts w:eastAsia="黑体"/>
                <w:sz w:val="24"/>
              </w:rPr>
              <w:t>表</w:t>
            </w:r>
            <w:r>
              <w:rPr>
                <w:rFonts w:hint="eastAsia" w:eastAsia="黑体"/>
                <w:sz w:val="24"/>
              </w:rPr>
              <w:t>21</w:t>
            </w:r>
            <w:r>
              <w:rPr>
                <w:rFonts w:eastAsia="黑体"/>
                <w:sz w:val="24"/>
              </w:rPr>
              <w:t xml:space="preserve">    污水综合排放标准及污水处理厂进水水质       </w:t>
            </w:r>
            <w:r>
              <w:rPr>
                <w:sz w:val="24"/>
              </w:rPr>
              <w:t>单位：mg/L</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424"/>
              <w:gridCol w:w="1045"/>
              <w:gridCol w:w="1044"/>
              <w:gridCol w:w="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233" w:type="pct"/>
                  <w:vAlign w:val="center"/>
                </w:tcPr>
                <w:p>
                  <w:pPr>
                    <w:spacing w:line="440" w:lineRule="exact"/>
                    <w:jc w:val="center"/>
                    <w:rPr>
                      <w:szCs w:val="21"/>
                    </w:rPr>
                  </w:pPr>
                  <w:r>
                    <w:rPr>
                      <w:szCs w:val="21"/>
                    </w:rPr>
                    <w:t>项目</w:t>
                  </w:r>
                </w:p>
              </w:tc>
              <w:tc>
                <w:tcPr>
                  <w:tcW w:w="623" w:type="pct"/>
                  <w:vAlign w:val="center"/>
                </w:tcPr>
                <w:p>
                  <w:pPr>
                    <w:spacing w:line="440" w:lineRule="exact"/>
                    <w:jc w:val="center"/>
                    <w:rPr>
                      <w:szCs w:val="21"/>
                    </w:rPr>
                  </w:pPr>
                  <w:r>
                    <w:rPr>
                      <w:szCs w:val="21"/>
                    </w:rPr>
                    <w:t>COD</w:t>
                  </w:r>
                </w:p>
              </w:tc>
              <w:tc>
                <w:tcPr>
                  <w:tcW w:w="622" w:type="pct"/>
                  <w:vAlign w:val="center"/>
                </w:tcPr>
                <w:p>
                  <w:pPr>
                    <w:spacing w:line="440" w:lineRule="exact"/>
                    <w:jc w:val="center"/>
                    <w:rPr>
                      <w:szCs w:val="21"/>
                    </w:rPr>
                  </w:pPr>
                  <w:r>
                    <w:rPr>
                      <w:szCs w:val="21"/>
                    </w:rPr>
                    <w:t>BOD</w:t>
                  </w:r>
                  <w:r>
                    <w:rPr>
                      <w:szCs w:val="21"/>
                      <w:vertAlign w:val="subscript"/>
                    </w:rPr>
                    <w:t>5</w:t>
                  </w:r>
                </w:p>
              </w:tc>
              <w:tc>
                <w:tcPr>
                  <w:tcW w:w="522" w:type="pct"/>
                  <w:vAlign w:val="center"/>
                </w:tcPr>
                <w:p>
                  <w:pPr>
                    <w:spacing w:line="440" w:lineRule="exact"/>
                    <w:jc w:val="center"/>
                    <w:rPr>
                      <w:szCs w:val="21"/>
                    </w:rPr>
                  </w:pPr>
                  <w:r>
                    <w:rPr>
                      <w:szCs w:val="21"/>
                    </w:rPr>
                    <w:t>氨氮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6" w:hRule="atLeast"/>
                <w:jc w:val="center"/>
              </w:trPr>
              <w:tc>
                <w:tcPr>
                  <w:tcW w:w="3233" w:type="pct"/>
                  <w:vAlign w:val="center"/>
                </w:tcPr>
                <w:p>
                  <w:pPr>
                    <w:spacing w:line="440" w:lineRule="exact"/>
                    <w:jc w:val="center"/>
                    <w:rPr>
                      <w:szCs w:val="21"/>
                    </w:rPr>
                  </w:pPr>
                  <w:r>
                    <w:rPr>
                      <w:szCs w:val="21"/>
                    </w:rPr>
                    <w:t>《污水综合排放标准》（GB8978-1996）表4三级标准</w:t>
                  </w:r>
                </w:p>
              </w:tc>
              <w:tc>
                <w:tcPr>
                  <w:tcW w:w="623" w:type="pct"/>
                  <w:vAlign w:val="center"/>
                </w:tcPr>
                <w:p>
                  <w:pPr>
                    <w:spacing w:line="440" w:lineRule="exact"/>
                    <w:jc w:val="center"/>
                    <w:rPr>
                      <w:szCs w:val="21"/>
                    </w:rPr>
                  </w:pPr>
                  <w:r>
                    <w:rPr>
                      <w:szCs w:val="21"/>
                    </w:rPr>
                    <w:t>500</w:t>
                  </w:r>
                </w:p>
              </w:tc>
              <w:tc>
                <w:tcPr>
                  <w:tcW w:w="622" w:type="pct"/>
                  <w:vAlign w:val="center"/>
                </w:tcPr>
                <w:p>
                  <w:pPr>
                    <w:spacing w:line="440" w:lineRule="exact"/>
                    <w:jc w:val="center"/>
                    <w:rPr>
                      <w:szCs w:val="21"/>
                    </w:rPr>
                  </w:pPr>
                  <w:r>
                    <w:rPr>
                      <w:szCs w:val="21"/>
                    </w:rPr>
                    <w:t>300</w:t>
                  </w:r>
                </w:p>
              </w:tc>
              <w:tc>
                <w:tcPr>
                  <w:tcW w:w="522" w:type="pct"/>
                  <w:vAlign w:val="center"/>
                </w:tcPr>
                <w:p>
                  <w:pPr>
                    <w:spacing w:line="440" w:lineRule="exact"/>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6" w:hRule="atLeast"/>
                <w:jc w:val="center"/>
              </w:trPr>
              <w:tc>
                <w:tcPr>
                  <w:tcW w:w="3233" w:type="pct"/>
                  <w:vAlign w:val="center"/>
                </w:tcPr>
                <w:p>
                  <w:pPr>
                    <w:spacing w:line="440" w:lineRule="exact"/>
                    <w:jc w:val="center"/>
                    <w:rPr>
                      <w:szCs w:val="21"/>
                    </w:rPr>
                  </w:pPr>
                  <w:r>
                    <w:rPr>
                      <w:szCs w:val="21"/>
                    </w:rPr>
                    <w:t>偃师市第三污水处理厂设计进水水质</w:t>
                  </w:r>
                </w:p>
              </w:tc>
              <w:tc>
                <w:tcPr>
                  <w:tcW w:w="623" w:type="pct"/>
                  <w:vAlign w:val="center"/>
                </w:tcPr>
                <w:p>
                  <w:pPr>
                    <w:spacing w:line="440" w:lineRule="exact"/>
                    <w:jc w:val="center"/>
                    <w:rPr>
                      <w:szCs w:val="21"/>
                    </w:rPr>
                  </w:pPr>
                  <w:r>
                    <w:rPr>
                      <w:szCs w:val="21"/>
                    </w:rPr>
                    <w:t>350</w:t>
                  </w:r>
                </w:p>
              </w:tc>
              <w:tc>
                <w:tcPr>
                  <w:tcW w:w="622" w:type="pct"/>
                  <w:vAlign w:val="center"/>
                </w:tcPr>
                <w:p>
                  <w:pPr>
                    <w:spacing w:line="440" w:lineRule="exact"/>
                    <w:jc w:val="center"/>
                    <w:rPr>
                      <w:szCs w:val="21"/>
                    </w:rPr>
                  </w:pPr>
                  <w:r>
                    <w:rPr>
                      <w:szCs w:val="21"/>
                    </w:rPr>
                    <w:t>/</w:t>
                  </w:r>
                </w:p>
              </w:tc>
              <w:tc>
                <w:tcPr>
                  <w:tcW w:w="522" w:type="pct"/>
                  <w:vAlign w:val="center"/>
                </w:tcPr>
                <w:p>
                  <w:pPr>
                    <w:spacing w:line="440" w:lineRule="exact"/>
                    <w:jc w:val="center"/>
                    <w:rPr>
                      <w:szCs w:val="21"/>
                    </w:rPr>
                  </w:pPr>
                  <w:r>
                    <w:rPr>
                      <w:szCs w:val="21"/>
                    </w:rPr>
                    <w:t>35</w:t>
                  </w:r>
                </w:p>
              </w:tc>
            </w:tr>
          </w:tbl>
          <w:p>
            <w:pPr>
              <w:pStyle w:val="51"/>
              <w:ind w:firstLine="480"/>
            </w:pPr>
            <w:r>
              <w:t>（3）噪声</w:t>
            </w:r>
          </w:p>
          <w:p>
            <w:pPr>
              <w:pStyle w:val="51"/>
              <w:ind w:firstLine="480"/>
            </w:pPr>
            <w:r>
              <w:t>运营期厂界噪声执行《工业企业厂界环境噪声排放标准》（GB12348－2008）中</w:t>
            </w:r>
            <w:r>
              <w:rPr>
                <w:rFonts w:hint="eastAsia"/>
              </w:rPr>
              <w:t>3</w:t>
            </w:r>
            <w:r>
              <w:t>类标准要求。</w:t>
            </w:r>
          </w:p>
          <w:p>
            <w:pPr>
              <w:pStyle w:val="51"/>
              <w:ind w:firstLine="480"/>
            </w:pPr>
            <w:r>
              <w:t>噪声排放标准见表</w:t>
            </w:r>
            <w:r>
              <w:rPr>
                <w:rFonts w:hint="eastAsia"/>
              </w:rPr>
              <w:t>22</w:t>
            </w:r>
            <w:r>
              <w:t>。</w:t>
            </w:r>
          </w:p>
          <w:p>
            <w:pPr>
              <w:pStyle w:val="53"/>
              <w:ind w:firstLine="480"/>
            </w:pPr>
            <w:r>
              <w:t>表</w:t>
            </w:r>
            <w:r>
              <w:rPr>
                <w:rFonts w:hint="eastAsia"/>
              </w:rPr>
              <w:t>22</w:t>
            </w:r>
            <w:r>
              <w:t xml:space="preserve">                 噪声排放标准</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92"/>
              <w:gridCol w:w="1496"/>
              <w:gridCol w:w="30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78" w:type="pct"/>
                  <w:vAlign w:val="center"/>
                </w:tcPr>
                <w:p>
                  <w:pPr>
                    <w:pStyle w:val="68"/>
                    <w:spacing w:line="400" w:lineRule="exact"/>
                  </w:pPr>
                  <w:r>
                    <w:t>标准名称及级(类)别</w:t>
                  </w:r>
                </w:p>
              </w:tc>
              <w:tc>
                <w:tcPr>
                  <w:tcW w:w="837" w:type="pct"/>
                  <w:vAlign w:val="center"/>
                </w:tcPr>
                <w:p>
                  <w:pPr>
                    <w:pStyle w:val="68"/>
                    <w:spacing w:line="400" w:lineRule="exact"/>
                  </w:pPr>
                  <w:r>
                    <w:t>污染因子</w:t>
                  </w:r>
                </w:p>
              </w:tc>
              <w:tc>
                <w:tcPr>
                  <w:tcW w:w="1679" w:type="pct"/>
                  <w:vAlign w:val="center"/>
                </w:tcPr>
                <w:p>
                  <w:pPr>
                    <w:pStyle w:val="68"/>
                    <w:spacing w:line="400" w:lineRule="exact"/>
                  </w:pPr>
                  <w:r>
                    <w:t>标准限值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2178" w:type="pct"/>
                  <w:vAlign w:val="center"/>
                </w:tcPr>
                <w:p>
                  <w:pPr>
                    <w:pStyle w:val="68"/>
                    <w:spacing w:line="400" w:lineRule="exact"/>
                  </w:pPr>
                  <w:r>
                    <w:t>《工业企业厂界环境噪声排放标准》（GB12348-2008）</w:t>
                  </w:r>
                  <w:r>
                    <w:rPr>
                      <w:rFonts w:hint="eastAsia"/>
                    </w:rPr>
                    <w:t>3</w:t>
                  </w:r>
                  <w:r>
                    <w:t>类标准</w:t>
                  </w:r>
                </w:p>
              </w:tc>
              <w:tc>
                <w:tcPr>
                  <w:tcW w:w="837" w:type="pct"/>
                  <w:vAlign w:val="center"/>
                </w:tcPr>
                <w:p>
                  <w:pPr>
                    <w:pStyle w:val="68"/>
                    <w:spacing w:line="400" w:lineRule="exact"/>
                  </w:pPr>
                  <w:r>
                    <w:rPr>
                      <w:kern w:val="28"/>
                      <w:szCs w:val="21"/>
                    </w:rPr>
                    <w:t>等效A声级</w:t>
                  </w:r>
                </w:p>
              </w:tc>
              <w:tc>
                <w:tcPr>
                  <w:tcW w:w="1679" w:type="pct"/>
                  <w:vAlign w:val="center"/>
                </w:tcPr>
                <w:p>
                  <w:pPr>
                    <w:pStyle w:val="68"/>
                    <w:spacing w:line="400" w:lineRule="exact"/>
                  </w:pPr>
                  <w:r>
                    <w:t>昼间6</w:t>
                  </w:r>
                  <w:r>
                    <w:rPr>
                      <w:rFonts w:hint="eastAsia"/>
                    </w:rPr>
                    <w:t>5</w:t>
                  </w:r>
                  <w:r>
                    <w:t>dB(A)  夜间5</w:t>
                  </w:r>
                  <w:r>
                    <w:rPr>
                      <w:rFonts w:hint="eastAsia"/>
                    </w:rPr>
                    <w:t>5</w:t>
                  </w:r>
                  <w:r>
                    <w:t>B(A)</w:t>
                  </w:r>
                </w:p>
              </w:tc>
            </w:tr>
          </w:tbl>
          <w:p>
            <w:pPr>
              <w:pStyle w:val="51"/>
              <w:ind w:firstLine="480"/>
            </w:pPr>
            <w:r>
              <w:t>（4）固废</w:t>
            </w:r>
          </w:p>
          <w:p>
            <w:pPr>
              <w:pStyle w:val="51"/>
              <w:ind w:firstLine="480"/>
            </w:pPr>
            <w:r>
              <w:t>一般固废暂存间满足防渗漏、防雨淋、防扬尘等环境保护要求。</w:t>
            </w:r>
          </w:p>
          <w:p>
            <w:pPr>
              <w:pStyle w:val="51"/>
              <w:ind w:firstLine="480"/>
              <w:rPr>
                <w:rFonts w:ascii="宋体" w:hAnsi="宋体" w:cs="宋体"/>
                <w:kern w:val="0"/>
                <w:szCs w:val="21"/>
              </w:rPr>
            </w:pPr>
            <w:r>
              <w:t>危险废物：执行《危险废物贮存污染控制标准》（GB 18597-20</w:t>
            </w:r>
            <w:r>
              <w:rPr>
                <w:rFonts w:hint="eastAsia"/>
              </w:rPr>
              <w:t>23</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总量</w:t>
            </w:r>
          </w:p>
          <w:p>
            <w:pPr>
              <w:adjustRightInd w:val="0"/>
              <w:snapToGrid w:val="0"/>
              <w:jc w:val="center"/>
              <w:rPr>
                <w:rFonts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635" w:type="dxa"/>
            <w:vAlign w:val="center"/>
          </w:tcPr>
          <w:p>
            <w:pPr>
              <w:autoSpaceDE w:val="0"/>
              <w:autoSpaceDN w:val="0"/>
              <w:adjustRightInd w:val="0"/>
              <w:snapToGrid w:val="0"/>
              <w:spacing w:line="480" w:lineRule="exact"/>
              <w:ind w:firstLine="480" w:firstLineChars="200"/>
              <w:textAlignment w:val="baseline"/>
              <w:rPr>
                <w:sz w:val="24"/>
              </w:rPr>
            </w:pPr>
            <w:r>
              <w:rPr>
                <w:rFonts w:hint="eastAsia"/>
                <w:sz w:val="24"/>
              </w:rPr>
              <w:t>根据环保部确定的污染物排放总量控制指标，结合本项目污染物特点，确定非甲烷总烃为本项目污染物总量控制因子。</w:t>
            </w:r>
          </w:p>
          <w:p>
            <w:pPr>
              <w:autoSpaceDE w:val="0"/>
              <w:autoSpaceDN w:val="0"/>
              <w:adjustRightInd w:val="0"/>
              <w:snapToGrid w:val="0"/>
              <w:spacing w:line="480" w:lineRule="exact"/>
              <w:ind w:firstLine="480" w:firstLineChars="200"/>
              <w:textAlignment w:val="baseline"/>
              <w:rPr>
                <w:sz w:val="24"/>
              </w:rPr>
            </w:pPr>
            <w:r>
              <w:rPr>
                <w:rFonts w:hint="eastAsia"/>
                <w:sz w:val="24"/>
              </w:rPr>
              <w:t>废水污染物：本项目无生产废水排放，生活污水依托原有化粪池处理后排放，经市政污水管网排入偃师市第三污水处理厂进行深度处理，故不再进行总量指标核定。</w:t>
            </w:r>
          </w:p>
          <w:p>
            <w:pPr>
              <w:autoSpaceDE w:val="0"/>
              <w:autoSpaceDN w:val="0"/>
              <w:adjustRightInd w:val="0"/>
              <w:snapToGrid w:val="0"/>
              <w:spacing w:line="480" w:lineRule="exact"/>
              <w:ind w:firstLine="480" w:firstLineChars="200"/>
              <w:textAlignment w:val="baseline"/>
              <w:rPr>
                <w:rFonts w:hint="eastAsia"/>
                <w:sz w:val="24"/>
              </w:rPr>
            </w:pPr>
            <w:r>
              <w:rPr>
                <w:rFonts w:hint="eastAsia"/>
                <w:sz w:val="24"/>
              </w:rPr>
              <w:t>废气污染物：洛阳和一集装袋包装有限公司年产5000吨覆膜基布项目VOCs 排放量为0.0616t/a，VOCs替代来源为洛阳艺隆装饰材料有限公司的VOCs减排量。</w:t>
            </w:r>
          </w:p>
          <w:p>
            <w:pPr>
              <w:autoSpaceDE w:val="0"/>
              <w:autoSpaceDN w:val="0"/>
              <w:adjustRightInd w:val="0"/>
              <w:snapToGrid w:val="0"/>
              <w:spacing w:line="480" w:lineRule="exact"/>
              <w:ind w:firstLine="480" w:firstLineChars="200"/>
              <w:textAlignment w:val="baseline"/>
              <w:rPr>
                <w:rFonts w:hint="eastAsia"/>
                <w:sz w:val="24"/>
              </w:rPr>
            </w:pPr>
          </w:p>
          <w:p>
            <w:pPr>
              <w:autoSpaceDE w:val="0"/>
              <w:autoSpaceDN w:val="0"/>
              <w:adjustRightInd w:val="0"/>
              <w:snapToGrid w:val="0"/>
              <w:spacing w:line="480" w:lineRule="exact"/>
              <w:ind w:firstLine="480" w:firstLineChars="200"/>
              <w:textAlignment w:val="baseline"/>
              <w:rPr>
                <w:rFonts w:hint="eastAsia"/>
                <w:sz w:val="24"/>
              </w:rPr>
            </w:pPr>
          </w:p>
          <w:p>
            <w:pPr>
              <w:autoSpaceDE w:val="0"/>
              <w:autoSpaceDN w:val="0"/>
              <w:adjustRightInd w:val="0"/>
              <w:snapToGrid w:val="0"/>
              <w:spacing w:line="480" w:lineRule="exact"/>
              <w:ind w:firstLine="420" w:firstLineChars="200"/>
              <w:textAlignment w:val="baseline"/>
              <w:rPr>
                <w:rFonts w:ascii="宋体" w:hAnsi="宋体" w:cs="宋体"/>
                <w:kern w:val="0"/>
                <w:szCs w:val="21"/>
              </w:rPr>
            </w:pPr>
          </w:p>
        </w:tc>
      </w:tr>
    </w:tbl>
    <w:p>
      <w:pPr>
        <w:pStyle w:val="19"/>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2"/>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746" w:type="dxa"/>
            <w:tcMar>
              <w:left w:w="28" w:type="dxa"/>
              <w:right w:w="28" w:type="dxa"/>
            </w:tcMar>
            <w:vAlign w:val="center"/>
          </w:tcPr>
          <w:p>
            <w:pPr>
              <w:pStyle w:val="19"/>
              <w:adjustRightInd w:val="0"/>
              <w:snapToGrid w:val="0"/>
              <w:spacing w:before="0" w:beforeAutospacing="0" w:after="0" w:afterAutospacing="0"/>
              <w:jc w:val="center"/>
              <w:rPr>
                <w:rFonts w:cs="宋体"/>
                <w:kern w:val="2"/>
                <w:sz w:val="21"/>
                <w:szCs w:val="21"/>
              </w:rPr>
            </w:pPr>
            <w:r>
              <w:rPr>
                <w:rFonts w:hint="eastAsia" w:cs="宋体"/>
                <w:kern w:val="2"/>
                <w:sz w:val="21"/>
                <w:szCs w:val="21"/>
              </w:rPr>
              <w:t>施工</w:t>
            </w:r>
          </w:p>
          <w:p>
            <w:pPr>
              <w:pStyle w:val="19"/>
              <w:adjustRightInd w:val="0"/>
              <w:snapToGrid w:val="0"/>
              <w:spacing w:before="0" w:beforeAutospacing="0" w:after="0" w:afterAutospacing="0"/>
              <w:jc w:val="center"/>
              <w:rPr>
                <w:rFonts w:cs="宋体"/>
                <w:kern w:val="2"/>
                <w:sz w:val="21"/>
                <w:szCs w:val="21"/>
              </w:rPr>
            </w:pPr>
            <w:r>
              <w:rPr>
                <w:rFonts w:hint="eastAsia" w:cs="宋体"/>
                <w:kern w:val="2"/>
                <w:sz w:val="21"/>
                <w:szCs w:val="21"/>
              </w:rPr>
              <w:t>期环</w:t>
            </w:r>
          </w:p>
          <w:p>
            <w:pPr>
              <w:pStyle w:val="19"/>
              <w:adjustRightInd w:val="0"/>
              <w:snapToGrid w:val="0"/>
              <w:spacing w:before="0" w:beforeAutospacing="0" w:after="0" w:afterAutospacing="0"/>
              <w:jc w:val="center"/>
              <w:rPr>
                <w:rFonts w:cs="宋体"/>
                <w:kern w:val="2"/>
                <w:sz w:val="21"/>
                <w:szCs w:val="21"/>
              </w:rPr>
            </w:pPr>
            <w:r>
              <w:rPr>
                <w:rFonts w:hint="eastAsia" w:cs="宋体"/>
                <w:kern w:val="2"/>
                <w:sz w:val="21"/>
                <w:szCs w:val="21"/>
              </w:rPr>
              <w:t>境保</w:t>
            </w:r>
          </w:p>
          <w:p>
            <w:pPr>
              <w:pStyle w:val="19"/>
              <w:adjustRightInd w:val="0"/>
              <w:snapToGrid w:val="0"/>
              <w:spacing w:before="0" w:beforeAutospacing="0" w:after="0" w:afterAutospacing="0"/>
              <w:jc w:val="center"/>
              <w:rPr>
                <w:rFonts w:cs="宋体"/>
                <w:kern w:val="2"/>
                <w:sz w:val="21"/>
                <w:szCs w:val="21"/>
              </w:rPr>
            </w:pPr>
            <w:r>
              <w:rPr>
                <w:rFonts w:hint="eastAsia" w:cs="宋体"/>
                <w:kern w:val="2"/>
                <w:sz w:val="21"/>
                <w:szCs w:val="21"/>
              </w:rPr>
              <w:t>护措</w:t>
            </w:r>
          </w:p>
          <w:p>
            <w:pPr>
              <w:pStyle w:val="19"/>
              <w:adjustRightInd w:val="0"/>
              <w:snapToGrid w:val="0"/>
              <w:spacing w:before="0" w:beforeAutospacing="0" w:after="0" w:afterAutospacing="0"/>
              <w:jc w:val="center"/>
              <w:rPr>
                <w:rFonts w:cs="宋体"/>
                <w:bCs/>
                <w:kern w:val="2"/>
                <w:sz w:val="21"/>
                <w:szCs w:val="21"/>
              </w:rPr>
            </w:pPr>
            <w:r>
              <w:rPr>
                <w:rFonts w:hint="eastAsia" w:cs="宋体"/>
                <w:kern w:val="2"/>
                <w:sz w:val="21"/>
                <w:szCs w:val="21"/>
              </w:rPr>
              <w:t>施</w:t>
            </w:r>
          </w:p>
        </w:tc>
        <w:tc>
          <w:tcPr>
            <w:tcW w:w="8162" w:type="dxa"/>
            <w:vAlign w:val="center"/>
          </w:tcPr>
          <w:p>
            <w:pPr>
              <w:pStyle w:val="79"/>
              <w:rPr>
                <w:rFonts w:ascii="宋体" w:hAnsi="宋体" w:cs="宋体"/>
                <w:bCs/>
                <w:spacing w:val="-10"/>
                <w:szCs w:val="21"/>
              </w:rPr>
            </w:pPr>
            <w:r>
              <w:rPr>
                <w:rFonts w:hint="eastAsia"/>
              </w:rPr>
              <w:t>本项目利用现有车间闲置区域进行建设，</w:t>
            </w:r>
            <w:r>
              <w:t>施工期仅涉及设备的调试、安装，施工期影响较小，故不再对施工期进行环境影响分析。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adjustRightInd w:val="0"/>
              <w:snapToGrid w:val="0"/>
              <w:jc w:val="center"/>
              <w:rPr>
                <w:rFonts w:ascii="宋体" w:hAnsi="宋体" w:cs="宋体"/>
                <w:bCs/>
                <w:szCs w:val="21"/>
              </w:rPr>
            </w:pPr>
            <w:r>
              <w:rPr>
                <w:rFonts w:hint="eastAsia" w:ascii="宋体" w:hAnsi="宋体" w:cs="宋体"/>
                <w:bCs/>
                <w:szCs w:val="21"/>
              </w:rPr>
              <w:t>运营</w:t>
            </w:r>
          </w:p>
          <w:p>
            <w:pPr>
              <w:adjustRightInd w:val="0"/>
              <w:snapToGrid w:val="0"/>
              <w:jc w:val="center"/>
              <w:rPr>
                <w:rFonts w:ascii="宋体" w:hAnsi="宋体" w:cs="宋体"/>
                <w:bCs/>
                <w:szCs w:val="21"/>
              </w:rPr>
            </w:pPr>
            <w:r>
              <w:rPr>
                <w:rFonts w:hint="eastAsia" w:ascii="宋体" w:hAnsi="宋体" w:cs="宋体"/>
                <w:bCs/>
                <w:szCs w:val="21"/>
              </w:rPr>
              <w:t>期环</w:t>
            </w:r>
          </w:p>
          <w:p>
            <w:pPr>
              <w:adjustRightInd w:val="0"/>
              <w:snapToGrid w:val="0"/>
              <w:jc w:val="center"/>
              <w:rPr>
                <w:rFonts w:ascii="宋体" w:hAnsi="宋体" w:cs="宋体"/>
                <w:bCs/>
                <w:szCs w:val="21"/>
              </w:rPr>
            </w:pPr>
            <w:r>
              <w:rPr>
                <w:rFonts w:hint="eastAsia" w:ascii="宋体" w:hAnsi="宋体" w:cs="宋体"/>
                <w:bCs/>
                <w:szCs w:val="21"/>
              </w:rPr>
              <w:t>境影</w:t>
            </w:r>
          </w:p>
          <w:p>
            <w:pPr>
              <w:adjustRightInd w:val="0"/>
              <w:snapToGrid w:val="0"/>
              <w:jc w:val="center"/>
              <w:rPr>
                <w:rFonts w:ascii="宋体" w:hAnsi="宋体" w:cs="宋体"/>
                <w:bCs/>
                <w:szCs w:val="21"/>
              </w:rPr>
            </w:pPr>
            <w:r>
              <w:rPr>
                <w:rFonts w:hint="eastAsia" w:ascii="宋体" w:hAnsi="宋体" w:cs="宋体"/>
                <w:bCs/>
                <w:szCs w:val="21"/>
              </w:rPr>
              <w:t>响和</w:t>
            </w:r>
          </w:p>
          <w:p>
            <w:pPr>
              <w:adjustRightInd w:val="0"/>
              <w:snapToGrid w:val="0"/>
              <w:jc w:val="center"/>
              <w:rPr>
                <w:rFonts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8162" w:type="dxa"/>
            <w:vAlign w:val="center"/>
          </w:tcPr>
          <w:p>
            <w:pPr>
              <w:pStyle w:val="100"/>
            </w:pPr>
            <w:r>
              <w:t>1</w:t>
            </w:r>
            <w:r>
              <w:rPr>
                <w:rFonts w:hint="eastAsia"/>
              </w:rPr>
              <w:t>、</w:t>
            </w:r>
            <w:r>
              <w:t>废气</w:t>
            </w:r>
          </w:p>
          <w:p>
            <w:pPr>
              <w:pStyle w:val="51"/>
              <w:ind w:firstLine="0" w:firstLineChars="0"/>
            </w:pPr>
            <w:r>
              <w:rPr>
                <w:rFonts w:hint="eastAsia"/>
              </w:rPr>
              <w:t>1.1搅拌工序</w:t>
            </w:r>
          </w:p>
          <w:p>
            <w:pPr>
              <w:pStyle w:val="99"/>
              <w:ind w:firstLine="482"/>
              <w:rPr>
                <w:b/>
                <w:u w:val="single"/>
              </w:rPr>
            </w:pPr>
            <w:r>
              <w:rPr>
                <w:rFonts w:hint="eastAsia"/>
                <w:b/>
                <w:u w:val="single"/>
              </w:rPr>
              <w:t>（1）源强核算</w:t>
            </w:r>
          </w:p>
          <w:p>
            <w:pPr>
              <w:pStyle w:val="99"/>
              <w:ind w:firstLine="482"/>
              <w:rPr>
                <w:b/>
                <w:u w:val="single"/>
              </w:rPr>
            </w:pPr>
            <w:r>
              <w:rPr>
                <w:b/>
                <w:u w:val="single"/>
              </w:rPr>
              <w:t>本项目为塑料制品项目，无污染源源强核算专项技术指南，参考《污染源源强核算技术指南准则》（HJ884—2018）源强核算可采用实测法、物料衡算法、产污系数法、排污系数法、类比法、实验法等，根据本工程的实际情况及现有资料，本次</w:t>
            </w:r>
            <w:r>
              <w:rPr>
                <w:rFonts w:hint="eastAsia"/>
                <w:b/>
                <w:u w:val="single"/>
              </w:rPr>
              <w:t>评价搅拌工序污染源源强</w:t>
            </w:r>
            <w:r>
              <w:rPr>
                <w:b/>
                <w:u w:val="single"/>
              </w:rPr>
              <w:t>采用</w:t>
            </w:r>
            <w:r>
              <w:rPr>
                <w:rFonts w:hint="eastAsia"/>
                <w:b/>
                <w:u w:val="single"/>
              </w:rPr>
              <w:t>类比</w:t>
            </w:r>
            <w:r>
              <w:rPr>
                <w:b/>
                <w:u w:val="single"/>
              </w:rPr>
              <w:t>。</w:t>
            </w:r>
          </w:p>
          <w:p>
            <w:pPr>
              <w:pStyle w:val="99"/>
              <w:ind w:firstLine="482"/>
              <w:rPr>
                <w:b/>
                <w:bCs/>
                <w:u w:val="single"/>
              </w:rPr>
            </w:pPr>
            <w:r>
              <w:rPr>
                <w:rFonts w:hint="eastAsia"/>
                <w:b/>
                <w:u w:val="single"/>
              </w:rPr>
              <w:t>参照《洛阳江禾实业有限公司年产2000吨吊带、基布项目竣工环境保护验收监测报告》：生产规模为年产2000吨吊带、基布，生产工艺为：原料（聚乙烯颗粒、聚丙烯颗粒、色母）→混合搅拌→加热挤出→冷却定型→切丝→伸丝→编织→裁切→缝纫。</w:t>
            </w:r>
            <w:r>
              <w:rPr>
                <w:rFonts w:hint="eastAsia"/>
                <w:b/>
                <w:bCs/>
                <w:u w:val="single"/>
              </w:rPr>
              <w:t>搅拌工序含尘废气经集气罩收集后由布袋除尘器处理后通过15m高排气筒排放。验收监测期间生产负荷为90%（6t/d），废气监测结果见下表：</w:t>
            </w:r>
          </w:p>
          <w:p>
            <w:pPr>
              <w:pStyle w:val="118"/>
              <w:ind w:firstLine="482"/>
              <w:rPr>
                <w:b/>
                <w:u w:val="single"/>
              </w:rPr>
            </w:pPr>
            <w:r>
              <w:rPr>
                <w:rFonts w:hint="eastAsia"/>
                <w:b/>
                <w:u w:val="single"/>
              </w:rPr>
              <w:t>表23        江禾实业搅拌工序废气监测结果表</w:t>
            </w:r>
          </w:p>
          <w:tbl>
            <w:tblPr>
              <w:tblStyle w:val="22"/>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958"/>
              <w:gridCol w:w="1021"/>
              <w:gridCol w:w="1979"/>
              <w:gridCol w:w="1979"/>
              <w:gridCol w:w="197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250" w:type="pct"/>
                  <w:gridSpan w:val="2"/>
                  <w:vAlign w:val="center"/>
                </w:tcPr>
                <w:p>
                  <w:pPr>
                    <w:pStyle w:val="62"/>
                    <w:rPr>
                      <w:b/>
                      <w:sz w:val="21"/>
                      <w:szCs w:val="21"/>
                      <w:u w:val="single"/>
                    </w:rPr>
                  </w:pPr>
                  <w:r>
                    <w:rPr>
                      <w:rFonts w:hint="eastAsia"/>
                      <w:b/>
                      <w:sz w:val="21"/>
                      <w:szCs w:val="21"/>
                      <w:u w:val="single"/>
                    </w:rPr>
                    <w:t>废气源</w:t>
                  </w:r>
                </w:p>
              </w:tc>
              <w:tc>
                <w:tcPr>
                  <w:tcW w:w="1250" w:type="pct"/>
                  <w:vAlign w:val="center"/>
                </w:tcPr>
                <w:p>
                  <w:pPr>
                    <w:pStyle w:val="62"/>
                    <w:rPr>
                      <w:b/>
                      <w:sz w:val="21"/>
                      <w:szCs w:val="21"/>
                      <w:u w:val="single"/>
                    </w:rPr>
                  </w:pPr>
                  <w:r>
                    <w:rPr>
                      <w:rFonts w:hint="eastAsia"/>
                      <w:b/>
                      <w:sz w:val="21"/>
                      <w:szCs w:val="21"/>
                      <w:u w:val="single"/>
                    </w:rPr>
                    <w:t>废气处理系统进口</w:t>
                  </w:r>
                </w:p>
              </w:tc>
              <w:tc>
                <w:tcPr>
                  <w:tcW w:w="1250" w:type="pct"/>
                  <w:vAlign w:val="center"/>
                </w:tcPr>
                <w:p>
                  <w:pPr>
                    <w:pStyle w:val="62"/>
                    <w:rPr>
                      <w:b/>
                      <w:sz w:val="21"/>
                      <w:szCs w:val="21"/>
                      <w:u w:val="single"/>
                    </w:rPr>
                  </w:pPr>
                  <w:r>
                    <w:rPr>
                      <w:rFonts w:hint="eastAsia"/>
                      <w:b/>
                      <w:sz w:val="21"/>
                      <w:szCs w:val="21"/>
                      <w:u w:val="single"/>
                    </w:rPr>
                    <w:t>处理措施</w:t>
                  </w:r>
                </w:p>
              </w:tc>
              <w:tc>
                <w:tcPr>
                  <w:tcW w:w="1250" w:type="pct"/>
                  <w:vAlign w:val="center"/>
                </w:tcPr>
                <w:p>
                  <w:pPr>
                    <w:pStyle w:val="62"/>
                    <w:rPr>
                      <w:b/>
                      <w:sz w:val="21"/>
                      <w:szCs w:val="21"/>
                      <w:u w:val="single"/>
                    </w:rPr>
                  </w:pPr>
                  <w:r>
                    <w:rPr>
                      <w:rFonts w:hint="eastAsia"/>
                      <w:b/>
                      <w:sz w:val="21"/>
                      <w:szCs w:val="21"/>
                      <w:u w:val="single"/>
                    </w:rPr>
                    <w:t>排气筒出口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605" w:type="pct"/>
                  <w:vAlign w:val="center"/>
                </w:tcPr>
                <w:p>
                  <w:pPr>
                    <w:pStyle w:val="62"/>
                    <w:rPr>
                      <w:b/>
                      <w:sz w:val="21"/>
                      <w:szCs w:val="21"/>
                      <w:u w:val="single"/>
                    </w:rPr>
                  </w:pPr>
                  <w:r>
                    <w:rPr>
                      <w:rFonts w:hint="eastAsia"/>
                      <w:b/>
                      <w:sz w:val="21"/>
                      <w:szCs w:val="21"/>
                      <w:u w:val="single"/>
                    </w:rPr>
                    <w:t>搅拌工序废气</w:t>
                  </w:r>
                </w:p>
              </w:tc>
              <w:tc>
                <w:tcPr>
                  <w:tcW w:w="645" w:type="pct"/>
                  <w:vAlign w:val="center"/>
                </w:tcPr>
                <w:p>
                  <w:pPr>
                    <w:pStyle w:val="62"/>
                    <w:rPr>
                      <w:b/>
                      <w:sz w:val="21"/>
                      <w:szCs w:val="21"/>
                      <w:u w:val="single"/>
                    </w:rPr>
                  </w:pPr>
                  <w:r>
                    <w:rPr>
                      <w:rFonts w:hint="eastAsia"/>
                      <w:b/>
                      <w:sz w:val="21"/>
                      <w:szCs w:val="21"/>
                      <w:u w:val="single"/>
                    </w:rPr>
                    <w:t>颗粒物</w:t>
                  </w:r>
                </w:p>
              </w:tc>
              <w:tc>
                <w:tcPr>
                  <w:tcW w:w="1250" w:type="pct"/>
                  <w:vAlign w:val="center"/>
                </w:tcPr>
                <w:p>
                  <w:pPr>
                    <w:pStyle w:val="62"/>
                    <w:rPr>
                      <w:b/>
                      <w:sz w:val="21"/>
                      <w:szCs w:val="21"/>
                      <w:u w:val="single"/>
                    </w:rPr>
                  </w:pPr>
                  <w:r>
                    <w:rPr>
                      <w:rFonts w:hint="eastAsia"/>
                      <w:b/>
                      <w:sz w:val="21"/>
                      <w:szCs w:val="21"/>
                      <w:u w:val="single"/>
                    </w:rPr>
                    <w:t>风量：7890m</w:t>
                  </w:r>
                  <w:r>
                    <w:rPr>
                      <w:rFonts w:hint="eastAsia"/>
                      <w:b/>
                      <w:sz w:val="21"/>
                      <w:szCs w:val="21"/>
                      <w:u w:val="single"/>
                      <w:vertAlign w:val="superscript"/>
                    </w:rPr>
                    <w:t>3</w:t>
                  </w:r>
                  <w:r>
                    <w:rPr>
                      <w:rFonts w:hint="eastAsia"/>
                      <w:b/>
                      <w:sz w:val="21"/>
                      <w:szCs w:val="21"/>
                      <w:u w:val="single"/>
                    </w:rPr>
                    <w:t>/h</w:t>
                  </w:r>
                </w:p>
                <w:p>
                  <w:pPr>
                    <w:pStyle w:val="62"/>
                    <w:rPr>
                      <w:b/>
                      <w:sz w:val="21"/>
                      <w:szCs w:val="21"/>
                      <w:u w:val="single"/>
                    </w:rPr>
                  </w:pPr>
                  <w:r>
                    <w:rPr>
                      <w:rFonts w:hint="eastAsia"/>
                      <w:b/>
                      <w:sz w:val="21"/>
                      <w:szCs w:val="21"/>
                      <w:u w:val="single"/>
                    </w:rPr>
                    <w:t>浓度：71.2mg/m</w:t>
                  </w:r>
                  <w:r>
                    <w:rPr>
                      <w:rFonts w:hint="eastAsia"/>
                      <w:b/>
                      <w:sz w:val="21"/>
                      <w:szCs w:val="21"/>
                      <w:u w:val="single"/>
                      <w:vertAlign w:val="superscript"/>
                    </w:rPr>
                    <w:t>3</w:t>
                  </w:r>
                </w:p>
                <w:p>
                  <w:pPr>
                    <w:pStyle w:val="62"/>
                    <w:rPr>
                      <w:b/>
                      <w:sz w:val="21"/>
                      <w:szCs w:val="21"/>
                      <w:u w:val="single"/>
                    </w:rPr>
                  </w:pPr>
                  <w:r>
                    <w:rPr>
                      <w:rFonts w:hint="eastAsia"/>
                      <w:b/>
                      <w:sz w:val="21"/>
                      <w:szCs w:val="21"/>
                      <w:u w:val="single"/>
                    </w:rPr>
                    <w:t>速率：0.562kg/h</w:t>
                  </w:r>
                </w:p>
              </w:tc>
              <w:tc>
                <w:tcPr>
                  <w:tcW w:w="1250" w:type="pct"/>
                  <w:vAlign w:val="center"/>
                </w:tcPr>
                <w:p>
                  <w:pPr>
                    <w:pStyle w:val="62"/>
                    <w:rPr>
                      <w:b/>
                      <w:sz w:val="21"/>
                      <w:szCs w:val="21"/>
                      <w:u w:val="single"/>
                    </w:rPr>
                  </w:pPr>
                  <w:r>
                    <w:rPr>
                      <w:rFonts w:hint="eastAsia"/>
                      <w:b/>
                      <w:bCs/>
                      <w:sz w:val="21"/>
                      <w:szCs w:val="21"/>
                      <w:u w:val="single"/>
                    </w:rPr>
                    <w:t>集气罩+布袋除尘器+15m高排气筒</w:t>
                  </w:r>
                </w:p>
              </w:tc>
              <w:tc>
                <w:tcPr>
                  <w:tcW w:w="1250" w:type="pct"/>
                  <w:vAlign w:val="center"/>
                </w:tcPr>
                <w:p>
                  <w:pPr>
                    <w:pStyle w:val="62"/>
                    <w:rPr>
                      <w:b/>
                      <w:sz w:val="21"/>
                      <w:szCs w:val="21"/>
                      <w:u w:val="single"/>
                    </w:rPr>
                  </w:pPr>
                  <w:r>
                    <w:rPr>
                      <w:rFonts w:hint="eastAsia"/>
                      <w:b/>
                      <w:sz w:val="21"/>
                      <w:szCs w:val="21"/>
                      <w:u w:val="single"/>
                    </w:rPr>
                    <w:t>风量：7260m</w:t>
                  </w:r>
                  <w:r>
                    <w:rPr>
                      <w:rFonts w:hint="eastAsia"/>
                      <w:b/>
                      <w:sz w:val="21"/>
                      <w:szCs w:val="21"/>
                      <w:u w:val="single"/>
                      <w:vertAlign w:val="superscript"/>
                    </w:rPr>
                    <w:t>3</w:t>
                  </w:r>
                  <w:r>
                    <w:rPr>
                      <w:rFonts w:hint="eastAsia"/>
                      <w:b/>
                      <w:sz w:val="21"/>
                      <w:szCs w:val="21"/>
                      <w:u w:val="single"/>
                    </w:rPr>
                    <w:t>/h</w:t>
                  </w:r>
                </w:p>
                <w:p>
                  <w:pPr>
                    <w:pStyle w:val="62"/>
                    <w:rPr>
                      <w:b/>
                      <w:sz w:val="21"/>
                      <w:szCs w:val="21"/>
                      <w:u w:val="single"/>
                    </w:rPr>
                  </w:pPr>
                  <w:r>
                    <w:rPr>
                      <w:rFonts w:hint="eastAsia"/>
                      <w:b/>
                      <w:sz w:val="21"/>
                      <w:szCs w:val="21"/>
                      <w:u w:val="single"/>
                    </w:rPr>
                    <w:t>浓度：6.6mg/m</w:t>
                  </w:r>
                  <w:r>
                    <w:rPr>
                      <w:rFonts w:hint="eastAsia"/>
                      <w:b/>
                      <w:sz w:val="21"/>
                      <w:szCs w:val="21"/>
                      <w:u w:val="single"/>
                      <w:vertAlign w:val="superscript"/>
                    </w:rPr>
                    <w:t>3</w:t>
                  </w:r>
                </w:p>
                <w:p>
                  <w:pPr>
                    <w:pStyle w:val="62"/>
                    <w:rPr>
                      <w:b/>
                      <w:sz w:val="21"/>
                      <w:szCs w:val="21"/>
                      <w:u w:val="single"/>
                    </w:rPr>
                  </w:pPr>
                  <w:r>
                    <w:rPr>
                      <w:rFonts w:hint="eastAsia"/>
                      <w:b/>
                      <w:sz w:val="21"/>
                      <w:szCs w:val="21"/>
                      <w:u w:val="single"/>
                    </w:rPr>
                    <w:t>速率：0.048kg/h</w:t>
                  </w:r>
                </w:p>
              </w:tc>
            </w:tr>
          </w:tbl>
          <w:p>
            <w:pPr>
              <w:pStyle w:val="99"/>
              <w:ind w:firstLine="482"/>
              <w:rPr>
                <w:b/>
                <w:u w:val="single"/>
              </w:rPr>
            </w:pPr>
            <w:r>
              <w:rPr>
                <w:rFonts w:hint="eastAsia"/>
                <w:b/>
                <w:bCs/>
                <w:u w:val="single"/>
              </w:rPr>
              <w:t>折算满负荷后，颗粒物进口排放0.6244kg/h，搅拌工序年运行时间500h，类比项目颗粒物有组织产生量0.3122t/a，集气罩收集效率按95%计，则类比项目颗粒物产生量0.3286t/a。即颗粒物产生系数为0.1643kg/t原料。</w:t>
            </w:r>
          </w:p>
          <w:p>
            <w:pPr>
              <w:pStyle w:val="48"/>
              <w:ind w:firstLine="482"/>
              <w:rPr>
                <w:b/>
                <w:u w:val="single"/>
              </w:rPr>
            </w:pPr>
            <w:r>
              <w:rPr>
                <w:rFonts w:hint="eastAsia"/>
                <w:b/>
                <w:u w:val="single"/>
              </w:rPr>
              <w:t>表24</w:t>
            </w:r>
            <w:r>
              <w:rPr>
                <w:b/>
                <w:u w:val="single"/>
              </w:rPr>
              <w:t xml:space="preserve"> </w:t>
            </w:r>
            <w:r>
              <w:rPr>
                <w:rFonts w:hint="eastAsia"/>
                <w:b/>
                <w:u w:val="single"/>
              </w:rPr>
              <w:t xml:space="preserve">       类比可行性分析一览表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5"/>
              <w:gridCol w:w="5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center"/>
                </w:tcPr>
                <w:p>
                  <w:pPr>
                    <w:spacing w:line="400" w:lineRule="exact"/>
                    <w:jc w:val="center"/>
                    <w:rPr>
                      <w:b/>
                      <w:bCs/>
                      <w:szCs w:val="21"/>
                      <w:u w:val="single"/>
                    </w:rPr>
                  </w:pPr>
                  <w:r>
                    <w:rPr>
                      <w:rFonts w:hAnsi="宋体"/>
                      <w:b/>
                      <w:bCs/>
                      <w:szCs w:val="21"/>
                      <w:u w:val="single"/>
                    </w:rPr>
                    <w:t>要求</w:t>
                  </w:r>
                </w:p>
              </w:tc>
              <w:tc>
                <w:tcPr>
                  <w:tcW w:w="5072" w:type="dxa"/>
                  <w:vAlign w:val="center"/>
                </w:tcPr>
                <w:p>
                  <w:pPr>
                    <w:spacing w:line="400" w:lineRule="exact"/>
                    <w:jc w:val="center"/>
                    <w:rPr>
                      <w:b/>
                      <w:bCs/>
                      <w:szCs w:val="21"/>
                      <w:u w:val="single"/>
                    </w:rPr>
                  </w:pPr>
                  <w:r>
                    <w:rPr>
                      <w:rFonts w:hAnsi="宋体"/>
                      <w:b/>
                      <w:kern w:val="0"/>
                      <w:szCs w:val="21"/>
                      <w:u w:val="single"/>
                    </w:rPr>
                    <w:t>类比可行性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center"/>
                </w:tcPr>
                <w:p>
                  <w:pPr>
                    <w:autoSpaceDE w:val="0"/>
                    <w:autoSpaceDN w:val="0"/>
                    <w:adjustRightInd w:val="0"/>
                    <w:spacing w:line="400" w:lineRule="exact"/>
                    <w:rPr>
                      <w:b/>
                      <w:bCs/>
                      <w:szCs w:val="21"/>
                      <w:u w:val="single"/>
                    </w:rPr>
                  </w:pPr>
                  <w:r>
                    <w:rPr>
                      <w:rFonts w:hAnsi="宋体"/>
                      <w:b/>
                      <w:kern w:val="0"/>
                      <w:szCs w:val="21"/>
                      <w:u w:val="single"/>
                    </w:rPr>
                    <w:t>原辅材料类型相同且与污染物排放相关的成分相似</w:t>
                  </w:r>
                </w:p>
              </w:tc>
              <w:tc>
                <w:tcPr>
                  <w:tcW w:w="5072" w:type="dxa"/>
                  <w:vAlign w:val="center"/>
                </w:tcPr>
                <w:p>
                  <w:pPr>
                    <w:autoSpaceDE w:val="0"/>
                    <w:autoSpaceDN w:val="0"/>
                    <w:adjustRightInd w:val="0"/>
                    <w:spacing w:line="400" w:lineRule="exact"/>
                    <w:rPr>
                      <w:b/>
                      <w:bCs/>
                      <w:szCs w:val="21"/>
                      <w:u w:val="single"/>
                    </w:rPr>
                  </w:pPr>
                  <w:r>
                    <w:rPr>
                      <w:rFonts w:hAnsi="宋体"/>
                      <w:b/>
                      <w:kern w:val="0"/>
                      <w:szCs w:val="21"/>
                      <w:u w:val="single"/>
                    </w:rPr>
                    <w:t>本工程使用的原辅材料类型与类比工程相同，且排放的污染物相同，类比工程已竣工验收，类比可行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center"/>
                </w:tcPr>
                <w:p>
                  <w:pPr>
                    <w:spacing w:line="400" w:lineRule="exact"/>
                    <w:jc w:val="center"/>
                    <w:rPr>
                      <w:b/>
                      <w:bCs/>
                      <w:szCs w:val="21"/>
                      <w:u w:val="single"/>
                    </w:rPr>
                  </w:pPr>
                  <w:r>
                    <w:rPr>
                      <w:rFonts w:hAnsi="宋体"/>
                      <w:b/>
                      <w:kern w:val="0"/>
                      <w:szCs w:val="21"/>
                      <w:u w:val="single"/>
                    </w:rPr>
                    <w:t>生产工艺相似</w:t>
                  </w:r>
                </w:p>
              </w:tc>
              <w:tc>
                <w:tcPr>
                  <w:tcW w:w="5072" w:type="dxa"/>
                  <w:vAlign w:val="center"/>
                </w:tcPr>
                <w:p>
                  <w:pPr>
                    <w:spacing w:line="400" w:lineRule="exact"/>
                    <w:rPr>
                      <w:b/>
                      <w:bCs/>
                      <w:szCs w:val="21"/>
                      <w:u w:val="single"/>
                    </w:rPr>
                  </w:pPr>
                  <w:r>
                    <w:rPr>
                      <w:rFonts w:hAnsi="宋体"/>
                      <w:b/>
                      <w:kern w:val="0"/>
                      <w:szCs w:val="21"/>
                      <w:u w:val="single"/>
                    </w:rPr>
                    <w:t>本工程工艺与类比工程工艺</w:t>
                  </w:r>
                  <w:r>
                    <w:rPr>
                      <w:rFonts w:hint="eastAsia" w:hAnsi="宋体"/>
                      <w:b/>
                      <w:kern w:val="0"/>
                      <w:szCs w:val="21"/>
                      <w:u w:val="single"/>
                    </w:rPr>
                    <w:t>相似</w:t>
                  </w:r>
                  <w:r>
                    <w:rPr>
                      <w:rFonts w:hAnsi="宋体"/>
                      <w:b/>
                      <w:kern w:val="0"/>
                      <w:szCs w:val="21"/>
                      <w:u w:val="single"/>
                    </w:rPr>
                    <w:t>，类比可行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1" w:type="dxa"/>
                  <w:vAlign w:val="center"/>
                </w:tcPr>
                <w:p>
                  <w:pPr>
                    <w:spacing w:line="400" w:lineRule="exact"/>
                    <w:jc w:val="center"/>
                    <w:rPr>
                      <w:b/>
                      <w:bCs/>
                      <w:szCs w:val="21"/>
                      <w:u w:val="single"/>
                    </w:rPr>
                  </w:pPr>
                  <w:r>
                    <w:rPr>
                      <w:rFonts w:hAnsi="宋体"/>
                      <w:b/>
                      <w:kern w:val="0"/>
                      <w:szCs w:val="21"/>
                      <w:u w:val="single"/>
                    </w:rPr>
                    <w:t>产品类型相同</w:t>
                  </w:r>
                </w:p>
              </w:tc>
              <w:tc>
                <w:tcPr>
                  <w:tcW w:w="5072" w:type="dxa"/>
                  <w:vAlign w:val="center"/>
                </w:tcPr>
                <w:p>
                  <w:pPr>
                    <w:spacing w:line="400" w:lineRule="exact"/>
                    <w:rPr>
                      <w:b/>
                      <w:bCs/>
                      <w:szCs w:val="21"/>
                      <w:u w:val="single"/>
                    </w:rPr>
                  </w:pPr>
                  <w:r>
                    <w:rPr>
                      <w:rFonts w:hAnsi="宋体"/>
                      <w:b/>
                      <w:kern w:val="0"/>
                      <w:szCs w:val="21"/>
                      <w:u w:val="single"/>
                    </w:rPr>
                    <w:t>本工程产品类型与类比工程产品类型</w:t>
                  </w:r>
                  <w:r>
                    <w:rPr>
                      <w:rFonts w:hint="eastAsia" w:hAnsi="宋体"/>
                      <w:b/>
                      <w:kern w:val="0"/>
                      <w:szCs w:val="21"/>
                      <w:u w:val="single"/>
                    </w:rPr>
                    <w:t>相似</w:t>
                  </w:r>
                  <w:r>
                    <w:rPr>
                      <w:rFonts w:hAnsi="宋体"/>
                      <w:b/>
                      <w:kern w:val="0"/>
                      <w:szCs w:val="21"/>
                      <w:u w:val="single"/>
                    </w:rPr>
                    <w:t>，类比可行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1" w:type="dxa"/>
                  <w:vAlign w:val="center"/>
                </w:tcPr>
                <w:p>
                  <w:pPr>
                    <w:autoSpaceDE w:val="0"/>
                    <w:autoSpaceDN w:val="0"/>
                    <w:adjustRightInd w:val="0"/>
                    <w:spacing w:line="400" w:lineRule="exact"/>
                    <w:rPr>
                      <w:b/>
                      <w:bCs/>
                      <w:szCs w:val="21"/>
                      <w:u w:val="single"/>
                    </w:rPr>
                  </w:pPr>
                  <w:r>
                    <w:rPr>
                      <w:rFonts w:hAnsi="宋体"/>
                      <w:b/>
                      <w:kern w:val="0"/>
                      <w:szCs w:val="21"/>
                      <w:u w:val="single"/>
                    </w:rPr>
                    <w:t>污染控制措施相似，且污染物设计去除效率不低于类比对象去除效率</w:t>
                  </w:r>
                </w:p>
              </w:tc>
              <w:tc>
                <w:tcPr>
                  <w:tcW w:w="5072" w:type="dxa"/>
                  <w:vAlign w:val="center"/>
                </w:tcPr>
                <w:p>
                  <w:pPr>
                    <w:autoSpaceDE w:val="0"/>
                    <w:autoSpaceDN w:val="0"/>
                    <w:adjustRightInd w:val="0"/>
                    <w:spacing w:line="400" w:lineRule="exact"/>
                    <w:rPr>
                      <w:b/>
                      <w:bCs/>
                      <w:szCs w:val="21"/>
                      <w:u w:val="single"/>
                    </w:rPr>
                  </w:pPr>
                  <w:r>
                    <w:rPr>
                      <w:rFonts w:hAnsi="宋体"/>
                      <w:b/>
                      <w:kern w:val="0"/>
                      <w:szCs w:val="21"/>
                      <w:u w:val="single"/>
                    </w:rPr>
                    <w:t>本工程的污染控制措施与类比工程相同，且污染物的去除效率不低于类比工程去除效率，类比可行</w:t>
                  </w:r>
                </w:p>
              </w:tc>
            </w:tr>
          </w:tbl>
          <w:p>
            <w:pPr>
              <w:pStyle w:val="99"/>
              <w:ind w:firstLine="482"/>
              <w:rPr>
                <w:b/>
                <w:bCs/>
                <w:u w:val="single"/>
              </w:rPr>
            </w:pPr>
            <w:r>
              <w:rPr>
                <w:rFonts w:hint="eastAsia"/>
                <w:b/>
                <w:u w:val="single"/>
              </w:rPr>
              <w:t>本项目年产覆膜基布5000t/a，所用颗粒料量为1000t/a，根据类比资料，本项目搅拌工序颗粒物产生量为0.1643t/a，</w:t>
            </w:r>
            <w:r>
              <w:rPr>
                <w:rFonts w:hint="eastAsia"/>
                <w:b/>
                <w:bCs/>
                <w:u w:val="single"/>
              </w:rPr>
              <w:t>搅拌工序年运行时间300h。</w:t>
            </w:r>
          </w:p>
          <w:p>
            <w:pPr>
              <w:pStyle w:val="99"/>
              <w:ind w:firstLine="480"/>
            </w:pPr>
            <w:r>
              <w:rPr>
                <w:rFonts w:hint="eastAsia"/>
              </w:rPr>
              <w:t>（2）收集处理措施</w:t>
            </w:r>
          </w:p>
          <w:p>
            <w:pPr>
              <w:pStyle w:val="99"/>
              <w:ind w:firstLine="480"/>
            </w:pPr>
            <w:r>
              <w:rPr>
                <w:rFonts w:hint="eastAsia"/>
              </w:rPr>
              <w:t>本项目搅拌罐（4个）呼吸孔通过软管接入引风管引入1套袋式除尘器进行处理，处理后的废气经1根15m高排气筒排放。</w:t>
            </w:r>
          </w:p>
          <w:p>
            <w:pPr>
              <w:pStyle w:val="51"/>
              <w:ind w:firstLine="482"/>
              <w:rPr>
                <w:b/>
                <w:u w:val="single"/>
              </w:rPr>
            </w:pPr>
            <w:r>
              <w:rPr>
                <w:rFonts w:hint="eastAsia"/>
                <w:b/>
                <w:kern w:val="0"/>
                <w:szCs w:val="21"/>
                <w:u w:val="single"/>
              </w:rPr>
              <w:t>本项目搅拌废气主要污染物为颗粒物，</w:t>
            </w:r>
            <w:r>
              <w:rPr>
                <w:rFonts w:hint="eastAsia"/>
                <w:b/>
                <w:u w:val="single"/>
              </w:rPr>
              <w:t>根据</w:t>
            </w:r>
            <w:r>
              <w:rPr>
                <w:b/>
                <w:u w:val="single"/>
              </w:rPr>
              <w:t>《排污许可证申请与核发技术规范  橡胶和塑料制品工业》（HJ1122—2020）</w:t>
            </w:r>
            <w:r>
              <w:rPr>
                <w:rFonts w:hint="eastAsia"/>
                <w:b/>
                <w:u w:val="single"/>
              </w:rPr>
              <w:t>表A.2 塑料制品工业排污单位废气污染防治可行技术参考表中塑料制品颗粒物治理措施有袋式除尘；滤筒/滤芯除尘，</w:t>
            </w:r>
            <w:r>
              <w:rPr>
                <w:rFonts w:hint="eastAsia"/>
                <w:b/>
                <w:kern w:val="0"/>
                <w:szCs w:val="21"/>
                <w:u w:val="single"/>
              </w:rPr>
              <w:t>本项目</w:t>
            </w:r>
            <w:r>
              <w:rPr>
                <w:rFonts w:hint="eastAsia"/>
                <w:b/>
                <w:u w:val="single"/>
              </w:rPr>
              <w:t>采用布袋除尘器处理，属于可行性技术。</w:t>
            </w:r>
          </w:p>
          <w:p>
            <w:pPr>
              <w:pStyle w:val="99"/>
              <w:ind w:firstLine="480"/>
            </w:pPr>
            <w:r>
              <w:rPr>
                <w:rFonts w:hint="eastAsia"/>
              </w:rPr>
              <w:t>（3）产排情况</w:t>
            </w:r>
          </w:p>
          <w:p>
            <w:pPr>
              <w:pStyle w:val="99"/>
              <w:ind w:firstLine="482"/>
              <w:rPr>
                <w:b/>
                <w:u w:val="single"/>
              </w:rPr>
            </w:pPr>
            <w:r>
              <w:rPr>
                <w:rFonts w:hint="eastAsia"/>
                <w:b/>
                <w:bCs/>
                <w:u w:val="single"/>
              </w:rPr>
              <w:t>本项目搅拌工序设计配套风机风量为5000m</w:t>
            </w:r>
            <w:r>
              <w:rPr>
                <w:rFonts w:hint="eastAsia"/>
                <w:b/>
                <w:bCs/>
                <w:u w:val="single"/>
                <w:vertAlign w:val="superscript"/>
              </w:rPr>
              <w:t>3</w:t>
            </w:r>
            <w:r>
              <w:rPr>
                <w:rFonts w:hint="eastAsia"/>
                <w:b/>
                <w:bCs/>
                <w:u w:val="single"/>
              </w:rPr>
              <w:t>/h，</w:t>
            </w:r>
            <w:r>
              <w:rPr>
                <w:rFonts w:hint="eastAsia"/>
                <w:b/>
                <w:u w:val="single"/>
              </w:rPr>
              <w:t>收集效率取100%，袋式除尘器处理效率取95%。</w:t>
            </w:r>
            <w:r>
              <w:rPr>
                <w:rFonts w:hint="eastAsia"/>
                <w:b/>
                <w:bCs/>
                <w:u w:val="single"/>
              </w:rPr>
              <w:t>搅拌</w:t>
            </w:r>
            <w:r>
              <w:rPr>
                <w:rFonts w:hint="eastAsia"/>
                <w:b/>
                <w:u w:val="single"/>
              </w:rPr>
              <w:t>作业时间约为300h/a，则搅拌粉尘产排情况见下表25。</w:t>
            </w:r>
          </w:p>
          <w:p>
            <w:pPr>
              <w:pStyle w:val="99"/>
              <w:ind w:firstLine="482"/>
              <w:rPr>
                <w:b/>
                <w:u w:val="single"/>
              </w:rPr>
            </w:pPr>
          </w:p>
          <w:p>
            <w:pPr>
              <w:pStyle w:val="99"/>
              <w:ind w:firstLine="482"/>
              <w:rPr>
                <w:b/>
                <w:u w:val="single"/>
              </w:rPr>
            </w:pPr>
          </w:p>
          <w:p>
            <w:pPr>
              <w:pStyle w:val="99"/>
              <w:ind w:firstLine="482"/>
              <w:rPr>
                <w:b/>
                <w:u w:val="single"/>
              </w:rPr>
            </w:pPr>
          </w:p>
          <w:p>
            <w:pPr>
              <w:pStyle w:val="99"/>
              <w:ind w:firstLine="482"/>
              <w:rPr>
                <w:b/>
                <w:u w:val="single"/>
              </w:rPr>
            </w:pPr>
          </w:p>
          <w:p>
            <w:pPr>
              <w:pStyle w:val="99"/>
              <w:ind w:firstLine="482"/>
              <w:rPr>
                <w:b/>
                <w:u w:val="single"/>
              </w:rPr>
            </w:pPr>
          </w:p>
          <w:p>
            <w:pPr>
              <w:pStyle w:val="118"/>
            </w:pPr>
            <w:r>
              <w:rPr>
                <w:rFonts w:hint="eastAsia"/>
              </w:rPr>
              <w:t>表25       搅拌工序粉尘产排情况</w:t>
            </w:r>
          </w:p>
          <w:tbl>
            <w:tblPr>
              <w:tblStyle w:val="2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860"/>
              <w:gridCol w:w="569"/>
              <w:gridCol w:w="852"/>
              <w:gridCol w:w="1804"/>
              <w:gridCol w:w="1598"/>
              <w:gridCol w:w="1582"/>
              <w:gridCol w:w="65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44" w:type="pct"/>
                  <w:vAlign w:val="center"/>
                </w:tcPr>
                <w:p>
                  <w:pPr>
                    <w:pStyle w:val="62"/>
                    <w:rPr>
                      <w:b/>
                      <w:sz w:val="21"/>
                      <w:szCs w:val="21"/>
                      <w:u w:val="single"/>
                    </w:rPr>
                  </w:pPr>
                  <w:r>
                    <w:rPr>
                      <w:rFonts w:hint="eastAsia"/>
                      <w:b/>
                      <w:sz w:val="21"/>
                      <w:szCs w:val="21"/>
                      <w:u w:val="single"/>
                    </w:rPr>
                    <w:t>污染源</w:t>
                  </w:r>
                </w:p>
              </w:tc>
              <w:tc>
                <w:tcPr>
                  <w:tcW w:w="359" w:type="pct"/>
                  <w:vAlign w:val="center"/>
                </w:tcPr>
                <w:p>
                  <w:pPr>
                    <w:pStyle w:val="62"/>
                    <w:rPr>
                      <w:b/>
                      <w:sz w:val="21"/>
                      <w:szCs w:val="21"/>
                      <w:u w:val="single"/>
                    </w:rPr>
                  </w:pPr>
                  <w:r>
                    <w:rPr>
                      <w:rFonts w:hint="eastAsia"/>
                      <w:b/>
                      <w:sz w:val="21"/>
                      <w:szCs w:val="21"/>
                      <w:u w:val="single"/>
                    </w:rPr>
                    <w:t>排放方式</w:t>
                  </w:r>
                </w:p>
              </w:tc>
              <w:tc>
                <w:tcPr>
                  <w:tcW w:w="538" w:type="pct"/>
                  <w:vAlign w:val="center"/>
                </w:tcPr>
                <w:p>
                  <w:pPr>
                    <w:pStyle w:val="62"/>
                    <w:rPr>
                      <w:b/>
                      <w:sz w:val="21"/>
                      <w:szCs w:val="21"/>
                      <w:u w:val="single"/>
                    </w:rPr>
                  </w:pPr>
                  <w:r>
                    <w:rPr>
                      <w:rFonts w:hint="eastAsia"/>
                      <w:b/>
                      <w:sz w:val="21"/>
                      <w:szCs w:val="21"/>
                      <w:u w:val="single"/>
                    </w:rPr>
                    <w:t>污染物</w:t>
                  </w:r>
                </w:p>
              </w:tc>
              <w:tc>
                <w:tcPr>
                  <w:tcW w:w="1139" w:type="pct"/>
                  <w:vAlign w:val="center"/>
                </w:tcPr>
                <w:p>
                  <w:pPr>
                    <w:pStyle w:val="62"/>
                    <w:rPr>
                      <w:b/>
                      <w:sz w:val="21"/>
                      <w:szCs w:val="21"/>
                      <w:u w:val="single"/>
                    </w:rPr>
                  </w:pPr>
                  <w:r>
                    <w:rPr>
                      <w:rFonts w:hint="eastAsia"/>
                      <w:b/>
                      <w:sz w:val="21"/>
                      <w:szCs w:val="21"/>
                      <w:u w:val="single"/>
                    </w:rPr>
                    <w:t>产生情况</w:t>
                  </w:r>
                </w:p>
              </w:tc>
              <w:tc>
                <w:tcPr>
                  <w:tcW w:w="1009" w:type="pct"/>
                  <w:vAlign w:val="center"/>
                </w:tcPr>
                <w:p>
                  <w:pPr>
                    <w:pStyle w:val="62"/>
                    <w:rPr>
                      <w:b/>
                      <w:sz w:val="21"/>
                      <w:szCs w:val="21"/>
                      <w:u w:val="single"/>
                    </w:rPr>
                  </w:pPr>
                  <w:r>
                    <w:rPr>
                      <w:rFonts w:hint="eastAsia"/>
                      <w:b/>
                      <w:sz w:val="21"/>
                      <w:szCs w:val="21"/>
                      <w:u w:val="single"/>
                    </w:rPr>
                    <w:t>处理措施</w:t>
                  </w:r>
                </w:p>
              </w:tc>
              <w:tc>
                <w:tcPr>
                  <w:tcW w:w="999" w:type="pct"/>
                  <w:vAlign w:val="center"/>
                </w:tcPr>
                <w:p>
                  <w:pPr>
                    <w:pStyle w:val="62"/>
                    <w:rPr>
                      <w:b/>
                      <w:sz w:val="21"/>
                      <w:szCs w:val="21"/>
                      <w:u w:val="single"/>
                    </w:rPr>
                  </w:pPr>
                  <w:r>
                    <w:rPr>
                      <w:rFonts w:hint="eastAsia"/>
                      <w:b/>
                      <w:sz w:val="21"/>
                      <w:szCs w:val="21"/>
                      <w:u w:val="single"/>
                    </w:rPr>
                    <w:t>排放情况</w:t>
                  </w:r>
                </w:p>
              </w:tc>
              <w:tc>
                <w:tcPr>
                  <w:tcW w:w="411" w:type="pct"/>
                  <w:vAlign w:val="center"/>
                </w:tcPr>
                <w:p>
                  <w:pPr>
                    <w:pStyle w:val="62"/>
                    <w:rPr>
                      <w:b/>
                      <w:spacing w:val="-12"/>
                      <w:sz w:val="21"/>
                      <w:szCs w:val="21"/>
                      <w:u w:val="single"/>
                    </w:rPr>
                  </w:pPr>
                  <w:r>
                    <w:rPr>
                      <w:rFonts w:hint="eastAsia"/>
                      <w:b/>
                      <w:spacing w:val="-12"/>
                      <w:sz w:val="21"/>
                      <w:szCs w:val="21"/>
                      <w:u w:val="single"/>
                    </w:rPr>
                    <w:t>排气筒编号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44" w:type="pct"/>
                  <w:vAlign w:val="center"/>
                </w:tcPr>
                <w:p>
                  <w:pPr>
                    <w:pStyle w:val="62"/>
                    <w:rPr>
                      <w:b/>
                      <w:sz w:val="21"/>
                      <w:szCs w:val="21"/>
                      <w:u w:val="single"/>
                    </w:rPr>
                  </w:pPr>
                  <w:r>
                    <w:rPr>
                      <w:rFonts w:hint="eastAsia"/>
                      <w:b/>
                      <w:sz w:val="21"/>
                      <w:szCs w:val="21"/>
                      <w:u w:val="single"/>
                    </w:rPr>
                    <w:t>搅拌工序粉尘</w:t>
                  </w:r>
                </w:p>
              </w:tc>
              <w:tc>
                <w:tcPr>
                  <w:tcW w:w="359" w:type="pct"/>
                  <w:vAlign w:val="center"/>
                </w:tcPr>
                <w:p>
                  <w:pPr>
                    <w:pStyle w:val="62"/>
                    <w:rPr>
                      <w:b/>
                      <w:sz w:val="21"/>
                      <w:szCs w:val="21"/>
                      <w:u w:val="single"/>
                    </w:rPr>
                  </w:pPr>
                  <w:r>
                    <w:rPr>
                      <w:rFonts w:hint="eastAsia"/>
                      <w:b/>
                      <w:sz w:val="21"/>
                      <w:szCs w:val="21"/>
                      <w:u w:val="single"/>
                    </w:rPr>
                    <w:t>有组织</w:t>
                  </w:r>
                </w:p>
              </w:tc>
              <w:tc>
                <w:tcPr>
                  <w:tcW w:w="538" w:type="pct"/>
                  <w:vAlign w:val="center"/>
                </w:tcPr>
                <w:p>
                  <w:pPr>
                    <w:pStyle w:val="62"/>
                    <w:rPr>
                      <w:b/>
                      <w:sz w:val="21"/>
                      <w:szCs w:val="21"/>
                      <w:u w:val="single"/>
                    </w:rPr>
                  </w:pPr>
                  <w:r>
                    <w:rPr>
                      <w:rFonts w:hint="eastAsia"/>
                      <w:b/>
                      <w:sz w:val="21"/>
                      <w:szCs w:val="21"/>
                      <w:u w:val="single"/>
                    </w:rPr>
                    <w:t>颗粒物</w:t>
                  </w:r>
                </w:p>
              </w:tc>
              <w:tc>
                <w:tcPr>
                  <w:tcW w:w="1139" w:type="pct"/>
                  <w:vAlign w:val="center"/>
                </w:tcPr>
                <w:p>
                  <w:pPr>
                    <w:pStyle w:val="62"/>
                    <w:jc w:val="both"/>
                    <w:rPr>
                      <w:b/>
                      <w:sz w:val="21"/>
                      <w:szCs w:val="21"/>
                      <w:u w:val="single"/>
                    </w:rPr>
                  </w:pPr>
                  <w:r>
                    <w:rPr>
                      <w:rFonts w:hint="eastAsia"/>
                      <w:b/>
                      <w:sz w:val="21"/>
                      <w:szCs w:val="21"/>
                      <w:u w:val="single"/>
                    </w:rPr>
                    <w:t>产生量</w:t>
                  </w:r>
                  <w:r>
                    <w:rPr>
                      <w:b/>
                      <w:sz w:val="21"/>
                      <w:szCs w:val="21"/>
                      <w:u w:val="single"/>
                    </w:rPr>
                    <w:t>:</w:t>
                  </w:r>
                  <w:r>
                    <w:rPr>
                      <w:rFonts w:hint="eastAsia"/>
                      <w:b/>
                      <w:sz w:val="21"/>
                      <w:szCs w:val="21"/>
                      <w:u w:val="single"/>
                    </w:rPr>
                    <w:t>0.1643</w:t>
                  </w:r>
                  <w:r>
                    <w:rPr>
                      <w:b/>
                      <w:sz w:val="21"/>
                      <w:szCs w:val="21"/>
                      <w:u w:val="single"/>
                    </w:rPr>
                    <w:t>t/a</w:t>
                  </w:r>
                </w:p>
                <w:p>
                  <w:pPr>
                    <w:pStyle w:val="62"/>
                    <w:jc w:val="both"/>
                    <w:rPr>
                      <w:b/>
                      <w:sz w:val="21"/>
                      <w:szCs w:val="21"/>
                      <w:u w:val="single"/>
                    </w:rPr>
                  </w:pPr>
                  <w:r>
                    <w:rPr>
                      <w:rFonts w:hint="eastAsia"/>
                      <w:b/>
                      <w:sz w:val="21"/>
                      <w:szCs w:val="21"/>
                      <w:u w:val="single"/>
                    </w:rPr>
                    <w:t>速率:0.5477</w:t>
                  </w:r>
                  <w:r>
                    <w:rPr>
                      <w:b/>
                      <w:sz w:val="21"/>
                      <w:szCs w:val="21"/>
                      <w:u w:val="single"/>
                    </w:rPr>
                    <w:t>kg/h</w:t>
                  </w:r>
                </w:p>
                <w:p>
                  <w:pPr>
                    <w:pStyle w:val="62"/>
                    <w:jc w:val="both"/>
                    <w:rPr>
                      <w:b/>
                      <w:sz w:val="21"/>
                      <w:szCs w:val="21"/>
                      <w:u w:val="single"/>
                    </w:rPr>
                  </w:pPr>
                  <w:r>
                    <w:rPr>
                      <w:rFonts w:hint="eastAsia"/>
                      <w:b/>
                      <w:sz w:val="21"/>
                      <w:szCs w:val="21"/>
                      <w:u w:val="single"/>
                    </w:rPr>
                    <w:t>浓度</w:t>
                  </w:r>
                  <w:r>
                    <w:rPr>
                      <w:b/>
                      <w:sz w:val="21"/>
                      <w:szCs w:val="21"/>
                      <w:u w:val="single"/>
                    </w:rPr>
                    <w:t>:</w:t>
                  </w:r>
                  <w:r>
                    <w:rPr>
                      <w:rFonts w:hint="eastAsia"/>
                      <w:b/>
                      <w:sz w:val="21"/>
                      <w:szCs w:val="21"/>
                      <w:u w:val="single"/>
                    </w:rPr>
                    <w:t>109.53</w:t>
                  </w:r>
                  <w:r>
                    <w:rPr>
                      <w:b/>
                      <w:sz w:val="21"/>
                      <w:szCs w:val="21"/>
                      <w:u w:val="single"/>
                    </w:rPr>
                    <w:t>mg/m</w:t>
                  </w:r>
                  <w:r>
                    <w:rPr>
                      <w:b/>
                      <w:sz w:val="21"/>
                      <w:szCs w:val="21"/>
                      <w:u w:val="single"/>
                      <w:vertAlign w:val="superscript"/>
                    </w:rPr>
                    <w:t>3</w:t>
                  </w:r>
                </w:p>
              </w:tc>
              <w:tc>
                <w:tcPr>
                  <w:tcW w:w="1009" w:type="pct"/>
                  <w:vAlign w:val="center"/>
                </w:tcPr>
                <w:p>
                  <w:pPr>
                    <w:pStyle w:val="62"/>
                    <w:jc w:val="left"/>
                    <w:rPr>
                      <w:b/>
                      <w:sz w:val="21"/>
                      <w:szCs w:val="21"/>
                      <w:u w:val="single"/>
                    </w:rPr>
                  </w:pPr>
                  <w:r>
                    <w:rPr>
                      <w:rFonts w:hint="eastAsia"/>
                      <w:b/>
                      <w:sz w:val="21"/>
                      <w:szCs w:val="21"/>
                      <w:u w:val="single"/>
                    </w:rPr>
                    <w:t>袋式除尘器+15m高排气筒排放</w:t>
                  </w:r>
                </w:p>
                <w:p>
                  <w:pPr>
                    <w:pStyle w:val="62"/>
                    <w:jc w:val="left"/>
                    <w:rPr>
                      <w:b/>
                      <w:sz w:val="21"/>
                      <w:szCs w:val="21"/>
                      <w:u w:val="single"/>
                    </w:rPr>
                  </w:pPr>
                  <w:r>
                    <w:rPr>
                      <w:rFonts w:hint="eastAsia"/>
                      <w:b/>
                      <w:sz w:val="21"/>
                      <w:szCs w:val="21"/>
                      <w:u w:val="single"/>
                    </w:rPr>
                    <w:t>集气效率100%</w:t>
                  </w:r>
                </w:p>
                <w:p>
                  <w:pPr>
                    <w:pStyle w:val="62"/>
                    <w:jc w:val="left"/>
                    <w:rPr>
                      <w:b/>
                      <w:sz w:val="21"/>
                      <w:szCs w:val="21"/>
                      <w:u w:val="single"/>
                    </w:rPr>
                  </w:pPr>
                  <w:r>
                    <w:rPr>
                      <w:rFonts w:hint="eastAsia"/>
                      <w:b/>
                      <w:sz w:val="21"/>
                      <w:szCs w:val="21"/>
                      <w:u w:val="single"/>
                    </w:rPr>
                    <w:t>处理效率95%</w:t>
                  </w:r>
                </w:p>
                <w:p>
                  <w:pPr>
                    <w:pStyle w:val="62"/>
                    <w:jc w:val="left"/>
                    <w:rPr>
                      <w:b/>
                      <w:sz w:val="21"/>
                      <w:szCs w:val="21"/>
                      <w:u w:val="single"/>
                    </w:rPr>
                  </w:pPr>
                  <w:r>
                    <w:rPr>
                      <w:rFonts w:hint="eastAsia"/>
                      <w:b/>
                      <w:sz w:val="21"/>
                      <w:szCs w:val="21"/>
                      <w:u w:val="single"/>
                    </w:rPr>
                    <w:t>风量为5000m</w:t>
                  </w:r>
                  <w:r>
                    <w:rPr>
                      <w:rFonts w:hint="eastAsia"/>
                      <w:b/>
                      <w:sz w:val="21"/>
                      <w:szCs w:val="21"/>
                      <w:u w:val="single"/>
                      <w:vertAlign w:val="superscript"/>
                    </w:rPr>
                    <w:t>3</w:t>
                  </w:r>
                  <w:r>
                    <w:rPr>
                      <w:rFonts w:hint="eastAsia"/>
                      <w:b/>
                      <w:sz w:val="21"/>
                      <w:szCs w:val="21"/>
                      <w:u w:val="single"/>
                    </w:rPr>
                    <w:t>/h。</w:t>
                  </w:r>
                </w:p>
              </w:tc>
              <w:tc>
                <w:tcPr>
                  <w:tcW w:w="999" w:type="pct"/>
                  <w:vAlign w:val="center"/>
                </w:tcPr>
                <w:p>
                  <w:pPr>
                    <w:pStyle w:val="62"/>
                    <w:jc w:val="both"/>
                    <w:rPr>
                      <w:b/>
                      <w:sz w:val="21"/>
                      <w:szCs w:val="21"/>
                      <w:u w:val="single"/>
                    </w:rPr>
                  </w:pPr>
                  <w:r>
                    <w:rPr>
                      <w:rFonts w:hint="eastAsia"/>
                      <w:b/>
                      <w:sz w:val="21"/>
                      <w:szCs w:val="21"/>
                      <w:u w:val="single"/>
                    </w:rPr>
                    <w:t>排放量</w:t>
                  </w:r>
                  <w:r>
                    <w:rPr>
                      <w:b/>
                      <w:sz w:val="21"/>
                      <w:szCs w:val="21"/>
                      <w:u w:val="single"/>
                    </w:rPr>
                    <w:t>:</w:t>
                  </w:r>
                  <w:r>
                    <w:rPr>
                      <w:rFonts w:hint="eastAsia"/>
                      <w:b/>
                      <w:sz w:val="21"/>
                      <w:szCs w:val="21"/>
                      <w:u w:val="single"/>
                    </w:rPr>
                    <w:t>0.0082</w:t>
                  </w:r>
                  <w:r>
                    <w:rPr>
                      <w:b/>
                      <w:sz w:val="21"/>
                      <w:szCs w:val="21"/>
                      <w:u w:val="single"/>
                    </w:rPr>
                    <w:t>t/a</w:t>
                  </w:r>
                </w:p>
                <w:p>
                  <w:pPr>
                    <w:pStyle w:val="62"/>
                    <w:jc w:val="both"/>
                    <w:rPr>
                      <w:b/>
                      <w:sz w:val="21"/>
                      <w:szCs w:val="21"/>
                      <w:u w:val="single"/>
                    </w:rPr>
                  </w:pPr>
                  <w:r>
                    <w:rPr>
                      <w:rFonts w:hint="eastAsia"/>
                      <w:b/>
                      <w:sz w:val="21"/>
                      <w:szCs w:val="21"/>
                      <w:u w:val="single"/>
                    </w:rPr>
                    <w:t>速率</w:t>
                  </w:r>
                  <w:r>
                    <w:rPr>
                      <w:b/>
                      <w:sz w:val="21"/>
                      <w:szCs w:val="21"/>
                      <w:u w:val="single"/>
                    </w:rPr>
                    <w:t>:</w:t>
                  </w:r>
                  <w:r>
                    <w:rPr>
                      <w:rFonts w:hint="eastAsia"/>
                      <w:b/>
                      <w:sz w:val="21"/>
                      <w:szCs w:val="21"/>
                      <w:u w:val="single"/>
                    </w:rPr>
                    <w:t>0.0274</w:t>
                  </w:r>
                  <w:r>
                    <w:rPr>
                      <w:b/>
                      <w:sz w:val="21"/>
                      <w:szCs w:val="21"/>
                      <w:u w:val="single"/>
                    </w:rPr>
                    <w:t>kg/h</w:t>
                  </w:r>
                </w:p>
                <w:p>
                  <w:pPr>
                    <w:pStyle w:val="62"/>
                    <w:jc w:val="both"/>
                    <w:rPr>
                      <w:b/>
                      <w:sz w:val="21"/>
                      <w:szCs w:val="21"/>
                      <w:u w:val="single"/>
                    </w:rPr>
                  </w:pPr>
                  <w:r>
                    <w:rPr>
                      <w:rFonts w:hint="eastAsia"/>
                      <w:b/>
                      <w:sz w:val="21"/>
                      <w:szCs w:val="21"/>
                      <w:u w:val="single"/>
                    </w:rPr>
                    <w:t>浓度</w:t>
                  </w:r>
                  <w:r>
                    <w:rPr>
                      <w:b/>
                      <w:sz w:val="21"/>
                      <w:szCs w:val="21"/>
                      <w:u w:val="single"/>
                    </w:rPr>
                    <w:t>:</w:t>
                  </w:r>
                  <w:r>
                    <w:rPr>
                      <w:rFonts w:hint="eastAsia"/>
                      <w:b/>
                      <w:sz w:val="21"/>
                      <w:szCs w:val="21"/>
                      <w:u w:val="single"/>
                    </w:rPr>
                    <w:t>5.48</w:t>
                  </w:r>
                  <w:r>
                    <w:rPr>
                      <w:b/>
                      <w:sz w:val="21"/>
                      <w:szCs w:val="21"/>
                      <w:u w:val="single"/>
                    </w:rPr>
                    <w:t>mg/m</w:t>
                  </w:r>
                  <w:r>
                    <w:rPr>
                      <w:b/>
                      <w:sz w:val="21"/>
                      <w:szCs w:val="21"/>
                      <w:u w:val="single"/>
                      <w:vertAlign w:val="superscript"/>
                    </w:rPr>
                    <w:t>3</w:t>
                  </w:r>
                </w:p>
              </w:tc>
              <w:tc>
                <w:tcPr>
                  <w:tcW w:w="411" w:type="pct"/>
                  <w:vAlign w:val="center"/>
                </w:tcPr>
                <w:p>
                  <w:pPr>
                    <w:pStyle w:val="62"/>
                    <w:rPr>
                      <w:b/>
                      <w:sz w:val="21"/>
                      <w:szCs w:val="21"/>
                      <w:u w:val="single"/>
                    </w:rPr>
                  </w:pPr>
                  <w:r>
                    <w:rPr>
                      <w:b/>
                      <w:sz w:val="21"/>
                      <w:szCs w:val="21"/>
                      <w:u w:val="single"/>
                    </w:rPr>
                    <w:t>DA00</w:t>
                  </w:r>
                  <w:r>
                    <w:rPr>
                      <w:rFonts w:hint="eastAsia"/>
                      <w:b/>
                      <w:sz w:val="21"/>
                      <w:szCs w:val="21"/>
                      <w:u w:val="single"/>
                    </w:rPr>
                    <w:t>1</w:t>
                  </w:r>
                </w:p>
              </w:tc>
            </w:tr>
          </w:tbl>
          <w:p>
            <w:pPr>
              <w:pStyle w:val="51"/>
              <w:ind w:firstLine="0" w:firstLineChars="0"/>
            </w:pPr>
            <w:r>
              <w:rPr>
                <w:rFonts w:hint="eastAsia"/>
              </w:rPr>
              <w:t>1.2加热挤出、覆膜工序</w:t>
            </w:r>
          </w:p>
          <w:p>
            <w:pPr>
              <w:pStyle w:val="99"/>
              <w:ind w:firstLine="480"/>
            </w:pPr>
            <w:r>
              <w:rPr>
                <w:rFonts w:hint="eastAsia"/>
              </w:rPr>
              <w:t>（1）源强核算</w:t>
            </w:r>
          </w:p>
          <w:p>
            <w:pPr>
              <w:pStyle w:val="99"/>
              <w:ind w:firstLine="480"/>
            </w:pPr>
            <w:r>
              <w:t>本项目为塑料制品项目，无污染源源强核算专项技术指南，参考《污染源源强核算技术指南准则》（HJ884—2018）源强核算可采用实测法、物料衡算法、产污系数法、排污系数法、类比法、实验法等，根据本工程的实际情况及现有资料，本次</w:t>
            </w:r>
            <w:r>
              <w:rPr>
                <w:rFonts w:hint="eastAsia"/>
              </w:rPr>
              <w:t>评价覆膜工序污染源源强</w:t>
            </w:r>
            <w:r>
              <w:t>采用</w:t>
            </w:r>
            <w:r>
              <w:rPr>
                <w:rFonts w:hint="eastAsia"/>
              </w:rPr>
              <w:t>产</w:t>
            </w:r>
            <w:r>
              <w:t>污系数法。</w:t>
            </w:r>
          </w:p>
          <w:p>
            <w:pPr>
              <w:pStyle w:val="51"/>
              <w:ind w:firstLine="480"/>
            </w:pPr>
            <w:r>
              <w:t>参考</w:t>
            </w:r>
            <w:r>
              <w:rPr>
                <w:rFonts w:hint="eastAsia"/>
              </w:rPr>
              <w:t>《浙江省重点行业VOCS污染排放源排放量计算方法》（1.1版，2015年11月）中“表1-7，塑料行业的排放系数，塑料布、膜、袋等制造工序”，VOCS（以非甲烷总烃计）的排放系数为0.22kg/t原料，本项目</w:t>
            </w:r>
            <w:r>
              <w:t>原料使用量为</w:t>
            </w:r>
            <w:r>
              <w:rPr>
                <w:rFonts w:hint="eastAsia"/>
              </w:rPr>
              <w:t>10</w:t>
            </w:r>
            <w:r>
              <w:t>00t/a，则</w:t>
            </w:r>
            <w:r>
              <w:rPr>
                <w:rFonts w:hint="eastAsia"/>
              </w:rPr>
              <w:t>覆膜</w:t>
            </w:r>
            <w:r>
              <w:t>工序非甲烷总烃产生量为</w:t>
            </w:r>
            <w:r>
              <w:rPr>
                <w:rFonts w:hint="eastAsia"/>
              </w:rPr>
              <w:t>0.22</w:t>
            </w:r>
            <w:r>
              <w:t>t/a。</w:t>
            </w:r>
          </w:p>
          <w:p>
            <w:pPr>
              <w:pStyle w:val="99"/>
              <w:ind w:firstLine="480"/>
            </w:pPr>
            <w:r>
              <w:rPr>
                <w:rFonts w:hint="eastAsia"/>
              </w:rPr>
              <w:t>（2）收集处理措施</w:t>
            </w:r>
          </w:p>
          <w:p>
            <w:pPr>
              <w:pStyle w:val="51"/>
              <w:ind w:firstLine="482"/>
              <w:rPr>
                <w:b/>
                <w:u w:val="single"/>
              </w:rPr>
            </w:pPr>
            <w:r>
              <w:rPr>
                <w:rFonts w:hint="eastAsia"/>
                <w:b/>
                <w:u w:val="single"/>
              </w:rPr>
              <w:t>本项目在移动式挤出端（尺寸为1.5m×0.01m）上设置集气罩（集气罩尺寸为1.8m×0.5m），集气罩随移动式挤出端移动而移动，集气罩完全覆盖移动式挤出端，本项目加热挤出、覆膜废气经收集后由UV光氧+活性炭吸附装置处理后通过15m 高排气筒排放（DA002）。</w:t>
            </w:r>
          </w:p>
          <w:p>
            <w:pPr>
              <w:pStyle w:val="51"/>
              <w:ind w:firstLine="480"/>
            </w:pPr>
            <w:r>
              <w:rPr>
                <w:rFonts w:hint="eastAsia"/>
              </w:rPr>
              <w:t>根据《大气污染控制工程》（第三版）中集气罩风量计算公式，计算工序所需风量：</w:t>
            </w:r>
          </w:p>
          <w:p>
            <w:pPr>
              <w:pStyle w:val="51"/>
              <w:ind w:firstLine="480"/>
            </w:pPr>
            <w:r>
              <w:t>Q=0.75（10X</w:t>
            </w:r>
            <w:r>
              <w:rPr>
                <w:vertAlign w:val="superscript"/>
              </w:rPr>
              <w:t>2</w:t>
            </w:r>
            <w:r>
              <w:t>+A）×V</w:t>
            </w:r>
            <w:r>
              <w:rPr>
                <w:vertAlign w:val="subscript"/>
              </w:rPr>
              <w:t>X</w:t>
            </w:r>
          </w:p>
          <w:p>
            <w:pPr>
              <w:pStyle w:val="51"/>
              <w:ind w:firstLine="480"/>
            </w:pPr>
            <w:r>
              <w:t>式中：Q---集气罩排风量，m</w:t>
            </w:r>
            <w:r>
              <w:rPr>
                <w:vertAlign w:val="superscript"/>
              </w:rPr>
              <w:t>3</w:t>
            </w:r>
            <w:r>
              <w:t>/s；</w:t>
            </w:r>
          </w:p>
          <w:p>
            <w:pPr>
              <w:pStyle w:val="51"/>
              <w:ind w:firstLine="480"/>
            </w:pPr>
            <w:r>
              <w:t>X---污染物产生点至集气罩口的距离，m</w:t>
            </w:r>
            <w:r>
              <w:rPr>
                <w:rFonts w:hint="eastAsia"/>
              </w:rPr>
              <w:t>；本项目取0.3m</w:t>
            </w:r>
            <w:r>
              <w:t>；</w:t>
            </w:r>
          </w:p>
          <w:p>
            <w:pPr>
              <w:pStyle w:val="51"/>
              <w:ind w:firstLine="480"/>
            </w:pPr>
            <w:r>
              <w:t>A---集气罩口面积，m</w:t>
            </w:r>
            <w:r>
              <w:rPr>
                <w:vertAlign w:val="superscript"/>
              </w:rPr>
              <w:t>2</w:t>
            </w:r>
            <w:r>
              <w:t>；</w:t>
            </w:r>
          </w:p>
          <w:p>
            <w:pPr>
              <w:pStyle w:val="51"/>
              <w:ind w:firstLine="480"/>
            </w:pPr>
            <w:r>
              <w:t>V</w:t>
            </w:r>
            <w:r>
              <w:rPr>
                <w:vertAlign w:val="subscript"/>
              </w:rPr>
              <w:t>X</w:t>
            </w:r>
            <w:r>
              <w:t>---最小控制风速，m/s，本项目污染物放散以很缓慢的速度放散到相当平静的空气中，一般取0.25-0.5m/s，本项目最小控制风速取0.</w:t>
            </w:r>
            <w:r>
              <w:rPr>
                <w:rFonts w:hint="eastAsia"/>
              </w:rPr>
              <w:t>5</w:t>
            </w:r>
            <w:r>
              <w:t>m/s。</w:t>
            </w:r>
          </w:p>
          <w:p>
            <w:pPr>
              <w:pStyle w:val="51"/>
              <w:ind w:firstLine="480"/>
            </w:pPr>
            <w:r>
              <w:rPr>
                <w:rFonts w:hint="eastAsia"/>
                <w:kern w:val="0"/>
              </w:rPr>
              <w:t>计算得出</w:t>
            </w:r>
            <w:r>
              <w:rPr>
                <w:rFonts w:hint="eastAsia"/>
              </w:rPr>
              <w:t>覆膜工序</w:t>
            </w:r>
            <w:r>
              <w:rPr>
                <w:rFonts w:hint="eastAsia"/>
                <w:kern w:val="0"/>
              </w:rPr>
              <w:t>集气罩风量至少为</w:t>
            </w:r>
            <w:r>
              <w:rPr>
                <w:rFonts w:hint="eastAsia"/>
              </w:rPr>
              <w:t>9720m</w:t>
            </w:r>
            <w:r>
              <w:rPr>
                <w:rFonts w:hint="eastAsia"/>
                <w:vertAlign w:val="superscript"/>
              </w:rPr>
              <w:t>3</w:t>
            </w:r>
            <w:r>
              <w:rPr>
                <w:rFonts w:hint="eastAsia"/>
              </w:rPr>
              <w:t>/h，本项目覆膜工序配套风机风量为10000m</w:t>
            </w:r>
            <w:r>
              <w:rPr>
                <w:rFonts w:hint="eastAsia"/>
                <w:vertAlign w:val="superscript"/>
              </w:rPr>
              <w:t>3</w:t>
            </w:r>
            <w:r>
              <w:rPr>
                <w:rFonts w:hint="eastAsia"/>
              </w:rPr>
              <w:t>/h，能够满足废气收集系统需求。</w:t>
            </w:r>
          </w:p>
          <w:p>
            <w:pPr>
              <w:pStyle w:val="51"/>
              <w:ind w:firstLine="480"/>
            </w:pPr>
            <w:r>
              <w:rPr>
                <w:rFonts w:hint="eastAsia"/>
                <w:kern w:val="0"/>
                <w:szCs w:val="21"/>
              </w:rPr>
              <w:t>本项目加热挤出</w:t>
            </w:r>
            <w:r>
              <w:rPr>
                <w:rFonts w:hint="eastAsia"/>
              </w:rPr>
              <w:t>、覆膜工序主要污染物质为非甲烷总烃，根据</w:t>
            </w:r>
            <w:r>
              <w:t>《排污许可证申请与核发技术规范  橡胶和塑料制品工业》（HJ1122—2020）</w:t>
            </w:r>
            <w:r>
              <w:rPr>
                <w:rFonts w:hint="eastAsia"/>
              </w:rPr>
              <w:t>表A.2 塑料制品工业排污单位有机废气污染防治可行技术参考表中塑料制品废气治理措施有喷淋、吸附、吸附浓缩+热力燃烧/催化燃烧，</w:t>
            </w:r>
            <w:r>
              <w:rPr>
                <w:rFonts w:hint="eastAsia"/>
                <w:kern w:val="0"/>
                <w:szCs w:val="21"/>
              </w:rPr>
              <w:t>本项目</w:t>
            </w:r>
            <w:r>
              <w:rPr>
                <w:rFonts w:hint="eastAsia"/>
              </w:rPr>
              <w:t>采用UV光氧+活性炭吸附装置处理，属于可行性技术。</w:t>
            </w:r>
          </w:p>
          <w:p>
            <w:pPr>
              <w:pStyle w:val="99"/>
              <w:ind w:firstLine="480"/>
            </w:pPr>
            <w:r>
              <w:rPr>
                <w:rFonts w:hint="eastAsia"/>
              </w:rPr>
              <w:t>（3）产排情况</w:t>
            </w:r>
          </w:p>
          <w:p>
            <w:pPr>
              <w:pStyle w:val="51"/>
              <w:ind w:firstLine="480"/>
            </w:pPr>
            <w:r>
              <w:rPr>
                <w:rFonts w:hint="eastAsia"/>
                <w:bCs/>
              </w:rPr>
              <w:t>加热挤出、覆膜工序有机</w:t>
            </w:r>
            <w:r>
              <w:rPr>
                <w:rFonts w:hint="eastAsia"/>
              </w:rPr>
              <w:t>废气的收集效率取90%，非甲烷总烃处理效率取80%（其中UV光氧20%，活性炭吸附75%），</w:t>
            </w:r>
            <w:r>
              <w:rPr>
                <w:rFonts w:hint="eastAsia"/>
                <w:bCs/>
              </w:rPr>
              <w:t>年</w:t>
            </w:r>
            <w:r>
              <w:rPr>
                <w:rFonts w:hint="eastAsia"/>
              </w:rPr>
              <w:t>运行时间为1500h。</w:t>
            </w:r>
          </w:p>
          <w:p>
            <w:pPr>
              <w:pStyle w:val="53"/>
              <w:ind w:firstLine="480"/>
              <w:rPr>
                <w:kern w:val="0"/>
              </w:rPr>
            </w:pPr>
            <w:r>
              <w:rPr>
                <w:kern w:val="0"/>
              </w:rPr>
              <w:t>表</w:t>
            </w:r>
            <w:r>
              <w:rPr>
                <w:rFonts w:hint="eastAsia"/>
                <w:kern w:val="0"/>
              </w:rPr>
              <w:t>26</w:t>
            </w:r>
            <w:r>
              <w:rPr>
                <w:kern w:val="0"/>
              </w:rPr>
              <w:t xml:space="preserve">       </w:t>
            </w:r>
            <w:r>
              <w:rPr>
                <w:rFonts w:hint="eastAsia"/>
                <w:kern w:val="0"/>
              </w:rPr>
              <w:t xml:space="preserve">  </w:t>
            </w:r>
            <w:r>
              <w:rPr>
                <w:kern w:val="0"/>
              </w:rPr>
              <w:t xml:space="preserve">     项目</w:t>
            </w:r>
            <w:r>
              <w:rPr>
                <w:rFonts w:hint="eastAsia"/>
                <w:kern w:val="0"/>
              </w:rPr>
              <w:t>加热挤出、覆膜</w:t>
            </w:r>
            <w:r>
              <w:rPr>
                <w:kern w:val="0"/>
              </w:rPr>
              <w:t>废气产排情况</w:t>
            </w:r>
          </w:p>
          <w:tbl>
            <w:tblPr>
              <w:tblStyle w:val="2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469"/>
              <w:gridCol w:w="534"/>
              <w:gridCol w:w="708"/>
              <w:gridCol w:w="1845"/>
              <w:gridCol w:w="2087"/>
              <w:gridCol w:w="1533"/>
              <w:gridCol w:w="7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97" w:type="pct"/>
                  <w:vAlign w:val="center"/>
                </w:tcPr>
                <w:p>
                  <w:pPr>
                    <w:pStyle w:val="68"/>
                  </w:pPr>
                  <w:r>
                    <w:t>污染源</w:t>
                  </w:r>
                </w:p>
              </w:tc>
              <w:tc>
                <w:tcPr>
                  <w:tcW w:w="337" w:type="pct"/>
                  <w:vAlign w:val="center"/>
                </w:tcPr>
                <w:p>
                  <w:pPr>
                    <w:pStyle w:val="68"/>
                  </w:pPr>
                  <w:r>
                    <w:t>排放方式</w:t>
                  </w:r>
                </w:p>
              </w:tc>
              <w:tc>
                <w:tcPr>
                  <w:tcW w:w="447" w:type="pct"/>
                  <w:vAlign w:val="center"/>
                </w:tcPr>
                <w:p>
                  <w:pPr>
                    <w:pStyle w:val="68"/>
                  </w:pPr>
                  <w:r>
                    <w:t>污染物</w:t>
                  </w:r>
                </w:p>
              </w:tc>
              <w:tc>
                <w:tcPr>
                  <w:tcW w:w="1165" w:type="pct"/>
                  <w:vAlign w:val="center"/>
                </w:tcPr>
                <w:p>
                  <w:pPr>
                    <w:pStyle w:val="68"/>
                  </w:pPr>
                  <w:r>
                    <w:t>产生情况</w:t>
                  </w:r>
                </w:p>
              </w:tc>
              <w:tc>
                <w:tcPr>
                  <w:tcW w:w="1318" w:type="pct"/>
                  <w:vAlign w:val="center"/>
                </w:tcPr>
                <w:p>
                  <w:pPr>
                    <w:pStyle w:val="68"/>
                  </w:pPr>
                  <w:r>
                    <w:t>处理措施</w:t>
                  </w:r>
                </w:p>
              </w:tc>
              <w:tc>
                <w:tcPr>
                  <w:tcW w:w="968" w:type="pct"/>
                  <w:vAlign w:val="center"/>
                </w:tcPr>
                <w:p>
                  <w:pPr>
                    <w:pStyle w:val="68"/>
                  </w:pPr>
                  <w:r>
                    <w:t>排放情况</w:t>
                  </w:r>
                </w:p>
              </w:tc>
              <w:tc>
                <w:tcPr>
                  <w:tcW w:w="467" w:type="pct"/>
                  <w:vAlign w:val="center"/>
                </w:tcPr>
                <w:p>
                  <w:pPr>
                    <w:pStyle w:val="68"/>
                  </w:pPr>
                  <w:r>
                    <w:t>排气筒编号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97" w:type="pct"/>
                  <w:vMerge w:val="restart"/>
                  <w:vAlign w:val="center"/>
                </w:tcPr>
                <w:p>
                  <w:pPr>
                    <w:pStyle w:val="68"/>
                  </w:pPr>
                  <w:r>
                    <w:rPr>
                      <w:rFonts w:hint="eastAsia"/>
                    </w:rPr>
                    <w:t>加热挤出覆膜废气</w:t>
                  </w:r>
                </w:p>
              </w:tc>
              <w:tc>
                <w:tcPr>
                  <w:tcW w:w="337" w:type="pct"/>
                  <w:vAlign w:val="center"/>
                </w:tcPr>
                <w:p>
                  <w:pPr>
                    <w:pStyle w:val="68"/>
                  </w:pPr>
                  <w:r>
                    <w:t>有组织</w:t>
                  </w:r>
                </w:p>
              </w:tc>
              <w:tc>
                <w:tcPr>
                  <w:tcW w:w="447" w:type="pct"/>
                  <w:vAlign w:val="center"/>
                </w:tcPr>
                <w:p>
                  <w:pPr>
                    <w:pStyle w:val="68"/>
                  </w:pPr>
                  <w:r>
                    <w:t>非甲烷总烃</w:t>
                  </w:r>
                </w:p>
              </w:tc>
              <w:tc>
                <w:tcPr>
                  <w:tcW w:w="1165" w:type="pct"/>
                  <w:vAlign w:val="center"/>
                </w:tcPr>
                <w:p>
                  <w:pPr>
                    <w:pStyle w:val="68"/>
                  </w:pPr>
                  <w:r>
                    <w:t>产生量:0.</w:t>
                  </w:r>
                  <w:r>
                    <w:rPr>
                      <w:rFonts w:hint="eastAsia"/>
                    </w:rPr>
                    <w:t>198</w:t>
                  </w:r>
                  <w:r>
                    <w:t>t/a</w:t>
                  </w:r>
                </w:p>
                <w:p>
                  <w:pPr>
                    <w:pStyle w:val="68"/>
                  </w:pPr>
                  <w:r>
                    <w:t>速率:0.</w:t>
                  </w:r>
                  <w:r>
                    <w:rPr>
                      <w:rFonts w:hint="eastAsia"/>
                    </w:rPr>
                    <w:t>132</w:t>
                  </w:r>
                  <w:r>
                    <w:t>kg/h</w:t>
                  </w:r>
                </w:p>
                <w:p>
                  <w:pPr>
                    <w:pStyle w:val="68"/>
                  </w:pPr>
                  <w:r>
                    <w:t>浓度:</w:t>
                  </w:r>
                  <w:r>
                    <w:rPr>
                      <w:rFonts w:hint="eastAsia"/>
                    </w:rPr>
                    <w:t>13.2</w:t>
                  </w:r>
                  <w:r>
                    <w:t>mg/m</w:t>
                  </w:r>
                  <w:r>
                    <w:rPr>
                      <w:vertAlign w:val="superscript"/>
                    </w:rPr>
                    <w:t>3</w:t>
                  </w:r>
                </w:p>
              </w:tc>
              <w:tc>
                <w:tcPr>
                  <w:tcW w:w="1318" w:type="pct"/>
                  <w:vAlign w:val="center"/>
                </w:tcPr>
                <w:p>
                  <w:pPr>
                    <w:pStyle w:val="68"/>
                  </w:pPr>
                  <w:r>
                    <w:rPr>
                      <w:rFonts w:hint="eastAsia"/>
                    </w:rPr>
                    <w:t>有机废气经收集后经 “UV光氧+活性炭吸附”装置处理后通过15m 高排气筒排放</w:t>
                  </w:r>
                </w:p>
                <w:p>
                  <w:pPr>
                    <w:pStyle w:val="68"/>
                  </w:pPr>
                  <w:r>
                    <w:t>集气效率9</w:t>
                  </w:r>
                  <w:r>
                    <w:rPr>
                      <w:rFonts w:hint="eastAsia"/>
                    </w:rPr>
                    <w:t>0</w:t>
                  </w:r>
                  <w:r>
                    <w:t>%</w:t>
                  </w:r>
                </w:p>
                <w:p>
                  <w:pPr>
                    <w:pStyle w:val="68"/>
                  </w:pPr>
                  <w:r>
                    <w:t>处理效率为</w:t>
                  </w:r>
                  <w:r>
                    <w:rPr>
                      <w:rFonts w:hint="eastAsia"/>
                    </w:rPr>
                    <w:t>80</w:t>
                  </w:r>
                  <w:r>
                    <w:t>%</w:t>
                  </w:r>
                </w:p>
                <w:p>
                  <w:pPr>
                    <w:pStyle w:val="68"/>
                  </w:pPr>
                  <w:r>
                    <w:t>风量</w:t>
                  </w:r>
                  <w:r>
                    <w:rPr>
                      <w:rFonts w:hint="eastAsia"/>
                    </w:rPr>
                    <w:t>10000</w:t>
                  </w:r>
                  <w:r>
                    <w:t>m</w:t>
                  </w:r>
                  <w:r>
                    <w:rPr>
                      <w:vertAlign w:val="superscript"/>
                    </w:rPr>
                    <w:t>3</w:t>
                  </w:r>
                  <w:r>
                    <w:t>/h</w:t>
                  </w:r>
                </w:p>
              </w:tc>
              <w:tc>
                <w:tcPr>
                  <w:tcW w:w="968" w:type="pct"/>
                  <w:vAlign w:val="center"/>
                </w:tcPr>
                <w:p>
                  <w:pPr>
                    <w:pStyle w:val="68"/>
                  </w:pPr>
                  <w:r>
                    <w:t>排放量:0.</w:t>
                  </w:r>
                  <w:r>
                    <w:rPr>
                      <w:rFonts w:hint="eastAsia"/>
                    </w:rPr>
                    <w:t>0396</w:t>
                  </w:r>
                  <w:r>
                    <w:t>t/a</w:t>
                  </w:r>
                </w:p>
                <w:p>
                  <w:pPr>
                    <w:pStyle w:val="68"/>
                  </w:pPr>
                  <w:r>
                    <w:t>速率:0.0</w:t>
                  </w:r>
                  <w:r>
                    <w:rPr>
                      <w:rFonts w:hint="eastAsia"/>
                    </w:rPr>
                    <w:t>26</w:t>
                  </w:r>
                  <w:r>
                    <w:t>kg/h</w:t>
                  </w:r>
                </w:p>
                <w:p>
                  <w:pPr>
                    <w:pStyle w:val="68"/>
                  </w:pPr>
                  <w:r>
                    <w:t>浓度:</w:t>
                  </w:r>
                  <w:r>
                    <w:rPr>
                      <w:rFonts w:hint="eastAsia"/>
                    </w:rPr>
                    <w:t>2.64</w:t>
                  </w:r>
                  <w:r>
                    <w:t>mg/m</w:t>
                  </w:r>
                  <w:r>
                    <w:rPr>
                      <w:vertAlign w:val="superscript"/>
                    </w:rPr>
                    <w:t>3</w:t>
                  </w:r>
                </w:p>
              </w:tc>
              <w:tc>
                <w:tcPr>
                  <w:tcW w:w="467" w:type="pct"/>
                  <w:vAlign w:val="center"/>
                </w:tcPr>
                <w:p>
                  <w:pPr>
                    <w:pStyle w:val="68"/>
                  </w:pPr>
                  <w:r>
                    <w:rPr>
                      <w:rFonts w:hint="eastAsia"/>
                    </w:rPr>
                    <w:t>DA001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5" w:hRule="atLeast"/>
                <w:jc w:val="center"/>
              </w:trPr>
              <w:tc>
                <w:tcPr>
                  <w:tcW w:w="297" w:type="pct"/>
                  <w:vMerge w:val="continue"/>
                  <w:vAlign w:val="center"/>
                </w:tcPr>
                <w:p>
                  <w:pPr>
                    <w:pStyle w:val="68"/>
                  </w:pPr>
                </w:p>
              </w:tc>
              <w:tc>
                <w:tcPr>
                  <w:tcW w:w="337" w:type="pct"/>
                </w:tcPr>
                <w:p>
                  <w:pPr>
                    <w:pStyle w:val="68"/>
                  </w:pPr>
                  <w:r>
                    <w:t>无组织</w:t>
                  </w:r>
                </w:p>
              </w:tc>
              <w:tc>
                <w:tcPr>
                  <w:tcW w:w="447" w:type="pct"/>
                  <w:vAlign w:val="center"/>
                </w:tcPr>
                <w:p>
                  <w:pPr>
                    <w:pStyle w:val="68"/>
                  </w:pPr>
                  <w:r>
                    <w:t>非甲烷总烃</w:t>
                  </w:r>
                </w:p>
              </w:tc>
              <w:tc>
                <w:tcPr>
                  <w:tcW w:w="1165" w:type="pct"/>
                  <w:vAlign w:val="center"/>
                </w:tcPr>
                <w:p>
                  <w:pPr>
                    <w:pStyle w:val="68"/>
                  </w:pPr>
                  <w:r>
                    <w:t>产生量:0.</w:t>
                  </w:r>
                  <w:r>
                    <w:rPr>
                      <w:rFonts w:hint="eastAsia"/>
                    </w:rPr>
                    <w:t>022</w:t>
                  </w:r>
                  <w:r>
                    <w:t>t/a</w:t>
                  </w:r>
                </w:p>
              </w:tc>
              <w:tc>
                <w:tcPr>
                  <w:tcW w:w="1318" w:type="pct"/>
                  <w:vAlign w:val="center"/>
                </w:tcPr>
                <w:p>
                  <w:pPr>
                    <w:pStyle w:val="68"/>
                  </w:pPr>
                  <w:r>
                    <w:t>/</w:t>
                  </w:r>
                </w:p>
              </w:tc>
              <w:tc>
                <w:tcPr>
                  <w:tcW w:w="968" w:type="pct"/>
                  <w:vAlign w:val="center"/>
                </w:tcPr>
                <w:p>
                  <w:pPr>
                    <w:pStyle w:val="68"/>
                  </w:pPr>
                  <w:r>
                    <w:t>排放量:</w:t>
                  </w:r>
                  <w:r>
                    <w:rPr>
                      <w:rFonts w:hint="eastAsia"/>
                    </w:rPr>
                    <w:t>0.022t/a</w:t>
                  </w:r>
                </w:p>
              </w:tc>
              <w:tc>
                <w:tcPr>
                  <w:tcW w:w="467" w:type="pct"/>
                  <w:vAlign w:val="center"/>
                </w:tcPr>
                <w:p>
                  <w:pPr>
                    <w:pStyle w:val="68"/>
                  </w:pPr>
                  <w:r>
                    <w:t>/</w:t>
                  </w:r>
                </w:p>
              </w:tc>
            </w:tr>
          </w:tbl>
          <w:p>
            <w:pPr>
              <w:pStyle w:val="119"/>
              <w:rPr>
                <w:rFonts w:ascii="宋体" w:hAnsi="宋体" w:cs="宋体"/>
                <w:bCs/>
                <w:spacing w:val="-10"/>
              </w:rPr>
            </w:pPr>
            <w:r>
              <w:rPr>
                <w:rFonts w:hint="eastAsia"/>
              </w:rPr>
              <w:t>1.3废气排放达标情况</w:t>
            </w:r>
          </w:p>
        </w:tc>
      </w:tr>
    </w:tbl>
    <w:p>
      <w:pPr>
        <w:adjustRightInd w:val="0"/>
        <w:snapToGrid w:val="0"/>
        <w:jc w:val="center"/>
        <w:rPr>
          <w:rFonts w:ascii="宋体" w:hAnsi="宋体" w:cs="宋体"/>
          <w:bCs/>
          <w:szCs w:val="21"/>
        </w:rPr>
        <w:sectPr>
          <w:pgSz w:w="11907" w:h="16840"/>
          <w:pgMar w:top="1701" w:right="1531" w:bottom="2127" w:left="1531" w:header="851" w:footer="851" w:gutter="0"/>
          <w:cols w:space="720" w:num="1"/>
          <w:docGrid w:linePitch="312" w:charSpace="0"/>
        </w:sectPr>
      </w:pP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23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295" w:type="pct"/>
            <w:tcMar>
              <w:left w:w="28" w:type="dxa"/>
              <w:right w:w="28" w:type="dxa"/>
            </w:tcMar>
            <w:vAlign w:val="center"/>
          </w:tcPr>
          <w:p>
            <w:pPr>
              <w:adjustRightInd w:val="0"/>
              <w:snapToGrid w:val="0"/>
              <w:jc w:val="center"/>
              <w:rPr>
                <w:rFonts w:ascii="宋体" w:hAnsi="宋体" w:cs="宋体"/>
                <w:bCs/>
                <w:szCs w:val="21"/>
              </w:rPr>
            </w:pPr>
            <w:r>
              <w:rPr>
                <w:rFonts w:hint="eastAsia" w:ascii="宋体" w:hAnsi="宋体" w:cs="宋体"/>
                <w:bCs/>
                <w:szCs w:val="21"/>
              </w:rPr>
              <w:t>运营</w:t>
            </w:r>
          </w:p>
          <w:p>
            <w:pPr>
              <w:adjustRightInd w:val="0"/>
              <w:snapToGrid w:val="0"/>
              <w:jc w:val="center"/>
              <w:rPr>
                <w:rFonts w:ascii="宋体" w:hAnsi="宋体" w:cs="宋体"/>
                <w:bCs/>
                <w:szCs w:val="21"/>
              </w:rPr>
            </w:pPr>
            <w:r>
              <w:rPr>
                <w:rFonts w:hint="eastAsia" w:ascii="宋体" w:hAnsi="宋体" w:cs="宋体"/>
                <w:bCs/>
                <w:szCs w:val="21"/>
              </w:rPr>
              <w:t>期环</w:t>
            </w:r>
          </w:p>
          <w:p>
            <w:pPr>
              <w:adjustRightInd w:val="0"/>
              <w:snapToGrid w:val="0"/>
              <w:jc w:val="center"/>
              <w:rPr>
                <w:rFonts w:ascii="宋体" w:hAnsi="宋体" w:cs="宋体"/>
                <w:bCs/>
                <w:szCs w:val="21"/>
              </w:rPr>
            </w:pPr>
            <w:r>
              <w:rPr>
                <w:rFonts w:hint="eastAsia" w:ascii="宋体" w:hAnsi="宋体" w:cs="宋体"/>
                <w:bCs/>
                <w:szCs w:val="21"/>
              </w:rPr>
              <w:t>境影</w:t>
            </w:r>
          </w:p>
          <w:p>
            <w:pPr>
              <w:adjustRightInd w:val="0"/>
              <w:snapToGrid w:val="0"/>
              <w:jc w:val="center"/>
              <w:rPr>
                <w:rFonts w:ascii="宋体" w:hAnsi="宋体" w:cs="宋体"/>
                <w:bCs/>
                <w:szCs w:val="21"/>
              </w:rPr>
            </w:pPr>
            <w:r>
              <w:rPr>
                <w:rFonts w:hint="eastAsia" w:ascii="宋体" w:hAnsi="宋体" w:cs="宋体"/>
                <w:bCs/>
                <w:szCs w:val="21"/>
              </w:rPr>
              <w:t>响和</w:t>
            </w:r>
          </w:p>
          <w:p>
            <w:pPr>
              <w:adjustRightInd w:val="0"/>
              <w:snapToGrid w:val="0"/>
              <w:jc w:val="center"/>
              <w:rPr>
                <w:rFonts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4705" w:type="pct"/>
            <w:vAlign w:val="center"/>
          </w:tcPr>
          <w:p>
            <w:pPr>
              <w:pStyle w:val="118"/>
            </w:pPr>
            <w:r>
              <w:rPr>
                <w:rFonts w:hint="eastAsia"/>
              </w:rPr>
              <w:t xml:space="preserve">表27             </w:t>
            </w:r>
            <w:r>
              <w:rPr>
                <w:rStyle w:val="52"/>
              </w:rPr>
              <w:t>本项目有组织废气污染源排放达标情况</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062"/>
              <w:gridCol w:w="1130"/>
              <w:gridCol w:w="1304"/>
              <w:gridCol w:w="2696"/>
              <w:gridCol w:w="1435"/>
              <w:gridCol w:w="3744"/>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93" w:type="dxa"/>
                  <w:vAlign w:val="center"/>
                </w:tcPr>
                <w:p>
                  <w:pPr>
                    <w:pStyle w:val="70"/>
                    <w:rPr>
                      <w:b/>
                      <w:sz w:val="21"/>
                      <w:szCs w:val="21"/>
                      <w:u w:val="single"/>
                    </w:rPr>
                  </w:pPr>
                  <w:r>
                    <w:rPr>
                      <w:rFonts w:hint="eastAsia"/>
                      <w:b/>
                      <w:sz w:val="21"/>
                      <w:szCs w:val="21"/>
                      <w:u w:val="single"/>
                    </w:rPr>
                    <w:t>排放口编号</w:t>
                  </w:r>
                </w:p>
              </w:tc>
              <w:tc>
                <w:tcPr>
                  <w:tcW w:w="738" w:type="dxa"/>
                  <w:vAlign w:val="center"/>
                </w:tcPr>
                <w:p>
                  <w:pPr>
                    <w:pStyle w:val="70"/>
                    <w:rPr>
                      <w:b/>
                      <w:sz w:val="21"/>
                      <w:szCs w:val="21"/>
                      <w:u w:val="single"/>
                    </w:rPr>
                  </w:pPr>
                  <w:r>
                    <w:rPr>
                      <w:rFonts w:hint="eastAsia"/>
                      <w:b/>
                      <w:sz w:val="21"/>
                      <w:szCs w:val="21"/>
                      <w:u w:val="single"/>
                    </w:rPr>
                    <w:t>污染源名称</w:t>
                  </w:r>
                </w:p>
              </w:tc>
              <w:tc>
                <w:tcPr>
                  <w:tcW w:w="851" w:type="dxa"/>
                  <w:vAlign w:val="center"/>
                </w:tcPr>
                <w:p>
                  <w:pPr>
                    <w:pStyle w:val="70"/>
                    <w:rPr>
                      <w:b/>
                      <w:sz w:val="21"/>
                      <w:szCs w:val="21"/>
                      <w:u w:val="single"/>
                    </w:rPr>
                  </w:pPr>
                  <w:r>
                    <w:rPr>
                      <w:rFonts w:hint="eastAsia"/>
                      <w:b/>
                      <w:sz w:val="21"/>
                      <w:szCs w:val="21"/>
                      <w:u w:val="single"/>
                    </w:rPr>
                    <w:t>污染物</w:t>
                  </w:r>
                </w:p>
              </w:tc>
              <w:tc>
                <w:tcPr>
                  <w:tcW w:w="1760" w:type="dxa"/>
                  <w:vAlign w:val="center"/>
                </w:tcPr>
                <w:p>
                  <w:pPr>
                    <w:pStyle w:val="70"/>
                    <w:rPr>
                      <w:b/>
                      <w:sz w:val="21"/>
                      <w:szCs w:val="21"/>
                      <w:u w:val="single"/>
                    </w:rPr>
                  </w:pPr>
                  <w:r>
                    <w:rPr>
                      <w:rFonts w:hint="eastAsia"/>
                      <w:b/>
                      <w:sz w:val="21"/>
                      <w:szCs w:val="21"/>
                      <w:u w:val="single"/>
                    </w:rPr>
                    <w:t>排放情况</w:t>
                  </w:r>
                </w:p>
              </w:tc>
              <w:tc>
                <w:tcPr>
                  <w:tcW w:w="937" w:type="dxa"/>
                  <w:vAlign w:val="center"/>
                </w:tcPr>
                <w:p>
                  <w:pPr>
                    <w:pStyle w:val="70"/>
                    <w:rPr>
                      <w:b/>
                      <w:sz w:val="21"/>
                      <w:szCs w:val="21"/>
                      <w:u w:val="single"/>
                    </w:rPr>
                  </w:pPr>
                  <w:r>
                    <w:rPr>
                      <w:rFonts w:hint="eastAsia"/>
                      <w:b/>
                      <w:sz w:val="21"/>
                      <w:szCs w:val="21"/>
                      <w:u w:val="single"/>
                    </w:rPr>
                    <w:t>执行标准</w:t>
                  </w:r>
                </w:p>
              </w:tc>
              <w:tc>
                <w:tcPr>
                  <w:tcW w:w="2444" w:type="dxa"/>
                  <w:vAlign w:val="center"/>
                </w:tcPr>
                <w:p>
                  <w:pPr>
                    <w:pStyle w:val="70"/>
                    <w:rPr>
                      <w:b/>
                      <w:sz w:val="21"/>
                      <w:szCs w:val="21"/>
                      <w:u w:val="single"/>
                    </w:rPr>
                  </w:pPr>
                  <w:r>
                    <w:rPr>
                      <w:rFonts w:hint="eastAsia"/>
                      <w:b/>
                      <w:sz w:val="21"/>
                      <w:szCs w:val="21"/>
                      <w:u w:val="single"/>
                    </w:rPr>
                    <w:t>标准来源</w:t>
                  </w:r>
                </w:p>
              </w:tc>
              <w:tc>
                <w:tcPr>
                  <w:tcW w:w="493" w:type="dxa"/>
                  <w:vAlign w:val="center"/>
                </w:tcPr>
                <w:p>
                  <w:pPr>
                    <w:pStyle w:val="70"/>
                    <w:rPr>
                      <w:b/>
                      <w:sz w:val="21"/>
                      <w:szCs w:val="21"/>
                      <w:u w:val="single"/>
                    </w:rPr>
                  </w:pPr>
                  <w:r>
                    <w:rPr>
                      <w:rFonts w:hint="eastAsia"/>
                      <w:b/>
                      <w:sz w:val="21"/>
                      <w:szCs w:val="21"/>
                      <w:u w:val="single"/>
                    </w:rPr>
                    <w:t>是否达标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93" w:type="dxa"/>
                  <w:vAlign w:val="center"/>
                </w:tcPr>
                <w:p>
                  <w:pPr>
                    <w:pStyle w:val="70"/>
                    <w:rPr>
                      <w:b/>
                      <w:sz w:val="21"/>
                      <w:szCs w:val="21"/>
                      <w:u w:val="single"/>
                    </w:rPr>
                  </w:pPr>
                  <w:r>
                    <w:rPr>
                      <w:rFonts w:hint="eastAsia"/>
                      <w:b/>
                      <w:sz w:val="21"/>
                      <w:szCs w:val="21"/>
                      <w:u w:val="single"/>
                    </w:rPr>
                    <w:t>DA001</w:t>
                  </w:r>
                </w:p>
              </w:tc>
              <w:tc>
                <w:tcPr>
                  <w:tcW w:w="738" w:type="dxa"/>
                  <w:vAlign w:val="center"/>
                </w:tcPr>
                <w:p>
                  <w:pPr>
                    <w:pStyle w:val="70"/>
                    <w:rPr>
                      <w:b/>
                      <w:sz w:val="21"/>
                      <w:szCs w:val="21"/>
                      <w:u w:val="single"/>
                    </w:rPr>
                  </w:pPr>
                  <w:r>
                    <w:rPr>
                      <w:rFonts w:hint="eastAsia"/>
                      <w:b/>
                      <w:sz w:val="21"/>
                      <w:szCs w:val="21"/>
                      <w:u w:val="single"/>
                    </w:rPr>
                    <w:t>搅拌粉尘</w:t>
                  </w:r>
                </w:p>
              </w:tc>
              <w:tc>
                <w:tcPr>
                  <w:tcW w:w="851" w:type="dxa"/>
                  <w:vAlign w:val="center"/>
                </w:tcPr>
                <w:p>
                  <w:pPr>
                    <w:pStyle w:val="70"/>
                    <w:rPr>
                      <w:b/>
                      <w:sz w:val="21"/>
                      <w:szCs w:val="21"/>
                      <w:u w:val="single"/>
                    </w:rPr>
                  </w:pPr>
                  <w:r>
                    <w:rPr>
                      <w:rFonts w:hint="eastAsia"/>
                      <w:b/>
                      <w:sz w:val="21"/>
                      <w:szCs w:val="21"/>
                      <w:u w:val="single"/>
                    </w:rPr>
                    <w:t>颗粒物</w:t>
                  </w:r>
                </w:p>
              </w:tc>
              <w:tc>
                <w:tcPr>
                  <w:tcW w:w="1760" w:type="dxa"/>
                  <w:vAlign w:val="center"/>
                </w:tcPr>
                <w:p>
                  <w:pPr>
                    <w:pStyle w:val="62"/>
                    <w:rPr>
                      <w:b/>
                      <w:sz w:val="21"/>
                      <w:szCs w:val="21"/>
                      <w:u w:val="single"/>
                    </w:rPr>
                  </w:pPr>
                  <w:r>
                    <w:rPr>
                      <w:rFonts w:hint="eastAsia"/>
                      <w:b/>
                      <w:sz w:val="21"/>
                      <w:szCs w:val="21"/>
                      <w:u w:val="single"/>
                    </w:rPr>
                    <w:t>排放量</w:t>
                  </w:r>
                  <w:r>
                    <w:rPr>
                      <w:b/>
                      <w:sz w:val="21"/>
                      <w:szCs w:val="21"/>
                      <w:u w:val="single"/>
                    </w:rPr>
                    <w:t>:</w:t>
                  </w:r>
                  <w:r>
                    <w:rPr>
                      <w:rFonts w:hint="eastAsia"/>
                      <w:b/>
                      <w:sz w:val="21"/>
                      <w:szCs w:val="21"/>
                      <w:u w:val="single"/>
                    </w:rPr>
                    <w:t>0.0082</w:t>
                  </w:r>
                  <w:r>
                    <w:rPr>
                      <w:b/>
                      <w:sz w:val="21"/>
                      <w:szCs w:val="21"/>
                      <w:u w:val="single"/>
                    </w:rPr>
                    <w:t>t/a</w:t>
                  </w:r>
                </w:p>
                <w:p>
                  <w:pPr>
                    <w:pStyle w:val="62"/>
                    <w:rPr>
                      <w:b/>
                      <w:sz w:val="21"/>
                      <w:szCs w:val="21"/>
                      <w:u w:val="single"/>
                    </w:rPr>
                  </w:pPr>
                  <w:r>
                    <w:rPr>
                      <w:rFonts w:hint="eastAsia"/>
                      <w:b/>
                      <w:sz w:val="21"/>
                      <w:szCs w:val="21"/>
                      <w:u w:val="single"/>
                    </w:rPr>
                    <w:t>速率</w:t>
                  </w:r>
                  <w:r>
                    <w:rPr>
                      <w:b/>
                      <w:sz w:val="21"/>
                      <w:szCs w:val="21"/>
                      <w:u w:val="single"/>
                    </w:rPr>
                    <w:t>:</w:t>
                  </w:r>
                  <w:r>
                    <w:rPr>
                      <w:rFonts w:hint="eastAsia"/>
                      <w:b/>
                      <w:sz w:val="21"/>
                      <w:szCs w:val="21"/>
                      <w:u w:val="single"/>
                    </w:rPr>
                    <w:t>0.0274</w:t>
                  </w:r>
                  <w:r>
                    <w:rPr>
                      <w:b/>
                      <w:sz w:val="21"/>
                      <w:szCs w:val="21"/>
                      <w:u w:val="single"/>
                    </w:rPr>
                    <w:t>kg/h</w:t>
                  </w:r>
                </w:p>
                <w:p>
                  <w:pPr>
                    <w:pStyle w:val="70"/>
                    <w:rPr>
                      <w:b/>
                      <w:sz w:val="21"/>
                      <w:szCs w:val="21"/>
                      <w:u w:val="single"/>
                    </w:rPr>
                  </w:pPr>
                  <w:r>
                    <w:rPr>
                      <w:rFonts w:hint="eastAsia"/>
                      <w:b/>
                      <w:sz w:val="21"/>
                      <w:szCs w:val="21"/>
                      <w:u w:val="single"/>
                    </w:rPr>
                    <w:t>浓度</w:t>
                  </w:r>
                  <w:r>
                    <w:rPr>
                      <w:b/>
                      <w:sz w:val="21"/>
                      <w:szCs w:val="21"/>
                      <w:u w:val="single"/>
                    </w:rPr>
                    <w:t>:</w:t>
                  </w:r>
                  <w:r>
                    <w:rPr>
                      <w:rFonts w:hint="eastAsia"/>
                      <w:b/>
                      <w:sz w:val="21"/>
                      <w:szCs w:val="21"/>
                      <w:u w:val="single"/>
                    </w:rPr>
                    <w:t>5.48</w:t>
                  </w:r>
                  <w:r>
                    <w:rPr>
                      <w:b/>
                      <w:sz w:val="21"/>
                      <w:szCs w:val="21"/>
                      <w:u w:val="single"/>
                    </w:rPr>
                    <w:t>mg/m</w:t>
                  </w:r>
                  <w:r>
                    <w:rPr>
                      <w:b/>
                      <w:sz w:val="21"/>
                      <w:szCs w:val="21"/>
                      <w:u w:val="single"/>
                      <w:vertAlign w:val="superscript"/>
                    </w:rPr>
                    <w:t>3</w:t>
                  </w:r>
                </w:p>
              </w:tc>
              <w:tc>
                <w:tcPr>
                  <w:tcW w:w="937" w:type="dxa"/>
                  <w:vAlign w:val="center"/>
                </w:tcPr>
                <w:p>
                  <w:pPr>
                    <w:pStyle w:val="70"/>
                    <w:rPr>
                      <w:b/>
                      <w:sz w:val="21"/>
                      <w:szCs w:val="21"/>
                      <w:u w:val="single"/>
                    </w:rPr>
                  </w:pPr>
                  <w:r>
                    <w:rPr>
                      <w:rFonts w:hint="eastAsia"/>
                      <w:b/>
                      <w:sz w:val="21"/>
                      <w:szCs w:val="21"/>
                      <w:u w:val="single"/>
                    </w:rPr>
                    <w:t>20mg/m</w:t>
                  </w:r>
                  <w:r>
                    <w:rPr>
                      <w:rFonts w:hint="eastAsia"/>
                      <w:b/>
                      <w:sz w:val="21"/>
                      <w:szCs w:val="21"/>
                      <w:u w:val="single"/>
                      <w:vertAlign w:val="superscript"/>
                    </w:rPr>
                    <w:t>3</w:t>
                  </w:r>
                </w:p>
              </w:tc>
              <w:tc>
                <w:tcPr>
                  <w:tcW w:w="2444" w:type="dxa"/>
                  <w:vMerge w:val="restart"/>
                  <w:vAlign w:val="center"/>
                </w:tcPr>
                <w:p>
                  <w:pPr>
                    <w:pStyle w:val="70"/>
                    <w:rPr>
                      <w:b/>
                      <w:sz w:val="21"/>
                      <w:szCs w:val="21"/>
                      <w:u w:val="single"/>
                    </w:rPr>
                  </w:pPr>
                  <w:r>
                    <w:rPr>
                      <w:rFonts w:hint="eastAsia"/>
                      <w:b/>
                      <w:sz w:val="21"/>
                      <w:szCs w:val="21"/>
                      <w:u w:val="single"/>
                    </w:rPr>
                    <w:t>同时满足《合成树脂工业污染物排放标准》（GB31572-2015）表5大气污染物特别排放限值</w:t>
                  </w:r>
                </w:p>
              </w:tc>
              <w:tc>
                <w:tcPr>
                  <w:tcW w:w="493" w:type="dxa"/>
                  <w:vAlign w:val="center"/>
                </w:tcPr>
                <w:p>
                  <w:pPr>
                    <w:pStyle w:val="70"/>
                    <w:rPr>
                      <w:b/>
                      <w:sz w:val="21"/>
                      <w:szCs w:val="21"/>
                      <w:u w:val="single"/>
                    </w:rPr>
                  </w:pPr>
                  <w:r>
                    <w:rPr>
                      <w:rFonts w:hint="eastAsia"/>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93" w:type="dxa"/>
                  <w:vAlign w:val="center"/>
                </w:tcPr>
                <w:p>
                  <w:pPr>
                    <w:pStyle w:val="70"/>
                    <w:rPr>
                      <w:b/>
                      <w:sz w:val="21"/>
                      <w:szCs w:val="21"/>
                      <w:u w:val="single"/>
                    </w:rPr>
                  </w:pPr>
                  <w:r>
                    <w:rPr>
                      <w:rFonts w:hint="eastAsia"/>
                      <w:b/>
                      <w:sz w:val="21"/>
                      <w:szCs w:val="21"/>
                      <w:u w:val="single"/>
                    </w:rPr>
                    <w:t>DA002</w:t>
                  </w:r>
                </w:p>
              </w:tc>
              <w:tc>
                <w:tcPr>
                  <w:tcW w:w="738" w:type="dxa"/>
                  <w:vAlign w:val="center"/>
                </w:tcPr>
                <w:p>
                  <w:pPr>
                    <w:pStyle w:val="70"/>
                    <w:rPr>
                      <w:b/>
                      <w:sz w:val="21"/>
                      <w:szCs w:val="21"/>
                      <w:u w:val="single"/>
                    </w:rPr>
                  </w:pPr>
                  <w:r>
                    <w:rPr>
                      <w:rFonts w:hint="eastAsia"/>
                      <w:b/>
                      <w:sz w:val="21"/>
                      <w:szCs w:val="21"/>
                      <w:u w:val="single"/>
                    </w:rPr>
                    <w:t>加热挤出、覆膜废气</w:t>
                  </w:r>
                </w:p>
              </w:tc>
              <w:tc>
                <w:tcPr>
                  <w:tcW w:w="851" w:type="dxa"/>
                  <w:vAlign w:val="center"/>
                </w:tcPr>
                <w:p>
                  <w:pPr>
                    <w:pStyle w:val="70"/>
                    <w:rPr>
                      <w:b/>
                      <w:sz w:val="21"/>
                      <w:szCs w:val="21"/>
                      <w:u w:val="single"/>
                    </w:rPr>
                  </w:pPr>
                  <w:r>
                    <w:rPr>
                      <w:rFonts w:hint="eastAsia"/>
                      <w:b/>
                      <w:sz w:val="21"/>
                      <w:szCs w:val="21"/>
                      <w:u w:val="single"/>
                    </w:rPr>
                    <w:t>非甲烷总烃</w:t>
                  </w:r>
                </w:p>
              </w:tc>
              <w:tc>
                <w:tcPr>
                  <w:tcW w:w="1760" w:type="dxa"/>
                  <w:vAlign w:val="center"/>
                </w:tcPr>
                <w:p>
                  <w:pPr>
                    <w:pStyle w:val="68"/>
                    <w:rPr>
                      <w:b/>
                      <w:u w:val="single"/>
                    </w:rPr>
                  </w:pPr>
                  <w:r>
                    <w:rPr>
                      <w:b/>
                      <w:u w:val="single"/>
                    </w:rPr>
                    <w:t>排放量:0.</w:t>
                  </w:r>
                  <w:r>
                    <w:rPr>
                      <w:rFonts w:hint="eastAsia"/>
                      <w:b/>
                      <w:u w:val="single"/>
                    </w:rPr>
                    <w:t>0396</w:t>
                  </w:r>
                  <w:r>
                    <w:rPr>
                      <w:b/>
                      <w:u w:val="single"/>
                    </w:rPr>
                    <w:t>t/a</w:t>
                  </w:r>
                </w:p>
                <w:p>
                  <w:pPr>
                    <w:pStyle w:val="68"/>
                    <w:rPr>
                      <w:b/>
                      <w:u w:val="single"/>
                    </w:rPr>
                  </w:pPr>
                  <w:r>
                    <w:rPr>
                      <w:b/>
                      <w:u w:val="single"/>
                    </w:rPr>
                    <w:t>速率:0.0</w:t>
                  </w:r>
                  <w:r>
                    <w:rPr>
                      <w:rFonts w:hint="eastAsia"/>
                      <w:b/>
                      <w:u w:val="single"/>
                    </w:rPr>
                    <w:t>26</w:t>
                  </w:r>
                  <w:r>
                    <w:rPr>
                      <w:b/>
                      <w:u w:val="single"/>
                    </w:rPr>
                    <w:t>kg/h</w:t>
                  </w:r>
                </w:p>
                <w:p>
                  <w:pPr>
                    <w:pStyle w:val="70"/>
                    <w:rPr>
                      <w:b/>
                      <w:sz w:val="21"/>
                      <w:szCs w:val="21"/>
                      <w:u w:val="single"/>
                    </w:rPr>
                  </w:pPr>
                  <w:r>
                    <w:rPr>
                      <w:b/>
                      <w:u w:val="single"/>
                    </w:rPr>
                    <w:t>浓度:</w:t>
                  </w:r>
                  <w:r>
                    <w:rPr>
                      <w:rFonts w:hint="eastAsia"/>
                      <w:b/>
                      <w:u w:val="single"/>
                    </w:rPr>
                    <w:t>2.64</w:t>
                  </w:r>
                  <w:r>
                    <w:rPr>
                      <w:b/>
                      <w:u w:val="single"/>
                    </w:rPr>
                    <w:t>mg/m</w:t>
                  </w:r>
                  <w:r>
                    <w:rPr>
                      <w:b/>
                      <w:u w:val="single"/>
                      <w:vertAlign w:val="superscript"/>
                    </w:rPr>
                    <w:t>3</w:t>
                  </w:r>
                </w:p>
              </w:tc>
              <w:tc>
                <w:tcPr>
                  <w:tcW w:w="937" w:type="dxa"/>
                  <w:vAlign w:val="center"/>
                </w:tcPr>
                <w:p>
                  <w:pPr>
                    <w:pStyle w:val="70"/>
                    <w:rPr>
                      <w:b/>
                      <w:sz w:val="21"/>
                      <w:szCs w:val="21"/>
                      <w:u w:val="single"/>
                    </w:rPr>
                  </w:pPr>
                  <w:r>
                    <w:rPr>
                      <w:rFonts w:hint="eastAsia"/>
                      <w:b/>
                      <w:sz w:val="21"/>
                      <w:szCs w:val="21"/>
                      <w:u w:val="single"/>
                    </w:rPr>
                    <w:t>60</w:t>
                  </w:r>
                  <w:r>
                    <w:rPr>
                      <w:b/>
                      <w:sz w:val="21"/>
                      <w:szCs w:val="21"/>
                      <w:u w:val="single"/>
                    </w:rPr>
                    <w:t>mg/m</w:t>
                  </w:r>
                  <w:r>
                    <w:rPr>
                      <w:b/>
                      <w:sz w:val="21"/>
                      <w:szCs w:val="21"/>
                      <w:u w:val="single"/>
                      <w:vertAlign w:val="superscript"/>
                    </w:rPr>
                    <w:t>3</w:t>
                  </w:r>
                </w:p>
              </w:tc>
              <w:tc>
                <w:tcPr>
                  <w:tcW w:w="2444" w:type="dxa"/>
                  <w:vMerge w:val="continue"/>
                  <w:vAlign w:val="center"/>
                </w:tcPr>
                <w:p>
                  <w:pPr>
                    <w:pStyle w:val="70"/>
                    <w:rPr>
                      <w:b/>
                      <w:sz w:val="21"/>
                      <w:szCs w:val="21"/>
                      <w:highlight w:val="yellow"/>
                      <w:u w:val="single"/>
                    </w:rPr>
                  </w:pPr>
                </w:p>
              </w:tc>
              <w:tc>
                <w:tcPr>
                  <w:tcW w:w="493" w:type="dxa"/>
                  <w:vAlign w:val="center"/>
                </w:tcPr>
                <w:p>
                  <w:pPr>
                    <w:pStyle w:val="70"/>
                    <w:rPr>
                      <w:b/>
                      <w:sz w:val="21"/>
                      <w:szCs w:val="21"/>
                      <w:u w:val="single"/>
                    </w:rPr>
                  </w:pPr>
                  <w:r>
                    <w:rPr>
                      <w:rFonts w:hint="eastAsia"/>
                      <w:b/>
                      <w:sz w:val="21"/>
                      <w:szCs w:val="21"/>
                      <w:u w:val="single"/>
                    </w:rPr>
                    <w:t>达标</w:t>
                  </w:r>
                </w:p>
              </w:tc>
            </w:tr>
          </w:tbl>
          <w:p>
            <w:pPr>
              <w:pStyle w:val="51"/>
              <w:spacing w:line="400" w:lineRule="exact"/>
              <w:ind w:firstLine="480"/>
              <w:jc w:val="left"/>
              <w:rPr>
                <w:bCs/>
              </w:rPr>
            </w:pPr>
            <w:r>
              <w:rPr>
                <w:rFonts w:hint="eastAsia"/>
                <w:bCs/>
              </w:rPr>
              <w:t>表28                         废气污染源排放信息表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00"/>
              <w:gridCol w:w="621"/>
              <w:gridCol w:w="709"/>
              <w:gridCol w:w="850"/>
              <w:gridCol w:w="1763"/>
              <w:gridCol w:w="2491"/>
              <w:gridCol w:w="567"/>
              <w:gridCol w:w="567"/>
              <w:gridCol w:w="992"/>
              <w:gridCol w:w="1699"/>
              <w:gridCol w:w="853"/>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restart"/>
                  <w:tcBorders>
                    <w:top w:val="single" w:color="000000" w:sz="4" w:space="0"/>
                    <w:left w:val="single" w:color="000000" w:sz="4" w:space="0"/>
                    <w:right w:val="single" w:color="000000" w:sz="4" w:space="0"/>
                  </w:tcBorders>
                  <w:vAlign w:val="center"/>
                </w:tcPr>
                <w:p>
                  <w:pPr>
                    <w:spacing w:line="320" w:lineRule="exact"/>
                    <w:jc w:val="center"/>
                    <w:rPr>
                      <w:szCs w:val="21"/>
                    </w:rPr>
                  </w:pPr>
                  <w:r>
                    <w:rPr>
                      <w:rFonts w:hAnsi="宋体"/>
                      <w:szCs w:val="21"/>
                    </w:rPr>
                    <w:t>序号</w:t>
                  </w:r>
                </w:p>
              </w:tc>
              <w:tc>
                <w:tcPr>
                  <w:tcW w:w="621" w:type="dxa"/>
                  <w:vMerge w:val="restart"/>
                  <w:tcBorders>
                    <w:top w:val="single" w:color="000000" w:sz="4" w:space="0"/>
                    <w:left w:val="single" w:color="000000" w:sz="4" w:space="0"/>
                    <w:right w:val="single" w:color="000000" w:sz="4" w:space="0"/>
                  </w:tcBorders>
                  <w:vAlign w:val="center"/>
                </w:tcPr>
                <w:p>
                  <w:pPr>
                    <w:spacing w:line="320" w:lineRule="exact"/>
                    <w:jc w:val="center"/>
                    <w:rPr>
                      <w:szCs w:val="21"/>
                    </w:rPr>
                  </w:pPr>
                  <w:r>
                    <w:rPr>
                      <w:rFonts w:hAnsi="宋体"/>
                      <w:szCs w:val="21"/>
                    </w:rPr>
                    <w:t>产污环节</w:t>
                  </w:r>
                </w:p>
              </w:tc>
              <w:tc>
                <w:tcPr>
                  <w:tcW w:w="709" w:type="dxa"/>
                  <w:vMerge w:val="restart"/>
                  <w:tcBorders>
                    <w:top w:val="single" w:color="000000" w:sz="4" w:space="0"/>
                    <w:left w:val="single" w:color="000000" w:sz="4" w:space="0"/>
                    <w:right w:val="single" w:color="000000" w:sz="4" w:space="0"/>
                  </w:tcBorders>
                  <w:vAlign w:val="center"/>
                </w:tcPr>
                <w:p>
                  <w:pPr>
                    <w:spacing w:line="320" w:lineRule="exact"/>
                    <w:jc w:val="center"/>
                    <w:rPr>
                      <w:szCs w:val="21"/>
                    </w:rPr>
                  </w:pPr>
                  <w:r>
                    <w:rPr>
                      <w:rFonts w:hAnsi="宋体"/>
                      <w:szCs w:val="21"/>
                    </w:rPr>
                    <w:t>污染物种类</w:t>
                  </w:r>
                </w:p>
              </w:tc>
              <w:tc>
                <w:tcPr>
                  <w:tcW w:w="850" w:type="dxa"/>
                  <w:vMerge w:val="restart"/>
                  <w:tcBorders>
                    <w:top w:val="single" w:color="000000" w:sz="4" w:space="0"/>
                    <w:left w:val="single" w:color="000000" w:sz="4" w:space="0"/>
                    <w:right w:val="single" w:color="000000" w:sz="4" w:space="0"/>
                  </w:tcBorders>
                  <w:vAlign w:val="center"/>
                </w:tcPr>
                <w:p>
                  <w:pPr>
                    <w:spacing w:line="320" w:lineRule="exact"/>
                    <w:jc w:val="center"/>
                    <w:rPr>
                      <w:rFonts w:hAnsi="宋体"/>
                      <w:szCs w:val="21"/>
                    </w:rPr>
                  </w:pPr>
                  <w:r>
                    <w:rPr>
                      <w:rFonts w:hAnsi="宋体"/>
                      <w:szCs w:val="21"/>
                    </w:rPr>
                    <w:t>排放</w:t>
                  </w:r>
                </w:p>
                <w:p>
                  <w:pPr>
                    <w:spacing w:line="320" w:lineRule="exact"/>
                    <w:jc w:val="center"/>
                    <w:rPr>
                      <w:szCs w:val="21"/>
                    </w:rPr>
                  </w:pPr>
                  <w:r>
                    <w:rPr>
                      <w:rFonts w:hAnsi="宋体"/>
                      <w:szCs w:val="21"/>
                    </w:rPr>
                    <w:t>形式</w:t>
                  </w:r>
                </w:p>
              </w:tc>
              <w:tc>
                <w:tcPr>
                  <w:tcW w:w="1763" w:type="dxa"/>
                  <w:vMerge w:val="restart"/>
                  <w:tcBorders>
                    <w:top w:val="single" w:color="000000" w:sz="4" w:space="0"/>
                    <w:left w:val="single" w:color="000000" w:sz="4" w:space="0"/>
                    <w:right w:val="single" w:color="000000" w:sz="4" w:space="0"/>
                  </w:tcBorders>
                  <w:vAlign w:val="center"/>
                </w:tcPr>
                <w:p>
                  <w:pPr>
                    <w:spacing w:line="320" w:lineRule="exact"/>
                    <w:jc w:val="center"/>
                    <w:rPr>
                      <w:szCs w:val="21"/>
                    </w:rPr>
                  </w:pPr>
                  <w:r>
                    <w:rPr>
                      <w:rFonts w:hAnsi="宋体"/>
                      <w:szCs w:val="21"/>
                    </w:rPr>
                    <w:t>产生情况</w:t>
                  </w:r>
                </w:p>
              </w:tc>
              <w:tc>
                <w:tcPr>
                  <w:tcW w:w="4616"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Cs w:val="21"/>
                    </w:rPr>
                  </w:pPr>
                  <w:r>
                    <w:rPr>
                      <w:rFonts w:hAnsi="宋体"/>
                      <w:szCs w:val="21"/>
                    </w:rPr>
                    <w:t>治理设施</w:t>
                  </w:r>
                </w:p>
              </w:tc>
              <w:tc>
                <w:tcPr>
                  <w:tcW w:w="1699" w:type="dxa"/>
                  <w:vMerge w:val="restart"/>
                  <w:tcBorders>
                    <w:top w:val="single" w:color="000000" w:sz="4" w:space="0"/>
                    <w:left w:val="single" w:color="000000" w:sz="4" w:space="0"/>
                    <w:right w:val="single" w:color="000000" w:sz="4" w:space="0"/>
                  </w:tcBorders>
                  <w:vAlign w:val="center"/>
                </w:tcPr>
                <w:p>
                  <w:pPr>
                    <w:spacing w:line="320" w:lineRule="exact"/>
                    <w:jc w:val="center"/>
                    <w:rPr>
                      <w:szCs w:val="21"/>
                    </w:rPr>
                  </w:pPr>
                  <w:r>
                    <w:rPr>
                      <w:rFonts w:hAnsi="宋体"/>
                      <w:szCs w:val="21"/>
                    </w:rPr>
                    <w:t>排放情况</w:t>
                  </w:r>
                </w:p>
              </w:tc>
              <w:tc>
                <w:tcPr>
                  <w:tcW w:w="852" w:type="dxa"/>
                  <w:vMerge w:val="restart"/>
                  <w:tcBorders>
                    <w:top w:val="single" w:color="000000" w:sz="4" w:space="0"/>
                    <w:left w:val="single" w:color="000000" w:sz="4" w:space="0"/>
                    <w:right w:val="single" w:color="000000" w:sz="4" w:space="0"/>
                  </w:tcBorders>
                  <w:vAlign w:val="center"/>
                </w:tcPr>
                <w:p>
                  <w:pPr>
                    <w:spacing w:line="320" w:lineRule="exact"/>
                    <w:jc w:val="center"/>
                    <w:rPr>
                      <w:rFonts w:hAnsi="宋体"/>
                      <w:szCs w:val="21"/>
                    </w:rPr>
                  </w:pPr>
                  <w:r>
                    <w:rPr>
                      <w:rFonts w:hAnsi="宋体"/>
                      <w:szCs w:val="21"/>
                    </w:rPr>
                    <w:t>排放口</w:t>
                  </w:r>
                </w:p>
                <w:p>
                  <w:pPr>
                    <w:spacing w:line="320" w:lineRule="exact"/>
                    <w:jc w:val="center"/>
                    <w:rPr>
                      <w:szCs w:val="21"/>
                    </w:rPr>
                  </w:pPr>
                  <w:r>
                    <w:rPr>
                      <w:rFonts w:hAnsi="宋体"/>
                      <w:szCs w:val="21"/>
                    </w:rPr>
                    <w:t>编号</w:t>
                  </w:r>
                </w:p>
              </w:tc>
              <w:tc>
                <w:tcPr>
                  <w:tcW w:w="633" w:type="dxa"/>
                  <w:vMerge w:val="restart"/>
                  <w:tcBorders>
                    <w:top w:val="single" w:color="000000" w:sz="4" w:space="0"/>
                    <w:left w:val="single" w:color="000000" w:sz="4" w:space="0"/>
                    <w:right w:val="single" w:color="000000" w:sz="6" w:space="0"/>
                  </w:tcBorders>
                  <w:vAlign w:val="center"/>
                </w:tcPr>
                <w:p>
                  <w:pPr>
                    <w:spacing w:line="320" w:lineRule="exact"/>
                    <w:jc w:val="center"/>
                    <w:rPr>
                      <w:szCs w:val="21"/>
                    </w:rPr>
                  </w:pPr>
                  <w:r>
                    <w:rPr>
                      <w:rFonts w:hAnsi="宋体"/>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hAnsi="宋体"/>
                      <w:szCs w:val="21"/>
                    </w:rPr>
                  </w:pPr>
                </w:p>
              </w:tc>
              <w:tc>
                <w:tcPr>
                  <w:tcW w:w="621"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hAnsi="宋体"/>
                      <w:szCs w:val="21"/>
                    </w:rPr>
                  </w:pPr>
                </w:p>
              </w:tc>
              <w:tc>
                <w:tcPr>
                  <w:tcW w:w="709"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hAnsi="宋体"/>
                      <w:szCs w:val="21"/>
                    </w:rPr>
                  </w:pPr>
                </w:p>
              </w:tc>
              <w:tc>
                <w:tcPr>
                  <w:tcW w:w="850"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hAnsi="宋体"/>
                      <w:szCs w:val="21"/>
                    </w:rPr>
                  </w:pPr>
                </w:p>
              </w:tc>
              <w:tc>
                <w:tcPr>
                  <w:tcW w:w="1763"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hAnsi="宋体"/>
                      <w:szCs w:val="21"/>
                    </w:rPr>
                  </w:pPr>
                </w:p>
              </w:tc>
              <w:tc>
                <w:tcPr>
                  <w:tcW w:w="24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Cs w:val="21"/>
                    </w:rPr>
                  </w:pPr>
                  <w:r>
                    <w:rPr>
                      <w:rFonts w:hAnsi="宋体"/>
                      <w:szCs w:val="21"/>
                    </w:rPr>
                    <w:t>具体措施</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Cs w:val="21"/>
                    </w:rPr>
                  </w:pPr>
                  <w:r>
                    <w:rPr>
                      <w:rFonts w:hAnsi="宋体"/>
                      <w:szCs w:val="21"/>
                    </w:rPr>
                    <w:t>收集效率</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Cs w:val="21"/>
                    </w:rPr>
                  </w:pPr>
                  <w:r>
                    <w:rPr>
                      <w:rFonts w:hAnsi="宋体"/>
                      <w:szCs w:val="21"/>
                    </w:rPr>
                    <w:t>去除效率</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Cs w:val="21"/>
                    </w:rPr>
                  </w:pPr>
                  <w:r>
                    <w:rPr>
                      <w:rFonts w:hAnsi="宋体"/>
                      <w:szCs w:val="21"/>
                    </w:rPr>
                    <w:t>是否为可行技术</w:t>
                  </w:r>
                </w:p>
              </w:tc>
              <w:tc>
                <w:tcPr>
                  <w:tcW w:w="1699"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hAnsi="宋体"/>
                      <w:szCs w:val="21"/>
                    </w:rPr>
                  </w:pPr>
                </w:p>
              </w:tc>
              <w:tc>
                <w:tcPr>
                  <w:tcW w:w="852"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hAnsi="宋体"/>
                      <w:szCs w:val="21"/>
                    </w:rPr>
                  </w:pPr>
                </w:p>
              </w:tc>
              <w:tc>
                <w:tcPr>
                  <w:tcW w:w="633" w:type="dxa"/>
                  <w:vMerge w:val="continue"/>
                  <w:tcBorders>
                    <w:left w:val="single" w:color="000000" w:sz="4" w:space="0"/>
                    <w:bottom w:val="single" w:color="000000" w:sz="4" w:space="0"/>
                    <w:right w:val="single" w:color="000000" w:sz="6" w:space="0"/>
                  </w:tcBorders>
                  <w:vAlign w:val="center"/>
                </w:tcPr>
                <w:p>
                  <w:pPr>
                    <w:spacing w:line="32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0" w:type="dxa"/>
                  <w:tcBorders>
                    <w:left w:val="single" w:color="000000" w:sz="4" w:space="0"/>
                    <w:bottom w:val="single" w:color="000000" w:sz="4" w:space="0"/>
                    <w:right w:val="single" w:color="000000" w:sz="4" w:space="0"/>
                  </w:tcBorders>
                  <w:vAlign w:val="center"/>
                </w:tcPr>
                <w:p>
                  <w:pPr>
                    <w:spacing w:line="320" w:lineRule="exact"/>
                    <w:jc w:val="center"/>
                    <w:rPr>
                      <w:rFonts w:hAnsi="宋体"/>
                      <w:szCs w:val="21"/>
                    </w:rPr>
                  </w:pPr>
                  <w:r>
                    <w:rPr>
                      <w:rFonts w:hint="eastAsia" w:hAnsi="宋体"/>
                      <w:szCs w:val="21"/>
                    </w:rPr>
                    <w:t>1</w:t>
                  </w:r>
                </w:p>
              </w:tc>
              <w:tc>
                <w:tcPr>
                  <w:tcW w:w="621" w:type="dxa"/>
                  <w:tcBorders>
                    <w:left w:val="single" w:color="000000" w:sz="4" w:space="0"/>
                    <w:bottom w:val="single" w:color="000000" w:sz="4" w:space="0"/>
                    <w:right w:val="single" w:color="000000" w:sz="4" w:space="0"/>
                  </w:tcBorders>
                  <w:vAlign w:val="center"/>
                </w:tcPr>
                <w:p>
                  <w:pPr>
                    <w:spacing w:line="320" w:lineRule="exact"/>
                    <w:jc w:val="center"/>
                    <w:rPr>
                      <w:rFonts w:hAnsi="宋体"/>
                      <w:szCs w:val="21"/>
                    </w:rPr>
                  </w:pPr>
                  <w:r>
                    <w:rPr>
                      <w:rFonts w:hint="eastAsia" w:hAnsi="宋体"/>
                      <w:szCs w:val="21"/>
                    </w:rPr>
                    <w:t>搅拌</w:t>
                  </w:r>
                </w:p>
              </w:tc>
              <w:tc>
                <w:tcPr>
                  <w:tcW w:w="709" w:type="dxa"/>
                  <w:tcBorders>
                    <w:left w:val="single" w:color="000000" w:sz="4" w:space="0"/>
                    <w:bottom w:val="single" w:color="000000" w:sz="4" w:space="0"/>
                    <w:right w:val="single" w:color="000000" w:sz="4" w:space="0"/>
                  </w:tcBorders>
                  <w:vAlign w:val="center"/>
                </w:tcPr>
                <w:p>
                  <w:pPr>
                    <w:spacing w:line="320" w:lineRule="exact"/>
                    <w:jc w:val="center"/>
                    <w:rPr>
                      <w:rFonts w:hAnsi="宋体"/>
                      <w:szCs w:val="21"/>
                    </w:rPr>
                  </w:pPr>
                  <w:r>
                    <w:rPr>
                      <w:rFonts w:hint="eastAsia"/>
                      <w:b/>
                      <w:szCs w:val="21"/>
                      <w:u w:val="single"/>
                    </w:rPr>
                    <w:t>颗粒物</w:t>
                  </w:r>
                </w:p>
              </w:tc>
              <w:tc>
                <w:tcPr>
                  <w:tcW w:w="850" w:type="dxa"/>
                  <w:tcBorders>
                    <w:left w:val="single" w:color="000000" w:sz="4" w:space="0"/>
                    <w:bottom w:val="single" w:color="000000" w:sz="4" w:space="0"/>
                    <w:right w:val="single" w:color="000000" w:sz="4" w:space="0"/>
                  </w:tcBorders>
                  <w:vAlign w:val="center"/>
                </w:tcPr>
                <w:p>
                  <w:pPr>
                    <w:spacing w:line="320" w:lineRule="exact"/>
                    <w:jc w:val="center"/>
                    <w:rPr>
                      <w:rFonts w:hAnsi="宋体"/>
                      <w:szCs w:val="21"/>
                    </w:rPr>
                  </w:pPr>
                  <w:r>
                    <w:rPr>
                      <w:rFonts w:hAnsi="宋体"/>
                      <w:szCs w:val="21"/>
                    </w:rPr>
                    <w:t>有组织</w:t>
                  </w:r>
                </w:p>
              </w:tc>
              <w:tc>
                <w:tcPr>
                  <w:tcW w:w="1763" w:type="dxa"/>
                  <w:tcBorders>
                    <w:left w:val="single" w:color="000000" w:sz="4" w:space="0"/>
                    <w:bottom w:val="single" w:color="000000" w:sz="4" w:space="0"/>
                    <w:right w:val="single" w:color="000000" w:sz="4" w:space="0"/>
                  </w:tcBorders>
                  <w:vAlign w:val="center"/>
                </w:tcPr>
                <w:p>
                  <w:pPr>
                    <w:pStyle w:val="62"/>
                    <w:jc w:val="both"/>
                    <w:rPr>
                      <w:b/>
                      <w:sz w:val="21"/>
                      <w:szCs w:val="21"/>
                      <w:u w:val="single"/>
                    </w:rPr>
                  </w:pPr>
                  <w:r>
                    <w:rPr>
                      <w:rFonts w:hint="eastAsia"/>
                      <w:b/>
                      <w:sz w:val="21"/>
                      <w:szCs w:val="21"/>
                      <w:u w:val="single"/>
                    </w:rPr>
                    <w:t>产生量</w:t>
                  </w:r>
                  <w:r>
                    <w:rPr>
                      <w:b/>
                      <w:sz w:val="21"/>
                      <w:szCs w:val="21"/>
                      <w:u w:val="single"/>
                    </w:rPr>
                    <w:t>:</w:t>
                  </w:r>
                  <w:r>
                    <w:rPr>
                      <w:rFonts w:hint="eastAsia"/>
                      <w:b/>
                      <w:sz w:val="21"/>
                      <w:szCs w:val="21"/>
                      <w:u w:val="single"/>
                    </w:rPr>
                    <w:t>0.1643</w:t>
                  </w:r>
                  <w:r>
                    <w:rPr>
                      <w:b/>
                      <w:sz w:val="21"/>
                      <w:szCs w:val="21"/>
                      <w:u w:val="single"/>
                    </w:rPr>
                    <w:t>t/a</w:t>
                  </w:r>
                </w:p>
                <w:p>
                  <w:pPr>
                    <w:pStyle w:val="62"/>
                    <w:jc w:val="both"/>
                    <w:rPr>
                      <w:b/>
                      <w:sz w:val="21"/>
                      <w:szCs w:val="21"/>
                      <w:u w:val="single"/>
                    </w:rPr>
                  </w:pPr>
                  <w:r>
                    <w:rPr>
                      <w:rFonts w:hint="eastAsia"/>
                      <w:b/>
                      <w:sz w:val="21"/>
                      <w:szCs w:val="21"/>
                      <w:u w:val="single"/>
                    </w:rPr>
                    <w:t>速率:0.5477</w:t>
                  </w:r>
                  <w:r>
                    <w:rPr>
                      <w:b/>
                      <w:sz w:val="21"/>
                      <w:szCs w:val="21"/>
                      <w:u w:val="single"/>
                    </w:rPr>
                    <w:t>kg/h</w:t>
                  </w:r>
                </w:p>
                <w:p>
                  <w:pPr>
                    <w:spacing w:line="320" w:lineRule="exact"/>
                    <w:jc w:val="center"/>
                    <w:rPr>
                      <w:rFonts w:hAnsi="宋体"/>
                      <w:szCs w:val="21"/>
                    </w:rPr>
                  </w:pPr>
                  <w:r>
                    <w:rPr>
                      <w:rFonts w:hint="eastAsia"/>
                      <w:b/>
                      <w:szCs w:val="21"/>
                      <w:u w:val="single"/>
                    </w:rPr>
                    <w:t>浓度</w:t>
                  </w:r>
                  <w:r>
                    <w:rPr>
                      <w:b/>
                      <w:szCs w:val="21"/>
                      <w:u w:val="single"/>
                    </w:rPr>
                    <w:t>:</w:t>
                  </w:r>
                  <w:r>
                    <w:rPr>
                      <w:rFonts w:hint="eastAsia"/>
                      <w:b/>
                      <w:szCs w:val="21"/>
                      <w:u w:val="single"/>
                    </w:rPr>
                    <w:t>109.53</w:t>
                  </w:r>
                  <w:r>
                    <w:rPr>
                      <w:b/>
                      <w:szCs w:val="21"/>
                      <w:u w:val="single"/>
                    </w:rPr>
                    <w:t>mg/m</w:t>
                  </w:r>
                  <w:r>
                    <w:rPr>
                      <w:b/>
                      <w:szCs w:val="21"/>
                      <w:u w:val="single"/>
                      <w:vertAlign w:val="superscript"/>
                    </w:rPr>
                    <w:t>3</w:t>
                  </w:r>
                </w:p>
              </w:tc>
              <w:tc>
                <w:tcPr>
                  <w:tcW w:w="2490" w:type="dxa"/>
                  <w:tcBorders>
                    <w:top w:val="single" w:color="000000" w:sz="4" w:space="0"/>
                    <w:left w:val="single" w:color="000000" w:sz="4" w:space="0"/>
                    <w:bottom w:val="single" w:color="000000" w:sz="4" w:space="0"/>
                    <w:right w:val="single" w:color="000000" w:sz="4" w:space="0"/>
                  </w:tcBorders>
                  <w:vAlign w:val="center"/>
                </w:tcPr>
                <w:p>
                  <w:pPr>
                    <w:pStyle w:val="62"/>
                    <w:jc w:val="left"/>
                    <w:rPr>
                      <w:rFonts w:hAnsi="宋体"/>
                      <w:sz w:val="21"/>
                      <w:szCs w:val="21"/>
                    </w:rPr>
                  </w:pPr>
                  <w:r>
                    <w:rPr>
                      <w:rFonts w:hint="eastAsia"/>
                      <w:b/>
                      <w:sz w:val="21"/>
                      <w:szCs w:val="21"/>
                      <w:u w:val="single"/>
                    </w:rPr>
                    <w:t>袋式除尘器+15m高排气筒排放，风量为5000m</w:t>
                  </w:r>
                  <w:r>
                    <w:rPr>
                      <w:rFonts w:hint="eastAsia"/>
                      <w:b/>
                      <w:sz w:val="21"/>
                      <w:szCs w:val="21"/>
                      <w:u w:val="single"/>
                      <w:vertAlign w:val="superscript"/>
                    </w:rPr>
                    <w:t>3</w:t>
                  </w:r>
                  <w:r>
                    <w:rPr>
                      <w:rFonts w:hint="eastAsia"/>
                      <w:b/>
                      <w:sz w:val="21"/>
                      <w:szCs w:val="21"/>
                      <w:u w:val="single"/>
                    </w:rPr>
                    <w:t>/h</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Ansi="宋体"/>
                      <w:szCs w:val="21"/>
                    </w:rPr>
                  </w:pPr>
                  <w:r>
                    <w:rPr>
                      <w:rFonts w:hint="eastAsia" w:hAnsi="宋体"/>
                      <w:szCs w:val="21"/>
                    </w:rPr>
                    <w:t>100%</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Ansi="宋体"/>
                      <w:szCs w:val="21"/>
                    </w:rPr>
                  </w:pPr>
                  <w:r>
                    <w:rPr>
                      <w:rFonts w:hint="eastAsia" w:hAnsi="宋体"/>
                      <w:szCs w:val="21"/>
                    </w:rPr>
                    <w:t>95%</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Ansi="宋体"/>
                      <w:szCs w:val="21"/>
                    </w:rPr>
                  </w:pPr>
                  <w:r>
                    <w:rPr>
                      <w:rFonts w:hAnsi="宋体"/>
                      <w:szCs w:val="21"/>
                    </w:rPr>
                    <w:t>是</w:t>
                  </w:r>
                </w:p>
              </w:tc>
              <w:tc>
                <w:tcPr>
                  <w:tcW w:w="1699" w:type="dxa"/>
                  <w:tcBorders>
                    <w:left w:val="single" w:color="000000" w:sz="4" w:space="0"/>
                    <w:bottom w:val="single" w:color="000000" w:sz="4" w:space="0"/>
                    <w:right w:val="single" w:color="000000" w:sz="4" w:space="0"/>
                  </w:tcBorders>
                  <w:vAlign w:val="center"/>
                </w:tcPr>
                <w:p>
                  <w:pPr>
                    <w:pStyle w:val="62"/>
                    <w:jc w:val="left"/>
                    <w:rPr>
                      <w:b/>
                      <w:sz w:val="21"/>
                      <w:szCs w:val="21"/>
                      <w:u w:val="single"/>
                    </w:rPr>
                  </w:pPr>
                  <w:r>
                    <w:rPr>
                      <w:rFonts w:hint="eastAsia"/>
                      <w:b/>
                      <w:sz w:val="21"/>
                      <w:szCs w:val="21"/>
                      <w:u w:val="single"/>
                    </w:rPr>
                    <w:t>排放量</w:t>
                  </w:r>
                  <w:r>
                    <w:rPr>
                      <w:b/>
                      <w:sz w:val="21"/>
                      <w:szCs w:val="21"/>
                      <w:u w:val="single"/>
                    </w:rPr>
                    <w:t>:</w:t>
                  </w:r>
                  <w:r>
                    <w:rPr>
                      <w:rFonts w:hint="eastAsia"/>
                      <w:b/>
                      <w:sz w:val="21"/>
                      <w:szCs w:val="21"/>
                      <w:u w:val="single"/>
                    </w:rPr>
                    <w:t>0.0082</w:t>
                  </w:r>
                  <w:r>
                    <w:rPr>
                      <w:b/>
                      <w:sz w:val="21"/>
                      <w:szCs w:val="21"/>
                      <w:u w:val="single"/>
                    </w:rPr>
                    <w:t>t/a</w:t>
                  </w:r>
                </w:p>
                <w:p>
                  <w:pPr>
                    <w:pStyle w:val="62"/>
                    <w:jc w:val="left"/>
                    <w:rPr>
                      <w:b/>
                      <w:sz w:val="21"/>
                      <w:szCs w:val="21"/>
                      <w:u w:val="single"/>
                    </w:rPr>
                  </w:pPr>
                  <w:r>
                    <w:rPr>
                      <w:rFonts w:hint="eastAsia"/>
                      <w:b/>
                      <w:sz w:val="21"/>
                      <w:szCs w:val="21"/>
                      <w:u w:val="single"/>
                    </w:rPr>
                    <w:t>速率</w:t>
                  </w:r>
                  <w:r>
                    <w:rPr>
                      <w:b/>
                      <w:sz w:val="21"/>
                      <w:szCs w:val="21"/>
                      <w:u w:val="single"/>
                    </w:rPr>
                    <w:t>:</w:t>
                  </w:r>
                  <w:r>
                    <w:rPr>
                      <w:rFonts w:hint="eastAsia"/>
                      <w:b/>
                      <w:sz w:val="21"/>
                      <w:szCs w:val="21"/>
                      <w:u w:val="single"/>
                    </w:rPr>
                    <w:t>0.0274</w:t>
                  </w:r>
                  <w:r>
                    <w:rPr>
                      <w:b/>
                      <w:sz w:val="21"/>
                      <w:szCs w:val="21"/>
                      <w:u w:val="single"/>
                    </w:rPr>
                    <w:t>kg/h</w:t>
                  </w:r>
                </w:p>
                <w:p>
                  <w:pPr>
                    <w:spacing w:line="320" w:lineRule="exact"/>
                    <w:jc w:val="left"/>
                    <w:rPr>
                      <w:rFonts w:hAnsi="宋体"/>
                      <w:szCs w:val="21"/>
                    </w:rPr>
                  </w:pPr>
                  <w:r>
                    <w:rPr>
                      <w:rFonts w:hint="eastAsia"/>
                      <w:b/>
                      <w:szCs w:val="21"/>
                      <w:u w:val="single"/>
                    </w:rPr>
                    <w:t>浓度</w:t>
                  </w:r>
                  <w:r>
                    <w:rPr>
                      <w:b/>
                      <w:szCs w:val="21"/>
                      <w:u w:val="single"/>
                    </w:rPr>
                    <w:t>:</w:t>
                  </w:r>
                  <w:r>
                    <w:rPr>
                      <w:rFonts w:hint="eastAsia"/>
                      <w:b/>
                      <w:szCs w:val="21"/>
                      <w:u w:val="single"/>
                    </w:rPr>
                    <w:t>5.48</w:t>
                  </w:r>
                  <w:r>
                    <w:rPr>
                      <w:b/>
                      <w:szCs w:val="21"/>
                      <w:u w:val="single"/>
                    </w:rPr>
                    <w:t>mg/m</w:t>
                  </w:r>
                  <w:r>
                    <w:rPr>
                      <w:b/>
                      <w:szCs w:val="21"/>
                      <w:u w:val="single"/>
                      <w:vertAlign w:val="superscript"/>
                    </w:rPr>
                    <w:t>3</w:t>
                  </w:r>
                </w:p>
              </w:tc>
              <w:tc>
                <w:tcPr>
                  <w:tcW w:w="852" w:type="dxa"/>
                  <w:tcBorders>
                    <w:left w:val="single" w:color="000000" w:sz="4" w:space="0"/>
                    <w:bottom w:val="single" w:color="000000" w:sz="4" w:space="0"/>
                    <w:right w:val="single" w:color="000000" w:sz="4" w:space="0"/>
                  </w:tcBorders>
                  <w:vAlign w:val="center"/>
                </w:tcPr>
                <w:p>
                  <w:pPr>
                    <w:spacing w:line="320" w:lineRule="exact"/>
                    <w:jc w:val="center"/>
                    <w:rPr>
                      <w:szCs w:val="21"/>
                    </w:rPr>
                  </w:pPr>
                  <w:r>
                    <w:rPr>
                      <w:rFonts w:hint="eastAsia"/>
                      <w:szCs w:val="21"/>
                    </w:rPr>
                    <w:t>DA001</w:t>
                  </w:r>
                </w:p>
              </w:tc>
              <w:tc>
                <w:tcPr>
                  <w:tcW w:w="633" w:type="dxa"/>
                  <w:tcBorders>
                    <w:left w:val="single" w:color="000000" w:sz="4" w:space="0"/>
                    <w:bottom w:val="single" w:color="000000" w:sz="4" w:space="0"/>
                    <w:right w:val="single" w:color="000000" w:sz="6" w:space="0"/>
                  </w:tcBorders>
                  <w:vAlign w:val="center"/>
                </w:tcPr>
                <w:p>
                  <w:pPr>
                    <w:spacing w:line="320" w:lineRule="exact"/>
                    <w:jc w:val="center"/>
                    <w:rPr>
                      <w:szCs w:val="21"/>
                    </w:rPr>
                  </w:pPr>
                  <w:r>
                    <w:rPr>
                      <w:rFonts w:hAnsi="宋体"/>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0" w:type="dxa"/>
                  <w:vMerge w:val="restart"/>
                  <w:tcBorders>
                    <w:left w:val="single" w:color="000000" w:sz="4" w:space="0"/>
                    <w:right w:val="single" w:color="000000" w:sz="4" w:space="0"/>
                  </w:tcBorders>
                  <w:vAlign w:val="center"/>
                </w:tcPr>
                <w:p>
                  <w:pPr>
                    <w:spacing w:line="320" w:lineRule="exact"/>
                    <w:jc w:val="center"/>
                    <w:rPr>
                      <w:szCs w:val="21"/>
                    </w:rPr>
                  </w:pPr>
                  <w:r>
                    <w:rPr>
                      <w:rFonts w:hint="eastAsia"/>
                      <w:szCs w:val="21"/>
                    </w:rPr>
                    <w:t>2</w:t>
                  </w:r>
                </w:p>
              </w:tc>
              <w:tc>
                <w:tcPr>
                  <w:tcW w:w="621" w:type="dxa"/>
                  <w:vMerge w:val="restart"/>
                  <w:tcBorders>
                    <w:left w:val="single" w:color="000000" w:sz="4" w:space="0"/>
                    <w:right w:val="single" w:color="000000" w:sz="4" w:space="0"/>
                  </w:tcBorders>
                  <w:vAlign w:val="center"/>
                </w:tcPr>
                <w:p>
                  <w:pPr>
                    <w:spacing w:line="320" w:lineRule="exact"/>
                    <w:jc w:val="center"/>
                    <w:rPr>
                      <w:szCs w:val="21"/>
                    </w:rPr>
                  </w:pPr>
                  <w:r>
                    <w:rPr>
                      <w:rFonts w:hint="eastAsia"/>
                      <w:szCs w:val="21"/>
                    </w:rPr>
                    <w:t>加热挤出覆膜</w:t>
                  </w:r>
                </w:p>
              </w:tc>
              <w:tc>
                <w:tcPr>
                  <w:tcW w:w="709" w:type="dxa"/>
                  <w:vMerge w:val="restart"/>
                  <w:tcBorders>
                    <w:left w:val="single" w:color="000000" w:sz="4" w:space="0"/>
                    <w:right w:val="single" w:color="000000" w:sz="4" w:space="0"/>
                  </w:tcBorders>
                  <w:vAlign w:val="center"/>
                </w:tcPr>
                <w:p>
                  <w:pPr>
                    <w:spacing w:line="320" w:lineRule="exact"/>
                    <w:jc w:val="center"/>
                    <w:rPr>
                      <w:szCs w:val="21"/>
                    </w:rPr>
                  </w:pPr>
                  <w:r>
                    <w:rPr>
                      <w:rFonts w:hint="eastAsia"/>
                      <w:szCs w:val="21"/>
                    </w:rPr>
                    <w:t>非甲烷总烃</w:t>
                  </w:r>
                </w:p>
              </w:tc>
              <w:tc>
                <w:tcPr>
                  <w:tcW w:w="850" w:type="dxa"/>
                  <w:tcBorders>
                    <w:left w:val="single" w:color="000000" w:sz="4" w:space="0"/>
                    <w:right w:val="single" w:color="000000" w:sz="4" w:space="0"/>
                  </w:tcBorders>
                  <w:vAlign w:val="center"/>
                </w:tcPr>
                <w:p>
                  <w:pPr>
                    <w:widowControl/>
                    <w:spacing w:line="320" w:lineRule="exact"/>
                    <w:jc w:val="center"/>
                    <w:rPr>
                      <w:szCs w:val="21"/>
                    </w:rPr>
                  </w:pPr>
                  <w:r>
                    <w:rPr>
                      <w:rFonts w:hAnsi="宋体"/>
                      <w:szCs w:val="21"/>
                    </w:rPr>
                    <w:t>有组织</w:t>
                  </w:r>
                </w:p>
              </w:tc>
              <w:tc>
                <w:tcPr>
                  <w:tcW w:w="1763" w:type="dxa"/>
                  <w:tcBorders>
                    <w:left w:val="single" w:color="000000" w:sz="4" w:space="0"/>
                    <w:bottom w:val="single" w:color="000000" w:sz="4" w:space="0"/>
                    <w:right w:val="single" w:color="000000" w:sz="4" w:space="0"/>
                  </w:tcBorders>
                  <w:vAlign w:val="center"/>
                </w:tcPr>
                <w:p>
                  <w:pPr>
                    <w:pStyle w:val="68"/>
                    <w:rPr>
                      <w:szCs w:val="21"/>
                    </w:rPr>
                  </w:pPr>
                  <w:r>
                    <w:rPr>
                      <w:szCs w:val="21"/>
                    </w:rPr>
                    <w:t>产生量:0.</w:t>
                  </w:r>
                  <w:r>
                    <w:rPr>
                      <w:rFonts w:hint="eastAsia"/>
                      <w:szCs w:val="21"/>
                    </w:rPr>
                    <w:t>198</w:t>
                  </w:r>
                  <w:r>
                    <w:rPr>
                      <w:szCs w:val="21"/>
                    </w:rPr>
                    <w:t>t/a</w:t>
                  </w:r>
                </w:p>
                <w:p>
                  <w:pPr>
                    <w:pStyle w:val="68"/>
                    <w:rPr>
                      <w:szCs w:val="21"/>
                    </w:rPr>
                  </w:pPr>
                  <w:r>
                    <w:rPr>
                      <w:szCs w:val="21"/>
                    </w:rPr>
                    <w:t>速率:0.</w:t>
                  </w:r>
                  <w:r>
                    <w:rPr>
                      <w:rFonts w:hint="eastAsia"/>
                      <w:szCs w:val="21"/>
                    </w:rPr>
                    <w:t>132</w:t>
                  </w:r>
                  <w:r>
                    <w:rPr>
                      <w:szCs w:val="21"/>
                    </w:rPr>
                    <w:t>kg/h</w:t>
                  </w:r>
                </w:p>
                <w:p>
                  <w:pPr>
                    <w:pStyle w:val="68"/>
                    <w:spacing w:line="320" w:lineRule="exact"/>
                    <w:rPr>
                      <w:szCs w:val="21"/>
                    </w:rPr>
                  </w:pPr>
                  <w:r>
                    <w:rPr>
                      <w:szCs w:val="21"/>
                    </w:rPr>
                    <w:t>浓度:</w:t>
                  </w:r>
                  <w:r>
                    <w:rPr>
                      <w:rFonts w:hint="eastAsia"/>
                      <w:szCs w:val="21"/>
                    </w:rPr>
                    <w:t>13.2</w:t>
                  </w:r>
                  <w:r>
                    <w:rPr>
                      <w:szCs w:val="21"/>
                    </w:rPr>
                    <w:t>mg/m</w:t>
                  </w:r>
                  <w:r>
                    <w:rPr>
                      <w:szCs w:val="21"/>
                      <w:vertAlign w:val="superscript"/>
                    </w:rPr>
                    <w:t>3</w:t>
                  </w:r>
                </w:p>
              </w:tc>
              <w:tc>
                <w:tcPr>
                  <w:tcW w:w="2490" w:type="dxa"/>
                  <w:tcBorders>
                    <w:top w:val="single" w:color="000000" w:sz="4" w:space="0"/>
                    <w:left w:val="single" w:color="000000" w:sz="4" w:space="0"/>
                    <w:right w:val="single" w:color="000000" w:sz="4" w:space="0"/>
                  </w:tcBorders>
                  <w:vAlign w:val="center"/>
                </w:tcPr>
                <w:p>
                  <w:pPr>
                    <w:pStyle w:val="68"/>
                    <w:spacing w:line="320" w:lineRule="exact"/>
                    <w:rPr>
                      <w:szCs w:val="21"/>
                    </w:rPr>
                  </w:pPr>
                  <w:r>
                    <w:rPr>
                      <w:rFonts w:hint="eastAsia"/>
                      <w:szCs w:val="21"/>
                    </w:rPr>
                    <w:t>有机废气经收集后经UV光氧+活性炭吸附装置处理后通过15m 高排气筒排放，</w:t>
                  </w:r>
                  <w:r>
                    <w:rPr>
                      <w:szCs w:val="21"/>
                    </w:rPr>
                    <w:t>风量</w:t>
                  </w:r>
                  <w:r>
                    <w:rPr>
                      <w:rFonts w:hint="eastAsia"/>
                      <w:szCs w:val="21"/>
                    </w:rPr>
                    <w:t>10000</w:t>
                  </w:r>
                  <w:r>
                    <w:rPr>
                      <w:szCs w:val="21"/>
                    </w:rPr>
                    <w:t>m</w:t>
                  </w:r>
                  <w:r>
                    <w:rPr>
                      <w:szCs w:val="21"/>
                      <w:vertAlign w:val="superscript"/>
                    </w:rPr>
                    <w:t>3</w:t>
                  </w:r>
                  <w:r>
                    <w:rPr>
                      <w:szCs w:val="21"/>
                    </w:rPr>
                    <w:t>/h</w:t>
                  </w:r>
                </w:p>
              </w:tc>
              <w:tc>
                <w:tcPr>
                  <w:tcW w:w="567" w:type="dxa"/>
                  <w:tcBorders>
                    <w:top w:val="single" w:color="000000" w:sz="4" w:space="0"/>
                    <w:left w:val="single" w:color="000000" w:sz="4" w:space="0"/>
                    <w:right w:val="single" w:color="000000" w:sz="4" w:space="0"/>
                  </w:tcBorders>
                  <w:vAlign w:val="center"/>
                </w:tcPr>
                <w:p>
                  <w:pPr>
                    <w:spacing w:line="320" w:lineRule="exact"/>
                    <w:jc w:val="center"/>
                    <w:rPr>
                      <w:szCs w:val="21"/>
                    </w:rPr>
                  </w:pPr>
                  <w:r>
                    <w:rPr>
                      <w:szCs w:val="21"/>
                    </w:rPr>
                    <w:t>95%</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Cs w:val="21"/>
                    </w:rPr>
                  </w:pPr>
                  <w:r>
                    <w:rPr>
                      <w:rFonts w:hint="eastAsia"/>
                      <w:szCs w:val="21"/>
                    </w:rPr>
                    <w:t>80</w:t>
                  </w:r>
                  <w:r>
                    <w:rPr>
                      <w:szCs w:val="21"/>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Cs w:val="21"/>
                    </w:rPr>
                  </w:pPr>
                  <w:r>
                    <w:rPr>
                      <w:rFonts w:hAnsi="宋体"/>
                      <w:szCs w:val="21"/>
                    </w:rPr>
                    <w:t>是</w:t>
                  </w:r>
                </w:p>
              </w:tc>
              <w:tc>
                <w:tcPr>
                  <w:tcW w:w="1699" w:type="dxa"/>
                  <w:tcBorders>
                    <w:left w:val="single" w:color="000000" w:sz="4" w:space="0"/>
                    <w:bottom w:val="single" w:color="000000" w:sz="4" w:space="0"/>
                    <w:right w:val="single" w:color="000000" w:sz="4" w:space="0"/>
                  </w:tcBorders>
                  <w:vAlign w:val="center"/>
                </w:tcPr>
                <w:p>
                  <w:pPr>
                    <w:pStyle w:val="68"/>
                    <w:rPr>
                      <w:szCs w:val="21"/>
                    </w:rPr>
                  </w:pPr>
                  <w:r>
                    <w:rPr>
                      <w:szCs w:val="21"/>
                    </w:rPr>
                    <w:t>排放量:0.</w:t>
                  </w:r>
                  <w:r>
                    <w:rPr>
                      <w:rFonts w:hint="eastAsia"/>
                      <w:szCs w:val="21"/>
                    </w:rPr>
                    <w:t>0396</w:t>
                  </w:r>
                  <w:r>
                    <w:rPr>
                      <w:szCs w:val="21"/>
                    </w:rPr>
                    <w:t>t/a</w:t>
                  </w:r>
                </w:p>
                <w:p>
                  <w:pPr>
                    <w:pStyle w:val="68"/>
                    <w:rPr>
                      <w:szCs w:val="21"/>
                    </w:rPr>
                  </w:pPr>
                  <w:r>
                    <w:rPr>
                      <w:szCs w:val="21"/>
                    </w:rPr>
                    <w:t>速率:0.0</w:t>
                  </w:r>
                  <w:r>
                    <w:rPr>
                      <w:rFonts w:hint="eastAsia"/>
                      <w:szCs w:val="21"/>
                    </w:rPr>
                    <w:t>26</w:t>
                  </w:r>
                  <w:r>
                    <w:rPr>
                      <w:szCs w:val="21"/>
                    </w:rPr>
                    <w:t>kg/h</w:t>
                  </w:r>
                </w:p>
                <w:p>
                  <w:pPr>
                    <w:pStyle w:val="68"/>
                    <w:spacing w:line="320" w:lineRule="exact"/>
                    <w:rPr>
                      <w:szCs w:val="21"/>
                    </w:rPr>
                  </w:pPr>
                  <w:r>
                    <w:rPr>
                      <w:szCs w:val="21"/>
                    </w:rPr>
                    <w:t>浓度:</w:t>
                  </w:r>
                  <w:r>
                    <w:rPr>
                      <w:rFonts w:hint="eastAsia"/>
                      <w:szCs w:val="21"/>
                    </w:rPr>
                    <w:t>2.64</w:t>
                  </w:r>
                  <w:r>
                    <w:rPr>
                      <w:szCs w:val="21"/>
                    </w:rPr>
                    <w:t>mg/m</w:t>
                  </w:r>
                  <w:r>
                    <w:rPr>
                      <w:szCs w:val="21"/>
                      <w:vertAlign w:val="superscript"/>
                    </w:rPr>
                    <w:t>3</w:t>
                  </w:r>
                </w:p>
              </w:tc>
              <w:tc>
                <w:tcPr>
                  <w:tcW w:w="852" w:type="dxa"/>
                  <w:tcBorders>
                    <w:left w:val="single" w:color="000000" w:sz="4" w:space="0"/>
                    <w:right w:val="single" w:color="000000" w:sz="4" w:space="0"/>
                  </w:tcBorders>
                  <w:vAlign w:val="center"/>
                </w:tcPr>
                <w:p>
                  <w:pPr>
                    <w:spacing w:line="320" w:lineRule="exact"/>
                    <w:jc w:val="center"/>
                    <w:rPr>
                      <w:szCs w:val="21"/>
                    </w:rPr>
                  </w:pPr>
                  <w:r>
                    <w:rPr>
                      <w:rFonts w:hint="eastAsia"/>
                      <w:szCs w:val="21"/>
                    </w:rPr>
                    <w:t>DA002</w:t>
                  </w:r>
                </w:p>
              </w:tc>
              <w:tc>
                <w:tcPr>
                  <w:tcW w:w="633" w:type="dxa"/>
                  <w:tcBorders>
                    <w:left w:val="single" w:color="000000" w:sz="4" w:space="0"/>
                    <w:right w:val="single" w:color="000000" w:sz="6" w:space="0"/>
                  </w:tcBorders>
                  <w:vAlign w:val="center"/>
                </w:tcPr>
                <w:p>
                  <w:pPr>
                    <w:spacing w:line="320" w:lineRule="exact"/>
                    <w:jc w:val="center"/>
                    <w:rPr>
                      <w:szCs w:val="21"/>
                    </w:rPr>
                  </w:pPr>
                  <w:r>
                    <w:rPr>
                      <w:rFonts w:hAnsi="宋体"/>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0" w:type="dxa"/>
                  <w:vMerge w:val="continue"/>
                  <w:tcBorders>
                    <w:left w:val="single" w:color="000000" w:sz="4" w:space="0"/>
                    <w:right w:val="single" w:color="000000" w:sz="4" w:space="0"/>
                  </w:tcBorders>
                  <w:vAlign w:val="center"/>
                </w:tcPr>
                <w:p>
                  <w:pPr>
                    <w:spacing w:line="320" w:lineRule="exact"/>
                    <w:jc w:val="center"/>
                    <w:rPr>
                      <w:rFonts w:hAnsi="宋体"/>
                      <w:szCs w:val="21"/>
                    </w:rPr>
                  </w:pPr>
                </w:p>
              </w:tc>
              <w:tc>
                <w:tcPr>
                  <w:tcW w:w="621" w:type="dxa"/>
                  <w:vMerge w:val="continue"/>
                  <w:tcBorders>
                    <w:left w:val="single" w:color="000000" w:sz="4" w:space="0"/>
                    <w:right w:val="single" w:color="000000" w:sz="4" w:space="0"/>
                  </w:tcBorders>
                  <w:vAlign w:val="center"/>
                </w:tcPr>
                <w:p>
                  <w:pPr>
                    <w:spacing w:line="320" w:lineRule="exact"/>
                    <w:jc w:val="center"/>
                    <w:rPr>
                      <w:rFonts w:hAnsi="宋体"/>
                      <w:szCs w:val="21"/>
                    </w:rPr>
                  </w:pPr>
                </w:p>
              </w:tc>
              <w:tc>
                <w:tcPr>
                  <w:tcW w:w="709" w:type="dxa"/>
                  <w:vMerge w:val="continue"/>
                  <w:tcBorders>
                    <w:left w:val="single" w:color="000000" w:sz="4" w:space="0"/>
                    <w:right w:val="single" w:color="000000" w:sz="4" w:space="0"/>
                  </w:tcBorders>
                  <w:vAlign w:val="center"/>
                </w:tcPr>
                <w:p>
                  <w:pPr>
                    <w:pStyle w:val="68"/>
                    <w:spacing w:line="320" w:lineRule="exact"/>
                    <w:rPr>
                      <w:szCs w:val="21"/>
                    </w:rPr>
                  </w:pPr>
                </w:p>
              </w:tc>
              <w:tc>
                <w:tcPr>
                  <w:tcW w:w="850" w:type="dxa"/>
                  <w:tcBorders>
                    <w:left w:val="single" w:color="000000" w:sz="4" w:space="0"/>
                    <w:right w:val="single" w:color="000000" w:sz="4" w:space="0"/>
                  </w:tcBorders>
                  <w:vAlign w:val="center"/>
                </w:tcPr>
                <w:p>
                  <w:pPr>
                    <w:spacing w:line="320" w:lineRule="exact"/>
                    <w:jc w:val="center"/>
                    <w:rPr>
                      <w:rFonts w:hAnsi="宋体"/>
                      <w:szCs w:val="21"/>
                    </w:rPr>
                  </w:pPr>
                  <w:r>
                    <w:rPr>
                      <w:rFonts w:hAnsi="宋体"/>
                      <w:szCs w:val="21"/>
                    </w:rPr>
                    <w:t>无组织</w:t>
                  </w:r>
                </w:p>
              </w:tc>
              <w:tc>
                <w:tcPr>
                  <w:tcW w:w="1763" w:type="dxa"/>
                  <w:tcBorders>
                    <w:left w:val="single" w:color="000000" w:sz="4" w:space="0"/>
                    <w:right w:val="single" w:color="000000" w:sz="4" w:space="0"/>
                  </w:tcBorders>
                  <w:vAlign w:val="center"/>
                </w:tcPr>
                <w:p>
                  <w:pPr>
                    <w:pStyle w:val="68"/>
                    <w:spacing w:line="320" w:lineRule="exact"/>
                    <w:rPr>
                      <w:szCs w:val="21"/>
                    </w:rPr>
                  </w:pPr>
                  <w:r>
                    <w:rPr>
                      <w:szCs w:val="21"/>
                    </w:rPr>
                    <w:t>产生量:0.</w:t>
                  </w:r>
                  <w:r>
                    <w:rPr>
                      <w:rFonts w:hint="eastAsia"/>
                      <w:szCs w:val="21"/>
                    </w:rPr>
                    <w:t>022</w:t>
                  </w:r>
                  <w:r>
                    <w:rPr>
                      <w:szCs w:val="21"/>
                    </w:rPr>
                    <w:t>t/a</w:t>
                  </w:r>
                </w:p>
              </w:tc>
              <w:tc>
                <w:tcPr>
                  <w:tcW w:w="24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Ansi="宋体"/>
                      <w:szCs w:val="21"/>
                    </w:rPr>
                  </w:pPr>
                  <w:r>
                    <w:rPr>
                      <w:rFonts w:hint="eastAsia"/>
                      <w:szCs w:val="21"/>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Ansi="宋体"/>
                      <w:szCs w:val="21"/>
                    </w:rPr>
                  </w:pPr>
                  <w:r>
                    <w:rPr>
                      <w:rFonts w:hint="eastAsia"/>
                      <w:szCs w:val="21"/>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Ansi="宋体"/>
                      <w:szCs w:val="21"/>
                    </w:rPr>
                  </w:pPr>
                  <w:r>
                    <w:rPr>
                      <w:rFonts w:hint="eastAsia"/>
                      <w:b/>
                      <w:szCs w:val="21"/>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Ansi="宋体"/>
                      <w:szCs w:val="21"/>
                    </w:rPr>
                  </w:pPr>
                  <w:r>
                    <w:rPr>
                      <w:rFonts w:hint="eastAsia"/>
                      <w:szCs w:val="21"/>
                    </w:rPr>
                    <w:t>/</w:t>
                  </w:r>
                </w:p>
              </w:tc>
              <w:tc>
                <w:tcPr>
                  <w:tcW w:w="1699" w:type="dxa"/>
                  <w:tcBorders>
                    <w:left w:val="single" w:color="000000" w:sz="4" w:space="0"/>
                    <w:right w:val="single" w:color="000000" w:sz="4" w:space="0"/>
                  </w:tcBorders>
                  <w:vAlign w:val="center"/>
                </w:tcPr>
                <w:p>
                  <w:pPr>
                    <w:pStyle w:val="68"/>
                    <w:spacing w:line="320" w:lineRule="exact"/>
                    <w:rPr>
                      <w:szCs w:val="21"/>
                    </w:rPr>
                  </w:pPr>
                  <w:r>
                    <w:rPr>
                      <w:szCs w:val="21"/>
                    </w:rPr>
                    <w:t>排放量:</w:t>
                  </w:r>
                  <w:r>
                    <w:rPr>
                      <w:rFonts w:hint="eastAsia"/>
                      <w:szCs w:val="21"/>
                    </w:rPr>
                    <w:t>0.022t/a</w:t>
                  </w:r>
                </w:p>
              </w:tc>
              <w:tc>
                <w:tcPr>
                  <w:tcW w:w="1485" w:type="dxa"/>
                  <w:gridSpan w:val="2"/>
                  <w:tcBorders>
                    <w:left w:val="single" w:color="000000" w:sz="4" w:space="0"/>
                    <w:right w:val="single" w:color="000000" w:sz="6" w:space="0"/>
                  </w:tcBorders>
                  <w:vAlign w:val="center"/>
                </w:tcPr>
                <w:p>
                  <w:pPr>
                    <w:spacing w:line="320" w:lineRule="exact"/>
                    <w:jc w:val="center"/>
                    <w:rPr>
                      <w:rFonts w:hAnsi="宋体"/>
                      <w:szCs w:val="21"/>
                    </w:rPr>
                  </w:pPr>
                  <w:r>
                    <w:rPr>
                      <w:rFonts w:hint="eastAsia" w:hAnsi="宋体"/>
                      <w:szCs w:val="21"/>
                    </w:rPr>
                    <w:t>/</w:t>
                  </w:r>
                </w:p>
              </w:tc>
            </w:tr>
          </w:tbl>
          <w:p>
            <w:pPr>
              <w:pStyle w:val="51"/>
              <w:spacing w:line="400" w:lineRule="exact"/>
              <w:ind w:firstLine="480"/>
              <w:jc w:val="left"/>
              <w:rPr>
                <w:bCs/>
              </w:rPr>
            </w:pPr>
          </w:p>
          <w:p>
            <w:pPr>
              <w:pStyle w:val="51"/>
              <w:spacing w:line="400" w:lineRule="exact"/>
              <w:ind w:firstLine="480"/>
              <w:jc w:val="left"/>
              <w:rPr>
                <w:bCs/>
              </w:rPr>
            </w:pPr>
          </w:p>
          <w:p>
            <w:pPr>
              <w:pStyle w:val="51"/>
              <w:spacing w:line="400" w:lineRule="exact"/>
              <w:ind w:firstLine="480"/>
              <w:jc w:val="left"/>
              <w:rPr>
                <w:bCs/>
              </w:rPr>
            </w:pPr>
          </w:p>
          <w:p>
            <w:pPr>
              <w:pStyle w:val="51"/>
              <w:spacing w:line="400" w:lineRule="exact"/>
              <w:ind w:firstLine="480"/>
              <w:jc w:val="left"/>
              <w:rPr>
                <w:bCs/>
              </w:rPr>
            </w:pPr>
            <w:r>
              <w:rPr>
                <w:rFonts w:hint="eastAsia"/>
                <w:bCs/>
              </w:rPr>
              <w:t>表29                             排放口基本情况表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850"/>
              <w:gridCol w:w="2835"/>
              <w:gridCol w:w="1278"/>
              <w:gridCol w:w="1521"/>
              <w:gridCol w:w="1319"/>
              <w:gridCol w:w="960"/>
              <w:gridCol w:w="1101"/>
              <w:gridCol w:w="96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Merge w:val="restart"/>
                  <w:vAlign w:val="center"/>
                </w:tcPr>
                <w:p>
                  <w:pPr>
                    <w:pStyle w:val="51"/>
                    <w:spacing w:line="320" w:lineRule="exact"/>
                    <w:ind w:firstLine="0" w:firstLineChars="0"/>
                    <w:jc w:val="center"/>
                    <w:rPr>
                      <w:bCs/>
                      <w:sz w:val="21"/>
                      <w:szCs w:val="21"/>
                    </w:rPr>
                  </w:pPr>
                  <w:r>
                    <w:rPr>
                      <w:bCs/>
                      <w:sz w:val="21"/>
                      <w:szCs w:val="21"/>
                    </w:rPr>
                    <w:t>序号</w:t>
                  </w:r>
                </w:p>
              </w:tc>
              <w:tc>
                <w:tcPr>
                  <w:tcW w:w="350" w:type="pct"/>
                  <w:vMerge w:val="restart"/>
                  <w:vAlign w:val="center"/>
                </w:tcPr>
                <w:p>
                  <w:pPr>
                    <w:pStyle w:val="51"/>
                    <w:spacing w:line="320" w:lineRule="exact"/>
                    <w:ind w:firstLine="0" w:firstLineChars="0"/>
                    <w:jc w:val="center"/>
                    <w:rPr>
                      <w:bCs/>
                      <w:sz w:val="21"/>
                      <w:szCs w:val="21"/>
                    </w:rPr>
                  </w:pPr>
                  <w:r>
                    <w:rPr>
                      <w:bCs/>
                      <w:sz w:val="21"/>
                      <w:szCs w:val="21"/>
                    </w:rPr>
                    <w:t>排放口编号</w:t>
                  </w:r>
                </w:p>
              </w:tc>
              <w:tc>
                <w:tcPr>
                  <w:tcW w:w="1167" w:type="pct"/>
                  <w:vMerge w:val="restart"/>
                  <w:vAlign w:val="center"/>
                </w:tcPr>
                <w:p>
                  <w:pPr>
                    <w:pStyle w:val="51"/>
                    <w:spacing w:line="320" w:lineRule="exact"/>
                    <w:ind w:firstLine="0" w:firstLineChars="0"/>
                    <w:jc w:val="center"/>
                    <w:rPr>
                      <w:bCs/>
                      <w:sz w:val="21"/>
                      <w:szCs w:val="21"/>
                    </w:rPr>
                  </w:pPr>
                  <w:r>
                    <w:rPr>
                      <w:bCs/>
                      <w:sz w:val="21"/>
                      <w:szCs w:val="21"/>
                    </w:rPr>
                    <w:t>名称</w:t>
                  </w:r>
                </w:p>
              </w:tc>
              <w:tc>
                <w:tcPr>
                  <w:tcW w:w="526" w:type="pct"/>
                  <w:vMerge w:val="restart"/>
                  <w:vAlign w:val="center"/>
                </w:tcPr>
                <w:p>
                  <w:pPr>
                    <w:pStyle w:val="51"/>
                    <w:spacing w:line="320" w:lineRule="exact"/>
                    <w:ind w:firstLine="0" w:firstLineChars="0"/>
                    <w:jc w:val="center"/>
                    <w:rPr>
                      <w:bCs/>
                      <w:sz w:val="21"/>
                      <w:szCs w:val="21"/>
                    </w:rPr>
                  </w:pPr>
                  <w:r>
                    <w:rPr>
                      <w:bCs/>
                      <w:sz w:val="21"/>
                      <w:szCs w:val="21"/>
                    </w:rPr>
                    <w:t>污染物</w:t>
                  </w:r>
                </w:p>
              </w:tc>
              <w:tc>
                <w:tcPr>
                  <w:tcW w:w="1169" w:type="pct"/>
                  <w:gridSpan w:val="2"/>
                  <w:vAlign w:val="center"/>
                </w:tcPr>
                <w:p>
                  <w:pPr>
                    <w:pStyle w:val="51"/>
                    <w:spacing w:line="320" w:lineRule="exact"/>
                    <w:ind w:firstLine="0" w:firstLineChars="0"/>
                    <w:jc w:val="center"/>
                    <w:rPr>
                      <w:bCs/>
                      <w:sz w:val="21"/>
                      <w:szCs w:val="21"/>
                    </w:rPr>
                  </w:pPr>
                  <w:r>
                    <w:rPr>
                      <w:bCs/>
                      <w:sz w:val="21"/>
                      <w:szCs w:val="21"/>
                    </w:rPr>
                    <w:t>坐标</w:t>
                  </w:r>
                </w:p>
              </w:tc>
              <w:tc>
                <w:tcPr>
                  <w:tcW w:w="395" w:type="pct"/>
                  <w:vMerge w:val="restart"/>
                  <w:vAlign w:val="center"/>
                </w:tcPr>
                <w:p>
                  <w:pPr>
                    <w:pStyle w:val="62"/>
                    <w:spacing w:line="320" w:lineRule="exact"/>
                    <w:rPr>
                      <w:bCs/>
                      <w:sz w:val="21"/>
                      <w:szCs w:val="21"/>
                    </w:rPr>
                  </w:pPr>
                  <w:r>
                    <w:rPr>
                      <w:bCs/>
                      <w:sz w:val="21"/>
                      <w:szCs w:val="21"/>
                    </w:rPr>
                    <w:t>排气筒高度/m</w:t>
                  </w:r>
                </w:p>
              </w:tc>
              <w:tc>
                <w:tcPr>
                  <w:tcW w:w="453" w:type="pct"/>
                  <w:vMerge w:val="restart"/>
                  <w:vAlign w:val="center"/>
                </w:tcPr>
                <w:p>
                  <w:pPr>
                    <w:pStyle w:val="62"/>
                    <w:spacing w:line="320" w:lineRule="exact"/>
                    <w:rPr>
                      <w:bCs/>
                      <w:sz w:val="21"/>
                      <w:szCs w:val="21"/>
                    </w:rPr>
                  </w:pPr>
                  <w:r>
                    <w:rPr>
                      <w:bCs/>
                      <w:sz w:val="21"/>
                      <w:szCs w:val="21"/>
                    </w:rPr>
                    <w:t>排气筒出口内径/m</w:t>
                  </w:r>
                </w:p>
              </w:tc>
              <w:tc>
                <w:tcPr>
                  <w:tcW w:w="395" w:type="pct"/>
                  <w:vMerge w:val="restart"/>
                  <w:vAlign w:val="center"/>
                </w:tcPr>
                <w:p>
                  <w:pPr>
                    <w:pStyle w:val="62"/>
                    <w:spacing w:line="320" w:lineRule="exact"/>
                    <w:rPr>
                      <w:bCs/>
                      <w:sz w:val="21"/>
                      <w:szCs w:val="21"/>
                    </w:rPr>
                  </w:pPr>
                  <w:r>
                    <w:rPr>
                      <w:bCs/>
                      <w:sz w:val="21"/>
                      <w:szCs w:val="21"/>
                    </w:rPr>
                    <w:t>烟气流速（m/s）</w:t>
                  </w:r>
                </w:p>
              </w:tc>
              <w:tc>
                <w:tcPr>
                  <w:tcW w:w="357" w:type="pct"/>
                  <w:vMerge w:val="restart"/>
                  <w:vAlign w:val="center"/>
                </w:tcPr>
                <w:p>
                  <w:pPr>
                    <w:pStyle w:val="62"/>
                    <w:spacing w:line="320" w:lineRule="exact"/>
                    <w:rPr>
                      <w:bCs/>
                      <w:sz w:val="21"/>
                      <w:szCs w:val="21"/>
                    </w:rPr>
                  </w:pPr>
                  <w:r>
                    <w:rPr>
                      <w:bCs/>
                      <w:sz w:val="21"/>
                      <w:szCs w:val="21"/>
                    </w:rPr>
                    <w:t>烟气温度/℃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Merge w:val="continue"/>
                  <w:vAlign w:val="center"/>
                </w:tcPr>
                <w:p>
                  <w:pPr>
                    <w:pStyle w:val="51"/>
                    <w:spacing w:line="320" w:lineRule="exact"/>
                    <w:ind w:firstLine="0" w:firstLineChars="0"/>
                    <w:jc w:val="center"/>
                    <w:rPr>
                      <w:bCs/>
                      <w:sz w:val="21"/>
                      <w:szCs w:val="21"/>
                    </w:rPr>
                  </w:pPr>
                </w:p>
              </w:tc>
              <w:tc>
                <w:tcPr>
                  <w:tcW w:w="350" w:type="pct"/>
                  <w:vMerge w:val="continue"/>
                  <w:vAlign w:val="center"/>
                </w:tcPr>
                <w:p>
                  <w:pPr>
                    <w:pStyle w:val="51"/>
                    <w:spacing w:line="320" w:lineRule="exact"/>
                    <w:ind w:firstLine="0" w:firstLineChars="0"/>
                    <w:jc w:val="center"/>
                    <w:rPr>
                      <w:bCs/>
                      <w:sz w:val="21"/>
                      <w:szCs w:val="21"/>
                    </w:rPr>
                  </w:pPr>
                </w:p>
              </w:tc>
              <w:tc>
                <w:tcPr>
                  <w:tcW w:w="1167" w:type="pct"/>
                  <w:vMerge w:val="continue"/>
                  <w:vAlign w:val="center"/>
                </w:tcPr>
                <w:p>
                  <w:pPr>
                    <w:pStyle w:val="51"/>
                    <w:spacing w:line="320" w:lineRule="exact"/>
                    <w:ind w:firstLine="0" w:firstLineChars="0"/>
                    <w:jc w:val="center"/>
                    <w:rPr>
                      <w:bCs/>
                      <w:sz w:val="21"/>
                      <w:szCs w:val="21"/>
                    </w:rPr>
                  </w:pPr>
                </w:p>
              </w:tc>
              <w:tc>
                <w:tcPr>
                  <w:tcW w:w="526" w:type="pct"/>
                  <w:vMerge w:val="continue"/>
                  <w:vAlign w:val="center"/>
                </w:tcPr>
                <w:p>
                  <w:pPr>
                    <w:pStyle w:val="51"/>
                    <w:spacing w:line="320" w:lineRule="exact"/>
                    <w:ind w:firstLine="0" w:firstLineChars="0"/>
                    <w:jc w:val="center"/>
                    <w:rPr>
                      <w:bCs/>
                      <w:sz w:val="21"/>
                      <w:szCs w:val="21"/>
                    </w:rPr>
                  </w:pPr>
                </w:p>
              </w:tc>
              <w:tc>
                <w:tcPr>
                  <w:tcW w:w="626" w:type="pct"/>
                  <w:vAlign w:val="center"/>
                </w:tcPr>
                <w:p>
                  <w:pPr>
                    <w:pStyle w:val="51"/>
                    <w:spacing w:line="320" w:lineRule="exact"/>
                    <w:ind w:firstLine="0" w:firstLineChars="0"/>
                    <w:jc w:val="center"/>
                    <w:rPr>
                      <w:bCs/>
                      <w:sz w:val="21"/>
                      <w:szCs w:val="21"/>
                    </w:rPr>
                  </w:pPr>
                  <w:r>
                    <w:rPr>
                      <w:bCs/>
                      <w:sz w:val="21"/>
                      <w:szCs w:val="21"/>
                    </w:rPr>
                    <w:t>经度</w:t>
                  </w:r>
                </w:p>
              </w:tc>
              <w:tc>
                <w:tcPr>
                  <w:tcW w:w="543" w:type="pct"/>
                  <w:vAlign w:val="center"/>
                </w:tcPr>
                <w:p>
                  <w:pPr>
                    <w:pStyle w:val="51"/>
                    <w:spacing w:line="320" w:lineRule="exact"/>
                    <w:ind w:firstLine="0" w:firstLineChars="0"/>
                    <w:jc w:val="center"/>
                    <w:rPr>
                      <w:bCs/>
                      <w:sz w:val="21"/>
                      <w:szCs w:val="21"/>
                    </w:rPr>
                  </w:pPr>
                  <w:r>
                    <w:rPr>
                      <w:bCs/>
                      <w:sz w:val="21"/>
                      <w:szCs w:val="21"/>
                    </w:rPr>
                    <w:t>纬度</w:t>
                  </w:r>
                </w:p>
              </w:tc>
              <w:tc>
                <w:tcPr>
                  <w:tcW w:w="395" w:type="pct"/>
                  <w:vMerge w:val="continue"/>
                  <w:vAlign w:val="center"/>
                </w:tcPr>
                <w:p>
                  <w:pPr>
                    <w:pStyle w:val="51"/>
                    <w:spacing w:line="320" w:lineRule="exact"/>
                    <w:ind w:firstLine="0" w:firstLineChars="0"/>
                    <w:jc w:val="center"/>
                    <w:rPr>
                      <w:bCs/>
                      <w:sz w:val="21"/>
                      <w:szCs w:val="21"/>
                    </w:rPr>
                  </w:pPr>
                </w:p>
              </w:tc>
              <w:tc>
                <w:tcPr>
                  <w:tcW w:w="453" w:type="pct"/>
                  <w:vMerge w:val="continue"/>
                  <w:vAlign w:val="center"/>
                </w:tcPr>
                <w:p>
                  <w:pPr>
                    <w:pStyle w:val="51"/>
                    <w:spacing w:line="320" w:lineRule="exact"/>
                    <w:ind w:firstLine="0" w:firstLineChars="0"/>
                    <w:jc w:val="center"/>
                    <w:rPr>
                      <w:bCs/>
                      <w:sz w:val="21"/>
                      <w:szCs w:val="21"/>
                    </w:rPr>
                  </w:pPr>
                </w:p>
              </w:tc>
              <w:tc>
                <w:tcPr>
                  <w:tcW w:w="395" w:type="pct"/>
                  <w:vMerge w:val="continue"/>
                  <w:vAlign w:val="center"/>
                </w:tcPr>
                <w:p>
                  <w:pPr>
                    <w:pStyle w:val="51"/>
                    <w:spacing w:line="320" w:lineRule="exact"/>
                    <w:ind w:firstLine="0" w:firstLineChars="0"/>
                    <w:jc w:val="center"/>
                    <w:rPr>
                      <w:bCs/>
                      <w:sz w:val="21"/>
                      <w:szCs w:val="21"/>
                    </w:rPr>
                  </w:pPr>
                </w:p>
              </w:tc>
              <w:tc>
                <w:tcPr>
                  <w:tcW w:w="357" w:type="pct"/>
                  <w:vMerge w:val="continue"/>
                  <w:vAlign w:val="center"/>
                </w:tcPr>
                <w:p>
                  <w:pPr>
                    <w:pStyle w:val="51"/>
                    <w:spacing w:line="320" w:lineRule="exact"/>
                    <w:ind w:firstLine="0" w:firstLineChars="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Align w:val="center"/>
                </w:tcPr>
                <w:p>
                  <w:pPr>
                    <w:pStyle w:val="51"/>
                    <w:spacing w:line="320" w:lineRule="exact"/>
                    <w:ind w:firstLine="0" w:firstLineChars="0"/>
                    <w:jc w:val="center"/>
                    <w:rPr>
                      <w:bCs/>
                      <w:sz w:val="21"/>
                      <w:szCs w:val="21"/>
                    </w:rPr>
                  </w:pPr>
                  <w:r>
                    <w:rPr>
                      <w:rFonts w:hint="eastAsia"/>
                      <w:bCs/>
                      <w:sz w:val="21"/>
                      <w:szCs w:val="21"/>
                    </w:rPr>
                    <w:t>1</w:t>
                  </w:r>
                </w:p>
              </w:tc>
              <w:tc>
                <w:tcPr>
                  <w:tcW w:w="350" w:type="pct"/>
                  <w:vAlign w:val="center"/>
                </w:tcPr>
                <w:p>
                  <w:pPr>
                    <w:pStyle w:val="51"/>
                    <w:spacing w:line="320" w:lineRule="exact"/>
                    <w:ind w:firstLine="0" w:firstLineChars="0"/>
                    <w:jc w:val="center"/>
                    <w:rPr>
                      <w:bCs/>
                      <w:sz w:val="21"/>
                      <w:szCs w:val="21"/>
                    </w:rPr>
                  </w:pPr>
                  <w:r>
                    <w:rPr>
                      <w:rFonts w:hint="eastAsia"/>
                      <w:bCs/>
                      <w:sz w:val="21"/>
                      <w:szCs w:val="21"/>
                    </w:rPr>
                    <w:t>DA001</w:t>
                  </w:r>
                </w:p>
              </w:tc>
              <w:tc>
                <w:tcPr>
                  <w:tcW w:w="1167" w:type="pct"/>
                  <w:vAlign w:val="center"/>
                </w:tcPr>
                <w:p>
                  <w:pPr>
                    <w:pStyle w:val="70"/>
                    <w:rPr>
                      <w:b/>
                      <w:sz w:val="21"/>
                      <w:szCs w:val="21"/>
                      <w:u w:val="single"/>
                    </w:rPr>
                  </w:pPr>
                  <w:r>
                    <w:rPr>
                      <w:rFonts w:hint="eastAsia"/>
                      <w:b/>
                      <w:sz w:val="21"/>
                      <w:szCs w:val="21"/>
                      <w:u w:val="single"/>
                    </w:rPr>
                    <w:t>搅拌粉尘</w:t>
                  </w:r>
                </w:p>
              </w:tc>
              <w:tc>
                <w:tcPr>
                  <w:tcW w:w="526" w:type="pct"/>
                  <w:vAlign w:val="center"/>
                </w:tcPr>
                <w:p>
                  <w:pPr>
                    <w:pStyle w:val="51"/>
                    <w:spacing w:line="320" w:lineRule="exact"/>
                    <w:ind w:firstLine="0" w:firstLineChars="0"/>
                    <w:jc w:val="center"/>
                    <w:rPr>
                      <w:sz w:val="21"/>
                      <w:szCs w:val="21"/>
                    </w:rPr>
                  </w:pPr>
                  <w:r>
                    <w:rPr>
                      <w:rFonts w:hint="eastAsia"/>
                      <w:b/>
                      <w:sz w:val="21"/>
                      <w:szCs w:val="21"/>
                      <w:u w:val="single"/>
                    </w:rPr>
                    <w:t>颗粒物</w:t>
                  </w:r>
                </w:p>
              </w:tc>
              <w:tc>
                <w:tcPr>
                  <w:tcW w:w="626" w:type="pct"/>
                  <w:vAlign w:val="center"/>
                </w:tcPr>
                <w:p>
                  <w:pPr>
                    <w:pStyle w:val="51"/>
                    <w:spacing w:line="320" w:lineRule="exact"/>
                    <w:ind w:firstLine="0" w:firstLineChars="0"/>
                    <w:jc w:val="center"/>
                    <w:rPr>
                      <w:sz w:val="21"/>
                      <w:szCs w:val="21"/>
                      <w:highlight w:val="yellow"/>
                    </w:rPr>
                  </w:pPr>
                  <w:r>
                    <w:rPr>
                      <w:sz w:val="21"/>
                      <w:szCs w:val="21"/>
                    </w:rPr>
                    <w:t>112.72227932</w:t>
                  </w:r>
                </w:p>
              </w:tc>
              <w:tc>
                <w:tcPr>
                  <w:tcW w:w="543" w:type="pct"/>
                  <w:vAlign w:val="center"/>
                </w:tcPr>
                <w:p>
                  <w:pPr>
                    <w:pStyle w:val="51"/>
                    <w:spacing w:line="320" w:lineRule="exact"/>
                    <w:ind w:firstLine="0" w:firstLineChars="0"/>
                    <w:jc w:val="center"/>
                    <w:rPr>
                      <w:sz w:val="21"/>
                      <w:szCs w:val="21"/>
                      <w:highlight w:val="yellow"/>
                    </w:rPr>
                  </w:pPr>
                  <w:r>
                    <w:rPr>
                      <w:sz w:val="21"/>
                      <w:szCs w:val="21"/>
                    </w:rPr>
                    <w:t>34.68959426</w:t>
                  </w:r>
                </w:p>
              </w:tc>
              <w:tc>
                <w:tcPr>
                  <w:tcW w:w="395" w:type="pct"/>
                  <w:vAlign w:val="center"/>
                </w:tcPr>
                <w:p>
                  <w:pPr>
                    <w:pStyle w:val="62"/>
                    <w:spacing w:line="320" w:lineRule="exact"/>
                    <w:rPr>
                      <w:sz w:val="21"/>
                      <w:szCs w:val="21"/>
                    </w:rPr>
                  </w:pPr>
                  <w:r>
                    <w:rPr>
                      <w:rFonts w:hint="eastAsia"/>
                      <w:sz w:val="21"/>
                      <w:szCs w:val="21"/>
                    </w:rPr>
                    <w:t>15</w:t>
                  </w:r>
                </w:p>
              </w:tc>
              <w:tc>
                <w:tcPr>
                  <w:tcW w:w="453" w:type="pct"/>
                  <w:vAlign w:val="center"/>
                </w:tcPr>
                <w:p>
                  <w:pPr>
                    <w:pStyle w:val="62"/>
                    <w:spacing w:line="320" w:lineRule="exact"/>
                    <w:rPr>
                      <w:sz w:val="21"/>
                      <w:szCs w:val="21"/>
                    </w:rPr>
                  </w:pPr>
                  <w:r>
                    <w:rPr>
                      <w:rFonts w:hint="eastAsia"/>
                      <w:sz w:val="21"/>
                      <w:szCs w:val="21"/>
                    </w:rPr>
                    <w:t>0.35</w:t>
                  </w:r>
                </w:p>
              </w:tc>
              <w:tc>
                <w:tcPr>
                  <w:tcW w:w="395" w:type="pct"/>
                  <w:vAlign w:val="center"/>
                </w:tcPr>
                <w:p>
                  <w:pPr>
                    <w:pStyle w:val="62"/>
                    <w:spacing w:line="320" w:lineRule="exact"/>
                    <w:rPr>
                      <w:sz w:val="21"/>
                      <w:szCs w:val="21"/>
                    </w:rPr>
                  </w:pPr>
                  <w:r>
                    <w:rPr>
                      <w:rFonts w:hint="eastAsia"/>
                      <w:sz w:val="21"/>
                      <w:szCs w:val="21"/>
                    </w:rPr>
                    <w:t>15.49</w:t>
                  </w:r>
                </w:p>
              </w:tc>
              <w:tc>
                <w:tcPr>
                  <w:tcW w:w="357" w:type="pct"/>
                  <w:vAlign w:val="center"/>
                </w:tcPr>
                <w:p>
                  <w:pPr>
                    <w:pStyle w:val="62"/>
                    <w:spacing w:line="320" w:lineRule="exact"/>
                    <w:rPr>
                      <w:bCs/>
                      <w:sz w:val="21"/>
                      <w:szCs w:val="21"/>
                    </w:rPr>
                  </w:pPr>
                  <w:r>
                    <w:rPr>
                      <w:rFonts w:hint="eastAsia"/>
                      <w:bCs/>
                      <w:sz w:val="21"/>
                      <w:szCs w:val="21"/>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 w:type="pct"/>
                  <w:vAlign w:val="center"/>
                </w:tcPr>
                <w:p>
                  <w:pPr>
                    <w:pStyle w:val="51"/>
                    <w:spacing w:line="320" w:lineRule="exact"/>
                    <w:ind w:firstLine="0" w:firstLineChars="0"/>
                    <w:jc w:val="center"/>
                    <w:rPr>
                      <w:bCs/>
                      <w:sz w:val="21"/>
                      <w:szCs w:val="21"/>
                    </w:rPr>
                  </w:pPr>
                  <w:r>
                    <w:rPr>
                      <w:rFonts w:hint="eastAsia"/>
                      <w:bCs/>
                      <w:sz w:val="21"/>
                      <w:szCs w:val="21"/>
                    </w:rPr>
                    <w:t>2</w:t>
                  </w:r>
                </w:p>
              </w:tc>
              <w:tc>
                <w:tcPr>
                  <w:tcW w:w="350" w:type="pct"/>
                  <w:vAlign w:val="center"/>
                </w:tcPr>
                <w:p>
                  <w:pPr>
                    <w:pStyle w:val="51"/>
                    <w:spacing w:line="320" w:lineRule="exact"/>
                    <w:ind w:firstLine="0" w:firstLineChars="0"/>
                    <w:jc w:val="center"/>
                    <w:rPr>
                      <w:bCs/>
                      <w:sz w:val="21"/>
                      <w:szCs w:val="21"/>
                    </w:rPr>
                  </w:pPr>
                  <w:r>
                    <w:rPr>
                      <w:rFonts w:hint="eastAsia"/>
                      <w:bCs/>
                      <w:sz w:val="21"/>
                      <w:szCs w:val="21"/>
                    </w:rPr>
                    <w:t>DA002</w:t>
                  </w:r>
                </w:p>
              </w:tc>
              <w:tc>
                <w:tcPr>
                  <w:tcW w:w="1167" w:type="pct"/>
                  <w:vAlign w:val="center"/>
                </w:tcPr>
                <w:p>
                  <w:pPr>
                    <w:pStyle w:val="70"/>
                    <w:rPr>
                      <w:b/>
                      <w:sz w:val="21"/>
                      <w:szCs w:val="21"/>
                      <w:u w:val="single"/>
                    </w:rPr>
                  </w:pPr>
                  <w:r>
                    <w:rPr>
                      <w:rFonts w:hint="eastAsia"/>
                      <w:b/>
                      <w:sz w:val="21"/>
                      <w:szCs w:val="21"/>
                      <w:u w:val="single"/>
                    </w:rPr>
                    <w:t>加热挤出、覆膜废气</w:t>
                  </w:r>
                </w:p>
              </w:tc>
              <w:tc>
                <w:tcPr>
                  <w:tcW w:w="526" w:type="pct"/>
                  <w:vAlign w:val="center"/>
                </w:tcPr>
                <w:p>
                  <w:pPr>
                    <w:pStyle w:val="51"/>
                    <w:spacing w:line="320" w:lineRule="exact"/>
                    <w:ind w:firstLine="0" w:firstLineChars="0"/>
                    <w:jc w:val="center"/>
                    <w:rPr>
                      <w:sz w:val="21"/>
                      <w:szCs w:val="21"/>
                    </w:rPr>
                  </w:pPr>
                  <w:r>
                    <w:rPr>
                      <w:sz w:val="21"/>
                      <w:szCs w:val="21"/>
                    </w:rPr>
                    <w:t>非甲烷总烃</w:t>
                  </w:r>
                </w:p>
              </w:tc>
              <w:tc>
                <w:tcPr>
                  <w:tcW w:w="626" w:type="pct"/>
                  <w:vAlign w:val="center"/>
                </w:tcPr>
                <w:p>
                  <w:pPr>
                    <w:pStyle w:val="51"/>
                    <w:spacing w:line="320" w:lineRule="exact"/>
                    <w:ind w:firstLine="0" w:firstLineChars="0"/>
                    <w:jc w:val="center"/>
                    <w:rPr>
                      <w:sz w:val="21"/>
                      <w:szCs w:val="21"/>
                      <w:highlight w:val="yellow"/>
                    </w:rPr>
                  </w:pPr>
                  <w:r>
                    <w:rPr>
                      <w:sz w:val="21"/>
                      <w:szCs w:val="21"/>
                    </w:rPr>
                    <w:t>112.72222558</w:t>
                  </w:r>
                </w:p>
              </w:tc>
              <w:tc>
                <w:tcPr>
                  <w:tcW w:w="543" w:type="pct"/>
                  <w:vAlign w:val="center"/>
                </w:tcPr>
                <w:p>
                  <w:pPr>
                    <w:pStyle w:val="51"/>
                    <w:spacing w:line="320" w:lineRule="exact"/>
                    <w:ind w:firstLine="0" w:firstLineChars="0"/>
                    <w:jc w:val="center"/>
                    <w:rPr>
                      <w:sz w:val="21"/>
                      <w:szCs w:val="21"/>
                      <w:highlight w:val="yellow"/>
                    </w:rPr>
                  </w:pPr>
                  <w:r>
                    <w:rPr>
                      <w:sz w:val="21"/>
                      <w:szCs w:val="21"/>
                    </w:rPr>
                    <w:t>34.68959640</w:t>
                  </w:r>
                </w:p>
              </w:tc>
              <w:tc>
                <w:tcPr>
                  <w:tcW w:w="395" w:type="pct"/>
                  <w:vAlign w:val="center"/>
                </w:tcPr>
                <w:p>
                  <w:pPr>
                    <w:pStyle w:val="62"/>
                    <w:spacing w:line="320" w:lineRule="exact"/>
                    <w:rPr>
                      <w:sz w:val="21"/>
                      <w:szCs w:val="21"/>
                    </w:rPr>
                  </w:pPr>
                  <w:r>
                    <w:rPr>
                      <w:sz w:val="21"/>
                      <w:szCs w:val="21"/>
                    </w:rPr>
                    <w:t>15</w:t>
                  </w:r>
                </w:p>
              </w:tc>
              <w:tc>
                <w:tcPr>
                  <w:tcW w:w="453" w:type="pct"/>
                  <w:vAlign w:val="center"/>
                </w:tcPr>
                <w:p>
                  <w:pPr>
                    <w:pStyle w:val="62"/>
                    <w:spacing w:line="320" w:lineRule="exact"/>
                    <w:rPr>
                      <w:sz w:val="21"/>
                      <w:szCs w:val="21"/>
                    </w:rPr>
                  </w:pPr>
                  <w:r>
                    <w:rPr>
                      <w:sz w:val="21"/>
                      <w:szCs w:val="21"/>
                    </w:rPr>
                    <w:t>0.</w:t>
                  </w:r>
                  <w:r>
                    <w:rPr>
                      <w:rFonts w:hint="eastAsia"/>
                      <w:sz w:val="21"/>
                      <w:szCs w:val="21"/>
                    </w:rPr>
                    <w:t>45</w:t>
                  </w:r>
                </w:p>
              </w:tc>
              <w:tc>
                <w:tcPr>
                  <w:tcW w:w="395" w:type="pct"/>
                  <w:vAlign w:val="center"/>
                </w:tcPr>
                <w:p>
                  <w:pPr>
                    <w:pStyle w:val="62"/>
                    <w:spacing w:line="320" w:lineRule="exact"/>
                    <w:rPr>
                      <w:sz w:val="21"/>
                      <w:szCs w:val="21"/>
                    </w:rPr>
                  </w:pPr>
                  <w:r>
                    <w:rPr>
                      <w:rFonts w:hint="eastAsia"/>
                      <w:sz w:val="21"/>
                      <w:szCs w:val="21"/>
                    </w:rPr>
                    <w:t>19.38</w:t>
                  </w:r>
                </w:p>
              </w:tc>
              <w:tc>
                <w:tcPr>
                  <w:tcW w:w="357" w:type="pct"/>
                  <w:vAlign w:val="center"/>
                </w:tcPr>
                <w:p>
                  <w:pPr>
                    <w:pStyle w:val="62"/>
                    <w:spacing w:line="320" w:lineRule="exact"/>
                    <w:rPr>
                      <w:bCs/>
                      <w:sz w:val="21"/>
                      <w:szCs w:val="21"/>
                    </w:rPr>
                  </w:pPr>
                  <w:r>
                    <w:rPr>
                      <w:rFonts w:hint="eastAsia"/>
                      <w:bCs/>
                      <w:sz w:val="21"/>
                      <w:szCs w:val="21"/>
                    </w:rPr>
                    <w:t>30</w:t>
                  </w:r>
                </w:p>
              </w:tc>
            </w:tr>
          </w:tbl>
          <w:p>
            <w:pPr>
              <w:pStyle w:val="99"/>
              <w:spacing w:line="400" w:lineRule="exact"/>
              <w:ind w:firstLine="0" w:firstLineChars="0"/>
              <w:rPr>
                <w:bCs/>
              </w:rPr>
            </w:pPr>
            <w:r>
              <w:rPr>
                <w:rFonts w:hint="eastAsia"/>
                <w:bCs/>
              </w:rPr>
              <w:t>1.4监测要求</w:t>
            </w:r>
          </w:p>
          <w:p>
            <w:pPr>
              <w:pStyle w:val="51"/>
              <w:spacing w:line="400" w:lineRule="exact"/>
              <w:ind w:firstLine="480"/>
              <w:rPr>
                <w:bCs/>
              </w:rPr>
            </w:pPr>
            <w:r>
              <w:rPr>
                <w:bCs/>
              </w:rPr>
              <w:t>根据</w:t>
            </w:r>
            <w:r>
              <w:rPr>
                <w:rFonts w:hint="eastAsia"/>
                <w:bCs/>
              </w:rPr>
              <w:t>《排污单位自行监测技术指南 橡胶和塑料制品》（HJ1207-2021）</w:t>
            </w:r>
            <w:r>
              <w:rPr>
                <w:bCs/>
              </w:rPr>
              <w:t>，结合本项目运行期产污特征，制定出本项目运行期</w:t>
            </w:r>
            <w:r>
              <w:rPr>
                <w:rFonts w:hint="eastAsia"/>
                <w:bCs/>
              </w:rPr>
              <w:t>废气</w:t>
            </w:r>
            <w:r>
              <w:rPr>
                <w:bCs/>
              </w:rPr>
              <w:t>监测计划，详见</w:t>
            </w:r>
            <w:r>
              <w:rPr>
                <w:rFonts w:hint="eastAsia"/>
                <w:bCs/>
              </w:rPr>
              <w:t>下表</w:t>
            </w:r>
            <w:r>
              <w:rPr>
                <w:bCs/>
              </w:rPr>
              <w:t>。</w:t>
            </w:r>
          </w:p>
          <w:p>
            <w:pPr>
              <w:pStyle w:val="53"/>
              <w:spacing w:line="400" w:lineRule="exact"/>
              <w:ind w:firstLine="480"/>
              <w:rPr>
                <w:bCs/>
              </w:rPr>
            </w:pPr>
            <w:r>
              <w:rPr>
                <w:bCs/>
              </w:rPr>
              <w:t>表</w:t>
            </w:r>
            <w:r>
              <w:rPr>
                <w:rFonts w:hint="eastAsia"/>
                <w:bCs/>
              </w:rPr>
              <w:t>30</w:t>
            </w:r>
            <w:r>
              <w:rPr>
                <w:bCs/>
              </w:rPr>
              <w:t xml:space="preserve">          </w:t>
            </w:r>
            <w:r>
              <w:rPr>
                <w:rFonts w:hint="eastAsia"/>
                <w:bCs/>
              </w:rPr>
              <w:t xml:space="preserve">       </w:t>
            </w:r>
            <w:r>
              <w:rPr>
                <w:bCs/>
              </w:rPr>
              <w:t xml:space="preserve">       营运期监测计划</w:t>
            </w:r>
          </w:p>
          <w:tbl>
            <w:tblPr>
              <w:tblStyle w:val="2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438"/>
              <w:gridCol w:w="1559"/>
              <w:gridCol w:w="1133"/>
              <w:gridCol w:w="79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93" w:type="pct"/>
                  <w:vAlign w:val="center"/>
                </w:tcPr>
                <w:p>
                  <w:pPr>
                    <w:pStyle w:val="68"/>
                    <w:spacing w:line="400" w:lineRule="exact"/>
                    <w:rPr>
                      <w:bCs/>
                    </w:rPr>
                  </w:pPr>
                  <w:r>
                    <w:rPr>
                      <w:bCs/>
                    </w:rPr>
                    <w:t>监测点</w:t>
                  </w:r>
                </w:p>
              </w:tc>
              <w:tc>
                <w:tcPr>
                  <w:tcW w:w="643" w:type="pct"/>
                  <w:vAlign w:val="center"/>
                </w:tcPr>
                <w:p>
                  <w:pPr>
                    <w:pStyle w:val="68"/>
                    <w:spacing w:line="400" w:lineRule="exact"/>
                    <w:rPr>
                      <w:bCs/>
                    </w:rPr>
                  </w:pPr>
                  <w:r>
                    <w:rPr>
                      <w:bCs/>
                    </w:rPr>
                    <w:t>监测项目</w:t>
                  </w:r>
                </w:p>
              </w:tc>
              <w:tc>
                <w:tcPr>
                  <w:tcW w:w="467" w:type="pct"/>
                  <w:vAlign w:val="center"/>
                </w:tcPr>
                <w:p>
                  <w:pPr>
                    <w:pStyle w:val="68"/>
                    <w:spacing w:line="400" w:lineRule="exact"/>
                    <w:rPr>
                      <w:bCs/>
                    </w:rPr>
                  </w:pPr>
                  <w:r>
                    <w:rPr>
                      <w:bCs/>
                    </w:rPr>
                    <w:t>监测频率</w:t>
                  </w:r>
                </w:p>
              </w:tc>
              <w:tc>
                <w:tcPr>
                  <w:tcW w:w="3297" w:type="pct"/>
                  <w:vAlign w:val="center"/>
                </w:tcPr>
                <w:p>
                  <w:pPr>
                    <w:pStyle w:val="68"/>
                    <w:spacing w:line="400" w:lineRule="exact"/>
                    <w:rPr>
                      <w:bCs/>
                    </w:rPr>
                  </w:pPr>
                  <w:r>
                    <w:rPr>
                      <w:bCs/>
                    </w:rPr>
                    <w:t>执行标准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6" w:hRule="atLeast"/>
                <w:jc w:val="center"/>
              </w:trPr>
              <w:tc>
                <w:tcPr>
                  <w:tcW w:w="593" w:type="pct"/>
                  <w:vAlign w:val="center"/>
                </w:tcPr>
                <w:p>
                  <w:pPr>
                    <w:pStyle w:val="68"/>
                    <w:spacing w:line="400" w:lineRule="exact"/>
                    <w:rPr>
                      <w:bCs/>
                    </w:rPr>
                  </w:pPr>
                  <w:r>
                    <w:rPr>
                      <w:bCs/>
                      <w:szCs w:val="21"/>
                    </w:rPr>
                    <w:t>DA001排气筒</w:t>
                  </w:r>
                </w:p>
              </w:tc>
              <w:tc>
                <w:tcPr>
                  <w:tcW w:w="643" w:type="pct"/>
                  <w:vAlign w:val="center"/>
                </w:tcPr>
                <w:p>
                  <w:pPr>
                    <w:pStyle w:val="68"/>
                    <w:spacing w:line="400" w:lineRule="exact"/>
                    <w:rPr>
                      <w:bCs/>
                    </w:rPr>
                  </w:pPr>
                  <w:r>
                    <w:rPr>
                      <w:rFonts w:hint="eastAsia"/>
                      <w:bCs/>
                    </w:rPr>
                    <w:t>颗粒物</w:t>
                  </w:r>
                </w:p>
              </w:tc>
              <w:tc>
                <w:tcPr>
                  <w:tcW w:w="467" w:type="pct"/>
                  <w:vAlign w:val="center"/>
                </w:tcPr>
                <w:p>
                  <w:pPr>
                    <w:pStyle w:val="68"/>
                    <w:spacing w:line="400" w:lineRule="exact"/>
                    <w:rPr>
                      <w:bCs/>
                    </w:rPr>
                  </w:pPr>
                  <w:r>
                    <w:rPr>
                      <w:bCs/>
                    </w:rPr>
                    <w:t>每年1次</w:t>
                  </w:r>
                </w:p>
              </w:tc>
              <w:tc>
                <w:tcPr>
                  <w:tcW w:w="3297" w:type="pct"/>
                  <w:vMerge w:val="restart"/>
                  <w:vAlign w:val="center"/>
                </w:tcPr>
                <w:p>
                  <w:pPr>
                    <w:pStyle w:val="68"/>
                    <w:spacing w:line="400" w:lineRule="exact"/>
                    <w:rPr>
                      <w:bCs/>
                    </w:rPr>
                  </w:pPr>
                  <w:r>
                    <w:t>《合成树脂工业污染物排放标准》（GB31572-2015）表5大气污染物特别排放限值要求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593" w:type="pct"/>
                  <w:vAlign w:val="center"/>
                </w:tcPr>
                <w:p>
                  <w:pPr>
                    <w:pStyle w:val="68"/>
                    <w:spacing w:line="400" w:lineRule="exact"/>
                    <w:rPr>
                      <w:bCs/>
                    </w:rPr>
                  </w:pPr>
                  <w:r>
                    <w:rPr>
                      <w:bCs/>
                      <w:szCs w:val="21"/>
                    </w:rPr>
                    <w:t>DA00</w:t>
                  </w:r>
                  <w:r>
                    <w:rPr>
                      <w:rFonts w:hint="eastAsia"/>
                      <w:bCs/>
                      <w:szCs w:val="21"/>
                    </w:rPr>
                    <w:t>2</w:t>
                  </w:r>
                  <w:r>
                    <w:rPr>
                      <w:bCs/>
                      <w:szCs w:val="21"/>
                    </w:rPr>
                    <w:t>排气筒</w:t>
                  </w:r>
                </w:p>
              </w:tc>
              <w:tc>
                <w:tcPr>
                  <w:tcW w:w="643" w:type="pct"/>
                  <w:vAlign w:val="center"/>
                </w:tcPr>
                <w:p>
                  <w:pPr>
                    <w:pStyle w:val="68"/>
                    <w:spacing w:line="400" w:lineRule="exact"/>
                    <w:rPr>
                      <w:bCs/>
                    </w:rPr>
                  </w:pPr>
                  <w:r>
                    <w:rPr>
                      <w:bCs/>
                    </w:rPr>
                    <w:t>非甲烷总烃</w:t>
                  </w:r>
                </w:p>
              </w:tc>
              <w:tc>
                <w:tcPr>
                  <w:tcW w:w="467" w:type="pct"/>
                  <w:vAlign w:val="center"/>
                </w:tcPr>
                <w:p>
                  <w:pPr>
                    <w:pStyle w:val="68"/>
                    <w:spacing w:line="400" w:lineRule="exact"/>
                    <w:rPr>
                      <w:bCs/>
                    </w:rPr>
                  </w:pPr>
                  <w:r>
                    <w:rPr>
                      <w:bCs/>
                    </w:rPr>
                    <w:t>每年1次</w:t>
                  </w:r>
                </w:p>
              </w:tc>
              <w:tc>
                <w:tcPr>
                  <w:tcW w:w="3297" w:type="pct"/>
                  <w:vMerge w:val="continue"/>
                  <w:vAlign w:val="center"/>
                </w:tcPr>
                <w:p>
                  <w:pPr>
                    <w:pStyle w:val="68"/>
                    <w:spacing w:line="400" w:lineRule="exact"/>
                    <w:rPr>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593" w:type="pct"/>
                  <w:vAlign w:val="center"/>
                </w:tcPr>
                <w:p>
                  <w:pPr>
                    <w:pStyle w:val="68"/>
                    <w:spacing w:line="400" w:lineRule="exact"/>
                    <w:rPr>
                      <w:bCs/>
                      <w:szCs w:val="21"/>
                    </w:rPr>
                  </w:pPr>
                  <w:r>
                    <w:rPr>
                      <w:bCs/>
                      <w:szCs w:val="21"/>
                    </w:rPr>
                    <w:t>车间外</w:t>
                  </w:r>
                </w:p>
              </w:tc>
              <w:tc>
                <w:tcPr>
                  <w:tcW w:w="643" w:type="pct"/>
                  <w:vAlign w:val="center"/>
                </w:tcPr>
                <w:p>
                  <w:pPr>
                    <w:pStyle w:val="68"/>
                    <w:spacing w:line="400" w:lineRule="exact"/>
                    <w:rPr>
                      <w:bCs/>
                    </w:rPr>
                  </w:pPr>
                  <w:r>
                    <w:rPr>
                      <w:bCs/>
                    </w:rPr>
                    <w:t>非甲烷总烃</w:t>
                  </w:r>
                </w:p>
              </w:tc>
              <w:tc>
                <w:tcPr>
                  <w:tcW w:w="467" w:type="pct"/>
                  <w:vAlign w:val="center"/>
                </w:tcPr>
                <w:p>
                  <w:pPr>
                    <w:pStyle w:val="68"/>
                    <w:spacing w:line="400" w:lineRule="exact"/>
                    <w:rPr>
                      <w:bCs/>
                    </w:rPr>
                  </w:pPr>
                  <w:r>
                    <w:rPr>
                      <w:bCs/>
                    </w:rPr>
                    <w:t>每年1次</w:t>
                  </w:r>
                </w:p>
              </w:tc>
              <w:tc>
                <w:tcPr>
                  <w:tcW w:w="3297" w:type="pct"/>
                  <w:vAlign w:val="center"/>
                </w:tcPr>
                <w:p>
                  <w:pPr>
                    <w:autoSpaceDE w:val="0"/>
                    <w:autoSpaceDN w:val="0"/>
                    <w:adjustRightInd w:val="0"/>
                    <w:spacing w:line="400" w:lineRule="exact"/>
                    <w:jc w:val="left"/>
                    <w:rPr>
                      <w:bCs/>
                      <w:szCs w:val="21"/>
                    </w:rPr>
                  </w:pPr>
                  <w:r>
                    <w:rPr>
                      <w:rFonts w:hAnsi="宋体"/>
                      <w:kern w:val="0"/>
                      <w:szCs w:val="21"/>
                    </w:rPr>
                    <w:t>《挥发性有机物无组织排放控制标准》（</w:t>
                  </w:r>
                  <w:r>
                    <w:rPr>
                      <w:rFonts w:eastAsia="TimesNewRomanPSMT"/>
                      <w:kern w:val="0"/>
                      <w:szCs w:val="21"/>
                    </w:rPr>
                    <w:t>GB37822-2019</w:t>
                  </w:r>
                  <w:r>
                    <w:rPr>
                      <w:rFonts w:hAnsi="宋体"/>
                      <w:kern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593" w:type="pct"/>
                  <w:vAlign w:val="center"/>
                </w:tcPr>
                <w:p>
                  <w:pPr>
                    <w:pStyle w:val="68"/>
                    <w:spacing w:line="400" w:lineRule="exact"/>
                    <w:rPr>
                      <w:bCs/>
                      <w:szCs w:val="21"/>
                    </w:rPr>
                  </w:pPr>
                  <w:r>
                    <w:rPr>
                      <w:bCs/>
                      <w:szCs w:val="21"/>
                    </w:rPr>
                    <w:t>厂界</w:t>
                  </w:r>
                </w:p>
              </w:tc>
              <w:tc>
                <w:tcPr>
                  <w:tcW w:w="643" w:type="pct"/>
                  <w:vAlign w:val="center"/>
                </w:tcPr>
                <w:p>
                  <w:pPr>
                    <w:pStyle w:val="68"/>
                    <w:spacing w:line="400" w:lineRule="exact"/>
                    <w:rPr>
                      <w:bCs/>
                    </w:rPr>
                  </w:pPr>
                  <w:r>
                    <w:rPr>
                      <w:rFonts w:hint="eastAsia"/>
                      <w:bCs/>
                      <w:szCs w:val="21"/>
                    </w:rPr>
                    <w:t>颗粒物、</w:t>
                  </w:r>
                  <w:r>
                    <w:rPr>
                      <w:bCs/>
                      <w:szCs w:val="21"/>
                    </w:rPr>
                    <w:t>非甲烷总烃</w:t>
                  </w:r>
                </w:p>
              </w:tc>
              <w:tc>
                <w:tcPr>
                  <w:tcW w:w="467" w:type="pct"/>
                  <w:vAlign w:val="center"/>
                </w:tcPr>
                <w:p>
                  <w:pPr>
                    <w:pStyle w:val="68"/>
                    <w:spacing w:line="400" w:lineRule="exact"/>
                    <w:rPr>
                      <w:bCs/>
                    </w:rPr>
                  </w:pPr>
                  <w:r>
                    <w:rPr>
                      <w:bCs/>
                    </w:rPr>
                    <w:t>每年1次</w:t>
                  </w:r>
                </w:p>
              </w:tc>
              <w:tc>
                <w:tcPr>
                  <w:tcW w:w="3297" w:type="pct"/>
                  <w:vAlign w:val="center"/>
                </w:tcPr>
                <w:p>
                  <w:pPr>
                    <w:autoSpaceDE w:val="0"/>
                    <w:autoSpaceDN w:val="0"/>
                    <w:adjustRightInd w:val="0"/>
                    <w:spacing w:line="400" w:lineRule="exact"/>
                    <w:jc w:val="left"/>
                    <w:rPr>
                      <w:kern w:val="0"/>
                      <w:szCs w:val="21"/>
                    </w:rPr>
                  </w:pPr>
                  <w:r>
                    <w:rPr>
                      <w:szCs w:val="21"/>
                    </w:rPr>
                    <w:t>《合成树脂工业污染物排放标准》（GB31572-2015）表5；</w:t>
                  </w:r>
                  <w:r>
                    <w:rPr>
                      <w:rFonts w:hint="eastAsia"/>
                      <w:szCs w:val="21"/>
                    </w:rPr>
                    <w:t>同时非甲烷总烃满足</w:t>
                  </w:r>
                  <w:r>
                    <w:rPr>
                      <w:szCs w:val="21"/>
                    </w:rPr>
                    <w:t>《挥发性有机物无组织排放控制标准》（GB37822-2019）</w:t>
                  </w:r>
                  <w:r>
                    <w:rPr>
                      <w:rFonts w:hint="eastAsia"/>
                      <w:szCs w:val="21"/>
                    </w:rPr>
                    <w:t>和</w:t>
                  </w:r>
                  <w:r>
                    <w:rPr>
                      <w:szCs w:val="21"/>
                    </w:rPr>
                    <w:t>《关于全省开展工业企业挥发性有机物专项治理工作中排放建议值的通知》（豫环攻坚办〔2017〕162 号文）</w:t>
                  </w:r>
                  <w:r>
                    <w:rPr>
                      <w:rFonts w:hint="eastAsia"/>
                      <w:szCs w:val="21"/>
                    </w:rPr>
                    <w:t>相关要求</w:t>
                  </w:r>
                </w:p>
              </w:tc>
            </w:tr>
          </w:tbl>
          <w:p>
            <w:pPr>
              <w:pStyle w:val="100"/>
              <w:rPr>
                <w:bCs/>
              </w:rPr>
            </w:pPr>
          </w:p>
        </w:tc>
      </w:tr>
    </w:tbl>
    <w:p>
      <w:pPr>
        <w:adjustRightInd w:val="0"/>
        <w:snapToGrid w:val="0"/>
        <w:jc w:val="center"/>
        <w:rPr>
          <w:rFonts w:ascii="宋体" w:hAnsi="宋体" w:cs="宋体"/>
          <w:bCs/>
          <w:szCs w:val="21"/>
        </w:rPr>
        <w:sectPr>
          <w:pgSz w:w="16840" w:h="11907" w:orient="landscape"/>
          <w:pgMar w:top="1531" w:right="2127" w:bottom="1531" w:left="1701" w:header="851" w:footer="851" w:gutter="0"/>
          <w:cols w:space="720" w:num="1"/>
          <w:docGrid w:linePitch="312" w:charSpace="0"/>
        </w:sectPr>
      </w:pPr>
    </w:p>
    <w:tbl>
      <w:tblPr>
        <w:tblStyle w:val="22"/>
        <w:tblW w:w="504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5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17" w:hRule="atLeast"/>
          <w:jc w:val="center"/>
        </w:trPr>
        <w:tc>
          <w:tcPr>
            <w:tcW w:w="295" w:type="pct"/>
            <w:tcMar>
              <w:left w:w="28" w:type="dxa"/>
              <w:right w:w="28" w:type="dxa"/>
            </w:tcMar>
            <w:vAlign w:val="center"/>
          </w:tcPr>
          <w:p>
            <w:pPr>
              <w:adjustRightInd w:val="0"/>
              <w:snapToGrid w:val="0"/>
              <w:jc w:val="center"/>
              <w:rPr>
                <w:rFonts w:ascii="宋体" w:hAnsi="宋体" w:cs="宋体"/>
                <w:bCs/>
                <w:szCs w:val="21"/>
              </w:rPr>
            </w:pPr>
            <w:r>
              <w:rPr>
                <w:rFonts w:hint="eastAsia" w:ascii="宋体" w:hAnsi="宋体" w:cs="宋体"/>
                <w:bCs/>
                <w:szCs w:val="21"/>
              </w:rPr>
              <w:t>运营</w:t>
            </w:r>
          </w:p>
          <w:p>
            <w:pPr>
              <w:adjustRightInd w:val="0"/>
              <w:snapToGrid w:val="0"/>
              <w:jc w:val="center"/>
              <w:rPr>
                <w:rFonts w:ascii="宋体" w:hAnsi="宋体" w:cs="宋体"/>
                <w:bCs/>
                <w:szCs w:val="21"/>
              </w:rPr>
            </w:pPr>
            <w:r>
              <w:rPr>
                <w:rFonts w:hint="eastAsia" w:ascii="宋体" w:hAnsi="宋体" w:cs="宋体"/>
                <w:bCs/>
                <w:szCs w:val="21"/>
              </w:rPr>
              <w:t>期环</w:t>
            </w:r>
          </w:p>
          <w:p>
            <w:pPr>
              <w:adjustRightInd w:val="0"/>
              <w:snapToGrid w:val="0"/>
              <w:jc w:val="center"/>
              <w:rPr>
                <w:rFonts w:ascii="宋体" w:hAnsi="宋体" w:cs="宋体"/>
                <w:bCs/>
                <w:szCs w:val="21"/>
              </w:rPr>
            </w:pPr>
            <w:r>
              <w:rPr>
                <w:rFonts w:hint="eastAsia" w:ascii="宋体" w:hAnsi="宋体" w:cs="宋体"/>
                <w:bCs/>
                <w:szCs w:val="21"/>
              </w:rPr>
              <w:t>境影</w:t>
            </w:r>
          </w:p>
          <w:p>
            <w:pPr>
              <w:adjustRightInd w:val="0"/>
              <w:snapToGrid w:val="0"/>
              <w:jc w:val="center"/>
              <w:rPr>
                <w:rFonts w:ascii="宋体" w:hAnsi="宋体" w:cs="宋体"/>
                <w:bCs/>
                <w:szCs w:val="21"/>
              </w:rPr>
            </w:pPr>
            <w:r>
              <w:rPr>
                <w:rFonts w:hint="eastAsia" w:ascii="宋体" w:hAnsi="宋体" w:cs="宋体"/>
                <w:bCs/>
                <w:szCs w:val="21"/>
              </w:rPr>
              <w:t>响和</w:t>
            </w:r>
          </w:p>
          <w:p>
            <w:pPr>
              <w:adjustRightInd w:val="0"/>
              <w:snapToGrid w:val="0"/>
              <w:jc w:val="center"/>
              <w:rPr>
                <w:rFonts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4705" w:type="pct"/>
            <w:vAlign w:val="center"/>
          </w:tcPr>
          <w:p>
            <w:pPr>
              <w:pStyle w:val="51"/>
              <w:ind w:firstLine="0" w:firstLineChars="0"/>
              <w:rPr>
                <w:b/>
                <w:bCs/>
              </w:rPr>
            </w:pPr>
            <w:r>
              <w:rPr>
                <w:rFonts w:hint="eastAsia"/>
                <w:b/>
                <w:bCs/>
              </w:rPr>
              <w:t>2废水</w:t>
            </w:r>
          </w:p>
          <w:p>
            <w:pPr>
              <w:pStyle w:val="51"/>
              <w:ind w:firstLine="480"/>
            </w:pPr>
            <w:r>
              <w:rPr>
                <w:rFonts w:hint="eastAsia"/>
              </w:rPr>
              <w:t>项目劳动定员工10人，年工作300天，员工为附近居民，不在厂区食宿。</w:t>
            </w:r>
            <w:r>
              <w:t>根据河南省地方标准《工业与城镇生活用水定额》（DB41/T 385-20</w:t>
            </w:r>
            <w:r>
              <w:rPr>
                <w:rFonts w:hint="eastAsia"/>
              </w:rPr>
              <w:t>20</w:t>
            </w:r>
            <w:r>
              <w:t>），不食宿人员生活用水量取40L/(人•d)。</w:t>
            </w:r>
          </w:p>
          <w:p>
            <w:pPr>
              <w:pStyle w:val="51"/>
              <w:ind w:firstLine="480"/>
              <w:rPr>
                <w:b/>
                <w:bCs/>
                <w:u w:val="single"/>
              </w:rPr>
            </w:pPr>
            <w:r>
              <w:rPr>
                <w:rFonts w:hint="eastAsia"/>
              </w:rPr>
              <w:t>本项目</w:t>
            </w:r>
            <w:r>
              <w:t>生活用量为</w:t>
            </w:r>
            <w:r>
              <w:rPr>
                <w:rFonts w:hint="eastAsia"/>
              </w:rPr>
              <w:t>0.4</w:t>
            </w:r>
            <w:r>
              <w:t>m</w:t>
            </w:r>
            <w:r>
              <w:rPr>
                <w:vertAlign w:val="superscript"/>
              </w:rPr>
              <w:t>3</w:t>
            </w:r>
            <w:r>
              <w:t>/d（</w:t>
            </w:r>
            <w:r>
              <w:rPr>
                <w:rFonts w:hint="eastAsia"/>
              </w:rPr>
              <w:t>120</w:t>
            </w:r>
            <w:r>
              <w:t>m</w:t>
            </w:r>
            <w:r>
              <w:rPr>
                <w:vertAlign w:val="superscript"/>
              </w:rPr>
              <w:t>3</w:t>
            </w:r>
            <w:r>
              <w:t>/a）</w:t>
            </w:r>
            <w:r>
              <w:rPr>
                <w:rFonts w:hint="eastAsia"/>
              </w:rPr>
              <w:t>，</w:t>
            </w:r>
            <w:r>
              <w:t>生活污水排污系数取0.8，则本项目生活污水产生量为</w:t>
            </w:r>
            <w:r>
              <w:rPr>
                <w:rFonts w:hint="eastAsia"/>
              </w:rPr>
              <w:t>0.32</w:t>
            </w:r>
            <w:r>
              <w:t>m</w:t>
            </w:r>
            <w:r>
              <w:rPr>
                <w:vertAlign w:val="superscript"/>
              </w:rPr>
              <w:t>3</w:t>
            </w:r>
            <w:r>
              <w:t>/d（</w:t>
            </w:r>
            <w:r>
              <w:rPr>
                <w:rFonts w:hint="eastAsia"/>
              </w:rPr>
              <w:t>96</w:t>
            </w:r>
            <w:r>
              <w:t>m</w:t>
            </w:r>
            <w:r>
              <w:rPr>
                <w:vertAlign w:val="superscript"/>
              </w:rPr>
              <w:t>3</w:t>
            </w:r>
            <w:r>
              <w:t>/a）。</w:t>
            </w:r>
            <w:r>
              <w:rPr>
                <w:rFonts w:hint="eastAsia"/>
              </w:rPr>
              <w:t>本项目生活污水依托厂区现有化粪池预处理后</w:t>
            </w:r>
            <w:r>
              <w:t>通过市政污水管网送偃师市第三污水处理厂深度处理。</w:t>
            </w:r>
          </w:p>
          <w:p>
            <w:pPr>
              <w:pStyle w:val="53"/>
              <w:ind w:firstLine="480"/>
            </w:pPr>
            <w:r>
              <w:t>表</w:t>
            </w:r>
            <w:r>
              <w:rPr>
                <w:rFonts w:hint="eastAsia"/>
              </w:rPr>
              <w:t>31</w:t>
            </w:r>
            <w:r>
              <w:t xml:space="preserve">       </w:t>
            </w:r>
            <w:r>
              <w:rPr>
                <w:rFonts w:hint="eastAsia"/>
              </w:rPr>
              <w:t>本项目</w:t>
            </w:r>
            <w:r>
              <w:t>废水污染物产生及排放情况一览表</w:t>
            </w:r>
          </w:p>
          <w:tbl>
            <w:tblPr>
              <w:tblStyle w:val="22"/>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843"/>
              <w:gridCol w:w="2017"/>
              <w:gridCol w:w="1113"/>
              <w:gridCol w:w="1113"/>
              <w:gridCol w:w="1113"/>
              <w:gridCol w:w="10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2331" w:type="pct"/>
                  <w:gridSpan w:val="2"/>
                  <w:vAlign w:val="center"/>
                </w:tcPr>
                <w:p>
                  <w:pPr>
                    <w:pStyle w:val="68"/>
                  </w:pPr>
                  <w:r>
                    <w:t>类别</w:t>
                  </w:r>
                </w:p>
              </w:tc>
              <w:tc>
                <w:tcPr>
                  <w:tcW w:w="672" w:type="pct"/>
                  <w:vAlign w:val="center"/>
                </w:tcPr>
                <w:p>
                  <w:pPr>
                    <w:pStyle w:val="68"/>
                  </w:pPr>
                  <w:r>
                    <w:t>COD</w:t>
                  </w:r>
                </w:p>
              </w:tc>
              <w:tc>
                <w:tcPr>
                  <w:tcW w:w="672" w:type="pct"/>
                </w:tcPr>
                <w:p>
                  <w:pPr>
                    <w:pStyle w:val="68"/>
                  </w:pPr>
                  <w:r>
                    <w:rPr>
                      <w:rFonts w:hint="eastAsia"/>
                    </w:rPr>
                    <w:t>BOD</w:t>
                  </w:r>
                  <w:r>
                    <w:rPr>
                      <w:rFonts w:hint="eastAsia"/>
                      <w:vertAlign w:val="subscript"/>
                    </w:rPr>
                    <w:t>5</w:t>
                  </w:r>
                </w:p>
              </w:tc>
              <w:tc>
                <w:tcPr>
                  <w:tcW w:w="672" w:type="pct"/>
                  <w:vAlign w:val="center"/>
                </w:tcPr>
                <w:p>
                  <w:pPr>
                    <w:pStyle w:val="68"/>
                    <w:rPr>
                      <w:vertAlign w:val="subscript"/>
                    </w:rPr>
                  </w:pPr>
                  <w:r>
                    <w:t>NH</w:t>
                  </w:r>
                  <w:r>
                    <w:rPr>
                      <w:vertAlign w:val="subscript"/>
                    </w:rPr>
                    <w:t>3</w:t>
                  </w:r>
                  <w:r>
                    <w:t>-N</w:t>
                  </w:r>
                </w:p>
              </w:tc>
              <w:tc>
                <w:tcPr>
                  <w:tcW w:w="652" w:type="pct"/>
                  <w:vAlign w:val="center"/>
                </w:tcPr>
                <w:p>
                  <w:pPr>
                    <w:pStyle w:val="68"/>
                    <w:rPr>
                      <w:vertAlign w:val="subscript"/>
                    </w:rPr>
                  </w:pPr>
                  <w:r>
                    <w:t>SS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4" w:hRule="atLeast"/>
              </w:trPr>
              <w:tc>
                <w:tcPr>
                  <w:tcW w:w="1113" w:type="pct"/>
                  <w:vMerge w:val="restart"/>
                  <w:vAlign w:val="center"/>
                </w:tcPr>
                <w:p>
                  <w:pPr>
                    <w:pStyle w:val="68"/>
                  </w:pPr>
                  <w:r>
                    <w:t>生活污水</w:t>
                  </w:r>
                </w:p>
                <w:p>
                  <w:pPr>
                    <w:pStyle w:val="68"/>
                  </w:pPr>
                  <w:r>
                    <w:rPr>
                      <w:rFonts w:hint="eastAsia"/>
                    </w:rPr>
                    <w:t>0.32</w:t>
                  </w:r>
                  <w:r>
                    <w:t>m</w:t>
                  </w:r>
                  <w:r>
                    <w:rPr>
                      <w:vertAlign w:val="superscript"/>
                    </w:rPr>
                    <w:t>3</w:t>
                  </w:r>
                  <w:r>
                    <w:t>/d（</w:t>
                  </w:r>
                  <w:r>
                    <w:rPr>
                      <w:rFonts w:hint="eastAsia"/>
                    </w:rPr>
                    <w:t>96</w:t>
                  </w:r>
                  <w:r>
                    <w:t>m</w:t>
                  </w:r>
                  <w:r>
                    <w:rPr>
                      <w:vertAlign w:val="superscript"/>
                    </w:rPr>
                    <w:t>3</w:t>
                  </w:r>
                  <w:r>
                    <w:t>/a）</w:t>
                  </w:r>
                </w:p>
              </w:tc>
              <w:tc>
                <w:tcPr>
                  <w:tcW w:w="1218" w:type="pct"/>
                  <w:vAlign w:val="center"/>
                </w:tcPr>
                <w:p>
                  <w:pPr>
                    <w:pStyle w:val="68"/>
                  </w:pPr>
                  <w:r>
                    <w:t>浓度（mg/L）</w:t>
                  </w:r>
                </w:p>
              </w:tc>
              <w:tc>
                <w:tcPr>
                  <w:tcW w:w="672" w:type="pct"/>
                  <w:vAlign w:val="center"/>
                </w:tcPr>
                <w:p>
                  <w:pPr>
                    <w:pStyle w:val="68"/>
                  </w:pPr>
                  <w:r>
                    <w:t>350</w:t>
                  </w:r>
                </w:p>
              </w:tc>
              <w:tc>
                <w:tcPr>
                  <w:tcW w:w="672" w:type="pct"/>
                </w:tcPr>
                <w:p>
                  <w:pPr>
                    <w:pStyle w:val="68"/>
                  </w:pPr>
                  <w:r>
                    <w:rPr>
                      <w:rFonts w:hint="eastAsia"/>
                    </w:rPr>
                    <w:t>180</w:t>
                  </w:r>
                </w:p>
              </w:tc>
              <w:tc>
                <w:tcPr>
                  <w:tcW w:w="672" w:type="pct"/>
                  <w:vAlign w:val="center"/>
                </w:tcPr>
                <w:p>
                  <w:pPr>
                    <w:pStyle w:val="68"/>
                  </w:pPr>
                  <w:r>
                    <w:t>30</w:t>
                  </w:r>
                </w:p>
              </w:tc>
              <w:tc>
                <w:tcPr>
                  <w:tcW w:w="652" w:type="pct"/>
                  <w:vAlign w:val="center"/>
                </w:tcPr>
                <w:p>
                  <w:pPr>
                    <w:pStyle w:val="68"/>
                  </w:pPr>
                  <w:r>
                    <w:t>200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3" w:hRule="atLeast"/>
              </w:trPr>
              <w:tc>
                <w:tcPr>
                  <w:tcW w:w="1113" w:type="pct"/>
                  <w:vMerge w:val="continue"/>
                  <w:vAlign w:val="center"/>
                </w:tcPr>
                <w:p>
                  <w:pPr>
                    <w:pStyle w:val="68"/>
                  </w:pPr>
                </w:p>
              </w:tc>
              <w:tc>
                <w:tcPr>
                  <w:tcW w:w="1218" w:type="pct"/>
                  <w:vAlign w:val="center"/>
                </w:tcPr>
                <w:p>
                  <w:pPr>
                    <w:pStyle w:val="68"/>
                  </w:pPr>
                  <w:r>
                    <w:t>产生量（t/a）</w:t>
                  </w:r>
                </w:p>
              </w:tc>
              <w:tc>
                <w:tcPr>
                  <w:tcW w:w="1113" w:type="dxa"/>
                  <w:vAlign w:val="center"/>
                </w:tcPr>
                <w:p>
                  <w:pPr>
                    <w:pStyle w:val="68"/>
                  </w:pPr>
                  <w:r>
                    <w:rPr>
                      <w:bCs/>
                    </w:rPr>
                    <w:t>0.</w:t>
                  </w:r>
                  <w:r>
                    <w:rPr>
                      <w:rFonts w:hint="eastAsia"/>
                      <w:bCs/>
                    </w:rPr>
                    <w:t>0336</w:t>
                  </w:r>
                </w:p>
              </w:tc>
              <w:tc>
                <w:tcPr>
                  <w:tcW w:w="1113" w:type="dxa"/>
                  <w:vAlign w:val="center"/>
                </w:tcPr>
                <w:p>
                  <w:pPr>
                    <w:pStyle w:val="68"/>
                  </w:pPr>
                  <w:r>
                    <w:rPr>
                      <w:rFonts w:hint="eastAsia"/>
                      <w:bCs/>
                    </w:rPr>
                    <w:t>0.0173</w:t>
                  </w:r>
                </w:p>
              </w:tc>
              <w:tc>
                <w:tcPr>
                  <w:tcW w:w="1113" w:type="dxa"/>
                  <w:vAlign w:val="center"/>
                </w:tcPr>
                <w:p>
                  <w:pPr>
                    <w:pStyle w:val="68"/>
                  </w:pPr>
                  <w:r>
                    <w:rPr>
                      <w:bCs/>
                    </w:rPr>
                    <w:t>0.0</w:t>
                  </w:r>
                  <w:r>
                    <w:rPr>
                      <w:rFonts w:hint="eastAsia"/>
                      <w:bCs/>
                    </w:rPr>
                    <w:t>029</w:t>
                  </w:r>
                </w:p>
              </w:tc>
              <w:tc>
                <w:tcPr>
                  <w:tcW w:w="1080" w:type="dxa"/>
                  <w:vAlign w:val="center"/>
                </w:tcPr>
                <w:p>
                  <w:pPr>
                    <w:pStyle w:val="68"/>
                  </w:pPr>
                  <w:r>
                    <w:rPr>
                      <w:bCs/>
                    </w:rPr>
                    <w:t>0.</w:t>
                  </w:r>
                  <w:r>
                    <w:rPr>
                      <w:rFonts w:hint="eastAsia"/>
                      <w:bCs/>
                    </w:rPr>
                    <w:t>0192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3" w:hRule="atLeast"/>
              </w:trPr>
              <w:tc>
                <w:tcPr>
                  <w:tcW w:w="1113" w:type="pct"/>
                  <w:vMerge w:val="continue"/>
                  <w:vAlign w:val="center"/>
                </w:tcPr>
                <w:p>
                  <w:pPr>
                    <w:pStyle w:val="68"/>
                  </w:pPr>
                </w:p>
              </w:tc>
              <w:tc>
                <w:tcPr>
                  <w:tcW w:w="1218" w:type="pct"/>
                  <w:vAlign w:val="center"/>
                </w:tcPr>
                <w:p>
                  <w:pPr>
                    <w:pStyle w:val="68"/>
                  </w:pPr>
                  <w:r>
                    <w:rPr>
                      <w:rFonts w:hint="eastAsia"/>
                    </w:rPr>
                    <w:t>处理效率（%）</w:t>
                  </w:r>
                </w:p>
              </w:tc>
              <w:tc>
                <w:tcPr>
                  <w:tcW w:w="1113" w:type="dxa"/>
                  <w:vAlign w:val="center"/>
                </w:tcPr>
                <w:p>
                  <w:pPr>
                    <w:pStyle w:val="68"/>
                  </w:pPr>
                  <w:r>
                    <w:rPr>
                      <w:rFonts w:hint="eastAsia"/>
                      <w:bCs/>
                    </w:rPr>
                    <w:t>20</w:t>
                  </w:r>
                </w:p>
              </w:tc>
              <w:tc>
                <w:tcPr>
                  <w:tcW w:w="1113" w:type="dxa"/>
                  <w:vAlign w:val="center"/>
                </w:tcPr>
                <w:p>
                  <w:pPr>
                    <w:pStyle w:val="68"/>
                  </w:pPr>
                  <w:r>
                    <w:rPr>
                      <w:rFonts w:hint="eastAsia"/>
                      <w:bCs/>
                    </w:rPr>
                    <w:t>20</w:t>
                  </w:r>
                </w:p>
              </w:tc>
              <w:tc>
                <w:tcPr>
                  <w:tcW w:w="1113" w:type="dxa"/>
                  <w:vAlign w:val="center"/>
                </w:tcPr>
                <w:p>
                  <w:pPr>
                    <w:pStyle w:val="68"/>
                  </w:pPr>
                  <w:r>
                    <w:rPr>
                      <w:rFonts w:hint="eastAsia"/>
                      <w:bCs/>
                    </w:rPr>
                    <w:t>3</w:t>
                  </w:r>
                </w:p>
              </w:tc>
              <w:tc>
                <w:tcPr>
                  <w:tcW w:w="1080" w:type="dxa"/>
                  <w:vAlign w:val="center"/>
                </w:tcPr>
                <w:p>
                  <w:pPr>
                    <w:pStyle w:val="68"/>
                  </w:pPr>
                  <w:r>
                    <w:rPr>
                      <w:rFonts w:hint="eastAsia"/>
                      <w:bCs/>
                    </w:rPr>
                    <w:t>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43" w:hRule="atLeast"/>
              </w:trPr>
              <w:tc>
                <w:tcPr>
                  <w:tcW w:w="1113" w:type="pct"/>
                  <w:vMerge w:val="continue"/>
                  <w:vAlign w:val="center"/>
                </w:tcPr>
                <w:p>
                  <w:pPr>
                    <w:pStyle w:val="68"/>
                  </w:pPr>
                </w:p>
              </w:tc>
              <w:tc>
                <w:tcPr>
                  <w:tcW w:w="1218" w:type="pct"/>
                  <w:vAlign w:val="center"/>
                </w:tcPr>
                <w:p>
                  <w:pPr>
                    <w:pStyle w:val="68"/>
                  </w:pPr>
                  <w:r>
                    <w:t>浓度（mg/L）</w:t>
                  </w:r>
                </w:p>
              </w:tc>
              <w:tc>
                <w:tcPr>
                  <w:tcW w:w="1113" w:type="dxa"/>
                  <w:vAlign w:val="center"/>
                </w:tcPr>
                <w:p>
                  <w:pPr>
                    <w:pStyle w:val="68"/>
                  </w:pPr>
                  <w:r>
                    <w:rPr>
                      <w:rFonts w:hint="eastAsia"/>
                    </w:rPr>
                    <w:t>280</w:t>
                  </w:r>
                </w:p>
              </w:tc>
              <w:tc>
                <w:tcPr>
                  <w:tcW w:w="1113" w:type="dxa"/>
                </w:tcPr>
                <w:p>
                  <w:pPr>
                    <w:pStyle w:val="68"/>
                  </w:pPr>
                  <w:r>
                    <w:rPr>
                      <w:rFonts w:hint="eastAsia"/>
                    </w:rPr>
                    <w:t>144</w:t>
                  </w:r>
                </w:p>
              </w:tc>
              <w:tc>
                <w:tcPr>
                  <w:tcW w:w="1113" w:type="dxa"/>
                  <w:vAlign w:val="center"/>
                </w:tcPr>
                <w:p>
                  <w:pPr>
                    <w:pStyle w:val="68"/>
                  </w:pPr>
                  <w:r>
                    <w:rPr>
                      <w:rFonts w:hint="eastAsia"/>
                    </w:rPr>
                    <w:t>29.1</w:t>
                  </w:r>
                </w:p>
              </w:tc>
              <w:tc>
                <w:tcPr>
                  <w:tcW w:w="1080" w:type="dxa"/>
                  <w:vAlign w:val="center"/>
                </w:tcPr>
                <w:p>
                  <w:pPr>
                    <w:pStyle w:val="68"/>
                  </w:pPr>
                  <w:r>
                    <w:rPr>
                      <w:rFonts w:hint="eastAsia"/>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3" w:hRule="atLeast"/>
              </w:trPr>
              <w:tc>
                <w:tcPr>
                  <w:tcW w:w="1113" w:type="pct"/>
                  <w:vMerge w:val="continue"/>
                  <w:vAlign w:val="center"/>
                </w:tcPr>
                <w:p>
                  <w:pPr>
                    <w:pStyle w:val="68"/>
                  </w:pPr>
                </w:p>
              </w:tc>
              <w:tc>
                <w:tcPr>
                  <w:tcW w:w="1218" w:type="pct"/>
                  <w:vAlign w:val="center"/>
                </w:tcPr>
                <w:p>
                  <w:pPr>
                    <w:pStyle w:val="68"/>
                  </w:pPr>
                  <w:r>
                    <w:t>排放量（t/a）</w:t>
                  </w:r>
                </w:p>
              </w:tc>
              <w:tc>
                <w:tcPr>
                  <w:tcW w:w="1113" w:type="dxa"/>
                  <w:vAlign w:val="center"/>
                </w:tcPr>
                <w:p>
                  <w:pPr>
                    <w:pStyle w:val="68"/>
                  </w:pPr>
                  <w:r>
                    <w:rPr>
                      <w:bCs/>
                    </w:rPr>
                    <w:t>0.</w:t>
                  </w:r>
                  <w:r>
                    <w:rPr>
                      <w:rFonts w:hint="eastAsia"/>
                      <w:bCs/>
                    </w:rPr>
                    <w:t>0269</w:t>
                  </w:r>
                </w:p>
              </w:tc>
              <w:tc>
                <w:tcPr>
                  <w:tcW w:w="1113" w:type="dxa"/>
                  <w:vAlign w:val="center"/>
                </w:tcPr>
                <w:p>
                  <w:pPr>
                    <w:pStyle w:val="68"/>
                  </w:pPr>
                  <w:r>
                    <w:rPr>
                      <w:rFonts w:hint="eastAsia"/>
                      <w:bCs/>
                    </w:rPr>
                    <w:t>0.0138</w:t>
                  </w:r>
                </w:p>
              </w:tc>
              <w:tc>
                <w:tcPr>
                  <w:tcW w:w="1113" w:type="dxa"/>
                  <w:vAlign w:val="center"/>
                </w:tcPr>
                <w:p>
                  <w:pPr>
                    <w:pStyle w:val="68"/>
                  </w:pPr>
                  <w:r>
                    <w:rPr>
                      <w:bCs/>
                    </w:rPr>
                    <w:t>0.0</w:t>
                  </w:r>
                  <w:r>
                    <w:rPr>
                      <w:rFonts w:hint="eastAsia"/>
                      <w:bCs/>
                    </w:rPr>
                    <w:t>028</w:t>
                  </w:r>
                </w:p>
              </w:tc>
              <w:tc>
                <w:tcPr>
                  <w:tcW w:w="1080" w:type="dxa"/>
                  <w:vAlign w:val="center"/>
                </w:tcPr>
                <w:p>
                  <w:pPr>
                    <w:pStyle w:val="68"/>
                  </w:pPr>
                  <w:r>
                    <w:rPr>
                      <w:bCs/>
                    </w:rPr>
                    <w:t>0.</w:t>
                  </w:r>
                  <w:r>
                    <w:rPr>
                      <w:rFonts w:hint="eastAsia"/>
                      <w:bCs/>
                    </w:rPr>
                    <w:t>0096</w:t>
                  </w:r>
                </w:p>
              </w:tc>
            </w:tr>
          </w:tbl>
          <w:p>
            <w:pPr>
              <w:pStyle w:val="53"/>
              <w:ind w:firstLine="480"/>
            </w:pPr>
            <w:r>
              <w:t>表</w:t>
            </w:r>
            <w:r>
              <w:rPr>
                <w:rFonts w:hint="eastAsia"/>
              </w:rPr>
              <w:t>32</w:t>
            </w:r>
            <w:r>
              <w:t xml:space="preserve">     废水类别、污染物及污染治理设施信息表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2"/>
              <w:gridCol w:w="980"/>
              <w:gridCol w:w="861"/>
              <w:gridCol w:w="712"/>
              <w:gridCol w:w="722"/>
              <w:gridCol w:w="977"/>
              <w:gridCol w:w="889"/>
              <w:gridCol w:w="1179"/>
              <w:gridCol w:w="15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 w:type="pct"/>
                  <w:vAlign w:val="center"/>
                </w:tcPr>
                <w:p>
                  <w:pPr>
                    <w:pStyle w:val="68"/>
                  </w:pPr>
                  <w:r>
                    <w:t>序号</w:t>
                  </w:r>
                </w:p>
              </w:tc>
              <w:tc>
                <w:tcPr>
                  <w:tcW w:w="592" w:type="pct"/>
                  <w:vAlign w:val="center"/>
                </w:tcPr>
                <w:p>
                  <w:pPr>
                    <w:pStyle w:val="68"/>
                  </w:pPr>
                  <w:r>
                    <w:t>废水</w:t>
                  </w:r>
                </w:p>
                <w:p>
                  <w:pPr>
                    <w:pStyle w:val="68"/>
                  </w:pPr>
                  <w:r>
                    <w:t>类别</w:t>
                  </w:r>
                </w:p>
              </w:tc>
              <w:tc>
                <w:tcPr>
                  <w:tcW w:w="520" w:type="pct"/>
                  <w:vAlign w:val="center"/>
                </w:tcPr>
                <w:p>
                  <w:pPr>
                    <w:pStyle w:val="68"/>
                  </w:pPr>
                  <w:r>
                    <w:t>污染物种类</w:t>
                  </w:r>
                </w:p>
              </w:tc>
              <w:tc>
                <w:tcPr>
                  <w:tcW w:w="430" w:type="pct"/>
                  <w:vAlign w:val="center"/>
                </w:tcPr>
                <w:p>
                  <w:pPr>
                    <w:pStyle w:val="68"/>
                  </w:pPr>
                  <w:r>
                    <w:t>排放去向</w:t>
                  </w:r>
                </w:p>
              </w:tc>
              <w:tc>
                <w:tcPr>
                  <w:tcW w:w="436" w:type="pct"/>
                  <w:vAlign w:val="center"/>
                </w:tcPr>
                <w:p>
                  <w:pPr>
                    <w:pStyle w:val="68"/>
                  </w:pPr>
                  <w:r>
                    <w:t>排放规律</w:t>
                  </w:r>
                </w:p>
              </w:tc>
              <w:tc>
                <w:tcPr>
                  <w:tcW w:w="590" w:type="pct"/>
                  <w:vAlign w:val="center"/>
                </w:tcPr>
                <w:p>
                  <w:pPr>
                    <w:pStyle w:val="68"/>
                  </w:pPr>
                  <w:r>
                    <w:t>污染防治设施</w:t>
                  </w:r>
                </w:p>
              </w:tc>
              <w:tc>
                <w:tcPr>
                  <w:tcW w:w="537" w:type="pct"/>
                  <w:vAlign w:val="center"/>
                </w:tcPr>
                <w:p>
                  <w:pPr>
                    <w:pStyle w:val="68"/>
                  </w:pPr>
                  <w:r>
                    <w:t>排放口编号</w:t>
                  </w:r>
                </w:p>
              </w:tc>
              <w:tc>
                <w:tcPr>
                  <w:tcW w:w="712" w:type="pct"/>
                  <w:vAlign w:val="center"/>
                </w:tcPr>
                <w:p>
                  <w:pPr>
                    <w:pStyle w:val="68"/>
                  </w:pPr>
                  <w:r>
                    <w:t>排放口设置是否符合要求</w:t>
                  </w:r>
                </w:p>
              </w:tc>
              <w:tc>
                <w:tcPr>
                  <w:tcW w:w="922" w:type="pct"/>
                  <w:vAlign w:val="center"/>
                </w:tcPr>
                <w:p>
                  <w:pPr>
                    <w:pStyle w:val="68"/>
                  </w:pPr>
                  <w:r>
                    <w:t>排放口类型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 w:type="pct"/>
                  <w:vMerge w:val="restart"/>
                  <w:vAlign w:val="center"/>
                </w:tcPr>
                <w:p>
                  <w:pPr>
                    <w:pStyle w:val="68"/>
                  </w:pPr>
                  <w:r>
                    <w:t>1</w:t>
                  </w:r>
                </w:p>
              </w:tc>
              <w:tc>
                <w:tcPr>
                  <w:tcW w:w="592" w:type="pct"/>
                  <w:vMerge w:val="restart"/>
                  <w:vAlign w:val="center"/>
                </w:tcPr>
                <w:p>
                  <w:pPr>
                    <w:pStyle w:val="68"/>
                  </w:pPr>
                  <w:r>
                    <w:t>生活</w:t>
                  </w:r>
                </w:p>
                <w:p>
                  <w:pPr>
                    <w:pStyle w:val="68"/>
                  </w:pPr>
                  <w:r>
                    <w:t>污水</w:t>
                  </w:r>
                </w:p>
              </w:tc>
              <w:tc>
                <w:tcPr>
                  <w:tcW w:w="520" w:type="pct"/>
                  <w:vAlign w:val="center"/>
                </w:tcPr>
                <w:p>
                  <w:pPr>
                    <w:pStyle w:val="68"/>
                  </w:pPr>
                  <w:r>
                    <w:t>COD</w:t>
                  </w:r>
                </w:p>
              </w:tc>
              <w:tc>
                <w:tcPr>
                  <w:tcW w:w="430" w:type="pct"/>
                  <w:vMerge w:val="restart"/>
                  <w:vAlign w:val="center"/>
                </w:tcPr>
                <w:p>
                  <w:pPr>
                    <w:pStyle w:val="68"/>
                  </w:pPr>
                  <w:r>
                    <w:t>市政管网</w:t>
                  </w:r>
                </w:p>
              </w:tc>
              <w:tc>
                <w:tcPr>
                  <w:tcW w:w="436" w:type="pct"/>
                  <w:vMerge w:val="restart"/>
                  <w:vAlign w:val="center"/>
                </w:tcPr>
                <w:p>
                  <w:pPr>
                    <w:pStyle w:val="68"/>
                  </w:pPr>
                  <w:r>
                    <w:t>间歇排放</w:t>
                  </w:r>
                </w:p>
              </w:tc>
              <w:tc>
                <w:tcPr>
                  <w:tcW w:w="590" w:type="pct"/>
                  <w:vMerge w:val="restart"/>
                  <w:vAlign w:val="center"/>
                </w:tcPr>
                <w:p>
                  <w:pPr>
                    <w:pStyle w:val="68"/>
                  </w:pPr>
                  <w:r>
                    <w:t>化粪池</w:t>
                  </w:r>
                </w:p>
              </w:tc>
              <w:tc>
                <w:tcPr>
                  <w:tcW w:w="537" w:type="pct"/>
                  <w:vMerge w:val="restart"/>
                  <w:vAlign w:val="center"/>
                </w:tcPr>
                <w:p>
                  <w:pPr>
                    <w:pStyle w:val="68"/>
                  </w:pPr>
                  <w:r>
                    <w:t>TW001</w:t>
                  </w:r>
                </w:p>
              </w:tc>
              <w:tc>
                <w:tcPr>
                  <w:tcW w:w="712" w:type="pct"/>
                  <w:vMerge w:val="restart"/>
                  <w:vAlign w:val="center"/>
                </w:tcPr>
                <w:p>
                  <w:pPr>
                    <w:pStyle w:val="68"/>
                  </w:pPr>
                  <w:r>
                    <w:fldChar w:fldCharType="begin"/>
                  </w:r>
                  <w:r>
                    <w:instrText xml:space="preserve"> eq \o\ac(</w:instrText>
                  </w:r>
                  <w:r>
                    <w:rPr>
                      <w:position w:val="-2"/>
                      <w:sz w:val="31"/>
                    </w:rPr>
                    <w:instrText xml:space="preserve">□</w:instrText>
                  </w:r>
                  <w:r>
                    <w:instrText xml:space="preserve">,√)</w:instrText>
                  </w:r>
                  <w:r>
                    <w:fldChar w:fldCharType="end"/>
                  </w:r>
                  <w:r>
                    <w:t>是</w:t>
                  </w:r>
                </w:p>
                <w:p>
                  <w:pPr>
                    <w:pStyle w:val="68"/>
                  </w:pPr>
                  <w:r>
                    <w:t>□否</w:t>
                  </w:r>
                </w:p>
              </w:tc>
              <w:tc>
                <w:tcPr>
                  <w:tcW w:w="922" w:type="pct"/>
                  <w:vMerge w:val="restart"/>
                  <w:vAlign w:val="center"/>
                </w:tcPr>
                <w:p>
                  <w:pPr>
                    <w:pStyle w:val="68"/>
                  </w:pPr>
                  <w:r>
                    <w:fldChar w:fldCharType="begin"/>
                  </w:r>
                  <w:r>
                    <w:instrText xml:space="preserve"> eq \o\ac(</w:instrText>
                  </w:r>
                  <w:r>
                    <w:rPr>
                      <w:position w:val="-2"/>
                      <w:sz w:val="31"/>
                    </w:rPr>
                    <w:instrText xml:space="preserve">□</w:instrText>
                  </w:r>
                  <w:r>
                    <w:instrText xml:space="preserve">,√)</w:instrText>
                  </w:r>
                  <w:r>
                    <w:fldChar w:fldCharType="end"/>
                  </w:r>
                  <w:r>
                    <w:t>企业总排</w:t>
                  </w:r>
                </w:p>
                <w:p>
                  <w:pPr>
                    <w:pStyle w:val="68"/>
                  </w:pPr>
                  <w:r>
                    <w:t>□雨水排放</w:t>
                  </w:r>
                </w:p>
                <w:p>
                  <w:pPr>
                    <w:pStyle w:val="68"/>
                  </w:pPr>
                  <w:r>
                    <w:t>□温水排放</w:t>
                  </w:r>
                </w:p>
                <w:p>
                  <w:pPr>
                    <w:pStyle w:val="68"/>
                  </w:pPr>
                  <w:r>
                    <w:t>□车间或车间处理设施排放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 w:type="pct"/>
                  <w:vMerge w:val="continue"/>
                  <w:vAlign w:val="center"/>
                </w:tcPr>
                <w:p>
                  <w:pPr>
                    <w:pStyle w:val="68"/>
                  </w:pPr>
                </w:p>
              </w:tc>
              <w:tc>
                <w:tcPr>
                  <w:tcW w:w="592" w:type="pct"/>
                  <w:vMerge w:val="continue"/>
                  <w:vAlign w:val="center"/>
                </w:tcPr>
                <w:p>
                  <w:pPr>
                    <w:pStyle w:val="68"/>
                  </w:pPr>
                </w:p>
              </w:tc>
              <w:tc>
                <w:tcPr>
                  <w:tcW w:w="520" w:type="pct"/>
                  <w:vAlign w:val="center"/>
                </w:tcPr>
                <w:p>
                  <w:pPr>
                    <w:pStyle w:val="68"/>
                  </w:pPr>
                  <w:r>
                    <w:t>BOD</w:t>
                  </w:r>
                  <w:r>
                    <w:rPr>
                      <w:vertAlign w:val="subscript"/>
                    </w:rPr>
                    <w:t>5</w:t>
                  </w:r>
                </w:p>
              </w:tc>
              <w:tc>
                <w:tcPr>
                  <w:tcW w:w="430" w:type="pct"/>
                  <w:vMerge w:val="continue"/>
                  <w:vAlign w:val="center"/>
                </w:tcPr>
                <w:p>
                  <w:pPr>
                    <w:pStyle w:val="68"/>
                  </w:pPr>
                </w:p>
              </w:tc>
              <w:tc>
                <w:tcPr>
                  <w:tcW w:w="436" w:type="pct"/>
                  <w:vMerge w:val="continue"/>
                  <w:vAlign w:val="center"/>
                </w:tcPr>
                <w:p>
                  <w:pPr>
                    <w:pStyle w:val="68"/>
                  </w:pPr>
                </w:p>
              </w:tc>
              <w:tc>
                <w:tcPr>
                  <w:tcW w:w="590" w:type="pct"/>
                  <w:vMerge w:val="continue"/>
                  <w:vAlign w:val="center"/>
                </w:tcPr>
                <w:p>
                  <w:pPr>
                    <w:pStyle w:val="68"/>
                  </w:pPr>
                </w:p>
              </w:tc>
              <w:tc>
                <w:tcPr>
                  <w:tcW w:w="537" w:type="pct"/>
                  <w:vMerge w:val="continue"/>
                  <w:vAlign w:val="center"/>
                </w:tcPr>
                <w:p>
                  <w:pPr>
                    <w:pStyle w:val="68"/>
                  </w:pPr>
                </w:p>
              </w:tc>
              <w:tc>
                <w:tcPr>
                  <w:tcW w:w="712" w:type="pct"/>
                  <w:vMerge w:val="continue"/>
                  <w:vAlign w:val="center"/>
                </w:tcPr>
                <w:p>
                  <w:pPr>
                    <w:pStyle w:val="68"/>
                  </w:pPr>
                </w:p>
              </w:tc>
              <w:tc>
                <w:tcPr>
                  <w:tcW w:w="922" w:type="pct"/>
                  <w:vMerge w:val="continue"/>
                  <w:vAlign w:val="center"/>
                </w:tcPr>
                <w:p>
                  <w:pPr>
                    <w:pStyle w:val="68"/>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1" w:type="pct"/>
                  <w:vMerge w:val="continue"/>
                  <w:vAlign w:val="center"/>
                </w:tcPr>
                <w:p>
                  <w:pPr>
                    <w:pStyle w:val="68"/>
                    <w:rPr>
                      <w:highlight w:val="yellow"/>
                    </w:rPr>
                  </w:pPr>
                </w:p>
              </w:tc>
              <w:tc>
                <w:tcPr>
                  <w:tcW w:w="592" w:type="pct"/>
                  <w:vMerge w:val="continue"/>
                  <w:vAlign w:val="center"/>
                </w:tcPr>
                <w:p>
                  <w:pPr>
                    <w:pStyle w:val="68"/>
                    <w:rPr>
                      <w:highlight w:val="yellow"/>
                    </w:rPr>
                  </w:pPr>
                </w:p>
              </w:tc>
              <w:tc>
                <w:tcPr>
                  <w:tcW w:w="520" w:type="pct"/>
                  <w:vAlign w:val="center"/>
                </w:tcPr>
                <w:p>
                  <w:pPr>
                    <w:pStyle w:val="68"/>
                  </w:pPr>
                  <w:r>
                    <w:t>NH</w:t>
                  </w:r>
                  <w:r>
                    <w:rPr>
                      <w:vertAlign w:val="subscript"/>
                    </w:rPr>
                    <w:t>3</w:t>
                  </w:r>
                  <w:r>
                    <w:t>-N</w:t>
                  </w:r>
                </w:p>
              </w:tc>
              <w:tc>
                <w:tcPr>
                  <w:tcW w:w="430" w:type="pct"/>
                  <w:vMerge w:val="continue"/>
                  <w:vAlign w:val="center"/>
                </w:tcPr>
                <w:p>
                  <w:pPr>
                    <w:pStyle w:val="68"/>
                    <w:rPr>
                      <w:highlight w:val="yellow"/>
                    </w:rPr>
                  </w:pPr>
                </w:p>
              </w:tc>
              <w:tc>
                <w:tcPr>
                  <w:tcW w:w="436" w:type="pct"/>
                  <w:vMerge w:val="continue"/>
                  <w:vAlign w:val="center"/>
                </w:tcPr>
                <w:p>
                  <w:pPr>
                    <w:pStyle w:val="68"/>
                    <w:rPr>
                      <w:highlight w:val="yellow"/>
                    </w:rPr>
                  </w:pPr>
                </w:p>
              </w:tc>
              <w:tc>
                <w:tcPr>
                  <w:tcW w:w="590" w:type="pct"/>
                  <w:vMerge w:val="continue"/>
                  <w:vAlign w:val="center"/>
                </w:tcPr>
                <w:p>
                  <w:pPr>
                    <w:pStyle w:val="68"/>
                    <w:rPr>
                      <w:highlight w:val="yellow"/>
                    </w:rPr>
                  </w:pPr>
                </w:p>
              </w:tc>
              <w:tc>
                <w:tcPr>
                  <w:tcW w:w="537" w:type="pct"/>
                  <w:vMerge w:val="continue"/>
                  <w:vAlign w:val="center"/>
                </w:tcPr>
                <w:p>
                  <w:pPr>
                    <w:pStyle w:val="68"/>
                    <w:rPr>
                      <w:highlight w:val="yellow"/>
                    </w:rPr>
                  </w:pPr>
                </w:p>
              </w:tc>
              <w:tc>
                <w:tcPr>
                  <w:tcW w:w="712" w:type="pct"/>
                  <w:vMerge w:val="continue"/>
                  <w:vAlign w:val="center"/>
                </w:tcPr>
                <w:p>
                  <w:pPr>
                    <w:pStyle w:val="68"/>
                    <w:rPr>
                      <w:highlight w:val="yellow"/>
                    </w:rPr>
                  </w:pPr>
                </w:p>
              </w:tc>
              <w:tc>
                <w:tcPr>
                  <w:tcW w:w="922" w:type="pct"/>
                  <w:vMerge w:val="continue"/>
                  <w:vAlign w:val="center"/>
                </w:tcPr>
                <w:p>
                  <w:pPr>
                    <w:pStyle w:val="68"/>
                    <w:rPr>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261" w:type="pct"/>
                  <w:vMerge w:val="continue"/>
                  <w:vAlign w:val="center"/>
                </w:tcPr>
                <w:p>
                  <w:pPr>
                    <w:pStyle w:val="68"/>
                    <w:rPr>
                      <w:highlight w:val="yellow"/>
                    </w:rPr>
                  </w:pPr>
                </w:p>
              </w:tc>
              <w:tc>
                <w:tcPr>
                  <w:tcW w:w="592" w:type="pct"/>
                  <w:vMerge w:val="continue"/>
                  <w:vAlign w:val="center"/>
                </w:tcPr>
                <w:p>
                  <w:pPr>
                    <w:pStyle w:val="68"/>
                    <w:rPr>
                      <w:highlight w:val="yellow"/>
                    </w:rPr>
                  </w:pPr>
                </w:p>
              </w:tc>
              <w:tc>
                <w:tcPr>
                  <w:tcW w:w="520" w:type="pct"/>
                  <w:vAlign w:val="center"/>
                </w:tcPr>
                <w:p>
                  <w:pPr>
                    <w:pStyle w:val="68"/>
                  </w:pPr>
                  <w:r>
                    <w:t>SS</w:t>
                  </w:r>
                </w:p>
              </w:tc>
              <w:tc>
                <w:tcPr>
                  <w:tcW w:w="430" w:type="pct"/>
                  <w:vMerge w:val="continue"/>
                  <w:vAlign w:val="center"/>
                </w:tcPr>
                <w:p>
                  <w:pPr>
                    <w:pStyle w:val="68"/>
                    <w:rPr>
                      <w:highlight w:val="yellow"/>
                    </w:rPr>
                  </w:pPr>
                </w:p>
              </w:tc>
              <w:tc>
                <w:tcPr>
                  <w:tcW w:w="436" w:type="pct"/>
                  <w:vMerge w:val="continue"/>
                  <w:vAlign w:val="center"/>
                </w:tcPr>
                <w:p>
                  <w:pPr>
                    <w:pStyle w:val="68"/>
                    <w:rPr>
                      <w:highlight w:val="yellow"/>
                    </w:rPr>
                  </w:pPr>
                </w:p>
              </w:tc>
              <w:tc>
                <w:tcPr>
                  <w:tcW w:w="590" w:type="pct"/>
                  <w:vMerge w:val="continue"/>
                  <w:vAlign w:val="center"/>
                </w:tcPr>
                <w:p>
                  <w:pPr>
                    <w:pStyle w:val="68"/>
                    <w:rPr>
                      <w:highlight w:val="yellow"/>
                    </w:rPr>
                  </w:pPr>
                </w:p>
              </w:tc>
              <w:tc>
                <w:tcPr>
                  <w:tcW w:w="537" w:type="pct"/>
                  <w:vMerge w:val="continue"/>
                  <w:vAlign w:val="center"/>
                </w:tcPr>
                <w:p>
                  <w:pPr>
                    <w:pStyle w:val="68"/>
                    <w:rPr>
                      <w:highlight w:val="yellow"/>
                    </w:rPr>
                  </w:pPr>
                </w:p>
              </w:tc>
              <w:tc>
                <w:tcPr>
                  <w:tcW w:w="712" w:type="pct"/>
                  <w:vMerge w:val="continue"/>
                  <w:vAlign w:val="center"/>
                </w:tcPr>
                <w:p>
                  <w:pPr>
                    <w:pStyle w:val="68"/>
                    <w:rPr>
                      <w:highlight w:val="yellow"/>
                    </w:rPr>
                  </w:pPr>
                </w:p>
              </w:tc>
              <w:tc>
                <w:tcPr>
                  <w:tcW w:w="922" w:type="pct"/>
                  <w:vMerge w:val="continue"/>
                  <w:vAlign w:val="center"/>
                </w:tcPr>
                <w:p>
                  <w:pPr>
                    <w:pStyle w:val="68"/>
                    <w:rPr>
                      <w:highlight w:val="yellow"/>
                    </w:rPr>
                  </w:pPr>
                </w:p>
              </w:tc>
            </w:tr>
          </w:tbl>
          <w:p>
            <w:pPr>
              <w:pStyle w:val="100"/>
            </w:pPr>
            <w:r>
              <w:rPr>
                <w:rFonts w:hint="eastAsia"/>
              </w:rPr>
              <w:t>2.2污染防治设施可行性分析</w:t>
            </w:r>
          </w:p>
          <w:p>
            <w:pPr>
              <w:pStyle w:val="51"/>
              <w:ind w:firstLine="480"/>
            </w:pPr>
            <w:r>
              <w:t>（1）水量</w:t>
            </w:r>
          </w:p>
          <w:p>
            <w:pPr>
              <w:pStyle w:val="51"/>
              <w:ind w:firstLine="480"/>
            </w:pPr>
            <w:r>
              <w:t>本项目生活污水排放量为</w:t>
            </w:r>
            <w:r>
              <w:rPr>
                <w:rFonts w:hint="eastAsia"/>
              </w:rPr>
              <w:t>0.32</w:t>
            </w:r>
            <w:r>
              <w:t>m</w:t>
            </w:r>
            <w:r>
              <w:rPr>
                <w:vertAlign w:val="superscript"/>
              </w:rPr>
              <w:t>3</w:t>
            </w:r>
            <w:r>
              <w:t>/d，</w:t>
            </w:r>
            <w:r>
              <w:rPr>
                <w:rFonts w:hint="eastAsia"/>
              </w:rPr>
              <w:t>现有厂区污水产生量为20.56</w:t>
            </w:r>
            <w:r>
              <w:t>m</w:t>
            </w:r>
            <w:r>
              <w:rPr>
                <w:vertAlign w:val="superscript"/>
              </w:rPr>
              <w:t>3</w:t>
            </w:r>
            <w:r>
              <w:t>/d，</w:t>
            </w:r>
            <w:r>
              <w:rPr>
                <w:rFonts w:hint="eastAsia"/>
              </w:rPr>
              <w:t>本项目投产后厂区</w:t>
            </w:r>
            <w:r>
              <w:t>生活污水排放量约为</w:t>
            </w:r>
            <w:r>
              <w:rPr>
                <w:rFonts w:hint="eastAsia"/>
              </w:rPr>
              <w:t>20.88</w:t>
            </w:r>
            <w:r>
              <w:t>m</w:t>
            </w:r>
            <w:r>
              <w:rPr>
                <w:vertAlign w:val="superscript"/>
              </w:rPr>
              <w:t>3</w:t>
            </w:r>
            <w:r>
              <w:t>/d</w:t>
            </w:r>
            <w:r>
              <w:rPr>
                <w:rFonts w:hint="eastAsia"/>
              </w:rPr>
              <w:t>，</w:t>
            </w:r>
            <w:r>
              <w:t>厂区化粪池容积为</w:t>
            </w:r>
            <w:r>
              <w:rPr>
                <w:rFonts w:hint="eastAsia"/>
              </w:rPr>
              <w:t>5</w:t>
            </w:r>
            <w:r>
              <w:t>0m</w:t>
            </w:r>
            <w:r>
              <w:rPr>
                <w:vertAlign w:val="superscript"/>
              </w:rPr>
              <w:t>3</w:t>
            </w:r>
            <w:r>
              <w:t>，</w:t>
            </w:r>
            <w:r>
              <w:rPr>
                <w:rFonts w:hint="eastAsia"/>
              </w:rPr>
              <w:t>可满足生活污水至少停留12h的要求，因此，本项目依托化粪池容积可行。</w:t>
            </w:r>
          </w:p>
          <w:p>
            <w:pPr>
              <w:pStyle w:val="51"/>
              <w:ind w:firstLine="480"/>
            </w:pPr>
            <w:r>
              <w:t>（2）水质</w:t>
            </w:r>
          </w:p>
          <w:p>
            <w:pPr>
              <w:pStyle w:val="51"/>
              <w:ind w:firstLine="480"/>
            </w:pPr>
            <w:r>
              <w:t>本项目产生的生活污水经化粪池预处理后，污水浓度：COD为280mg/L、氨氮为29.1mg/L、悬浮物为100mg/L，满足《污水综合排放标准》（GB8978-1996）表4 三级标准要求，且满足偃师市第三污水处理厂进水水质要求（COD≤350mg/L，SS≤200mg/L，氨氮≤35mg/L）。</w:t>
            </w:r>
          </w:p>
          <w:p>
            <w:pPr>
              <w:pStyle w:val="51"/>
              <w:ind w:firstLine="480"/>
            </w:pPr>
            <w:r>
              <w:t>综上所述，本项目污水预处理措施是可行的。</w:t>
            </w:r>
          </w:p>
          <w:p>
            <w:pPr>
              <w:pStyle w:val="100"/>
            </w:pPr>
            <w:r>
              <w:t>2.2.2污水处理厂依托可行性分析</w:t>
            </w:r>
          </w:p>
          <w:p>
            <w:pPr>
              <w:pStyle w:val="51"/>
              <w:ind w:firstLine="480"/>
            </w:pPr>
            <w:r>
              <w:t>偃师市第三污水处理厂位于偃师市岳滩镇岳滩村西南，临近伊河，占地30亩，设计处理能力11.5万m</w:t>
            </w:r>
            <w:r>
              <w:rPr>
                <w:vertAlign w:val="superscript"/>
              </w:rPr>
              <w:t>3</w:t>
            </w:r>
            <w:r>
              <w:t>/d（近期6万m</w:t>
            </w:r>
            <w:r>
              <w:rPr>
                <w:vertAlign w:val="superscript"/>
              </w:rPr>
              <w:t>3</w:t>
            </w:r>
            <w:r>
              <w:t>/d、远期11.5万m</w:t>
            </w:r>
            <w:r>
              <w:rPr>
                <w:vertAlign w:val="superscript"/>
              </w:rPr>
              <w:t>3</w:t>
            </w:r>
            <w:r>
              <w:t>/d），目前基础建成部分污水处理能力3万m</w:t>
            </w:r>
            <w:r>
              <w:rPr>
                <w:vertAlign w:val="superscript"/>
              </w:rPr>
              <w:t>3</w:t>
            </w:r>
            <w:r>
              <w:t>/d，实际处理能力1万m</w:t>
            </w:r>
            <w:r>
              <w:rPr>
                <w:vertAlign w:val="superscript"/>
              </w:rPr>
              <w:t>3</w:t>
            </w:r>
            <w:r>
              <w:t>/d。主要收水范围为偃师市产业集聚区南园生产废水和岳滩镇的生产废水、生活污水。污水处理厂进水水质要求为：COD350mg/L，氨氮35mg/L，出水水质标准为《城镇污水处理厂污染物排放标准》（GB18918-2002）一级A标准和《河南省黄河流域水污染物排放标准》（GB/T 1.1—2020）表1-公共污水处理系统水污染物基本控制项目排放限值-二级标准。经调查，目前偃师市第三污水处理厂日处理污水量约为</w:t>
            </w:r>
            <w:r>
              <w:rPr>
                <w:rFonts w:hint="eastAsia"/>
              </w:rPr>
              <w:t>10000</w:t>
            </w:r>
            <w:r>
              <w:t>m</w:t>
            </w:r>
            <w:r>
              <w:rPr>
                <w:vertAlign w:val="superscript"/>
              </w:rPr>
              <w:t>3</w:t>
            </w:r>
            <w:r>
              <w:t>/d，</w:t>
            </w:r>
            <w:r>
              <w:rPr>
                <w:rFonts w:hint="eastAsia"/>
              </w:rPr>
              <w:t>剩余处理能力为20000m</w:t>
            </w:r>
            <w:r>
              <w:rPr>
                <w:rFonts w:hint="eastAsia"/>
                <w:vertAlign w:val="superscript"/>
              </w:rPr>
              <w:t>3</w:t>
            </w:r>
            <w:r>
              <w:rPr>
                <w:rFonts w:hint="eastAsia"/>
              </w:rPr>
              <w:t>/d，能够满足本项目处理需要</w:t>
            </w:r>
            <w:r>
              <w:t>。本项目厂址位于偃师市第三污水处理厂收水范围内，排水水质满足污水处理厂进水水质要求，厂址南侧沿工业大道的市政污水管网已经铺设完成并投入使用。</w:t>
            </w:r>
          </w:p>
          <w:p>
            <w:pPr>
              <w:pStyle w:val="96"/>
              <w:spacing w:line="520" w:lineRule="exact"/>
              <w:jc w:val="both"/>
              <w:rPr>
                <w:bCs/>
                <w:color w:val="auto"/>
              </w:rPr>
            </w:pPr>
            <w:r>
              <w:rPr>
                <w:color w:val="auto"/>
              </w:rPr>
              <w:t>因此，本项目废水依托偃师市第三污水处理厂处理是可行的。</w:t>
            </w:r>
          </w:p>
          <w:p>
            <w:pPr>
              <w:pStyle w:val="48"/>
              <w:ind w:firstLine="480"/>
            </w:pPr>
            <w:r>
              <w:rPr>
                <w:rFonts w:hint="eastAsia"/>
              </w:rPr>
              <w:t>表33             废水污染物排放执行标准表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36"/>
              <w:gridCol w:w="792"/>
              <w:gridCol w:w="840"/>
              <w:gridCol w:w="1070"/>
              <w:gridCol w:w="3075"/>
              <w:gridCol w:w="1701"/>
              <w:gridCol w:w="4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6" w:type="dxa"/>
                  <w:vMerge w:val="restart"/>
                  <w:vAlign w:val="center"/>
                </w:tcPr>
                <w:p>
                  <w:pPr>
                    <w:pStyle w:val="70"/>
                    <w:spacing w:line="400" w:lineRule="exact"/>
                    <w:rPr>
                      <w:sz w:val="21"/>
                      <w:szCs w:val="21"/>
                    </w:rPr>
                  </w:pPr>
                  <w:r>
                    <w:rPr>
                      <w:rFonts w:hAnsi="宋体"/>
                      <w:sz w:val="21"/>
                      <w:szCs w:val="21"/>
                    </w:rPr>
                    <w:t>序号</w:t>
                  </w:r>
                </w:p>
              </w:tc>
              <w:tc>
                <w:tcPr>
                  <w:tcW w:w="792" w:type="dxa"/>
                  <w:vMerge w:val="restart"/>
                  <w:vAlign w:val="center"/>
                </w:tcPr>
                <w:p>
                  <w:pPr>
                    <w:pStyle w:val="70"/>
                    <w:spacing w:line="400" w:lineRule="exact"/>
                    <w:rPr>
                      <w:sz w:val="21"/>
                      <w:szCs w:val="21"/>
                    </w:rPr>
                  </w:pPr>
                  <w:r>
                    <w:rPr>
                      <w:rFonts w:hAnsi="宋体"/>
                      <w:sz w:val="21"/>
                      <w:szCs w:val="21"/>
                    </w:rPr>
                    <w:t>排放口编号</w:t>
                  </w:r>
                </w:p>
              </w:tc>
              <w:tc>
                <w:tcPr>
                  <w:tcW w:w="840" w:type="dxa"/>
                  <w:vMerge w:val="restart"/>
                  <w:vAlign w:val="center"/>
                </w:tcPr>
                <w:p>
                  <w:pPr>
                    <w:pStyle w:val="70"/>
                    <w:spacing w:line="400" w:lineRule="exact"/>
                    <w:rPr>
                      <w:sz w:val="21"/>
                      <w:szCs w:val="21"/>
                    </w:rPr>
                  </w:pPr>
                  <w:r>
                    <w:rPr>
                      <w:rFonts w:hAnsi="宋体"/>
                      <w:sz w:val="21"/>
                      <w:szCs w:val="21"/>
                    </w:rPr>
                    <w:t>污染物种类</w:t>
                  </w:r>
                </w:p>
              </w:tc>
              <w:tc>
                <w:tcPr>
                  <w:tcW w:w="1070" w:type="dxa"/>
                  <w:vMerge w:val="restart"/>
                  <w:vAlign w:val="center"/>
                </w:tcPr>
                <w:p>
                  <w:pPr>
                    <w:pStyle w:val="70"/>
                    <w:spacing w:line="400" w:lineRule="exact"/>
                    <w:rPr>
                      <w:sz w:val="21"/>
                      <w:szCs w:val="21"/>
                    </w:rPr>
                  </w:pPr>
                  <w:r>
                    <w:rPr>
                      <w:rFonts w:hAnsi="宋体"/>
                      <w:sz w:val="21"/>
                      <w:szCs w:val="21"/>
                    </w:rPr>
                    <w:t>排放情况</w:t>
                  </w:r>
                  <w:r>
                    <w:rPr>
                      <w:sz w:val="21"/>
                      <w:szCs w:val="21"/>
                    </w:rPr>
                    <w:t>(mg/L)</w:t>
                  </w:r>
                </w:p>
              </w:tc>
              <w:tc>
                <w:tcPr>
                  <w:tcW w:w="4776" w:type="dxa"/>
                  <w:gridSpan w:val="2"/>
                  <w:vAlign w:val="center"/>
                </w:tcPr>
                <w:p>
                  <w:pPr>
                    <w:pStyle w:val="70"/>
                    <w:spacing w:line="400" w:lineRule="exact"/>
                    <w:rPr>
                      <w:sz w:val="21"/>
                      <w:szCs w:val="21"/>
                    </w:rPr>
                  </w:pPr>
                  <w:r>
                    <w:rPr>
                      <w:rFonts w:hAnsi="宋体"/>
                      <w:sz w:val="21"/>
                      <w:szCs w:val="21"/>
                    </w:rPr>
                    <w:t>国家或地方污染物排放标准及其他规定商定的排放协议</w:t>
                  </w:r>
                </w:p>
              </w:tc>
              <w:tc>
                <w:tcPr>
                  <w:tcW w:w="465" w:type="dxa"/>
                  <w:vMerge w:val="restart"/>
                  <w:vAlign w:val="center"/>
                </w:tcPr>
                <w:p>
                  <w:pPr>
                    <w:pStyle w:val="70"/>
                    <w:spacing w:line="400" w:lineRule="exact"/>
                    <w:rPr>
                      <w:sz w:val="21"/>
                      <w:szCs w:val="21"/>
                    </w:rPr>
                  </w:pPr>
                  <w:r>
                    <w:rPr>
                      <w:rFonts w:hAnsi="宋体"/>
                      <w:sz w:val="21"/>
                      <w:szCs w:val="21"/>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6" w:type="dxa"/>
                  <w:vMerge w:val="continue"/>
                  <w:vAlign w:val="center"/>
                </w:tcPr>
                <w:p>
                  <w:pPr>
                    <w:pStyle w:val="70"/>
                    <w:spacing w:line="400" w:lineRule="exact"/>
                    <w:rPr>
                      <w:sz w:val="21"/>
                      <w:szCs w:val="21"/>
                    </w:rPr>
                  </w:pPr>
                </w:p>
              </w:tc>
              <w:tc>
                <w:tcPr>
                  <w:tcW w:w="792" w:type="dxa"/>
                  <w:vMerge w:val="continue"/>
                  <w:vAlign w:val="center"/>
                </w:tcPr>
                <w:p>
                  <w:pPr>
                    <w:pStyle w:val="70"/>
                    <w:spacing w:line="400" w:lineRule="exact"/>
                    <w:rPr>
                      <w:sz w:val="21"/>
                      <w:szCs w:val="21"/>
                    </w:rPr>
                  </w:pPr>
                </w:p>
              </w:tc>
              <w:tc>
                <w:tcPr>
                  <w:tcW w:w="840" w:type="dxa"/>
                  <w:vMerge w:val="continue"/>
                  <w:vAlign w:val="center"/>
                </w:tcPr>
                <w:p>
                  <w:pPr>
                    <w:pStyle w:val="70"/>
                    <w:spacing w:line="400" w:lineRule="exact"/>
                    <w:rPr>
                      <w:sz w:val="21"/>
                      <w:szCs w:val="21"/>
                    </w:rPr>
                  </w:pPr>
                </w:p>
              </w:tc>
              <w:tc>
                <w:tcPr>
                  <w:tcW w:w="1070" w:type="dxa"/>
                  <w:vMerge w:val="continue"/>
                  <w:vAlign w:val="center"/>
                </w:tcPr>
                <w:p>
                  <w:pPr>
                    <w:pStyle w:val="70"/>
                    <w:spacing w:line="400" w:lineRule="exact"/>
                    <w:rPr>
                      <w:sz w:val="21"/>
                      <w:szCs w:val="21"/>
                    </w:rPr>
                  </w:pPr>
                </w:p>
              </w:tc>
              <w:tc>
                <w:tcPr>
                  <w:tcW w:w="3075" w:type="dxa"/>
                  <w:vAlign w:val="center"/>
                </w:tcPr>
                <w:p>
                  <w:pPr>
                    <w:pStyle w:val="70"/>
                    <w:spacing w:line="400" w:lineRule="exact"/>
                    <w:rPr>
                      <w:sz w:val="21"/>
                      <w:szCs w:val="21"/>
                    </w:rPr>
                  </w:pPr>
                  <w:r>
                    <w:rPr>
                      <w:rFonts w:hAnsi="宋体"/>
                      <w:sz w:val="21"/>
                      <w:szCs w:val="21"/>
                    </w:rPr>
                    <w:t>名称</w:t>
                  </w:r>
                </w:p>
              </w:tc>
              <w:tc>
                <w:tcPr>
                  <w:tcW w:w="1701" w:type="dxa"/>
                  <w:vAlign w:val="center"/>
                </w:tcPr>
                <w:p>
                  <w:pPr>
                    <w:pStyle w:val="70"/>
                    <w:spacing w:line="400" w:lineRule="exact"/>
                    <w:rPr>
                      <w:sz w:val="21"/>
                      <w:szCs w:val="21"/>
                    </w:rPr>
                  </w:pPr>
                  <w:r>
                    <w:rPr>
                      <w:rFonts w:hAnsi="宋体"/>
                      <w:sz w:val="21"/>
                      <w:szCs w:val="21"/>
                    </w:rPr>
                    <w:t>浓度限值（</w:t>
                  </w:r>
                  <w:r>
                    <w:rPr>
                      <w:sz w:val="21"/>
                      <w:szCs w:val="21"/>
                    </w:rPr>
                    <w:t>mg/L</w:t>
                  </w:r>
                  <w:r>
                    <w:rPr>
                      <w:rFonts w:hAnsi="宋体"/>
                      <w:sz w:val="21"/>
                      <w:szCs w:val="21"/>
                    </w:rPr>
                    <w:t>）</w:t>
                  </w:r>
                </w:p>
              </w:tc>
              <w:tc>
                <w:tcPr>
                  <w:tcW w:w="465" w:type="dxa"/>
                  <w:vMerge w:val="continue"/>
                  <w:vAlign w:val="center"/>
                </w:tcPr>
                <w:p>
                  <w:pPr>
                    <w:pStyle w:val="70"/>
                    <w:spacing w:line="40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6" w:type="dxa"/>
                  <w:vMerge w:val="restart"/>
                  <w:vAlign w:val="center"/>
                </w:tcPr>
                <w:p>
                  <w:pPr>
                    <w:pStyle w:val="70"/>
                    <w:spacing w:line="400" w:lineRule="exact"/>
                    <w:rPr>
                      <w:sz w:val="21"/>
                      <w:szCs w:val="21"/>
                    </w:rPr>
                  </w:pPr>
                  <w:r>
                    <w:rPr>
                      <w:sz w:val="21"/>
                      <w:szCs w:val="21"/>
                    </w:rPr>
                    <w:t>1</w:t>
                  </w:r>
                </w:p>
              </w:tc>
              <w:tc>
                <w:tcPr>
                  <w:tcW w:w="792" w:type="dxa"/>
                  <w:vMerge w:val="restart"/>
                  <w:vAlign w:val="center"/>
                </w:tcPr>
                <w:p>
                  <w:pPr>
                    <w:pStyle w:val="70"/>
                    <w:spacing w:line="400" w:lineRule="exact"/>
                    <w:rPr>
                      <w:sz w:val="21"/>
                      <w:szCs w:val="21"/>
                    </w:rPr>
                  </w:pPr>
                  <w:r>
                    <w:rPr>
                      <w:sz w:val="21"/>
                      <w:szCs w:val="21"/>
                    </w:rPr>
                    <w:t>DW001</w:t>
                  </w:r>
                </w:p>
              </w:tc>
              <w:tc>
                <w:tcPr>
                  <w:tcW w:w="840" w:type="dxa"/>
                  <w:vAlign w:val="center"/>
                </w:tcPr>
                <w:p>
                  <w:pPr>
                    <w:pStyle w:val="104"/>
                    <w:spacing w:line="400" w:lineRule="exact"/>
                    <w:ind w:firstLine="0" w:firstLineChars="0"/>
                    <w:jc w:val="center"/>
                    <w:rPr>
                      <w:rFonts w:cs="Times New Roman"/>
                    </w:rPr>
                  </w:pPr>
                  <w:r>
                    <w:rPr>
                      <w:rFonts w:cs="Times New Roman"/>
                    </w:rPr>
                    <w:t>COD</w:t>
                  </w:r>
                </w:p>
              </w:tc>
              <w:tc>
                <w:tcPr>
                  <w:tcW w:w="1070" w:type="dxa"/>
                  <w:vAlign w:val="center"/>
                </w:tcPr>
                <w:p>
                  <w:pPr>
                    <w:pStyle w:val="104"/>
                    <w:spacing w:line="400" w:lineRule="exact"/>
                    <w:ind w:firstLine="0" w:firstLineChars="0"/>
                    <w:jc w:val="center"/>
                    <w:rPr>
                      <w:rFonts w:cs="Times New Roman"/>
                    </w:rPr>
                  </w:pPr>
                  <w:r>
                    <w:rPr>
                      <w:rFonts w:hint="eastAsia" w:cs="Times New Roman"/>
                    </w:rPr>
                    <w:t>280</w:t>
                  </w:r>
                </w:p>
              </w:tc>
              <w:tc>
                <w:tcPr>
                  <w:tcW w:w="3075" w:type="dxa"/>
                  <w:vMerge w:val="restart"/>
                  <w:vAlign w:val="center"/>
                </w:tcPr>
                <w:p>
                  <w:pPr>
                    <w:pStyle w:val="70"/>
                    <w:spacing w:line="400" w:lineRule="exact"/>
                    <w:rPr>
                      <w:sz w:val="21"/>
                      <w:szCs w:val="21"/>
                    </w:rPr>
                  </w:pPr>
                  <w:r>
                    <w:rPr>
                      <w:sz w:val="21"/>
                      <w:szCs w:val="21"/>
                    </w:rPr>
                    <w:t>《污水综合排放标准》</w:t>
                  </w:r>
                  <w:r>
                    <w:rPr>
                      <w:rFonts w:hint="eastAsia"/>
                      <w:sz w:val="21"/>
                      <w:szCs w:val="21"/>
                    </w:rPr>
                    <w:t>（</w:t>
                  </w:r>
                  <w:r>
                    <w:rPr>
                      <w:sz w:val="21"/>
                      <w:szCs w:val="21"/>
                    </w:rPr>
                    <w:t>GB8978-1996</w:t>
                  </w:r>
                  <w:r>
                    <w:rPr>
                      <w:rFonts w:hint="eastAsia"/>
                      <w:sz w:val="21"/>
                      <w:szCs w:val="21"/>
                    </w:rPr>
                    <w:t>）三级标准，偃师区第三污水处理厂进水水质要求</w:t>
                  </w:r>
                </w:p>
              </w:tc>
              <w:tc>
                <w:tcPr>
                  <w:tcW w:w="1701" w:type="dxa"/>
                  <w:vAlign w:val="center"/>
                </w:tcPr>
                <w:p>
                  <w:pPr>
                    <w:pStyle w:val="70"/>
                    <w:spacing w:line="400" w:lineRule="exact"/>
                    <w:rPr>
                      <w:sz w:val="21"/>
                      <w:szCs w:val="21"/>
                    </w:rPr>
                  </w:pPr>
                  <w:r>
                    <w:rPr>
                      <w:rFonts w:hint="eastAsia"/>
                      <w:sz w:val="21"/>
                      <w:szCs w:val="21"/>
                    </w:rPr>
                    <w:t>350</w:t>
                  </w:r>
                </w:p>
              </w:tc>
              <w:tc>
                <w:tcPr>
                  <w:tcW w:w="465" w:type="dxa"/>
                  <w:vAlign w:val="center"/>
                </w:tcPr>
                <w:p>
                  <w:pPr>
                    <w:pStyle w:val="70"/>
                    <w:spacing w:line="400" w:lineRule="exact"/>
                    <w:rPr>
                      <w:sz w:val="21"/>
                      <w:szCs w:val="21"/>
                    </w:rPr>
                  </w:pPr>
                  <w:r>
                    <w:rPr>
                      <w:rFonts w:hAnsi="宋体"/>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6" w:type="dxa"/>
                  <w:vMerge w:val="continue"/>
                  <w:vAlign w:val="center"/>
                </w:tcPr>
                <w:p>
                  <w:pPr>
                    <w:pStyle w:val="70"/>
                    <w:spacing w:line="400" w:lineRule="exact"/>
                    <w:rPr>
                      <w:sz w:val="21"/>
                      <w:szCs w:val="21"/>
                    </w:rPr>
                  </w:pPr>
                </w:p>
              </w:tc>
              <w:tc>
                <w:tcPr>
                  <w:tcW w:w="792" w:type="dxa"/>
                  <w:vMerge w:val="continue"/>
                  <w:vAlign w:val="center"/>
                </w:tcPr>
                <w:p>
                  <w:pPr>
                    <w:pStyle w:val="70"/>
                    <w:spacing w:line="400" w:lineRule="exact"/>
                    <w:rPr>
                      <w:sz w:val="21"/>
                      <w:szCs w:val="21"/>
                    </w:rPr>
                  </w:pPr>
                </w:p>
              </w:tc>
              <w:tc>
                <w:tcPr>
                  <w:tcW w:w="840" w:type="dxa"/>
                  <w:vAlign w:val="center"/>
                </w:tcPr>
                <w:p>
                  <w:pPr>
                    <w:pStyle w:val="104"/>
                    <w:spacing w:line="400" w:lineRule="exact"/>
                    <w:ind w:firstLine="0" w:firstLineChars="0"/>
                    <w:jc w:val="center"/>
                    <w:rPr>
                      <w:rFonts w:cs="Times New Roman"/>
                    </w:rPr>
                  </w:pPr>
                  <w:r>
                    <w:rPr>
                      <w:rFonts w:cs="Times New Roman"/>
                    </w:rPr>
                    <w:t>SS</w:t>
                  </w:r>
                </w:p>
              </w:tc>
              <w:tc>
                <w:tcPr>
                  <w:tcW w:w="1070" w:type="dxa"/>
                  <w:vAlign w:val="center"/>
                </w:tcPr>
                <w:p>
                  <w:pPr>
                    <w:pStyle w:val="104"/>
                    <w:spacing w:line="400" w:lineRule="exact"/>
                    <w:ind w:firstLine="0" w:firstLineChars="0"/>
                    <w:jc w:val="center"/>
                    <w:rPr>
                      <w:rFonts w:cs="Times New Roman"/>
                    </w:rPr>
                  </w:pPr>
                  <w:r>
                    <w:rPr>
                      <w:rFonts w:hint="eastAsia" w:cs="Times New Roman"/>
                    </w:rPr>
                    <w:t>100</w:t>
                  </w:r>
                </w:p>
              </w:tc>
              <w:tc>
                <w:tcPr>
                  <w:tcW w:w="3075" w:type="dxa"/>
                  <w:vMerge w:val="continue"/>
                  <w:vAlign w:val="center"/>
                </w:tcPr>
                <w:p>
                  <w:pPr>
                    <w:pStyle w:val="70"/>
                    <w:spacing w:line="400" w:lineRule="exact"/>
                    <w:rPr>
                      <w:sz w:val="21"/>
                      <w:szCs w:val="21"/>
                    </w:rPr>
                  </w:pPr>
                </w:p>
              </w:tc>
              <w:tc>
                <w:tcPr>
                  <w:tcW w:w="1701" w:type="dxa"/>
                  <w:vAlign w:val="center"/>
                </w:tcPr>
                <w:p>
                  <w:pPr>
                    <w:pStyle w:val="70"/>
                    <w:spacing w:line="400" w:lineRule="exact"/>
                    <w:rPr>
                      <w:sz w:val="21"/>
                      <w:szCs w:val="21"/>
                    </w:rPr>
                  </w:pPr>
                  <w:r>
                    <w:rPr>
                      <w:rFonts w:hint="eastAsia"/>
                      <w:sz w:val="21"/>
                      <w:szCs w:val="21"/>
                    </w:rPr>
                    <w:t>200</w:t>
                  </w:r>
                </w:p>
              </w:tc>
              <w:tc>
                <w:tcPr>
                  <w:tcW w:w="465" w:type="dxa"/>
                  <w:vAlign w:val="center"/>
                </w:tcPr>
                <w:p>
                  <w:pPr>
                    <w:pStyle w:val="70"/>
                    <w:spacing w:line="400" w:lineRule="exact"/>
                    <w:rPr>
                      <w:sz w:val="21"/>
                      <w:szCs w:val="21"/>
                    </w:rPr>
                  </w:pPr>
                  <w:r>
                    <w:rPr>
                      <w:rFonts w:hAnsi="宋体"/>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36" w:type="dxa"/>
                  <w:vMerge w:val="continue"/>
                  <w:vAlign w:val="center"/>
                </w:tcPr>
                <w:p>
                  <w:pPr>
                    <w:pStyle w:val="70"/>
                    <w:spacing w:line="400" w:lineRule="exact"/>
                    <w:rPr>
                      <w:sz w:val="21"/>
                      <w:szCs w:val="21"/>
                    </w:rPr>
                  </w:pPr>
                </w:p>
              </w:tc>
              <w:tc>
                <w:tcPr>
                  <w:tcW w:w="792" w:type="dxa"/>
                  <w:vMerge w:val="continue"/>
                  <w:vAlign w:val="center"/>
                </w:tcPr>
                <w:p>
                  <w:pPr>
                    <w:pStyle w:val="70"/>
                    <w:spacing w:line="400" w:lineRule="exact"/>
                    <w:rPr>
                      <w:sz w:val="21"/>
                      <w:szCs w:val="21"/>
                    </w:rPr>
                  </w:pPr>
                </w:p>
              </w:tc>
              <w:tc>
                <w:tcPr>
                  <w:tcW w:w="840" w:type="dxa"/>
                  <w:vAlign w:val="center"/>
                </w:tcPr>
                <w:p>
                  <w:pPr>
                    <w:pStyle w:val="104"/>
                    <w:spacing w:line="400" w:lineRule="exact"/>
                    <w:ind w:firstLine="0" w:firstLineChars="0"/>
                    <w:jc w:val="center"/>
                    <w:rPr>
                      <w:rFonts w:cs="Times New Roman"/>
                    </w:rPr>
                  </w:pPr>
                  <w:r>
                    <w:rPr>
                      <w:rFonts w:hAnsi="宋体" w:cs="Times New Roman"/>
                    </w:rPr>
                    <w:t>氨氮</w:t>
                  </w:r>
                </w:p>
              </w:tc>
              <w:tc>
                <w:tcPr>
                  <w:tcW w:w="1070" w:type="dxa"/>
                  <w:vAlign w:val="center"/>
                </w:tcPr>
                <w:p>
                  <w:pPr>
                    <w:pStyle w:val="104"/>
                    <w:spacing w:line="400" w:lineRule="exact"/>
                    <w:ind w:firstLine="0" w:firstLineChars="0"/>
                    <w:jc w:val="center"/>
                    <w:rPr>
                      <w:rFonts w:cs="Times New Roman"/>
                    </w:rPr>
                  </w:pPr>
                  <w:r>
                    <w:rPr>
                      <w:rFonts w:hint="eastAsia" w:cs="Times New Roman"/>
                    </w:rPr>
                    <w:t>29.1</w:t>
                  </w:r>
                </w:p>
              </w:tc>
              <w:tc>
                <w:tcPr>
                  <w:tcW w:w="3075" w:type="dxa"/>
                  <w:vMerge w:val="continue"/>
                  <w:vAlign w:val="center"/>
                </w:tcPr>
                <w:p>
                  <w:pPr>
                    <w:pStyle w:val="70"/>
                    <w:spacing w:line="400" w:lineRule="exact"/>
                    <w:rPr>
                      <w:sz w:val="21"/>
                      <w:szCs w:val="21"/>
                    </w:rPr>
                  </w:pPr>
                </w:p>
              </w:tc>
              <w:tc>
                <w:tcPr>
                  <w:tcW w:w="1701" w:type="dxa"/>
                  <w:vAlign w:val="center"/>
                </w:tcPr>
                <w:p>
                  <w:pPr>
                    <w:pStyle w:val="70"/>
                    <w:spacing w:line="400" w:lineRule="exact"/>
                    <w:rPr>
                      <w:sz w:val="21"/>
                      <w:szCs w:val="21"/>
                    </w:rPr>
                  </w:pPr>
                  <w:r>
                    <w:rPr>
                      <w:rFonts w:hint="eastAsia"/>
                      <w:sz w:val="21"/>
                      <w:szCs w:val="21"/>
                    </w:rPr>
                    <w:t>35</w:t>
                  </w:r>
                </w:p>
              </w:tc>
              <w:tc>
                <w:tcPr>
                  <w:tcW w:w="465" w:type="dxa"/>
                  <w:vAlign w:val="center"/>
                </w:tcPr>
                <w:p>
                  <w:pPr>
                    <w:pStyle w:val="70"/>
                    <w:spacing w:line="400" w:lineRule="exact"/>
                    <w:rPr>
                      <w:sz w:val="21"/>
                      <w:szCs w:val="21"/>
                    </w:rPr>
                  </w:pPr>
                  <w:r>
                    <w:rPr>
                      <w:rFonts w:hAnsi="宋体"/>
                      <w:sz w:val="21"/>
                      <w:szCs w:val="21"/>
                    </w:rPr>
                    <w:t>达标</w:t>
                  </w:r>
                </w:p>
              </w:tc>
            </w:tr>
          </w:tbl>
          <w:p>
            <w:pPr>
              <w:spacing w:line="520" w:lineRule="exact"/>
              <w:ind w:firstLine="480"/>
              <w:rPr>
                <w:bCs/>
                <w:sz w:val="24"/>
              </w:rPr>
            </w:pPr>
            <w:r>
              <w:rPr>
                <w:rFonts w:hint="eastAsia"/>
                <w:bCs/>
                <w:sz w:val="24"/>
              </w:rPr>
              <w:t>③水量</w:t>
            </w:r>
          </w:p>
          <w:p>
            <w:pPr>
              <w:spacing w:line="520" w:lineRule="exact"/>
              <w:ind w:firstLine="480"/>
              <w:rPr>
                <w:bCs/>
                <w:sz w:val="24"/>
              </w:rPr>
            </w:pPr>
            <w:r>
              <w:rPr>
                <w:rFonts w:hint="eastAsia"/>
                <w:bCs/>
                <w:sz w:val="24"/>
              </w:rPr>
              <w:t>本项目营运后新增废水排放总量</w:t>
            </w:r>
            <w:r>
              <w:rPr>
                <w:rFonts w:hint="eastAsia"/>
                <w:sz w:val="24"/>
              </w:rPr>
              <w:t>0.32</w:t>
            </w:r>
            <w:r>
              <w:rPr>
                <w:sz w:val="24"/>
              </w:rPr>
              <w:t>m</w:t>
            </w:r>
            <w:r>
              <w:rPr>
                <w:sz w:val="24"/>
                <w:vertAlign w:val="superscript"/>
              </w:rPr>
              <w:t>3</w:t>
            </w:r>
            <w:r>
              <w:rPr>
                <w:sz w:val="24"/>
              </w:rPr>
              <w:t>/d（</w:t>
            </w:r>
            <w:r>
              <w:rPr>
                <w:rFonts w:hint="eastAsia"/>
                <w:sz w:val="24"/>
              </w:rPr>
              <w:t>96</w:t>
            </w:r>
            <w:r>
              <w:rPr>
                <w:sz w:val="24"/>
              </w:rPr>
              <w:t>m</w:t>
            </w:r>
            <w:r>
              <w:rPr>
                <w:sz w:val="24"/>
                <w:vertAlign w:val="superscript"/>
              </w:rPr>
              <w:t>3</w:t>
            </w:r>
            <w:r>
              <w:rPr>
                <w:sz w:val="24"/>
              </w:rPr>
              <w:t>/a）</w:t>
            </w:r>
            <w:r>
              <w:rPr>
                <w:rFonts w:hint="eastAsia"/>
                <w:bCs/>
                <w:sz w:val="24"/>
              </w:rPr>
              <w:t>，</w:t>
            </w:r>
            <w:r>
              <w:rPr>
                <w:rFonts w:hAnsi="宋体"/>
                <w:sz w:val="24"/>
              </w:rPr>
              <w:t>项目</w:t>
            </w:r>
            <w:r>
              <w:rPr>
                <w:rFonts w:hint="eastAsia" w:hAnsi="宋体"/>
                <w:sz w:val="24"/>
              </w:rPr>
              <w:t>所在厂区</w:t>
            </w:r>
            <w:r>
              <w:rPr>
                <w:rFonts w:hAnsi="宋体"/>
                <w:sz w:val="24"/>
              </w:rPr>
              <w:t>生活污水</w:t>
            </w:r>
            <w:r>
              <w:rPr>
                <w:rFonts w:hint="eastAsia" w:hAnsi="宋体"/>
                <w:sz w:val="24"/>
              </w:rPr>
              <w:t>总</w:t>
            </w:r>
            <w:r>
              <w:rPr>
                <w:rFonts w:hAnsi="宋体"/>
                <w:sz w:val="24"/>
              </w:rPr>
              <w:t>排放量为</w:t>
            </w:r>
            <w:r>
              <w:rPr>
                <w:rFonts w:hint="eastAsia"/>
                <w:sz w:val="24"/>
              </w:rPr>
              <w:t>20.88</w:t>
            </w:r>
            <w:r>
              <w:rPr>
                <w:sz w:val="24"/>
              </w:rPr>
              <w:t>m</w:t>
            </w:r>
            <w:r>
              <w:rPr>
                <w:sz w:val="24"/>
                <w:vertAlign w:val="superscript"/>
              </w:rPr>
              <w:t>3</w:t>
            </w:r>
            <w:r>
              <w:rPr>
                <w:sz w:val="24"/>
              </w:rPr>
              <w:t>/d</w:t>
            </w:r>
            <w:r>
              <w:rPr>
                <w:rFonts w:hint="eastAsia"/>
                <w:bCs/>
                <w:sz w:val="24"/>
              </w:rPr>
              <w:t>，偃师区第三污水处理厂剩余处理能力为2.0万m</w:t>
            </w:r>
            <w:r>
              <w:rPr>
                <w:rFonts w:hint="eastAsia"/>
                <w:bCs/>
                <w:sz w:val="24"/>
                <w:vertAlign w:val="superscript"/>
              </w:rPr>
              <w:t>3</w:t>
            </w:r>
            <w:r>
              <w:rPr>
                <w:rFonts w:hint="eastAsia"/>
                <w:bCs/>
                <w:sz w:val="24"/>
              </w:rPr>
              <w:t>/d，本项目废水量远小于偃师区第三污水处理厂的剩余处理能力。</w:t>
            </w:r>
          </w:p>
          <w:p>
            <w:pPr>
              <w:spacing w:line="520" w:lineRule="exact"/>
              <w:ind w:firstLine="480"/>
              <w:rPr>
                <w:bCs/>
                <w:sz w:val="24"/>
              </w:rPr>
            </w:pPr>
            <w:r>
              <w:rPr>
                <w:rFonts w:hint="eastAsia"/>
                <w:bCs/>
                <w:sz w:val="24"/>
              </w:rPr>
              <w:t>因此，本项目生活废水依托偃师区第三污水处理厂处理是可行的。</w:t>
            </w:r>
          </w:p>
          <w:p>
            <w:pPr>
              <w:pStyle w:val="99"/>
              <w:ind w:firstLine="0" w:firstLineChars="0"/>
            </w:pPr>
            <w:r>
              <w:rPr>
                <w:rFonts w:hint="eastAsia"/>
              </w:rPr>
              <w:t>2.3监测要求</w:t>
            </w:r>
          </w:p>
          <w:p>
            <w:pPr>
              <w:pStyle w:val="51"/>
              <w:spacing w:line="480" w:lineRule="exact"/>
              <w:ind w:firstLine="480"/>
            </w:pPr>
            <w:r>
              <w:t>根据</w:t>
            </w:r>
            <w:r>
              <w:rPr>
                <w:rFonts w:hint="eastAsia"/>
                <w:bCs/>
              </w:rPr>
              <w:t>《排污单位自行监测技术指南  橡胶和塑料制品工业》（HJ1207-2021）</w:t>
            </w:r>
            <w:r>
              <w:t>，结合本项目运行期产污特征、项目工程周围环境实际情况，制定出本项目运行期</w:t>
            </w:r>
            <w:r>
              <w:rPr>
                <w:rFonts w:hint="eastAsia"/>
              </w:rPr>
              <w:t>废水</w:t>
            </w:r>
            <w:r>
              <w:t>监测计划，详见</w:t>
            </w:r>
            <w:r>
              <w:rPr>
                <w:rFonts w:hint="eastAsia"/>
              </w:rPr>
              <w:t>下表</w:t>
            </w:r>
            <w:r>
              <w:t>。</w:t>
            </w:r>
          </w:p>
          <w:p>
            <w:pPr>
              <w:pStyle w:val="53"/>
              <w:spacing w:line="480" w:lineRule="exact"/>
              <w:ind w:firstLine="480"/>
            </w:pPr>
            <w:r>
              <w:t>表</w:t>
            </w:r>
            <w:r>
              <w:rPr>
                <w:rFonts w:hint="eastAsia"/>
              </w:rPr>
              <w:t>34</w:t>
            </w:r>
            <w:r>
              <w:t xml:space="preserve">        </w:t>
            </w:r>
            <w:r>
              <w:rPr>
                <w:rFonts w:hint="eastAsia"/>
              </w:rPr>
              <w:t xml:space="preserve">       </w:t>
            </w:r>
            <w:r>
              <w:t xml:space="preserve">       营运期监测计划</w:t>
            </w:r>
          </w:p>
          <w:tbl>
            <w:tblPr>
              <w:tblStyle w:val="2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14"/>
              <w:gridCol w:w="726"/>
              <w:gridCol w:w="1296"/>
              <w:gridCol w:w="2243"/>
              <w:gridCol w:w="992"/>
              <w:gridCol w:w="230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440" w:type="dxa"/>
                  <w:gridSpan w:val="2"/>
                  <w:vAlign w:val="center"/>
                </w:tcPr>
                <w:p>
                  <w:pPr>
                    <w:pStyle w:val="68"/>
                    <w:spacing w:line="340" w:lineRule="exact"/>
                  </w:pPr>
                  <w:r>
                    <w:t>类别</w:t>
                  </w:r>
                </w:p>
              </w:tc>
              <w:tc>
                <w:tcPr>
                  <w:tcW w:w="1296" w:type="dxa"/>
                  <w:vAlign w:val="center"/>
                </w:tcPr>
                <w:p>
                  <w:pPr>
                    <w:pStyle w:val="68"/>
                    <w:spacing w:line="340" w:lineRule="exact"/>
                  </w:pPr>
                  <w:r>
                    <w:t>监测点</w:t>
                  </w:r>
                </w:p>
              </w:tc>
              <w:tc>
                <w:tcPr>
                  <w:tcW w:w="2243" w:type="dxa"/>
                  <w:vAlign w:val="center"/>
                </w:tcPr>
                <w:p>
                  <w:pPr>
                    <w:pStyle w:val="68"/>
                    <w:spacing w:line="340" w:lineRule="exact"/>
                  </w:pPr>
                  <w:r>
                    <w:t>监测项目</w:t>
                  </w:r>
                </w:p>
              </w:tc>
              <w:tc>
                <w:tcPr>
                  <w:tcW w:w="992" w:type="dxa"/>
                  <w:vAlign w:val="center"/>
                </w:tcPr>
                <w:p>
                  <w:pPr>
                    <w:pStyle w:val="68"/>
                    <w:spacing w:line="340" w:lineRule="exact"/>
                  </w:pPr>
                  <w:r>
                    <w:t>监测频率</w:t>
                  </w:r>
                </w:p>
              </w:tc>
              <w:tc>
                <w:tcPr>
                  <w:tcW w:w="2308" w:type="dxa"/>
                  <w:vAlign w:val="center"/>
                </w:tcPr>
                <w:p>
                  <w:pPr>
                    <w:pStyle w:val="68"/>
                    <w:spacing w:line="340" w:lineRule="exact"/>
                  </w:pPr>
                  <w:r>
                    <w:rPr>
                      <w:rFonts w:hint="eastAsia"/>
                    </w:rPr>
                    <w:t>执行标准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714" w:type="dxa"/>
                  <w:tcBorders>
                    <w:right w:val="single" w:color="auto" w:sz="6" w:space="0"/>
                  </w:tcBorders>
                  <w:vAlign w:val="center"/>
                </w:tcPr>
                <w:p>
                  <w:pPr>
                    <w:pStyle w:val="68"/>
                    <w:spacing w:line="340" w:lineRule="exact"/>
                  </w:pPr>
                  <w:r>
                    <w:t>污染源</w:t>
                  </w:r>
                </w:p>
              </w:tc>
              <w:tc>
                <w:tcPr>
                  <w:tcW w:w="726" w:type="dxa"/>
                  <w:tcBorders>
                    <w:left w:val="single" w:color="auto" w:sz="6" w:space="0"/>
                  </w:tcBorders>
                  <w:vAlign w:val="center"/>
                </w:tcPr>
                <w:p>
                  <w:pPr>
                    <w:pStyle w:val="68"/>
                    <w:spacing w:line="340" w:lineRule="exact"/>
                  </w:pPr>
                  <w:r>
                    <w:t>废</w:t>
                  </w:r>
                  <w:r>
                    <w:rPr>
                      <w:rFonts w:hint="eastAsia"/>
                    </w:rPr>
                    <w:t>水</w:t>
                  </w:r>
                </w:p>
              </w:tc>
              <w:tc>
                <w:tcPr>
                  <w:tcW w:w="1296" w:type="dxa"/>
                  <w:vAlign w:val="center"/>
                </w:tcPr>
                <w:p>
                  <w:pPr>
                    <w:pStyle w:val="68"/>
                    <w:spacing w:line="340" w:lineRule="exact"/>
                  </w:pPr>
                  <w:r>
                    <w:rPr>
                      <w:rFonts w:hint="eastAsia"/>
                      <w:szCs w:val="21"/>
                    </w:rPr>
                    <w:t>DW00</w:t>
                  </w:r>
                  <w:r>
                    <w:rPr>
                      <w:szCs w:val="21"/>
                    </w:rPr>
                    <w:t>1</w:t>
                  </w:r>
                  <w:r>
                    <w:t>（</w:t>
                  </w:r>
                  <w:r>
                    <w:rPr>
                      <w:rFonts w:hint="eastAsia"/>
                    </w:rPr>
                    <w:t>化粪池排口</w:t>
                  </w:r>
                  <w:r>
                    <w:t>）</w:t>
                  </w:r>
                </w:p>
              </w:tc>
              <w:tc>
                <w:tcPr>
                  <w:tcW w:w="2243" w:type="dxa"/>
                  <w:vAlign w:val="center"/>
                </w:tcPr>
                <w:p>
                  <w:pPr>
                    <w:pStyle w:val="68"/>
                    <w:spacing w:line="340" w:lineRule="exact"/>
                  </w:pPr>
                  <w:r>
                    <w:rPr>
                      <w:rFonts w:hint="eastAsia"/>
                    </w:rPr>
                    <w:t>pH值、悬浮物、五日生化需氧量、化学需氧量、氨氮</w:t>
                  </w:r>
                </w:p>
              </w:tc>
              <w:tc>
                <w:tcPr>
                  <w:tcW w:w="992" w:type="dxa"/>
                  <w:vAlign w:val="center"/>
                </w:tcPr>
                <w:p>
                  <w:pPr>
                    <w:pStyle w:val="68"/>
                    <w:spacing w:line="340" w:lineRule="exact"/>
                  </w:pPr>
                  <w:r>
                    <w:t>每年1次</w:t>
                  </w:r>
                </w:p>
              </w:tc>
              <w:tc>
                <w:tcPr>
                  <w:tcW w:w="2308" w:type="dxa"/>
                  <w:vAlign w:val="center"/>
                </w:tcPr>
                <w:p>
                  <w:pPr>
                    <w:pStyle w:val="68"/>
                    <w:spacing w:line="340" w:lineRule="exact"/>
                  </w:pPr>
                  <w:r>
                    <w:rPr>
                      <w:rFonts w:hint="eastAsia"/>
                    </w:rPr>
                    <w:t>《污水综合排放标准》（GB8978-1996）三级标准及偃师区第三污水处理厂进水水质要求</w:t>
                  </w:r>
                </w:p>
              </w:tc>
            </w:tr>
          </w:tbl>
          <w:p>
            <w:pPr>
              <w:pStyle w:val="99"/>
              <w:ind w:firstLine="0" w:firstLineChars="0"/>
            </w:pPr>
            <w:r>
              <w:t>3、噪声</w:t>
            </w:r>
          </w:p>
          <w:p>
            <w:pPr>
              <w:pStyle w:val="51"/>
              <w:ind w:firstLine="0" w:firstLineChars="0"/>
            </w:pPr>
            <w:r>
              <w:t>3.1源强</w:t>
            </w:r>
          </w:p>
          <w:p>
            <w:pPr>
              <w:pStyle w:val="51"/>
              <w:ind w:firstLine="480"/>
            </w:pPr>
            <w:r>
              <w:t>项目运营期高噪声设备</w:t>
            </w:r>
            <w:r>
              <w:rPr>
                <w:rFonts w:hint="eastAsia"/>
              </w:rPr>
              <w:t>覆膜机</w:t>
            </w:r>
            <w:r>
              <w:t>和风机等机械设备，具体噪声产排情况见表3</w:t>
            </w:r>
            <w:r>
              <w:rPr>
                <w:rFonts w:hint="eastAsia"/>
              </w:rPr>
              <w:t>5</w:t>
            </w:r>
            <w:r>
              <w:t>。</w:t>
            </w:r>
          </w:p>
          <w:p>
            <w:pPr>
              <w:pStyle w:val="53"/>
              <w:ind w:firstLine="480"/>
              <w:rPr>
                <w:szCs w:val="21"/>
              </w:rPr>
            </w:pPr>
            <w:r>
              <w:rPr>
                <w:szCs w:val="21"/>
              </w:rPr>
              <w:t>表</w:t>
            </w:r>
            <w:r>
              <w:t>3</w:t>
            </w:r>
            <w:r>
              <w:rPr>
                <w:rFonts w:hint="eastAsia"/>
              </w:rPr>
              <w:t>5</w:t>
            </w:r>
            <w:r>
              <w:t xml:space="preserve">              </w:t>
            </w:r>
            <w:r>
              <w:rPr>
                <w:szCs w:val="21"/>
              </w:rPr>
              <w:tab/>
            </w:r>
            <w:r>
              <w:rPr>
                <w:szCs w:val="21"/>
              </w:rPr>
              <w:t>工业企业噪声源强调查清单（室外声源）</w:t>
            </w:r>
          </w:p>
          <w:tbl>
            <w:tblPr>
              <w:tblStyle w:val="22"/>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
              <w:gridCol w:w="585"/>
              <w:gridCol w:w="1133"/>
              <w:gridCol w:w="423"/>
              <w:gridCol w:w="437"/>
              <w:gridCol w:w="415"/>
              <w:gridCol w:w="1842"/>
              <w:gridCol w:w="852"/>
              <w:gridCol w:w="1134"/>
              <w:gridCol w:w="1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78" w:type="pct"/>
                  <w:vMerge w:val="restart"/>
                  <w:vAlign w:val="center"/>
                </w:tcPr>
                <w:p>
                  <w:pPr>
                    <w:pStyle w:val="62"/>
                    <w:rPr>
                      <w:sz w:val="21"/>
                      <w:szCs w:val="21"/>
                    </w:rPr>
                  </w:pPr>
                  <w:r>
                    <w:rPr>
                      <w:sz w:val="21"/>
                      <w:szCs w:val="21"/>
                    </w:rPr>
                    <w:t>序号</w:t>
                  </w:r>
                </w:p>
              </w:tc>
              <w:tc>
                <w:tcPr>
                  <w:tcW w:w="352" w:type="pct"/>
                  <w:vMerge w:val="restart"/>
                  <w:vAlign w:val="center"/>
                </w:tcPr>
                <w:p>
                  <w:pPr>
                    <w:pStyle w:val="62"/>
                    <w:rPr>
                      <w:sz w:val="21"/>
                      <w:szCs w:val="21"/>
                    </w:rPr>
                  </w:pPr>
                  <w:r>
                    <w:rPr>
                      <w:sz w:val="21"/>
                      <w:szCs w:val="21"/>
                    </w:rPr>
                    <w:t>声源名称</w:t>
                  </w:r>
                </w:p>
              </w:tc>
              <w:tc>
                <w:tcPr>
                  <w:tcW w:w="682" w:type="pct"/>
                  <w:vMerge w:val="restart"/>
                  <w:vAlign w:val="center"/>
                </w:tcPr>
                <w:p>
                  <w:pPr>
                    <w:pStyle w:val="62"/>
                    <w:rPr>
                      <w:sz w:val="21"/>
                      <w:szCs w:val="21"/>
                    </w:rPr>
                  </w:pPr>
                  <w:r>
                    <w:rPr>
                      <w:sz w:val="21"/>
                      <w:szCs w:val="21"/>
                    </w:rPr>
                    <w:t>型号</w:t>
                  </w:r>
                </w:p>
              </w:tc>
              <w:tc>
                <w:tcPr>
                  <w:tcW w:w="768" w:type="pct"/>
                  <w:gridSpan w:val="3"/>
                  <w:vAlign w:val="center"/>
                </w:tcPr>
                <w:p>
                  <w:pPr>
                    <w:pStyle w:val="62"/>
                    <w:rPr>
                      <w:sz w:val="21"/>
                      <w:szCs w:val="21"/>
                    </w:rPr>
                  </w:pPr>
                  <w:r>
                    <w:rPr>
                      <w:sz w:val="21"/>
                      <w:szCs w:val="21"/>
                    </w:rPr>
                    <w:t>空间相对位置/m</w:t>
                  </w:r>
                </w:p>
              </w:tc>
              <w:tc>
                <w:tcPr>
                  <w:tcW w:w="1622" w:type="pct"/>
                  <w:gridSpan w:val="2"/>
                  <w:vAlign w:val="center"/>
                </w:tcPr>
                <w:p>
                  <w:pPr>
                    <w:pStyle w:val="62"/>
                    <w:rPr>
                      <w:sz w:val="21"/>
                      <w:szCs w:val="21"/>
                    </w:rPr>
                  </w:pPr>
                  <w:r>
                    <w:rPr>
                      <w:sz w:val="21"/>
                      <w:szCs w:val="21"/>
                    </w:rPr>
                    <w:t>声源源强（任选一种）</w:t>
                  </w:r>
                </w:p>
              </w:tc>
              <w:tc>
                <w:tcPr>
                  <w:tcW w:w="683" w:type="pct"/>
                  <w:vMerge w:val="restart"/>
                  <w:vAlign w:val="center"/>
                </w:tcPr>
                <w:p>
                  <w:pPr>
                    <w:pStyle w:val="62"/>
                    <w:rPr>
                      <w:sz w:val="21"/>
                      <w:szCs w:val="21"/>
                    </w:rPr>
                  </w:pPr>
                  <w:r>
                    <w:rPr>
                      <w:sz w:val="21"/>
                      <w:szCs w:val="21"/>
                    </w:rPr>
                    <w:t>声源控制措施</w:t>
                  </w:r>
                </w:p>
              </w:tc>
              <w:tc>
                <w:tcPr>
                  <w:tcW w:w="714" w:type="pct"/>
                  <w:vMerge w:val="restart"/>
                  <w:vAlign w:val="center"/>
                </w:tcPr>
                <w:p>
                  <w:pPr>
                    <w:pStyle w:val="62"/>
                    <w:rPr>
                      <w:sz w:val="21"/>
                      <w:szCs w:val="21"/>
                    </w:rPr>
                  </w:pPr>
                  <w:r>
                    <w:rPr>
                      <w:sz w:val="21"/>
                      <w:szCs w:val="21"/>
                    </w:rPr>
                    <w:t>运行时段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78" w:type="pct"/>
                  <w:vMerge w:val="continue"/>
                  <w:vAlign w:val="center"/>
                </w:tcPr>
                <w:p>
                  <w:pPr>
                    <w:pStyle w:val="62"/>
                    <w:rPr>
                      <w:sz w:val="21"/>
                      <w:szCs w:val="21"/>
                    </w:rPr>
                  </w:pPr>
                </w:p>
              </w:tc>
              <w:tc>
                <w:tcPr>
                  <w:tcW w:w="352" w:type="pct"/>
                  <w:vMerge w:val="continue"/>
                  <w:vAlign w:val="center"/>
                </w:tcPr>
                <w:p>
                  <w:pPr>
                    <w:pStyle w:val="62"/>
                    <w:rPr>
                      <w:sz w:val="21"/>
                      <w:szCs w:val="21"/>
                    </w:rPr>
                  </w:pPr>
                </w:p>
              </w:tc>
              <w:tc>
                <w:tcPr>
                  <w:tcW w:w="682" w:type="pct"/>
                  <w:vMerge w:val="continue"/>
                  <w:vAlign w:val="center"/>
                </w:tcPr>
                <w:p>
                  <w:pPr>
                    <w:pStyle w:val="62"/>
                    <w:rPr>
                      <w:sz w:val="21"/>
                      <w:szCs w:val="21"/>
                    </w:rPr>
                  </w:pPr>
                </w:p>
              </w:tc>
              <w:tc>
                <w:tcPr>
                  <w:tcW w:w="255" w:type="pct"/>
                  <w:vAlign w:val="center"/>
                </w:tcPr>
                <w:p>
                  <w:pPr>
                    <w:pStyle w:val="62"/>
                    <w:rPr>
                      <w:i/>
                      <w:sz w:val="21"/>
                      <w:szCs w:val="21"/>
                    </w:rPr>
                  </w:pPr>
                  <w:r>
                    <w:rPr>
                      <w:i/>
                      <w:sz w:val="21"/>
                      <w:szCs w:val="21"/>
                    </w:rPr>
                    <w:t>X</w:t>
                  </w:r>
                </w:p>
              </w:tc>
              <w:tc>
                <w:tcPr>
                  <w:tcW w:w="263" w:type="pct"/>
                  <w:vAlign w:val="center"/>
                </w:tcPr>
                <w:p>
                  <w:pPr>
                    <w:pStyle w:val="62"/>
                    <w:rPr>
                      <w:i/>
                      <w:sz w:val="21"/>
                      <w:szCs w:val="21"/>
                    </w:rPr>
                  </w:pPr>
                  <w:r>
                    <w:rPr>
                      <w:i/>
                      <w:sz w:val="21"/>
                      <w:szCs w:val="21"/>
                    </w:rPr>
                    <w:t>Y</w:t>
                  </w:r>
                </w:p>
              </w:tc>
              <w:tc>
                <w:tcPr>
                  <w:tcW w:w="250" w:type="pct"/>
                  <w:vAlign w:val="center"/>
                </w:tcPr>
                <w:p>
                  <w:pPr>
                    <w:pStyle w:val="62"/>
                    <w:rPr>
                      <w:i/>
                      <w:sz w:val="21"/>
                      <w:szCs w:val="21"/>
                    </w:rPr>
                  </w:pPr>
                  <w:r>
                    <w:rPr>
                      <w:i/>
                      <w:sz w:val="21"/>
                      <w:szCs w:val="21"/>
                    </w:rPr>
                    <w:t>Z</w:t>
                  </w:r>
                </w:p>
              </w:tc>
              <w:tc>
                <w:tcPr>
                  <w:tcW w:w="1109" w:type="pct"/>
                  <w:vAlign w:val="center"/>
                </w:tcPr>
                <w:p>
                  <w:pPr>
                    <w:pStyle w:val="62"/>
                    <w:rPr>
                      <w:sz w:val="21"/>
                      <w:szCs w:val="21"/>
                    </w:rPr>
                  </w:pPr>
                  <w:r>
                    <w:rPr>
                      <w:sz w:val="21"/>
                      <w:szCs w:val="21"/>
                    </w:rPr>
                    <w:t>（声压级/距声源距离）/（dB(A)/m）</w:t>
                  </w:r>
                </w:p>
              </w:tc>
              <w:tc>
                <w:tcPr>
                  <w:tcW w:w="513" w:type="pct"/>
                  <w:vAlign w:val="center"/>
                </w:tcPr>
                <w:p>
                  <w:pPr>
                    <w:pStyle w:val="62"/>
                    <w:rPr>
                      <w:sz w:val="21"/>
                      <w:szCs w:val="21"/>
                    </w:rPr>
                  </w:pPr>
                  <w:r>
                    <w:rPr>
                      <w:sz w:val="21"/>
                      <w:szCs w:val="21"/>
                    </w:rPr>
                    <w:t>声功率级/dB(A)</w:t>
                  </w:r>
                </w:p>
              </w:tc>
              <w:tc>
                <w:tcPr>
                  <w:tcW w:w="683" w:type="pct"/>
                  <w:vMerge w:val="continue"/>
                  <w:vAlign w:val="center"/>
                </w:tcPr>
                <w:p>
                  <w:pPr>
                    <w:pStyle w:val="62"/>
                    <w:rPr>
                      <w:sz w:val="21"/>
                      <w:szCs w:val="21"/>
                    </w:rPr>
                  </w:pPr>
                </w:p>
              </w:tc>
              <w:tc>
                <w:tcPr>
                  <w:tcW w:w="714" w:type="pct"/>
                  <w:vMerge w:val="continue"/>
                  <w:vAlign w:val="center"/>
                </w:tcPr>
                <w:p>
                  <w:pPr>
                    <w:pStyle w:val="62"/>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78" w:type="pct"/>
                  <w:vAlign w:val="center"/>
                </w:tcPr>
                <w:p>
                  <w:pPr>
                    <w:pStyle w:val="62"/>
                    <w:rPr>
                      <w:sz w:val="21"/>
                      <w:szCs w:val="21"/>
                    </w:rPr>
                  </w:pPr>
                  <w:r>
                    <w:rPr>
                      <w:rFonts w:hint="eastAsia"/>
                      <w:sz w:val="21"/>
                      <w:szCs w:val="21"/>
                    </w:rPr>
                    <w:t>1</w:t>
                  </w:r>
                </w:p>
              </w:tc>
              <w:tc>
                <w:tcPr>
                  <w:tcW w:w="352" w:type="pct"/>
                  <w:vAlign w:val="center"/>
                </w:tcPr>
                <w:p>
                  <w:pPr>
                    <w:pStyle w:val="62"/>
                    <w:rPr>
                      <w:sz w:val="21"/>
                      <w:szCs w:val="21"/>
                    </w:rPr>
                  </w:pPr>
                  <w:r>
                    <w:rPr>
                      <w:rFonts w:hint="eastAsia"/>
                      <w:sz w:val="21"/>
                      <w:szCs w:val="21"/>
                    </w:rPr>
                    <w:t>风机</w:t>
                  </w:r>
                </w:p>
              </w:tc>
              <w:tc>
                <w:tcPr>
                  <w:tcW w:w="682" w:type="pct"/>
                  <w:vAlign w:val="center"/>
                </w:tcPr>
                <w:p>
                  <w:pPr>
                    <w:pStyle w:val="62"/>
                    <w:rPr>
                      <w:sz w:val="21"/>
                      <w:szCs w:val="21"/>
                    </w:rPr>
                  </w:pPr>
                  <w:r>
                    <w:rPr>
                      <w:rFonts w:hint="eastAsia"/>
                      <w:sz w:val="21"/>
                      <w:szCs w:val="21"/>
                    </w:rPr>
                    <w:t>5000m</w:t>
                  </w:r>
                  <w:r>
                    <w:rPr>
                      <w:rFonts w:hint="eastAsia"/>
                      <w:sz w:val="21"/>
                      <w:szCs w:val="21"/>
                      <w:vertAlign w:val="superscript"/>
                    </w:rPr>
                    <w:t>3</w:t>
                  </w:r>
                  <w:r>
                    <w:rPr>
                      <w:rFonts w:hint="eastAsia"/>
                      <w:sz w:val="21"/>
                      <w:szCs w:val="21"/>
                    </w:rPr>
                    <w:t>/h</w:t>
                  </w:r>
                </w:p>
              </w:tc>
              <w:tc>
                <w:tcPr>
                  <w:tcW w:w="255" w:type="pct"/>
                  <w:vAlign w:val="center"/>
                </w:tcPr>
                <w:p>
                  <w:pPr>
                    <w:pStyle w:val="62"/>
                    <w:rPr>
                      <w:sz w:val="21"/>
                      <w:szCs w:val="21"/>
                    </w:rPr>
                  </w:pPr>
                  <w:r>
                    <w:rPr>
                      <w:rFonts w:hint="eastAsia"/>
                      <w:sz w:val="21"/>
                      <w:szCs w:val="21"/>
                    </w:rPr>
                    <w:t>15</w:t>
                  </w:r>
                </w:p>
              </w:tc>
              <w:tc>
                <w:tcPr>
                  <w:tcW w:w="263" w:type="pct"/>
                  <w:vAlign w:val="center"/>
                </w:tcPr>
                <w:p>
                  <w:pPr>
                    <w:pStyle w:val="62"/>
                    <w:rPr>
                      <w:sz w:val="21"/>
                      <w:szCs w:val="21"/>
                    </w:rPr>
                  </w:pPr>
                  <w:r>
                    <w:rPr>
                      <w:rFonts w:hint="eastAsia"/>
                      <w:sz w:val="21"/>
                      <w:szCs w:val="21"/>
                    </w:rPr>
                    <w:t>0</w:t>
                  </w:r>
                </w:p>
              </w:tc>
              <w:tc>
                <w:tcPr>
                  <w:tcW w:w="250" w:type="pct"/>
                  <w:vAlign w:val="center"/>
                </w:tcPr>
                <w:p>
                  <w:pPr>
                    <w:pStyle w:val="62"/>
                    <w:rPr>
                      <w:sz w:val="21"/>
                      <w:szCs w:val="21"/>
                    </w:rPr>
                  </w:pPr>
                  <w:r>
                    <w:rPr>
                      <w:rFonts w:hint="eastAsia"/>
                      <w:sz w:val="21"/>
                      <w:szCs w:val="21"/>
                    </w:rPr>
                    <w:t>1</w:t>
                  </w:r>
                </w:p>
              </w:tc>
              <w:tc>
                <w:tcPr>
                  <w:tcW w:w="1109" w:type="pct"/>
                  <w:vAlign w:val="center"/>
                </w:tcPr>
                <w:p>
                  <w:pPr>
                    <w:pStyle w:val="62"/>
                    <w:rPr>
                      <w:sz w:val="21"/>
                      <w:szCs w:val="21"/>
                    </w:rPr>
                  </w:pPr>
                  <w:r>
                    <w:rPr>
                      <w:rFonts w:hint="eastAsia"/>
                      <w:sz w:val="21"/>
                      <w:szCs w:val="21"/>
                    </w:rPr>
                    <w:t>/</w:t>
                  </w:r>
                </w:p>
              </w:tc>
              <w:tc>
                <w:tcPr>
                  <w:tcW w:w="513" w:type="pct"/>
                  <w:vAlign w:val="center"/>
                </w:tcPr>
                <w:p>
                  <w:pPr>
                    <w:pStyle w:val="62"/>
                    <w:rPr>
                      <w:sz w:val="21"/>
                      <w:szCs w:val="21"/>
                    </w:rPr>
                  </w:pPr>
                  <w:r>
                    <w:rPr>
                      <w:sz w:val="21"/>
                      <w:szCs w:val="21"/>
                    </w:rPr>
                    <w:t>85</w:t>
                  </w:r>
                </w:p>
              </w:tc>
              <w:tc>
                <w:tcPr>
                  <w:tcW w:w="683" w:type="pct"/>
                  <w:vMerge w:val="restart"/>
                  <w:vAlign w:val="center"/>
                </w:tcPr>
                <w:p>
                  <w:pPr>
                    <w:pStyle w:val="62"/>
                    <w:rPr>
                      <w:sz w:val="21"/>
                      <w:szCs w:val="21"/>
                    </w:rPr>
                  </w:pPr>
                  <w:r>
                    <w:rPr>
                      <w:sz w:val="21"/>
                      <w:szCs w:val="21"/>
                    </w:rPr>
                    <w:t>基础减震、距离衰减</w:t>
                  </w:r>
                </w:p>
              </w:tc>
              <w:tc>
                <w:tcPr>
                  <w:tcW w:w="714" w:type="pct"/>
                  <w:vMerge w:val="restart"/>
                  <w:vAlign w:val="center"/>
                </w:tcPr>
                <w:p>
                  <w:pPr>
                    <w:pStyle w:val="62"/>
                    <w:rPr>
                      <w:sz w:val="21"/>
                      <w:szCs w:val="21"/>
                    </w:rPr>
                  </w:pPr>
                  <w:r>
                    <w:rPr>
                      <w:sz w:val="21"/>
                      <w:szCs w:val="21"/>
                    </w:rPr>
                    <w:t>8:00~12:00</w:t>
                  </w:r>
                </w:p>
                <w:p>
                  <w:pPr>
                    <w:pStyle w:val="62"/>
                    <w:rPr>
                      <w:sz w:val="21"/>
                      <w:szCs w:val="21"/>
                    </w:rPr>
                  </w:pPr>
                  <w:r>
                    <w:rPr>
                      <w:sz w:val="21"/>
                      <w:szCs w:val="21"/>
                    </w:rPr>
                    <w:t>14:00~18:00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78" w:type="pct"/>
                  <w:vAlign w:val="center"/>
                </w:tcPr>
                <w:p>
                  <w:pPr>
                    <w:pStyle w:val="62"/>
                    <w:rPr>
                      <w:sz w:val="21"/>
                      <w:szCs w:val="21"/>
                    </w:rPr>
                  </w:pPr>
                  <w:r>
                    <w:rPr>
                      <w:rFonts w:hint="eastAsia"/>
                      <w:sz w:val="21"/>
                      <w:szCs w:val="21"/>
                    </w:rPr>
                    <w:t>2</w:t>
                  </w:r>
                </w:p>
              </w:tc>
              <w:tc>
                <w:tcPr>
                  <w:tcW w:w="352" w:type="pct"/>
                  <w:vAlign w:val="center"/>
                </w:tcPr>
                <w:p>
                  <w:pPr>
                    <w:pStyle w:val="62"/>
                    <w:rPr>
                      <w:sz w:val="21"/>
                      <w:szCs w:val="21"/>
                    </w:rPr>
                  </w:pPr>
                  <w:r>
                    <w:rPr>
                      <w:rFonts w:hint="eastAsia"/>
                      <w:sz w:val="21"/>
                      <w:szCs w:val="21"/>
                    </w:rPr>
                    <w:t>风机</w:t>
                  </w:r>
                </w:p>
              </w:tc>
              <w:tc>
                <w:tcPr>
                  <w:tcW w:w="682" w:type="pct"/>
                  <w:vAlign w:val="center"/>
                </w:tcPr>
                <w:p>
                  <w:pPr>
                    <w:pStyle w:val="62"/>
                    <w:rPr>
                      <w:sz w:val="21"/>
                      <w:szCs w:val="21"/>
                    </w:rPr>
                  </w:pPr>
                  <w:r>
                    <w:rPr>
                      <w:rFonts w:hint="eastAsia"/>
                      <w:sz w:val="21"/>
                      <w:szCs w:val="21"/>
                    </w:rPr>
                    <w:t>10000m</w:t>
                  </w:r>
                  <w:r>
                    <w:rPr>
                      <w:rFonts w:hint="eastAsia"/>
                      <w:sz w:val="21"/>
                      <w:szCs w:val="21"/>
                      <w:vertAlign w:val="superscript"/>
                    </w:rPr>
                    <w:t>3</w:t>
                  </w:r>
                  <w:r>
                    <w:rPr>
                      <w:rFonts w:hint="eastAsia"/>
                      <w:sz w:val="21"/>
                      <w:szCs w:val="21"/>
                    </w:rPr>
                    <w:t>/h</w:t>
                  </w:r>
                </w:p>
              </w:tc>
              <w:tc>
                <w:tcPr>
                  <w:tcW w:w="255" w:type="pct"/>
                  <w:vAlign w:val="center"/>
                </w:tcPr>
                <w:p>
                  <w:pPr>
                    <w:pStyle w:val="62"/>
                    <w:rPr>
                      <w:sz w:val="21"/>
                      <w:szCs w:val="21"/>
                    </w:rPr>
                  </w:pPr>
                  <w:r>
                    <w:rPr>
                      <w:rFonts w:hint="eastAsia"/>
                      <w:sz w:val="21"/>
                      <w:szCs w:val="21"/>
                    </w:rPr>
                    <w:t>18</w:t>
                  </w:r>
                </w:p>
              </w:tc>
              <w:tc>
                <w:tcPr>
                  <w:tcW w:w="263" w:type="pct"/>
                  <w:vAlign w:val="center"/>
                </w:tcPr>
                <w:p>
                  <w:pPr>
                    <w:pStyle w:val="62"/>
                    <w:rPr>
                      <w:sz w:val="21"/>
                      <w:szCs w:val="21"/>
                    </w:rPr>
                  </w:pPr>
                  <w:r>
                    <w:rPr>
                      <w:rFonts w:hint="eastAsia"/>
                      <w:sz w:val="21"/>
                      <w:szCs w:val="21"/>
                    </w:rPr>
                    <w:t>0</w:t>
                  </w:r>
                </w:p>
              </w:tc>
              <w:tc>
                <w:tcPr>
                  <w:tcW w:w="250" w:type="pct"/>
                  <w:vAlign w:val="center"/>
                </w:tcPr>
                <w:p>
                  <w:pPr>
                    <w:pStyle w:val="62"/>
                    <w:rPr>
                      <w:sz w:val="21"/>
                      <w:szCs w:val="21"/>
                    </w:rPr>
                  </w:pPr>
                  <w:r>
                    <w:rPr>
                      <w:rFonts w:hint="eastAsia"/>
                      <w:sz w:val="21"/>
                      <w:szCs w:val="21"/>
                    </w:rPr>
                    <w:t>1</w:t>
                  </w:r>
                </w:p>
              </w:tc>
              <w:tc>
                <w:tcPr>
                  <w:tcW w:w="1109" w:type="pct"/>
                  <w:vAlign w:val="center"/>
                </w:tcPr>
                <w:p>
                  <w:pPr>
                    <w:pStyle w:val="62"/>
                    <w:rPr>
                      <w:sz w:val="21"/>
                      <w:szCs w:val="21"/>
                    </w:rPr>
                  </w:pPr>
                </w:p>
              </w:tc>
              <w:tc>
                <w:tcPr>
                  <w:tcW w:w="513" w:type="pct"/>
                  <w:vAlign w:val="center"/>
                </w:tcPr>
                <w:p>
                  <w:pPr>
                    <w:pStyle w:val="62"/>
                    <w:rPr>
                      <w:sz w:val="21"/>
                      <w:szCs w:val="21"/>
                    </w:rPr>
                  </w:pPr>
                  <w:r>
                    <w:rPr>
                      <w:rFonts w:hint="eastAsia"/>
                      <w:sz w:val="21"/>
                      <w:szCs w:val="21"/>
                    </w:rPr>
                    <w:t>85</w:t>
                  </w:r>
                </w:p>
              </w:tc>
              <w:tc>
                <w:tcPr>
                  <w:tcW w:w="683" w:type="pct"/>
                  <w:vMerge w:val="continue"/>
                  <w:vAlign w:val="center"/>
                </w:tcPr>
                <w:p>
                  <w:pPr>
                    <w:pStyle w:val="62"/>
                    <w:rPr>
                      <w:sz w:val="21"/>
                      <w:szCs w:val="21"/>
                    </w:rPr>
                  </w:pPr>
                </w:p>
              </w:tc>
              <w:tc>
                <w:tcPr>
                  <w:tcW w:w="714" w:type="pct"/>
                  <w:vMerge w:val="continue"/>
                  <w:vAlign w:val="center"/>
                </w:tcPr>
                <w:p>
                  <w:pPr>
                    <w:pStyle w:val="62"/>
                    <w:rPr>
                      <w:sz w:val="21"/>
                      <w:szCs w:val="21"/>
                    </w:rPr>
                  </w:pPr>
                </w:p>
              </w:tc>
            </w:tr>
          </w:tbl>
          <w:p>
            <w:pPr>
              <w:pStyle w:val="51"/>
              <w:ind w:firstLine="0" w:firstLineChars="0"/>
            </w:pPr>
          </w:p>
        </w:tc>
      </w:tr>
    </w:tbl>
    <w:p>
      <w:pPr>
        <w:pStyle w:val="51"/>
        <w:ind w:firstLine="0" w:firstLineChars="0"/>
        <w:rPr>
          <w:b/>
          <w:bCs/>
        </w:rPr>
        <w:sectPr>
          <w:pgSz w:w="11907" w:h="16840"/>
          <w:pgMar w:top="1701" w:right="1531" w:bottom="2127" w:left="1531" w:header="851" w:footer="851" w:gutter="0"/>
          <w:cols w:space="720" w:num="1"/>
          <w:docGrid w:linePitch="312" w:charSpace="0"/>
        </w:sectPr>
      </w:pPr>
    </w:p>
    <w:tbl>
      <w:tblPr>
        <w:tblStyle w:val="22"/>
        <w:tblW w:w="508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3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17" w:hRule="atLeast"/>
          <w:jc w:val="center"/>
        </w:trPr>
        <w:tc>
          <w:tcPr>
            <w:tcW w:w="5000" w:type="pct"/>
            <w:tcMar>
              <w:left w:w="28" w:type="dxa"/>
              <w:right w:w="28" w:type="dxa"/>
            </w:tcMar>
            <w:vAlign w:val="center"/>
          </w:tcPr>
          <w:p>
            <w:pPr>
              <w:pStyle w:val="53"/>
              <w:ind w:firstLine="480"/>
            </w:pPr>
            <w:r>
              <w:t>表3</w:t>
            </w:r>
            <w:r>
              <w:rPr>
                <w:rFonts w:hint="eastAsia"/>
              </w:rPr>
              <w:t>6</w:t>
            </w:r>
            <w:r>
              <w:t xml:space="preserve">                           </w:t>
            </w:r>
            <w:r>
              <w:tab/>
            </w:r>
            <w:r>
              <w:t>工业企业噪声源强调查清单（室内声源）</w:t>
            </w:r>
          </w:p>
          <w:tbl>
            <w:tblPr>
              <w:tblStyle w:val="22"/>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57"/>
              <w:gridCol w:w="831"/>
              <w:gridCol w:w="1096"/>
              <w:gridCol w:w="1393"/>
              <w:gridCol w:w="990"/>
              <w:gridCol w:w="990"/>
              <w:gridCol w:w="477"/>
              <w:gridCol w:w="466"/>
              <w:gridCol w:w="519"/>
              <w:gridCol w:w="588"/>
              <w:gridCol w:w="410"/>
              <w:gridCol w:w="1091"/>
              <w:gridCol w:w="1234"/>
              <w:gridCol w:w="974"/>
              <w:gridCol w:w="837"/>
              <w:gridCol w:w="490"/>
              <w:gridCol w:w="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0" w:hRule="atLeast"/>
              </w:trPr>
              <w:tc>
                <w:tcPr>
                  <w:tcW w:w="97" w:type="pct"/>
                  <w:vMerge w:val="restart"/>
                  <w:vAlign w:val="center"/>
                </w:tcPr>
                <w:p>
                  <w:pPr>
                    <w:pStyle w:val="62"/>
                    <w:rPr>
                      <w:b/>
                      <w:sz w:val="21"/>
                      <w:szCs w:val="21"/>
                      <w:u w:val="single"/>
                    </w:rPr>
                  </w:pPr>
                  <w:r>
                    <w:rPr>
                      <w:b/>
                      <w:sz w:val="21"/>
                      <w:szCs w:val="21"/>
                      <w:u w:val="single"/>
                    </w:rPr>
                    <w:t>序号</w:t>
                  </w:r>
                </w:p>
              </w:tc>
              <w:tc>
                <w:tcPr>
                  <w:tcW w:w="314" w:type="pct"/>
                  <w:vMerge w:val="restart"/>
                  <w:vAlign w:val="center"/>
                </w:tcPr>
                <w:p>
                  <w:pPr>
                    <w:pStyle w:val="62"/>
                    <w:rPr>
                      <w:b/>
                      <w:sz w:val="21"/>
                      <w:szCs w:val="21"/>
                      <w:u w:val="single"/>
                    </w:rPr>
                  </w:pPr>
                  <w:r>
                    <w:rPr>
                      <w:b/>
                      <w:sz w:val="21"/>
                      <w:szCs w:val="21"/>
                      <w:u w:val="single"/>
                    </w:rPr>
                    <w:t>建筑物名称</w:t>
                  </w:r>
                </w:p>
              </w:tc>
              <w:tc>
                <w:tcPr>
                  <w:tcW w:w="414" w:type="pct"/>
                  <w:vMerge w:val="restart"/>
                  <w:vAlign w:val="center"/>
                </w:tcPr>
                <w:p>
                  <w:pPr>
                    <w:pStyle w:val="62"/>
                    <w:rPr>
                      <w:b/>
                      <w:sz w:val="21"/>
                      <w:szCs w:val="21"/>
                      <w:u w:val="single"/>
                    </w:rPr>
                  </w:pPr>
                  <w:r>
                    <w:rPr>
                      <w:b/>
                      <w:sz w:val="21"/>
                      <w:szCs w:val="21"/>
                      <w:u w:val="single"/>
                    </w:rPr>
                    <w:t>声源名称</w:t>
                  </w:r>
                </w:p>
              </w:tc>
              <w:tc>
                <w:tcPr>
                  <w:tcW w:w="900" w:type="pct"/>
                  <w:gridSpan w:val="2"/>
                  <w:vAlign w:val="center"/>
                </w:tcPr>
                <w:p>
                  <w:pPr>
                    <w:pStyle w:val="62"/>
                    <w:rPr>
                      <w:b/>
                      <w:sz w:val="21"/>
                      <w:szCs w:val="21"/>
                      <w:u w:val="single"/>
                    </w:rPr>
                  </w:pPr>
                  <w:r>
                    <w:rPr>
                      <w:b/>
                      <w:sz w:val="21"/>
                      <w:szCs w:val="21"/>
                      <w:u w:val="single"/>
                    </w:rPr>
                    <w:t>声源源强（任选一种）</w:t>
                  </w:r>
                </w:p>
              </w:tc>
              <w:tc>
                <w:tcPr>
                  <w:tcW w:w="374" w:type="pct"/>
                  <w:vMerge w:val="restart"/>
                  <w:vAlign w:val="center"/>
                </w:tcPr>
                <w:p>
                  <w:pPr>
                    <w:pStyle w:val="62"/>
                    <w:rPr>
                      <w:b/>
                      <w:sz w:val="21"/>
                      <w:szCs w:val="21"/>
                      <w:u w:val="single"/>
                    </w:rPr>
                  </w:pPr>
                  <w:r>
                    <w:rPr>
                      <w:b/>
                      <w:sz w:val="21"/>
                      <w:szCs w:val="21"/>
                      <w:u w:val="single"/>
                    </w:rPr>
                    <w:t>声源控制措施</w:t>
                  </w:r>
                </w:p>
              </w:tc>
              <w:tc>
                <w:tcPr>
                  <w:tcW w:w="552" w:type="pct"/>
                  <w:gridSpan w:val="3"/>
                  <w:vMerge w:val="restart"/>
                  <w:vAlign w:val="center"/>
                </w:tcPr>
                <w:p>
                  <w:pPr>
                    <w:pStyle w:val="62"/>
                    <w:rPr>
                      <w:b/>
                      <w:sz w:val="21"/>
                      <w:szCs w:val="21"/>
                      <w:u w:val="single"/>
                    </w:rPr>
                  </w:pPr>
                  <w:r>
                    <w:rPr>
                      <w:b/>
                      <w:sz w:val="21"/>
                      <w:szCs w:val="21"/>
                      <w:u w:val="single"/>
                    </w:rPr>
                    <w:t>空间相对位置/m</w:t>
                  </w:r>
                </w:p>
              </w:tc>
              <w:tc>
                <w:tcPr>
                  <w:tcW w:w="377" w:type="pct"/>
                  <w:gridSpan w:val="2"/>
                  <w:vMerge w:val="restart"/>
                  <w:vAlign w:val="center"/>
                </w:tcPr>
                <w:p>
                  <w:pPr>
                    <w:pStyle w:val="62"/>
                    <w:rPr>
                      <w:b/>
                      <w:sz w:val="21"/>
                      <w:szCs w:val="21"/>
                      <w:u w:val="single"/>
                    </w:rPr>
                  </w:pPr>
                  <w:r>
                    <w:rPr>
                      <w:b/>
                      <w:sz w:val="21"/>
                      <w:szCs w:val="21"/>
                      <w:u w:val="single"/>
                    </w:rPr>
                    <w:t>距室内边界距离/m</w:t>
                  </w:r>
                </w:p>
              </w:tc>
              <w:tc>
                <w:tcPr>
                  <w:tcW w:w="412" w:type="pct"/>
                  <w:vMerge w:val="restart"/>
                  <w:vAlign w:val="center"/>
                </w:tcPr>
                <w:p>
                  <w:pPr>
                    <w:pStyle w:val="62"/>
                    <w:rPr>
                      <w:b/>
                      <w:sz w:val="21"/>
                      <w:szCs w:val="21"/>
                      <w:u w:val="single"/>
                    </w:rPr>
                  </w:pPr>
                  <w:r>
                    <w:rPr>
                      <w:b/>
                      <w:spacing w:val="-5"/>
                      <w:sz w:val="21"/>
                      <w:szCs w:val="21"/>
                      <w:u w:val="single"/>
                    </w:rPr>
                    <w:t>室内边界</w:t>
                  </w:r>
                  <w:r>
                    <w:rPr>
                      <w:b/>
                      <w:sz w:val="21"/>
                      <w:szCs w:val="21"/>
                      <w:u w:val="single"/>
                    </w:rPr>
                    <w:t>声级</w:t>
                  </w:r>
                </w:p>
                <w:p>
                  <w:pPr>
                    <w:pStyle w:val="62"/>
                    <w:rPr>
                      <w:b/>
                      <w:sz w:val="21"/>
                      <w:szCs w:val="21"/>
                      <w:u w:val="single"/>
                    </w:rPr>
                  </w:pPr>
                  <w:r>
                    <w:rPr>
                      <w:b/>
                      <w:sz w:val="21"/>
                      <w:szCs w:val="21"/>
                      <w:u w:val="single"/>
                    </w:rPr>
                    <w:t>/dB(A)</w:t>
                  </w:r>
                </w:p>
              </w:tc>
              <w:tc>
                <w:tcPr>
                  <w:tcW w:w="466" w:type="pct"/>
                  <w:vMerge w:val="restart"/>
                  <w:vAlign w:val="center"/>
                </w:tcPr>
                <w:p>
                  <w:pPr>
                    <w:pStyle w:val="62"/>
                    <w:rPr>
                      <w:b/>
                      <w:sz w:val="21"/>
                      <w:szCs w:val="21"/>
                      <w:u w:val="single"/>
                    </w:rPr>
                  </w:pPr>
                  <w:r>
                    <w:rPr>
                      <w:b/>
                      <w:sz w:val="21"/>
                      <w:szCs w:val="21"/>
                      <w:u w:val="single"/>
                    </w:rPr>
                    <w:t>运行时段</w:t>
                  </w:r>
                </w:p>
              </w:tc>
              <w:tc>
                <w:tcPr>
                  <w:tcW w:w="368" w:type="pct"/>
                  <w:vMerge w:val="restart"/>
                  <w:vAlign w:val="center"/>
                </w:tcPr>
                <w:p>
                  <w:pPr>
                    <w:pStyle w:val="62"/>
                    <w:rPr>
                      <w:b/>
                      <w:sz w:val="21"/>
                      <w:szCs w:val="21"/>
                      <w:u w:val="single"/>
                    </w:rPr>
                  </w:pPr>
                  <w:r>
                    <w:rPr>
                      <w:b/>
                      <w:sz w:val="21"/>
                      <w:szCs w:val="21"/>
                      <w:u w:val="single"/>
                    </w:rPr>
                    <w:t>建筑物插入损失 / dB(A)</w:t>
                  </w:r>
                </w:p>
              </w:tc>
              <w:tc>
                <w:tcPr>
                  <w:tcW w:w="726" w:type="pct"/>
                  <w:gridSpan w:val="3"/>
                  <w:vAlign w:val="center"/>
                </w:tcPr>
                <w:p>
                  <w:pPr>
                    <w:pStyle w:val="62"/>
                    <w:rPr>
                      <w:b/>
                      <w:sz w:val="21"/>
                      <w:szCs w:val="21"/>
                      <w:u w:val="single"/>
                    </w:rPr>
                  </w:pPr>
                  <w:r>
                    <w:rPr>
                      <w:b/>
                      <w:sz w:val="21"/>
                      <w:szCs w:val="21"/>
                      <w:u w:val="single"/>
                    </w:rPr>
                    <w:t>建筑物外噪声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97" w:type="pct"/>
                  <w:vMerge w:val="continue"/>
                  <w:vAlign w:val="center"/>
                </w:tcPr>
                <w:p>
                  <w:pPr>
                    <w:pStyle w:val="62"/>
                    <w:rPr>
                      <w:b/>
                      <w:sz w:val="21"/>
                      <w:szCs w:val="21"/>
                      <w:u w:val="single"/>
                    </w:rPr>
                  </w:pPr>
                </w:p>
              </w:tc>
              <w:tc>
                <w:tcPr>
                  <w:tcW w:w="314" w:type="pct"/>
                  <w:vMerge w:val="continue"/>
                  <w:vAlign w:val="center"/>
                </w:tcPr>
                <w:p>
                  <w:pPr>
                    <w:pStyle w:val="62"/>
                    <w:rPr>
                      <w:b/>
                      <w:sz w:val="21"/>
                      <w:szCs w:val="21"/>
                      <w:u w:val="single"/>
                    </w:rPr>
                  </w:pPr>
                </w:p>
              </w:tc>
              <w:tc>
                <w:tcPr>
                  <w:tcW w:w="414" w:type="pct"/>
                  <w:vMerge w:val="continue"/>
                  <w:vAlign w:val="center"/>
                </w:tcPr>
                <w:p>
                  <w:pPr>
                    <w:pStyle w:val="62"/>
                    <w:rPr>
                      <w:b/>
                      <w:sz w:val="21"/>
                      <w:szCs w:val="21"/>
                      <w:u w:val="single"/>
                    </w:rPr>
                  </w:pPr>
                </w:p>
              </w:tc>
              <w:tc>
                <w:tcPr>
                  <w:tcW w:w="526" w:type="pct"/>
                  <w:vMerge w:val="restart"/>
                  <w:vAlign w:val="center"/>
                </w:tcPr>
                <w:p>
                  <w:pPr>
                    <w:pStyle w:val="62"/>
                    <w:rPr>
                      <w:b/>
                      <w:sz w:val="21"/>
                      <w:szCs w:val="21"/>
                      <w:u w:val="single"/>
                    </w:rPr>
                  </w:pPr>
                  <w:r>
                    <w:rPr>
                      <w:b/>
                      <w:sz w:val="21"/>
                      <w:szCs w:val="21"/>
                      <w:u w:val="single"/>
                    </w:rPr>
                    <w:t>（声压级/距声源距离</w:t>
                  </w:r>
                  <w:r>
                    <w:rPr>
                      <w:b/>
                      <w:spacing w:val="-10"/>
                      <w:sz w:val="21"/>
                      <w:szCs w:val="21"/>
                      <w:u w:val="single"/>
                    </w:rPr>
                    <w:t>）/（dB(A)/m）</w:t>
                  </w:r>
                </w:p>
              </w:tc>
              <w:tc>
                <w:tcPr>
                  <w:tcW w:w="374" w:type="pct"/>
                  <w:vMerge w:val="restart"/>
                  <w:vAlign w:val="center"/>
                </w:tcPr>
                <w:p>
                  <w:pPr>
                    <w:pStyle w:val="62"/>
                    <w:rPr>
                      <w:b/>
                      <w:sz w:val="21"/>
                      <w:szCs w:val="21"/>
                      <w:u w:val="single"/>
                    </w:rPr>
                  </w:pPr>
                  <w:r>
                    <w:rPr>
                      <w:b/>
                      <w:sz w:val="21"/>
                      <w:szCs w:val="21"/>
                      <w:u w:val="single"/>
                    </w:rPr>
                    <w:t>声功率级</w:t>
                  </w:r>
                </w:p>
                <w:p>
                  <w:pPr>
                    <w:pStyle w:val="62"/>
                    <w:rPr>
                      <w:b/>
                      <w:sz w:val="21"/>
                      <w:szCs w:val="21"/>
                      <w:u w:val="single"/>
                    </w:rPr>
                  </w:pPr>
                  <w:r>
                    <w:rPr>
                      <w:b/>
                      <w:sz w:val="21"/>
                      <w:szCs w:val="21"/>
                      <w:u w:val="single"/>
                    </w:rPr>
                    <w:t>/dB(A)</w:t>
                  </w:r>
                </w:p>
              </w:tc>
              <w:tc>
                <w:tcPr>
                  <w:tcW w:w="374" w:type="pct"/>
                  <w:vMerge w:val="continue"/>
                  <w:vAlign w:val="center"/>
                </w:tcPr>
                <w:p>
                  <w:pPr>
                    <w:pStyle w:val="62"/>
                    <w:rPr>
                      <w:b/>
                      <w:sz w:val="21"/>
                      <w:szCs w:val="21"/>
                      <w:u w:val="single"/>
                    </w:rPr>
                  </w:pPr>
                </w:p>
              </w:tc>
              <w:tc>
                <w:tcPr>
                  <w:tcW w:w="552" w:type="pct"/>
                  <w:gridSpan w:val="3"/>
                  <w:vMerge w:val="continue"/>
                  <w:vAlign w:val="center"/>
                </w:tcPr>
                <w:p>
                  <w:pPr>
                    <w:pStyle w:val="62"/>
                    <w:rPr>
                      <w:b/>
                      <w:sz w:val="21"/>
                      <w:szCs w:val="21"/>
                      <w:u w:val="single"/>
                    </w:rPr>
                  </w:pPr>
                </w:p>
              </w:tc>
              <w:tc>
                <w:tcPr>
                  <w:tcW w:w="377" w:type="pct"/>
                  <w:gridSpan w:val="2"/>
                  <w:vMerge w:val="continue"/>
                  <w:vAlign w:val="center"/>
                </w:tcPr>
                <w:p>
                  <w:pPr>
                    <w:pStyle w:val="62"/>
                    <w:rPr>
                      <w:b/>
                      <w:sz w:val="21"/>
                      <w:szCs w:val="21"/>
                      <w:u w:val="single"/>
                    </w:rPr>
                  </w:pPr>
                </w:p>
              </w:tc>
              <w:tc>
                <w:tcPr>
                  <w:tcW w:w="412" w:type="pct"/>
                  <w:vMerge w:val="continue"/>
                  <w:vAlign w:val="center"/>
                </w:tcPr>
                <w:p>
                  <w:pPr>
                    <w:pStyle w:val="62"/>
                    <w:rPr>
                      <w:b/>
                      <w:spacing w:val="-5"/>
                      <w:sz w:val="21"/>
                      <w:szCs w:val="21"/>
                      <w:u w:val="single"/>
                    </w:rPr>
                  </w:pP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Merge w:val="restart"/>
                  <w:vAlign w:val="center"/>
                </w:tcPr>
                <w:p>
                  <w:pPr>
                    <w:pStyle w:val="62"/>
                    <w:rPr>
                      <w:b/>
                      <w:sz w:val="21"/>
                      <w:szCs w:val="21"/>
                      <w:u w:val="single"/>
                    </w:rPr>
                  </w:pPr>
                  <w:r>
                    <w:rPr>
                      <w:b/>
                      <w:sz w:val="21"/>
                      <w:szCs w:val="21"/>
                      <w:u w:val="single"/>
                    </w:rPr>
                    <w:t>声压级</w:t>
                  </w:r>
                </w:p>
                <w:p>
                  <w:pPr>
                    <w:pStyle w:val="62"/>
                    <w:rPr>
                      <w:b/>
                      <w:sz w:val="21"/>
                      <w:szCs w:val="21"/>
                      <w:u w:val="single"/>
                    </w:rPr>
                  </w:pPr>
                  <w:r>
                    <w:rPr>
                      <w:b/>
                      <w:sz w:val="21"/>
                      <w:szCs w:val="21"/>
                      <w:u w:val="single"/>
                    </w:rPr>
                    <w:t>/dB(A)</w:t>
                  </w:r>
                </w:p>
              </w:tc>
              <w:tc>
                <w:tcPr>
                  <w:tcW w:w="410" w:type="pct"/>
                  <w:gridSpan w:val="2"/>
                  <w:vMerge w:val="restart"/>
                  <w:vAlign w:val="center"/>
                </w:tcPr>
                <w:p>
                  <w:pPr>
                    <w:pStyle w:val="62"/>
                    <w:rPr>
                      <w:b/>
                      <w:sz w:val="21"/>
                      <w:szCs w:val="21"/>
                      <w:u w:val="single"/>
                    </w:rPr>
                  </w:pPr>
                  <w:r>
                    <w:rPr>
                      <w:b/>
                      <w:sz w:val="21"/>
                      <w:szCs w:val="21"/>
                      <w:u w:val="single"/>
                    </w:rPr>
                    <w:t>建筑物外距离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7" w:type="pct"/>
                  <w:vMerge w:val="continue"/>
                  <w:vAlign w:val="center"/>
                </w:tcPr>
                <w:p>
                  <w:pPr>
                    <w:pStyle w:val="62"/>
                    <w:rPr>
                      <w:b/>
                      <w:sz w:val="21"/>
                      <w:szCs w:val="21"/>
                      <w:u w:val="single"/>
                    </w:rPr>
                  </w:pPr>
                </w:p>
              </w:tc>
              <w:tc>
                <w:tcPr>
                  <w:tcW w:w="314" w:type="pct"/>
                  <w:vMerge w:val="continue"/>
                  <w:vAlign w:val="center"/>
                </w:tcPr>
                <w:p>
                  <w:pPr>
                    <w:pStyle w:val="62"/>
                    <w:rPr>
                      <w:b/>
                      <w:sz w:val="21"/>
                      <w:szCs w:val="21"/>
                      <w:u w:val="single"/>
                    </w:rPr>
                  </w:pPr>
                </w:p>
              </w:tc>
              <w:tc>
                <w:tcPr>
                  <w:tcW w:w="414" w:type="pct"/>
                  <w:vMerge w:val="continue"/>
                  <w:vAlign w:val="center"/>
                </w:tcPr>
                <w:p>
                  <w:pPr>
                    <w:pStyle w:val="62"/>
                    <w:rPr>
                      <w:b/>
                      <w:sz w:val="21"/>
                      <w:szCs w:val="21"/>
                      <w:u w:val="single"/>
                    </w:rPr>
                  </w:pPr>
                </w:p>
              </w:tc>
              <w:tc>
                <w:tcPr>
                  <w:tcW w:w="526"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180" w:type="pct"/>
                  <w:vAlign w:val="center"/>
                </w:tcPr>
                <w:p>
                  <w:pPr>
                    <w:pStyle w:val="62"/>
                    <w:rPr>
                      <w:b/>
                      <w:sz w:val="21"/>
                      <w:szCs w:val="21"/>
                      <w:u w:val="single"/>
                    </w:rPr>
                  </w:pPr>
                  <w:r>
                    <w:rPr>
                      <w:b/>
                      <w:sz w:val="21"/>
                      <w:szCs w:val="21"/>
                      <w:u w:val="single"/>
                    </w:rPr>
                    <w:t>X</w:t>
                  </w:r>
                </w:p>
              </w:tc>
              <w:tc>
                <w:tcPr>
                  <w:tcW w:w="176" w:type="pct"/>
                  <w:vAlign w:val="center"/>
                </w:tcPr>
                <w:p>
                  <w:pPr>
                    <w:pStyle w:val="62"/>
                    <w:rPr>
                      <w:b/>
                      <w:sz w:val="21"/>
                      <w:szCs w:val="21"/>
                      <w:u w:val="single"/>
                    </w:rPr>
                  </w:pPr>
                  <w:r>
                    <w:rPr>
                      <w:b/>
                      <w:sz w:val="21"/>
                      <w:szCs w:val="21"/>
                      <w:u w:val="single"/>
                    </w:rPr>
                    <w:t>Y</w:t>
                  </w:r>
                </w:p>
              </w:tc>
              <w:tc>
                <w:tcPr>
                  <w:tcW w:w="196" w:type="pct"/>
                  <w:vAlign w:val="center"/>
                </w:tcPr>
                <w:p>
                  <w:pPr>
                    <w:pStyle w:val="62"/>
                    <w:rPr>
                      <w:b/>
                      <w:sz w:val="21"/>
                      <w:szCs w:val="21"/>
                      <w:u w:val="single"/>
                    </w:rPr>
                  </w:pPr>
                  <w:r>
                    <w:rPr>
                      <w:b/>
                      <w:sz w:val="21"/>
                      <w:szCs w:val="21"/>
                      <w:u w:val="single"/>
                    </w:rPr>
                    <w:t>Z</w:t>
                  </w:r>
                </w:p>
              </w:tc>
              <w:tc>
                <w:tcPr>
                  <w:tcW w:w="377" w:type="pct"/>
                  <w:gridSpan w:val="2"/>
                  <w:vMerge w:val="continue"/>
                  <w:vAlign w:val="center"/>
                </w:tcPr>
                <w:p>
                  <w:pPr>
                    <w:pStyle w:val="62"/>
                    <w:rPr>
                      <w:b/>
                      <w:sz w:val="21"/>
                      <w:szCs w:val="21"/>
                      <w:u w:val="single"/>
                    </w:rPr>
                  </w:pPr>
                </w:p>
              </w:tc>
              <w:tc>
                <w:tcPr>
                  <w:tcW w:w="412" w:type="pct"/>
                  <w:vMerge w:val="continue"/>
                  <w:vAlign w:val="center"/>
                </w:tcPr>
                <w:p>
                  <w:pPr>
                    <w:pStyle w:val="62"/>
                    <w:rPr>
                      <w:b/>
                      <w:sz w:val="21"/>
                      <w:szCs w:val="21"/>
                      <w:u w:val="single"/>
                    </w:rPr>
                  </w:pP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Merge w:val="continue"/>
                  <w:vAlign w:val="center"/>
                </w:tcPr>
                <w:p>
                  <w:pPr>
                    <w:pStyle w:val="62"/>
                    <w:rPr>
                      <w:b/>
                      <w:sz w:val="21"/>
                      <w:szCs w:val="21"/>
                      <w:u w:val="single"/>
                    </w:rPr>
                  </w:pPr>
                </w:p>
              </w:tc>
              <w:tc>
                <w:tcPr>
                  <w:tcW w:w="410" w:type="pct"/>
                  <w:gridSpan w:val="2"/>
                  <w:vMerge w:val="continue"/>
                  <w:vAlign w:val="center"/>
                </w:tcPr>
                <w:p>
                  <w:pPr>
                    <w:pStyle w:val="62"/>
                    <w:rPr>
                      <w:b/>
                      <w:sz w:val="21"/>
                      <w:szCs w:val="21"/>
                      <w:u w:val="singl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7" w:type="pct"/>
                  <w:vMerge w:val="restart"/>
                  <w:vAlign w:val="center"/>
                </w:tcPr>
                <w:p>
                  <w:pPr>
                    <w:pStyle w:val="62"/>
                    <w:rPr>
                      <w:b/>
                      <w:sz w:val="21"/>
                      <w:szCs w:val="21"/>
                      <w:u w:val="single"/>
                    </w:rPr>
                  </w:pPr>
                  <w:r>
                    <w:rPr>
                      <w:b/>
                      <w:sz w:val="21"/>
                      <w:szCs w:val="21"/>
                      <w:u w:val="single"/>
                    </w:rPr>
                    <w:t>1</w:t>
                  </w:r>
                </w:p>
              </w:tc>
              <w:tc>
                <w:tcPr>
                  <w:tcW w:w="314" w:type="pct"/>
                  <w:vMerge w:val="restart"/>
                  <w:vAlign w:val="center"/>
                </w:tcPr>
                <w:p>
                  <w:pPr>
                    <w:pStyle w:val="62"/>
                    <w:rPr>
                      <w:b/>
                      <w:sz w:val="21"/>
                      <w:szCs w:val="21"/>
                      <w:u w:val="single"/>
                    </w:rPr>
                  </w:pPr>
                  <w:r>
                    <w:rPr>
                      <w:rFonts w:hint="eastAsia"/>
                      <w:b/>
                      <w:sz w:val="21"/>
                      <w:szCs w:val="21"/>
                      <w:u w:val="single"/>
                    </w:rPr>
                    <w:t>生产</w:t>
                  </w:r>
                </w:p>
                <w:p>
                  <w:pPr>
                    <w:pStyle w:val="62"/>
                    <w:rPr>
                      <w:b/>
                      <w:sz w:val="21"/>
                      <w:szCs w:val="21"/>
                      <w:u w:val="single"/>
                    </w:rPr>
                  </w:pPr>
                  <w:r>
                    <w:rPr>
                      <w:b/>
                      <w:sz w:val="21"/>
                      <w:szCs w:val="21"/>
                      <w:u w:val="single"/>
                    </w:rPr>
                    <w:t>车间</w:t>
                  </w:r>
                </w:p>
              </w:tc>
              <w:tc>
                <w:tcPr>
                  <w:tcW w:w="414" w:type="pct"/>
                  <w:vMerge w:val="restart"/>
                  <w:vAlign w:val="center"/>
                </w:tcPr>
                <w:p>
                  <w:pPr>
                    <w:pStyle w:val="62"/>
                    <w:rPr>
                      <w:b/>
                      <w:sz w:val="21"/>
                      <w:szCs w:val="21"/>
                      <w:u w:val="single"/>
                    </w:rPr>
                  </w:pPr>
                  <w:r>
                    <w:rPr>
                      <w:rFonts w:hint="eastAsia"/>
                      <w:b/>
                      <w:sz w:val="21"/>
                      <w:szCs w:val="21"/>
                      <w:u w:val="single"/>
                    </w:rPr>
                    <w:t>1#覆膜机</w:t>
                  </w:r>
                </w:p>
              </w:tc>
              <w:tc>
                <w:tcPr>
                  <w:tcW w:w="526" w:type="pct"/>
                  <w:vMerge w:val="restart"/>
                  <w:vAlign w:val="center"/>
                </w:tcPr>
                <w:p>
                  <w:pPr>
                    <w:pStyle w:val="62"/>
                    <w:rPr>
                      <w:b/>
                      <w:sz w:val="21"/>
                      <w:szCs w:val="21"/>
                      <w:u w:val="single"/>
                    </w:rPr>
                  </w:pPr>
                  <w:r>
                    <w:rPr>
                      <w:b/>
                      <w:sz w:val="21"/>
                      <w:szCs w:val="21"/>
                      <w:u w:val="single"/>
                    </w:rPr>
                    <w:t>/</w:t>
                  </w:r>
                </w:p>
              </w:tc>
              <w:tc>
                <w:tcPr>
                  <w:tcW w:w="374" w:type="pct"/>
                  <w:vMerge w:val="restart"/>
                  <w:vAlign w:val="center"/>
                </w:tcPr>
                <w:p>
                  <w:pPr>
                    <w:pStyle w:val="62"/>
                    <w:rPr>
                      <w:b/>
                      <w:sz w:val="21"/>
                      <w:szCs w:val="21"/>
                      <w:u w:val="single"/>
                    </w:rPr>
                  </w:pPr>
                  <w:r>
                    <w:rPr>
                      <w:rFonts w:hint="eastAsia"/>
                      <w:b/>
                      <w:sz w:val="21"/>
                      <w:szCs w:val="21"/>
                      <w:u w:val="single"/>
                    </w:rPr>
                    <w:t>70</w:t>
                  </w:r>
                </w:p>
              </w:tc>
              <w:tc>
                <w:tcPr>
                  <w:tcW w:w="374" w:type="pct"/>
                  <w:vMerge w:val="restart"/>
                  <w:vAlign w:val="center"/>
                </w:tcPr>
                <w:p>
                  <w:pPr>
                    <w:pStyle w:val="62"/>
                    <w:rPr>
                      <w:b/>
                      <w:sz w:val="21"/>
                      <w:szCs w:val="21"/>
                      <w:u w:val="single"/>
                    </w:rPr>
                  </w:pPr>
                  <w:r>
                    <w:rPr>
                      <w:b/>
                      <w:sz w:val="21"/>
                      <w:szCs w:val="21"/>
                      <w:u w:val="single"/>
                    </w:rPr>
                    <w:t>基础</w:t>
                  </w:r>
                </w:p>
                <w:p>
                  <w:pPr>
                    <w:pStyle w:val="62"/>
                    <w:rPr>
                      <w:b/>
                      <w:sz w:val="21"/>
                      <w:szCs w:val="21"/>
                      <w:u w:val="single"/>
                    </w:rPr>
                  </w:pPr>
                  <w:r>
                    <w:rPr>
                      <w:b/>
                      <w:sz w:val="21"/>
                      <w:szCs w:val="21"/>
                      <w:u w:val="single"/>
                    </w:rPr>
                    <w:t>减震、</w:t>
                  </w:r>
                </w:p>
                <w:p>
                  <w:pPr>
                    <w:pStyle w:val="62"/>
                    <w:rPr>
                      <w:b/>
                      <w:sz w:val="21"/>
                      <w:szCs w:val="21"/>
                      <w:u w:val="single"/>
                    </w:rPr>
                  </w:pPr>
                  <w:r>
                    <w:rPr>
                      <w:b/>
                      <w:sz w:val="21"/>
                      <w:szCs w:val="21"/>
                      <w:u w:val="single"/>
                    </w:rPr>
                    <w:t>厂房</w:t>
                  </w:r>
                </w:p>
                <w:p>
                  <w:pPr>
                    <w:pStyle w:val="62"/>
                    <w:rPr>
                      <w:b/>
                      <w:sz w:val="21"/>
                      <w:szCs w:val="21"/>
                      <w:u w:val="single"/>
                    </w:rPr>
                  </w:pPr>
                  <w:r>
                    <w:rPr>
                      <w:b/>
                      <w:sz w:val="21"/>
                      <w:szCs w:val="21"/>
                      <w:u w:val="single"/>
                    </w:rPr>
                    <w:t>隔声、</w:t>
                  </w:r>
                </w:p>
                <w:p>
                  <w:pPr>
                    <w:pStyle w:val="62"/>
                    <w:rPr>
                      <w:b/>
                      <w:sz w:val="21"/>
                      <w:szCs w:val="21"/>
                      <w:u w:val="single"/>
                    </w:rPr>
                  </w:pPr>
                  <w:r>
                    <w:rPr>
                      <w:b/>
                      <w:sz w:val="21"/>
                      <w:szCs w:val="21"/>
                      <w:u w:val="single"/>
                    </w:rPr>
                    <w:t>距离</w:t>
                  </w:r>
                </w:p>
                <w:p>
                  <w:pPr>
                    <w:pStyle w:val="62"/>
                    <w:rPr>
                      <w:b/>
                      <w:sz w:val="21"/>
                      <w:szCs w:val="21"/>
                      <w:u w:val="single"/>
                    </w:rPr>
                  </w:pPr>
                  <w:r>
                    <w:rPr>
                      <w:b/>
                      <w:sz w:val="21"/>
                      <w:szCs w:val="21"/>
                      <w:u w:val="single"/>
                    </w:rPr>
                    <w:t>衰减</w:t>
                  </w:r>
                </w:p>
              </w:tc>
              <w:tc>
                <w:tcPr>
                  <w:tcW w:w="180" w:type="pct"/>
                  <w:vMerge w:val="restart"/>
                  <w:vAlign w:val="center"/>
                </w:tcPr>
                <w:p>
                  <w:pPr>
                    <w:pStyle w:val="62"/>
                    <w:rPr>
                      <w:b/>
                      <w:sz w:val="21"/>
                      <w:szCs w:val="21"/>
                      <w:u w:val="single"/>
                    </w:rPr>
                  </w:pPr>
                  <w:r>
                    <w:rPr>
                      <w:rFonts w:hint="eastAsia"/>
                      <w:b/>
                      <w:sz w:val="21"/>
                      <w:szCs w:val="21"/>
                      <w:u w:val="single"/>
                    </w:rPr>
                    <w:t>14</w:t>
                  </w:r>
                </w:p>
              </w:tc>
              <w:tc>
                <w:tcPr>
                  <w:tcW w:w="176" w:type="pct"/>
                  <w:vMerge w:val="restart"/>
                  <w:vAlign w:val="center"/>
                </w:tcPr>
                <w:p>
                  <w:pPr>
                    <w:pStyle w:val="62"/>
                    <w:rPr>
                      <w:b/>
                      <w:sz w:val="21"/>
                      <w:szCs w:val="21"/>
                      <w:u w:val="single"/>
                    </w:rPr>
                  </w:pPr>
                  <w:r>
                    <w:rPr>
                      <w:rFonts w:hint="eastAsia"/>
                      <w:b/>
                      <w:sz w:val="21"/>
                      <w:szCs w:val="21"/>
                      <w:u w:val="single"/>
                    </w:rPr>
                    <w:t>30</w:t>
                  </w:r>
                </w:p>
              </w:tc>
              <w:tc>
                <w:tcPr>
                  <w:tcW w:w="196" w:type="pct"/>
                  <w:vMerge w:val="restart"/>
                  <w:vAlign w:val="center"/>
                </w:tcPr>
                <w:p>
                  <w:pPr>
                    <w:pStyle w:val="62"/>
                    <w:rPr>
                      <w:b/>
                      <w:sz w:val="21"/>
                      <w:szCs w:val="21"/>
                      <w:u w:val="single"/>
                    </w:rPr>
                  </w:pPr>
                  <w:r>
                    <w:rPr>
                      <w:rFonts w:hint="eastAsia"/>
                      <w:b/>
                      <w:sz w:val="21"/>
                      <w:szCs w:val="21"/>
                      <w:u w:val="single"/>
                    </w:rPr>
                    <w:t>1</w:t>
                  </w:r>
                </w:p>
              </w:tc>
              <w:tc>
                <w:tcPr>
                  <w:tcW w:w="222" w:type="pct"/>
                  <w:vAlign w:val="center"/>
                </w:tcPr>
                <w:p>
                  <w:pPr>
                    <w:pStyle w:val="62"/>
                    <w:rPr>
                      <w:b/>
                      <w:sz w:val="21"/>
                      <w:szCs w:val="21"/>
                      <w:u w:val="single"/>
                    </w:rPr>
                  </w:pPr>
                  <w:r>
                    <w:rPr>
                      <w:b/>
                      <w:sz w:val="21"/>
                      <w:szCs w:val="21"/>
                      <w:u w:val="single"/>
                    </w:rPr>
                    <w:t>东</w:t>
                  </w:r>
                </w:p>
              </w:tc>
              <w:tc>
                <w:tcPr>
                  <w:tcW w:w="155" w:type="pct"/>
                  <w:vAlign w:val="center"/>
                </w:tcPr>
                <w:p>
                  <w:pPr>
                    <w:pStyle w:val="62"/>
                    <w:rPr>
                      <w:b/>
                      <w:sz w:val="21"/>
                      <w:szCs w:val="21"/>
                      <w:u w:val="single"/>
                    </w:rPr>
                  </w:pPr>
                  <w:r>
                    <w:rPr>
                      <w:rFonts w:hint="eastAsia"/>
                      <w:b/>
                      <w:sz w:val="21"/>
                      <w:szCs w:val="21"/>
                      <w:u w:val="single"/>
                    </w:rPr>
                    <w:t>6</w:t>
                  </w:r>
                </w:p>
              </w:tc>
              <w:tc>
                <w:tcPr>
                  <w:tcW w:w="412" w:type="pct"/>
                  <w:vAlign w:val="center"/>
                </w:tcPr>
                <w:p>
                  <w:pPr>
                    <w:pStyle w:val="62"/>
                    <w:rPr>
                      <w:b/>
                      <w:sz w:val="21"/>
                      <w:szCs w:val="21"/>
                      <w:u w:val="single"/>
                    </w:rPr>
                  </w:pPr>
                  <w:r>
                    <w:rPr>
                      <w:rFonts w:hint="eastAsia"/>
                      <w:b/>
                      <w:sz w:val="21"/>
                      <w:szCs w:val="21"/>
                      <w:u w:val="single"/>
                    </w:rPr>
                    <w:t xml:space="preserve">54.44 </w:t>
                  </w:r>
                </w:p>
              </w:tc>
              <w:tc>
                <w:tcPr>
                  <w:tcW w:w="466" w:type="pct"/>
                  <w:vMerge w:val="restart"/>
                  <w:vAlign w:val="center"/>
                </w:tcPr>
                <w:p>
                  <w:pPr>
                    <w:pStyle w:val="62"/>
                    <w:rPr>
                      <w:b/>
                      <w:sz w:val="21"/>
                      <w:szCs w:val="21"/>
                      <w:u w:val="single"/>
                    </w:rPr>
                  </w:pPr>
                  <w:r>
                    <w:rPr>
                      <w:b/>
                      <w:sz w:val="21"/>
                      <w:szCs w:val="21"/>
                      <w:u w:val="single"/>
                    </w:rPr>
                    <w:t>8:00-12:00</w:t>
                  </w:r>
                </w:p>
                <w:p>
                  <w:pPr>
                    <w:pStyle w:val="62"/>
                    <w:rPr>
                      <w:b/>
                      <w:sz w:val="21"/>
                      <w:szCs w:val="21"/>
                      <w:u w:val="single"/>
                    </w:rPr>
                  </w:pPr>
                  <w:r>
                    <w:rPr>
                      <w:b/>
                      <w:sz w:val="21"/>
                      <w:szCs w:val="21"/>
                      <w:u w:val="single"/>
                    </w:rPr>
                    <w:t>14:00-18:00</w:t>
                  </w:r>
                </w:p>
              </w:tc>
              <w:tc>
                <w:tcPr>
                  <w:tcW w:w="368" w:type="pct"/>
                  <w:vMerge w:val="restart"/>
                  <w:vAlign w:val="center"/>
                </w:tcPr>
                <w:p>
                  <w:pPr>
                    <w:pStyle w:val="62"/>
                    <w:rPr>
                      <w:b/>
                      <w:sz w:val="21"/>
                      <w:szCs w:val="21"/>
                      <w:u w:val="single"/>
                    </w:rPr>
                  </w:pPr>
                  <w:r>
                    <w:rPr>
                      <w:rFonts w:hint="eastAsia"/>
                      <w:b/>
                      <w:sz w:val="21"/>
                      <w:szCs w:val="21"/>
                      <w:u w:val="single"/>
                    </w:rPr>
                    <w:t>20</w:t>
                  </w:r>
                </w:p>
              </w:tc>
              <w:tc>
                <w:tcPr>
                  <w:tcW w:w="316" w:type="pct"/>
                  <w:vAlign w:val="center"/>
                </w:tcPr>
                <w:p>
                  <w:pPr>
                    <w:pStyle w:val="62"/>
                    <w:rPr>
                      <w:b/>
                      <w:sz w:val="21"/>
                      <w:szCs w:val="21"/>
                      <w:u w:val="single"/>
                    </w:rPr>
                  </w:pPr>
                  <w:r>
                    <w:rPr>
                      <w:rFonts w:hint="eastAsia"/>
                      <w:b/>
                      <w:sz w:val="21"/>
                      <w:szCs w:val="21"/>
                      <w:u w:val="single"/>
                    </w:rPr>
                    <w:t xml:space="preserve">34.44 </w:t>
                  </w:r>
                </w:p>
              </w:tc>
              <w:tc>
                <w:tcPr>
                  <w:tcW w:w="185" w:type="pct"/>
                  <w:vAlign w:val="center"/>
                </w:tcPr>
                <w:p>
                  <w:pPr>
                    <w:pStyle w:val="62"/>
                    <w:rPr>
                      <w:b/>
                      <w:sz w:val="21"/>
                      <w:szCs w:val="21"/>
                      <w:u w:val="single"/>
                    </w:rPr>
                  </w:pPr>
                  <w:r>
                    <w:rPr>
                      <w:b/>
                      <w:sz w:val="21"/>
                      <w:szCs w:val="21"/>
                      <w:u w:val="single"/>
                    </w:rPr>
                    <w:t>东</w:t>
                  </w:r>
                </w:p>
              </w:tc>
              <w:tc>
                <w:tcPr>
                  <w:tcW w:w="225" w:type="pct"/>
                  <w:vAlign w:val="center"/>
                </w:tcPr>
                <w:p>
                  <w:pPr>
                    <w:pStyle w:val="62"/>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7" w:type="pct"/>
                  <w:vMerge w:val="continue"/>
                  <w:vAlign w:val="center"/>
                </w:tcPr>
                <w:p>
                  <w:pPr>
                    <w:pStyle w:val="62"/>
                    <w:rPr>
                      <w:b/>
                      <w:sz w:val="21"/>
                      <w:szCs w:val="21"/>
                      <w:u w:val="single"/>
                    </w:rPr>
                  </w:pPr>
                </w:p>
              </w:tc>
              <w:tc>
                <w:tcPr>
                  <w:tcW w:w="314" w:type="pct"/>
                  <w:vMerge w:val="continue"/>
                  <w:vAlign w:val="center"/>
                </w:tcPr>
                <w:p>
                  <w:pPr>
                    <w:pStyle w:val="62"/>
                    <w:rPr>
                      <w:b/>
                      <w:sz w:val="21"/>
                      <w:szCs w:val="21"/>
                      <w:u w:val="single"/>
                    </w:rPr>
                  </w:pPr>
                </w:p>
              </w:tc>
              <w:tc>
                <w:tcPr>
                  <w:tcW w:w="414" w:type="pct"/>
                  <w:vMerge w:val="continue"/>
                  <w:vAlign w:val="center"/>
                </w:tcPr>
                <w:p>
                  <w:pPr>
                    <w:pStyle w:val="62"/>
                    <w:rPr>
                      <w:b/>
                      <w:sz w:val="21"/>
                      <w:szCs w:val="21"/>
                      <w:u w:val="single"/>
                    </w:rPr>
                  </w:pPr>
                </w:p>
              </w:tc>
              <w:tc>
                <w:tcPr>
                  <w:tcW w:w="526"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180" w:type="pct"/>
                  <w:vMerge w:val="continue"/>
                  <w:vAlign w:val="center"/>
                </w:tcPr>
                <w:p>
                  <w:pPr>
                    <w:pStyle w:val="62"/>
                    <w:rPr>
                      <w:b/>
                      <w:sz w:val="21"/>
                      <w:szCs w:val="21"/>
                      <w:u w:val="single"/>
                    </w:rPr>
                  </w:pPr>
                </w:p>
              </w:tc>
              <w:tc>
                <w:tcPr>
                  <w:tcW w:w="176" w:type="pct"/>
                  <w:vMerge w:val="continue"/>
                  <w:vAlign w:val="center"/>
                </w:tcPr>
                <w:p>
                  <w:pPr>
                    <w:pStyle w:val="62"/>
                    <w:rPr>
                      <w:b/>
                      <w:sz w:val="21"/>
                      <w:szCs w:val="21"/>
                      <w:u w:val="single"/>
                    </w:rPr>
                  </w:pPr>
                </w:p>
              </w:tc>
              <w:tc>
                <w:tcPr>
                  <w:tcW w:w="196" w:type="pct"/>
                  <w:vMerge w:val="continue"/>
                  <w:vAlign w:val="center"/>
                </w:tcPr>
                <w:p>
                  <w:pPr>
                    <w:pStyle w:val="62"/>
                    <w:rPr>
                      <w:b/>
                      <w:sz w:val="21"/>
                      <w:szCs w:val="21"/>
                      <w:u w:val="single"/>
                    </w:rPr>
                  </w:pPr>
                </w:p>
              </w:tc>
              <w:tc>
                <w:tcPr>
                  <w:tcW w:w="222" w:type="pct"/>
                  <w:vAlign w:val="center"/>
                </w:tcPr>
                <w:p>
                  <w:pPr>
                    <w:pStyle w:val="62"/>
                    <w:rPr>
                      <w:b/>
                      <w:sz w:val="21"/>
                      <w:szCs w:val="21"/>
                      <w:u w:val="single"/>
                    </w:rPr>
                  </w:pPr>
                  <w:r>
                    <w:rPr>
                      <w:b/>
                      <w:sz w:val="21"/>
                      <w:szCs w:val="21"/>
                      <w:u w:val="single"/>
                    </w:rPr>
                    <w:t>西</w:t>
                  </w:r>
                </w:p>
              </w:tc>
              <w:tc>
                <w:tcPr>
                  <w:tcW w:w="155" w:type="pct"/>
                  <w:vAlign w:val="center"/>
                </w:tcPr>
                <w:p>
                  <w:pPr>
                    <w:pStyle w:val="62"/>
                    <w:rPr>
                      <w:b/>
                      <w:sz w:val="21"/>
                      <w:szCs w:val="21"/>
                      <w:u w:val="single"/>
                    </w:rPr>
                  </w:pPr>
                  <w:r>
                    <w:rPr>
                      <w:rFonts w:hint="eastAsia"/>
                      <w:b/>
                      <w:sz w:val="21"/>
                      <w:szCs w:val="21"/>
                      <w:u w:val="single"/>
                    </w:rPr>
                    <w:t>14</w:t>
                  </w:r>
                </w:p>
              </w:tc>
              <w:tc>
                <w:tcPr>
                  <w:tcW w:w="412" w:type="pct"/>
                  <w:vAlign w:val="center"/>
                </w:tcPr>
                <w:p>
                  <w:pPr>
                    <w:pStyle w:val="62"/>
                    <w:rPr>
                      <w:b/>
                      <w:sz w:val="21"/>
                      <w:szCs w:val="21"/>
                      <w:u w:val="single"/>
                    </w:rPr>
                  </w:pPr>
                  <w:r>
                    <w:rPr>
                      <w:rFonts w:hint="eastAsia"/>
                      <w:b/>
                      <w:sz w:val="21"/>
                      <w:szCs w:val="21"/>
                      <w:u w:val="single"/>
                    </w:rPr>
                    <w:t xml:space="preserve">47.08 </w:t>
                  </w: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Align w:val="center"/>
                </w:tcPr>
                <w:p>
                  <w:pPr>
                    <w:pStyle w:val="62"/>
                    <w:rPr>
                      <w:b/>
                      <w:sz w:val="21"/>
                      <w:szCs w:val="21"/>
                      <w:u w:val="single"/>
                    </w:rPr>
                  </w:pPr>
                  <w:r>
                    <w:rPr>
                      <w:rFonts w:hint="eastAsia"/>
                      <w:b/>
                      <w:sz w:val="21"/>
                      <w:szCs w:val="21"/>
                      <w:u w:val="single"/>
                    </w:rPr>
                    <w:t xml:space="preserve">27.08 </w:t>
                  </w:r>
                </w:p>
              </w:tc>
              <w:tc>
                <w:tcPr>
                  <w:tcW w:w="185" w:type="pct"/>
                  <w:vAlign w:val="center"/>
                </w:tcPr>
                <w:p>
                  <w:pPr>
                    <w:pStyle w:val="62"/>
                    <w:rPr>
                      <w:b/>
                      <w:sz w:val="21"/>
                      <w:szCs w:val="21"/>
                      <w:u w:val="single"/>
                    </w:rPr>
                  </w:pPr>
                  <w:r>
                    <w:rPr>
                      <w:b/>
                      <w:sz w:val="21"/>
                      <w:szCs w:val="21"/>
                      <w:u w:val="single"/>
                    </w:rPr>
                    <w:t>西</w:t>
                  </w:r>
                </w:p>
              </w:tc>
              <w:tc>
                <w:tcPr>
                  <w:tcW w:w="225" w:type="pct"/>
                </w:tcPr>
                <w:p>
                  <w:pPr>
                    <w:pStyle w:val="62"/>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7" w:type="pct"/>
                  <w:vMerge w:val="continue"/>
                  <w:vAlign w:val="center"/>
                </w:tcPr>
                <w:p>
                  <w:pPr>
                    <w:pStyle w:val="62"/>
                    <w:rPr>
                      <w:b/>
                      <w:sz w:val="21"/>
                      <w:szCs w:val="21"/>
                      <w:u w:val="single"/>
                    </w:rPr>
                  </w:pPr>
                </w:p>
              </w:tc>
              <w:tc>
                <w:tcPr>
                  <w:tcW w:w="314" w:type="pct"/>
                  <w:vMerge w:val="continue"/>
                  <w:vAlign w:val="center"/>
                </w:tcPr>
                <w:p>
                  <w:pPr>
                    <w:pStyle w:val="62"/>
                    <w:rPr>
                      <w:b/>
                      <w:sz w:val="21"/>
                      <w:szCs w:val="21"/>
                      <w:u w:val="single"/>
                    </w:rPr>
                  </w:pPr>
                </w:p>
              </w:tc>
              <w:tc>
                <w:tcPr>
                  <w:tcW w:w="414" w:type="pct"/>
                  <w:vMerge w:val="continue"/>
                  <w:vAlign w:val="center"/>
                </w:tcPr>
                <w:p>
                  <w:pPr>
                    <w:pStyle w:val="62"/>
                    <w:rPr>
                      <w:b/>
                      <w:sz w:val="21"/>
                      <w:szCs w:val="21"/>
                      <w:u w:val="single"/>
                    </w:rPr>
                  </w:pPr>
                </w:p>
              </w:tc>
              <w:tc>
                <w:tcPr>
                  <w:tcW w:w="526"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180" w:type="pct"/>
                  <w:vMerge w:val="continue"/>
                  <w:vAlign w:val="center"/>
                </w:tcPr>
                <w:p>
                  <w:pPr>
                    <w:pStyle w:val="62"/>
                    <w:rPr>
                      <w:b/>
                      <w:sz w:val="21"/>
                      <w:szCs w:val="21"/>
                      <w:u w:val="single"/>
                    </w:rPr>
                  </w:pPr>
                </w:p>
              </w:tc>
              <w:tc>
                <w:tcPr>
                  <w:tcW w:w="176" w:type="pct"/>
                  <w:vMerge w:val="continue"/>
                  <w:vAlign w:val="center"/>
                </w:tcPr>
                <w:p>
                  <w:pPr>
                    <w:pStyle w:val="62"/>
                    <w:rPr>
                      <w:b/>
                      <w:sz w:val="21"/>
                      <w:szCs w:val="21"/>
                      <w:u w:val="single"/>
                    </w:rPr>
                  </w:pPr>
                </w:p>
              </w:tc>
              <w:tc>
                <w:tcPr>
                  <w:tcW w:w="196" w:type="pct"/>
                  <w:vMerge w:val="continue"/>
                  <w:vAlign w:val="center"/>
                </w:tcPr>
                <w:p>
                  <w:pPr>
                    <w:pStyle w:val="62"/>
                    <w:rPr>
                      <w:b/>
                      <w:sz w:val="21"/>
                      <w:szCs w:val="21"/>
                      <w:u w:val="single"/>
                    </w:rPr>
                  </w:pPr>
                </w:p>
              </w:tc>
              <w:tc>
                <w:tcPr>
                  <w:tcW w:w="222" w:type="pct"/>
                  <w:vAlign w:val="center"/>
                </w:tcPr>
                <w:p>
                  <w:pPr>
                    <w:pStyle w:val="62"/>
                    <w:rPr>
                      <w:b/>
                      <w:sz w:val="21"/>
                      <w:szCs w:val="21"/>
                      <w:u w:val="single"/>
                    </w:rPr>
                  </w:pPr>
                  <w:r>
                    <w:rPr>
                      <w:b/>
                      <w:sz w:val="21"/>
                      <w:szCs w:val="21"/>
                      <w:u w:val="single"/>
                    </w:rPr>
                    <w:t>南</w:t>
                  </w:r>
                </w:p>
              </w:tc>
              <w:tc>
                <w:tcPr>
                  <w:tcW w:w="155" w:type="pct"/>
                  <w:vAlign w:val="center"/>
                </w:tcPr>
                <w:p>
                  <w:pPr>
                    <w:pStyle w:val="62"/>
                    <w:rPr>
                      <w:b/>
                      <w:sz w:val="21"/>
                      <w:szCs w:val="21"/>
                      <w:u w:val="single"/>
                    </w:rPr>
                  </w:pPr>
                  <w:r>
                    <w:rPr>
                      <w:rFonts w:hint="eastAsia"/>
                      <w:b/>
                      <w:sz w:val="21"/>
                      <w:szCs w:val="21"/>
                      <w:u w:val="single"/>
                    </w:rPr>
                    <w:t>30</w:t>
                  </w:r>
                </w:p>
              </w:tc>
              <w:tc>
                <w:tcPr>
                  <w:tcW w:w="412" w:type="pct"/>
                  <w:vAlign w:val="center"/>
                </w:tcPr>
                <w:p>
                  <w:pPr>
                    <w:pStyle w:val="62"/>
                    <w:rPr>
                      <w:b/>
                      <w:sz w:val="21"/>
                      <w:szCs w:val="21"/>
                      <w:u w:val="single"/>
                    </w:rPr>
                  </w:pPr>
                  <w:r>
                    <w:rPr>
                      <w:rFonts w:hint="eastAsia"/>
                      <w:b/>
                      <w:sz w:val="21"/>
                      <w:szCs w:val="21"/>
                      <w:u w:val="single"/>
                    </w:rPr>
                    <w:t xml:space="preserve">40.46 </w:t>
                  </w: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Align w:val="center"/>
                </w:tcPr>
                <w:p>
                  <w:pPr>
                    <w:pStyle w:val="62"/>
                    <w:rPr>
                      <w:b/>
                      <w:sz w:val="21"/>
                      <w:szCs w:val="21"/>
                      <w:u w:val="single"/>
                    </w:rPr>
                  </w:pPr>
                  <w:r>
                    <w:rPr>
                      <w:rFonts w:hint="eastAsia"/>
                      <w:b/>
                      <w:sz w:val="21"/>
                      <w:szCs w:val="21"/>
                      <w:u w:val="single"/>
                    </w:rPr>
                    <w:t xml:space="preserve">20.46 </w:t>
                  </w:r>
                </w:p>
              </w:tc>
              <w:tc>
                <w:tcPr>
                  <w:tcW w:w="185" w:type="pct"/>
                  <w:vAlign w:val="center"/>
                </w:tcPr>
                <w:p>
                  <w:pPr>
                    <w:pStyle w:val="62"/>
                    <w:rPr>
                      <w:b/>
                      <w:sz w:val="21"/>
                      <w:szCs w:val="21"/>
                      <w:u w:val="single"/>
                    </w:rPr>
                  </w:pPr>
                  <w:r>
                    <w:rPr>
                      <w:b/>
                      <w:sz w:val="21"/>
                      <w:szCs w:val="21"/>
                      <w:u w:val="single"/>
                    </w:rPr>
                    <w:t>南</w:t>
                  </w:r>
                </w:p>
              </w:tc>
              <w:tc>
                <w:tcPr>
                  <w:tcW w:w="225" w:type="pct"/>
                </w:tcPr>
                <w:p>
                  <w:pPr>
                    <w:pStyle w:val="62"/>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97" w:type="pct"/>
                  <w:vMerge w:val="continue"/>
                  <w:vAlign w:val="center"/>
                </w:tcPr>
                <w:p>
                  <w:pPr>
                    <w:pStyle w:val="62"/>
                    <w:rPr>
                      <w:b/>
                      <w:sz w:val="21"/>
                      <w:szCs w:val="21"/>
                      <w:u w:val="single"/>
                    </w:rPr>
                  </w:pPr>
                </w:p>
              </w:tc>
              <w:tc>
                <w:tcPr>
                  <w:tcW w:w="314" w:type="pct"/>
                  <w:vMerge w:val="continue"/>
                  <w:vAlign w:val="center"/>
                </w:tcPr>
                <w:p>
                  <w:pPr>
                    <w:pStyle w:val="62"/>
                    <w:rPr>
                      <w:b/>
                      <w:sz w:val="21"/>
                      <w:szCs w:val="21"/>
                      <w:u w:val="single"/>
                    </w:rPr>
                  </w:pPr>
                </w:p>
              </w:tc>
              <w:tc>
                <w:tcPr>
                  <w:tcW w:w="414" w:type="pct"/>
                  <w:vMerge w:val="continue"/>
                  <w:vAlign w:val="center"/>
                </w:tcPr>
                <w:p>
                  <w:pPr>
                    <w:pStyle w:val="62"/>
                    <w:rPr>
                      <w:b/>
                      <w:sz w:val="21"/>
                      <w:szCs w:val="21"/>
                      <w:u w:val="single"/>
                    </w:rPr>
                  </w:pPr>
                </w:p>
              </w:tc>
              <w:tc>
                <w:tcPr>
                  <w:tcW w:w="526"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180" w:type="pct"/>
                  <w:vMerge w:val="continue"/>
                  <w:vAlign w:val="center"/>
                </w:tcPr>
                <w:p>
                  <w:pPr>
                    <w:pStyle w:val="62"/>
                    <w:rPr>
                      <w:b/>
                      <w:sz w:val="21"/>
                      <w:szCs w:val="21"/>
                      <w:u w:val="single"/>
                    </w:rPr>
                  </w:pPr>
                </w:p>
              </w:tc>
              <w:tc>
                <w:tcPr>
                  <w:tcW w:w="176" w:type="pct"/>
                  <w:vMerge w:val="continue"/>
                  <w:vAlign w:val="center"/>
                </w:tcPr>
                <w:p>
                  <w:pPr>
                    <w:pStyle w:val="62"/>
                    <w:rPr>
                      <w:b/>
                      <w:sz w:val="21"/>
                      <w:szCs w:val="21"/>
                      <w:u w:val="single"/>
                    </w:rPr>
                  </w:pPr>
                </w:p>
              </w:tc>
              <w:tc>
                <w:tcPr>
                  <w:tcW w:w="196" w:type="pct"/>
                  <w:vMerge w:val="continue"/>
                  <w:vAlign w:val="center"/>
                </w:tcPr>
                <w:p>
                  <w:pPr>
                    <w:pStyle w:val="62"/>
                    <w:rPr>
                      <w:b/>
                      <w:sz w:val="21"/>
                      <w:szCs w:val="21"/>
                      <w:u w:val="single"/>
                    </w:rPr>
                  </w:pPr>
                </w:p>
              </w:tc>
              <w:tc>
                <w:tcPr>
                  <w:tcW w:w="222" w:type="pct"/>
                  <w:vAlign w:val="center"/>
                </w:tcPr>
                <w:p>
                  <w:pPr>
                    <w:pStyle w:val="62"/>
                    <w:rPr>
                      <w:b/>
                      <w:sz w:val="21"/>
                      <w:szCs w:val="21"/>
                      <w:u w:val="single"/>
                    </w:rPr>
                  </w:pPr>
                  <w:r>
                    <w:rPr>
                      <w:b/>
                      <w:sz w:val="21"/>
                      <w:szCs w:val="21"/>
                      <w:u w:val="single"/>
                    </w:rPr>
                    <w:t>北</w:t>
                  </w:r>
                </w:p>
              </w:tc>
              <w:tc>
                <w:tcPr>
                  <w:tcW w:w="155" w:type="pct"/>
                  <w:vAlign w:val="center"/>
                </w:tcPr>
                <w:p>
                  <w:pPr>
                    <w:pStyle w:val="62"/>
                    <w:rPr>
                      <w:b/>
                      <w:sz w:val="21"/>
                      <w:szCs w:val="21"/>
                      <w:u w:val="single"/>
                    </w:rPr>
                  </w:pPr>
                  <w:r>
                    <w:rPr>
                      <w:rFonts w:hint="eastAsia"/>
                      <w:b/>
                      <w:sz w:val="21"/>
                      <w:szCs w:val="21"/>
                      <w:u w:val="single"/>
                    </w:rPr>
                    <w:t>70</w:t>
                  </w:r>
                </w:p>
              </w:tc>
              <w:tc>
                <w:tcPr>
                  <w:tcW w:w="412" w:type="pct"/>
                  <w:vAlign w:val="center"/>
                </w:tcPr>
                <w:p>
                  <w:pPr>
                    <w:pStyle w:val="62"/>
                    <w:rPr>
                      <w:b/>
                      <w:sz w:val="21"/>
                      <w:szCs w:val="21"/>
                      <w:u w:val="single"/>
                    </w:rPr>
                  </w:pPr>
                  <w:r>
                    <w:rPr>
                      <w:rFonts w:hint="eastAsia"/>
                      <w:b/>
                      <w:sz w:val="21"/>
                      <w:szCs w:val="21"/>
                      <w:u w:val="single"/>
                    </w:rPr>
                    <w:t xml:space="preserve">33.10 </w:t>
                  </w: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Align w:val="center"/>
                </w:tcPr>
                <w:p>
                  <w:pPr>
                    <w:pStyle w:val="62"/>
                    <w:rPr>
                      <w:b/>
                      <w:sz w:val="21"/>
                      <w:szCs w:val="21"/>
                      <w:u w:val="single"/>
                    </w:rPr>
                  </w:pPr>
                  <w:r>
                    <w:rPr>
                      <w:rFonts w:hint="eastAsia"/>
                      <w:b/>
                      <w:sz w:val="21"/>
                      <w:szCs w:val="21"/>
                      <w:u w:val="single"/>
                    </w:rPr>
                    <w:t xml:space="preserve">13.10 </w:t>
                  </w:r>
                </w:p>
              </w:tc>
              <w:tc>
                <w:tcPr>
                  <w:tcW w:w="185" w:type="pct"/>
                  <w:vAlign w:val="center"/>
                </w:tcPr>
                <w:p>
                  <w:pPr>
                    <w:pStyle w:val="62"/>
                    <w:rPr>
                      <w:b/>
                      <w:sz w:val="21"/>
                      <w:szCs w:val="21"/>
                      <w:u w:val="single"/>
                    </w:rPr>
                  </w:pPr>
                  <w:r>
                    <w:rPr>
                      <w:b/>
                      <w:sz w:val="21"/>
                      <w:szCs w:val="21"/>
                      <w:u w:val="single"/>
                    </w:rPr>
                    <w:t>北</w:t>
                  </w:r>
                </w:p>
              </w:tc>
              <w:tc>
                <w:tcPr>
                  <w:tcW w:w="225" w:type="pct"/>
                </w:tcPr>
                <w:p>
                  <w:pPr>
                    <w:pStyle w:val="62"/>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7" w:type="pct"/>
                  <w:vMerge w:val="restart"/>
                  <w:vAlign w:val="center"/>
                </w:tcPr>
                <w:p>
                  <w:pPr>
                    <w:pStyle w:val="62"/>
                    <w:rPr>
                      <w:b/>
                      <w:sz w:val="21"/>
                      <w:szCs w:val="21"/>
                      <w:u w:val="single"/>
                    </w:rPr>
                  </w:pPr>
                  <w:r>
                    <w:rPr>
                      <w:b/>
                      <w:sz w:val="21"/>
                      <w:szCs w:val="21"/>
                      <w:u w:val="single"/>
                    </w:rPr>
                    <w:t>2</w:t>
                  </w:r>
                </w:p>
              </w:tc>
              <w:tc>
                <w:tcPr>
                  <w:tcW w:w="314" w:type="pct"/>
                  <w:vMerge w:val="continue"/>
                  <w:vAlign w:val="center"/>
                </w:tcPr>
                <w:p>
                  <w:pPr>
                    <w:pStyle w:val="62"/>
                    <w:rPr>
                      <w:b/>
                      <w:sz w:val="21"/>
                      <w:szCs w:val="21"/>
                      <w:u w:val="single"/>
                    </w:rPr>
                  </w:pPr>
                </w:p>
              </w:tc>
              <w:tc>
                <w:tcPr>
                  <w:tcW w:w="414" w:type="pct"/>
                  <w:vMerge w:val="restart"/>
                  <w:vAlign w:val="center"/>
                </w:tcPr>
                <w:p>
                  <w:pPr>
                    <w:pStyle w:val="62"/>
                    <w:rPr>
                      <w:b/>
                      <w:sz w:val="21"/>
                      <w:szCs w:val="21"/>
                      <w:u w:val="single"/>
                    </w:rPr>
                  </w:pPr>
                  <w:r>
                    <w:rPr>
                      <w:rFonts w:hint="eastAsia"/>
                      <w:b/>
                      <w:sz w:val="21"/>
                      <w:szCs w:val="21"/>
                      <w:u w:val="single"/>
                    </w:rPr>
                    <w:t>2#覆膜机</w:t>
                  </w:r>
                </w:p>
              </w:tc>
              <w:tc>
                <w:tcPr>
                  <w:tcW w:w="526" w:type="pct"/>
                  <w:vMerge w:val="restart"/>
                  <w:vAlign w:val="center"/>
                </w:tcPr>
                <w:p>
                  <w:pPr>
                    <w:pStyle w:val="62"/>
                    <w:rPr>
                      <w:b/>
                      <w:sz w:val="21"/>
                      <w:szCs w:val="21"/>
                      <w:u w:val="single"/>
                    </w:rPr>
                  </w:pPr>
                  <w:r>
                    <w:rPr>
                      <w:b/>
                      <w:sz w:val="21"/>
                      <w:szCs w:val="21"/>
                      <w:u w:val="single"/>
                    </w:rPr>
                    <w:t>/</w:t>
                  </w:r>
                </w:p>
              </w:tc>
              <w:tc>
                <w:tcPr>
                  <w:tcW w:w="374" w:type="pct"/>
                  <w:vMerge w:val="restart"/>
                  <w:vAlign w:val="center"/>
                </w:tcPr>
                <w:p>
                  <w:pPr>
                    <w:pStyle w:val="62"/>
                    <w:rPr>
                      <w:b/>
                      <w:sz w:val="21"/>
                      <w:szCs w:val="21"/>
                      <w:u w:val="single"/>
                    </w:rPr>
                  </w:pPr>
                  <w:r>
                    <w:rPr>
                      <w:rFonts w:hint="eastAsia"/>
                      <w:b/>
                      <w:sz w:val="21"/>
                      <w:szCs w:val="21"/>
                      <w:u w:val="single"/>
                    </w:rPr>
                    <w:t>70</w:t>
                  </w:r>
                </w:p>
              </w:tc>
              <w:tc>
                <w:tcPr>
                  <w:tcW w:w="374" w:type="pct"/>
                  <w:vMerge w:val="continue"/>
                  <w:vAlign w:val="center"/>
                </w:tcPr>
                <w:p>
                  <w:pPr>
                    <w:pStyle w:val="62"/>
                    <w:rPr>
                      <w:b/>
                      <w:sz w:val="21"/>
                      <w:szCs w:val="21"/>
                      <w:u w:val="single"/>
                    </w:rPr>
                  </w:pPr>
                </w:p>
              </w:tc>
              <w:tc>
                <w:tcPr>
                  <w:tcW w:w="180" w:type="pct"/>
                  <w:vMerge w:val="restart"/>
                  <w:vAlign w:val="center"/>
                </w:tcPr>
                <w:p>
                  <w:pPr>
                    <w:pStyle w:val="62"/>
                    <w:rPr>
                      <w:b/>
                      <w:sz w:val="21"/>
                      <w:szCs w:val="21"/>
                      <w:u w:val="single"/>
                    </w:rPr>
                  </w:pPr>
                  <w:r>
                    <w:rPr>
                      <w:rFonts w:hint="eastAsia"/>
                      <w:b/>
                      <w:sz w:val="21"/>
                      <w:szCs w:val="21"/>
                      <w:u w:val="single"/>
                    </w:rPr>
                    <w:t>14</w:t>
                  </w:r>
                </w:p>
              </w:tc>
              <w:tc>
                <w:tcPr>
                  <w:tcW w:w="176" w:type="pct"/>
                  <w:vMerge w:val="restart"/>
                  <w:vAlign w:val="center"/>
                </w:tcPr>
                <w:p>
                  <w:pPr>
                    <w:pStyle w:val="62"/>
                    <w:rPr>
                      <w:b/>
                      <w:sz w:val="21"/>
                      <w:szCs w:val="21"/>
                      <w:u w:val="single"/>
                    </w:rPr>
                  </w:pPr>
                  <w:r>
                    <w:rPr>
                      <w:rFonts w:hint="eastAsia"/>
                      <w:b/>
                      <w:sz w:val="21"/>
                      <w:szCs w:val="21"/>
                      <w:u w:val="single"/>
                    </w:rPr>
                    <w:t>50</w:t>
                  </w:r>
                </w:p>
              </w:tc>
              <w:tc>
                <w:tcPr>
                  <w:tcW w:w="196" w:type="pct"/>
                  <w:vMerge w:val="restart"/>
                  <w:vAlign w:val="center"/>
                </w:tcPr>
                <w:p>
                  <w:pPr>
                    <w:pStyle w:val="62"/>
                    <w:rPr>
                      <w:b/>
                      <w:sz w:val="21"/>
                      <w:szCs w:val="21"/>
                      <w:u w:val="single"/>
                    </w:rPr>
                  </w:pPr>
                  <w:r>
                    <w:rPr>
                      <w:rFonts w:hint="eastAsia"/>
                      <w:b/>
                      <w:sz w:val="21"/>
                      <w:szCs w:val="21"/>
                      <w:u w:val="single"/>
                    </w:rPr>
                    <w:t>1</w:t>
                  </w:r>
                </w:p>
              </w:tc>
              <w:tc>
                <w:tcPr>
                  <w:tcW w:w="222" w:type="pct"/>
                  <w:vAlign w:val="center"/>
                </w:tcPr>
                <w:p>
                  <w:pPr>
                    <w:pStyle w:val="62"/>
                    <w:rPr>
                      <w:b/>
                      <w:sz w:val="21"/>
                      <w:szCs w:val="21"/>
                      <w:u w:val="single"/>
                    </w:rPr>
                  </w:pPr>
                  <w:r>
                    <w:rPr>
                      <w:b/>
                      <w:sz w:val="21"/>
                      <w:szCs w:val="21"/>
                      <w:u w:val="single"/>
                    </w:rPr>
                    <w:t>东</w:t>
                  </w:r>
                </w:p>
              </w:tc>
              <w:tc>
                <w:tcPr>
                  <w:tcW w:w="155" w:type="pct"/>
                  <w:vAlign w:val="center"/>
                </w:tcPr>
                <w:p>
                  <w:pPr>
                    <w:pStyle w:val="62"/>
                    <w:rPr>
                      <w:b/>
                      <w:sz w:val="21"/>
                      <w:szCs w:val="21"/>
                      <w:u w:val="single"/>
                    </w:rPr>
                  </w:pPr>
                  <w:r>
                    <w:rPr>
                      <w:rFonts w:hint="eastAsia"/>
                      <w:b/>
                      <w:sz w:val="21"/>
                      <w:szCs w:val="21"/>
                      <w:u w:val="single"/>
                    </w:rPr>
                    <w:t>6</w:t>
                  </w:r>
                </w:p>
              </w:tc>
              <w:tc>
                <w:tcPr>
                  <w:tcW w:w="412" w:type="pct"/>
                  <w:vAlign w:val="center"/>
                </w:tcPr>
                <w:p>
                  <w:pPr>
                    <w:pStyle w:val="62"/>
                    <w:rPr>
                      <w:b/>
                      <w:sz w:val="21"/>
                      <w:szCs w:val="21"/>
                      <w:u w:val="single"/>
                    </w:rPr>
                  </w:pPr>
                  <w:r>
                    <w:rPr>
                      <w:rFonts w:hint="eastAsia"/>
                      <w:b/>
                      <w:sz w:val="21"/>
                      <w:szCs w:val="21"/>
                      <w:u w:val="single"/>
                    </w:rPr>
                    <w:t xml:space="preserve">54.44 </w:t>
                  </w: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Align w:val="center"/>
                </w:tcPr>
                <w:p>
                  <w:pPr>
                    <w:pStyle w:val="62"/>
                    <w:rPr>
                      <w:b/>
                      <w:sz w:val="21"/>
                      <w:szCs w:val="21"/>
                      <w:u w:val="single"/>
                    </w:rPr>
                  </w:pPr>
                  <w:r>
                    <w:rPr>
                      <w:rFonts w:hint="eastAsia"/>
                      <w:b/>
                      <w:sz w:val="21"/>
                      <w:szCs w:val="21"/>
                      <w:u w:val="single"/>
                    </w:rPr>
                    <w:t xml:space="preserve">34.44 </w:t>
                  </w:r>
                </w:p>
              </w:tc>
              <w:tc>
                <w:tcPr>
                  <w:tcW w:w="185" w:type="pct"/>
                  <w:vAlign w:val="center"/>
                </w:tcPr>
                <w:p>
                  <w:pPr>
                    <w:pStyle w:val="62"/>
                    <w:rPr>
                      <w:b/>
                      <w:sz w:val="21"/>
                      <w:szCs w:val="21"/>
                      <w:u w:val="single"/>
                    </w:rPr>
                  </w:pPr>
                  <w:r>
                    <w:rPr>
                      <w:b/>
                      <w:sz w:val="21"/>
                      <w:szCs w:val="21"/>
                      <w:u w:val="single"/>
                    </w:rPr>
                    <w:t>东</w:t>
                  </w:r>
                </w:p>
              </w:tc>
              <w:tc>
                <w:tcPr>
                  <w:tcW w:w="225" w:type="pct"/>
                </w:tcPr>
                <w:p>
                  <w:pPr>
                    <w:pStyle w:val="62"/>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7" w:type="pct"/>
                  <w:vMerge w:val="continue"/>
                  <w:vAlign w:val="center"/>
                </w:tcPr>
                <w:p>
                  <w:pPr>
                    <w:pStyle w:val="62"/>
                    <w:rPr>
                      <w:b/>
                      <w:sz w:val="21"/>
                      <w:szCs w:val="21"/>
                      <w:u w:val="single"/>
                    </w:rPr>
                  </w:pPr>
                </w:p>
              </w:tc>
              <w:tc>
                <w:tcPr>
                  <w:tcW w:w="314" w:type="pct"/>
                  <w:vMerge w:val="continue"/>
                  <w:vAlign w:val="center"/>
                </w:tcPr>
                <w:p>
                  <w:pPr>
                    <w:pStyle w:val="62"/>
                    <w:rPr>
                      <w:b/>
                      <w:sz w:val="21"/>
                      <w:szCs w:val="21"/>
                      <w:u w:val="single"/>
                    </w:rPr>
                  </w:pPr>
                </w:p>
              </w:tc>
              <w:tc>
                <w:tcPr>
                  <w:tcW w:w="414" w:type="pct"/>
                  <w:vMerge w:val="continue"/>
                  <w:vAlign w:val="center"/>
                </w:tcPr>
                <w:p>
                  <w:pPr>
                    <w:pStyle w:val="62"/>
                    <w:rPr>
                      <w:b/>
                      <w:sz w:val="21"/>
                      <w:szCs w:val="21"/>
                      <w:u w:val="single"/>
                    </w:rPr>
                  </w:pPr>
                </w:p>
              </w:tc>
              <w:tc>
                <w:tcPr>
                  <w:tcW w:w="526"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180" w:type="pct"/>
                  <w:vMerge w:val="continue"/>
                  <w:vAlign w:val="center"/>
                </w:tcPr>
                <w:p>
                  <w:pPr>
                    <w:pStyle w:val="62"/>
                    <w:rPr>
                      <w:b/>
                      <w:sz w:val="21"/>
                      <w:szCs w:val="21"/>
                      <w:u w:val="single"/>
                    </w:rPr>
                  </w:pPr>
                </w:p>
              </w:tc>
              <w:tc>
                <w:tcPr>
                  <w:tcW w:w="176" w:type="pct"/>
                  <w:vMerge w:val="continue"/>
                  <w:vAlign w:val="center"/>
                </w:tcPr>
                <w:p>
                  <w:pPr>
                    <w:pStyle w:val="62"/>
                    <w:rPr>
                      <w:b/>
                      <w:sz w:val="21"/>
                      <w:szCs w:val="21"/>
                      <w:u w:val="single"/>
                    </w:rPr>
                  </w:pPr>
                </w:p>
              </w:tc>
              <w:tc>
                <w:tcPr>
                  <w:tcW w:w="196" w:type="pct"/>
                  <w:vMerge w:val="continue"/>
                  <w:vAlign w:val="center"/>
                </w:tcPr>
                <w:p>
                  <w:pPr>
                    <w:pStyle w:val="62"/>
                    <w:rPr>
                      <w:b/>
                      <w:sz w:val="21"/>
                      <w:szCs w:val="21"/>
                      <w:u w:val="single"/>
                    </w:rPr>
                  </w:pPr>
                </w:p>
              </w:tc>
              <w:tc>
                <w:tcPr>
                  <w:tcW w:w="222" w:type="pct"/>
                  <w:vAlign w:val="center"/>
                </w:tcPr>
                <w:p>
                  <w:pPr>
                    <w:pStyle w:val="62"/>
                    <w:rPr>
                      <w:b/>
                      <w:sz w:val="21"/>
                      <w:szCs w:val="21"/>
                      <w:u w:val="single"/>
                    </w:rPr>
                  </w:pPr>
                  <w:r>
                    <w:rPr>
                      <w:b/>
                      <w:sz w:val="21"/>
                      <w:szCs w:val="21"/>
                      <w:u w:val="single"/>
                    </w:rPr>
                    <w:t>西</w:t>
                  </w:r>
                </w:p>
              </w:tc>
              <w:tc>
                <w:tcPr>
                  <w:tcW w:w="155" w:type="pct"/>
                  <w:vAlign w:val="center"/>
                </w:tcPr>
                <w:p>
                  <w:pPr>
                    <w:pStyle w:val="62"/>
                    <w:rPr>
                      <w:b/>
                      <w:sz w:val="21"/>
                      <w:szCs w:val="21"/>
                      <w:u w:val="single"/>
                    </w:rPr>
                  </w:pPr>
                  <w:r>
                    <w:rPr>
                      <w:rFonts w:hint="eastAsia"/>
                      <w:b/>
                      <w:sz w:val="21"/>
                      <w:szCs w:val="21"/>
                      <w:u w:val="single"/>
                    </w:rPr>
                    <w:t>14</w:t>
                  </w:r>
                </w:p>
              </w:tc>
              <w:tc>
                <w:tcPr>
                  <w:tcW w:w="412" w:type="pct"/>
                  <w:vAlign w:val="center"/>
                </w:tcPr>
                <w:p>
                  <w:pPr>
                    <w:pStyle w:val="62"/>
                    <w:rPr>
                      <w:b/>
                      <w:sz w:val="21"/>
                      <w:szCs w:val="21"/>
                      <w:u w:val="single"/>
                    </w:rPr>
                  </w:pPr>
                  <w:r>
                    <w:rPr>
                      <w:rFonts w:hint="eastAsia"/>
                      <w:b/>
                      <w:sz w:val="21"/>
                      <w:szCs w:val="21"/>
                      <w:u w:val="single"/>
                    </w:rPr>
                    <w:t xml:space="preserve">47.08 </w:t>
                  </w: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Align w:val="center"/>
                </w:tcPr>
                <w:p>
                  <w:pPr>
                    <w:pStyle w:val="62"/>
                    <w:rPr>
                      <w:b/>
                      <w:sz w:val="21"/>
                      <w:szCs w:val="21"/>
                      <w:u w:val="single"/>
                    </w:rPr>
                  </w:pPr>
                  <w:r>
                    <w:rPr>
                      <w:rFonts w:hint="eastAsia"/>
                      <w:b/>
                      <w:sz w:val="21"/>
                      <w:szCs w:val="21"/>
                      <w:u w:val="single"/>
                    </w:rPr>
                    <w:t xml:space="preserve">27.08 </w:t>
                  </w:r>
                </w:p>
              </w:tc>
              <w:tc>
                <w:tcPr>
                  <w:tcW w:w="185" w:type="pct"/>
                  <w:vAlign w:val="center"/>
                </w:tcPr>
                <w:p>
                  <w:pPr>
                    <w:pStyle w:val="62"/>
                    <w:rPr>
                      <w:b/>
                      <w:sz w:val="21"/>
                      <w:szCs w:val="21"/>
                      <w:u w:val="single"/>
                    </w:rPr>
                  </w:pPr>
                  <w:r>
                    <w:rPr>
                      <w:b/>
                      <w:sz w:val="21"/>
                      <w:szCs w:val="21"/>
                      <w:u w:val="single"/>
                    </w:rPr>
                    <w:t>西</w:t>
                  </w:r>
                </w:p>
              </w:tc>
              <w:tc>
                <w:tcPr>
                  <w:tcW w:w="225" w:type="pct"/>
                </w:tcPr>
                <w:p>
                  <w:pPr>
                    <w:pStyle w:val="62"/>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7" w:type="pct"/>
                  <w:vMerge w:val="continue"/>
                  <w:vAlign w:val="center"/>
                </w:tcPr>
                <w:p>
                  <w:pPr>
                    <w:pStyle w:val="62"/>
                    <w:rPr>
                      <w:b/>
                      <w:sz w:val="21"/>
                      <w:szCs w:val="21"/>
                      <w:u w:val="single"/>
                    </w:rPr>
                  </w:pPr>
                </w:p>
              </w:tc>
              <w:tc>
                <w:tcPr>
                  <w:tcW w:w="314" w:type="pct"/>
                  <w:vMerge w:val="continue"/>
                  <w:vAlign w:val="center"/>
                </w:tcPr>
                <w:p>
                  <w:pPr>
                    <w:pStyle w:val="62"/>
                    <w:rPr>
                      <w:b/>
                      <w:sz w:val="21"/>
                      <w:szCs w:val="21"/>
                      <w:u w:val="single"/>
                    </w:rPr>
                  </w:pPr>
                </w:p>
              </w:tc>
              <w:tc>
                <w:tcPr>
                  <w:tcW w:w="414" w:type="pct"/>
                  <w:vMerge w:val="continue"/>
                  <w:vAlign w:val="center"/>
                </w:tcPr>
                <w:p>
                  <w:pPr>
                    <w:pStyle w:val="62"/>
                    <w:rPr>
                      <w:b/>
                      <w:sz w:val="21"/>
                      <w:szCs w:val="21"/>
                      <w:u w:val="single"/>
                    </w:rPr>
                  </w:pPr>
                </w:p>
              </w:tc>
              <w:tc>
                <w:tcPr>
                  <w:tcW w:w="526"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180" w:type="pct"/>
                  <w:vMerge w:val="continue"/>
                  <w:vAlign w:val="center"/>
                </w:tcPr>
                <w:p>
                  <w:pPr>
                    <w:pStyle w:val="62"/>
                    <w:rPr>
                      <w:b/>
                      <w:sz w:val="21"/>
                      <w:szCs w:val="21"/>
                      <w:u w:val="single"/>
                    </w:rPr>
                  </w:pPr>
                </w:p>
              </w:tc>
              <w:tc>
                <w:tcPr>
                  <w:tcW w:w="176" w:type="pct"/>
                  <w:vMerge w:val="continue"/>
                  <w:vAlign w:val="center"/>
                </w:tcPr>
                <w:p>
                  <w:pPr>
                    <w:pStyle w:val="62"/>
                    <w:rPr>
                      <w:b/>
                      <w:sz w:val="21"/>
                      <w:szCs w:val="21"/>
                      <w:u w:val="single"/>
                    </w:rPr>
                  </w:pPr>
                </w:p>
              </w:tc>
              <w:tc>
                <w:tcPr>
                  <w:tcW w:w="196" w:type="pct"/>
                  <w:vMerge w:val="continue"/>
                  <w:vAlign w:val="center"/>
                </w:tcPr>
                <w:p>
                  <w:pPr>
                    <w:pStyle w:val="62"/>
                    <w:rPr>
                      <w:b/>
                      <w:sz w:val="21"/>
                      <w:szCs w:val="21"/>
                      <w:u w:val="single"/>
                    </w:rPr>
                  </w:pPr>
                </w:p>
              </w:tc>
              <w:tc>
                <w:tcPr>
                  <w:tcW w:w="222" w:type="pct"/>
                  <w:vAlign w:val="center"/>
                </w:tcPr>
                <w:p>
                  <w:pPr>
                    <w:pStyle w:val="62"/>
                    <w:rPr>
                      <w:b/>
                      <w:sz w:val="21"/>
                      <w:szCs w:val="21"/>
                      <w:u w:val="single"/>
                    </w:rPr>
                  </w:pPr>
                  <w:r>
                    <w:rPr>
                      <w:b/>
                      <w:sz w:val="21"/>
                      <w:szCs w:val="21"/>
                      <w:u w:val="single"/>
                    </w:rPr>
                    <w:t>南</w:t>
                  </w:r>
                </w:p>
              </w:tc>
              <w:tc>
                <w:tcPr>
                  <w:tcW w:w="155" w:type="pct"/>
                  <w:vAlign w:val="center"/>
                </w:tcPr>
                <w:p>
                  <w:pPr>
                    <w:pStyle w:val="62"/>
                    <w:rPr>
                      <w:b/>
                      <w:sz w:val="21"/>
                      <w:szCs w:val="21"/>
                      <w:u w:val="single"/>
                    </w:rPr>
                  </w:pPr>
                  <w:r>
                    <w:rPr>
                      <w:rFonts w:hint="eastAsia"/>
                      <w:b/>
                      <w:sz w:val="21"/>
                      <w:szCs w:val="21"/>
                      <w:u w:val="single"/>
                    </w:rPr>
                    <w:t>50</w:t>
                  </w:r>
                </w:p>
              </w:tc>
              <w:tc>
                <w:tcPr>
                  <w:tcW w:w="412" w:type="pct"/>
                  <w:vAlign w:val="center"/>
                </w:tcPr>
                <w:p>
                  <w:pPr>
                    <w:pStyle w:val="62"/>
                    <w:rPr>
                      <w:b/>
                      <w:sz w:val="21"/>
                      <w:szCs w:val="21"/>
                      <w:u w:val="single"/>
                    </w:rPr>
                  </w:pPr>
                  <w:r>
                    <w:rPr>
                      <w:rFonts w:hint="eastAsia"/>
                      <w:b/>
                      <w:sz w:val="21"/>
                      <w:szCs w:val="21"/>
                      <w:u w:val="single"/>
                    </w:rPr>
                    <w:t xml:space="preserve">36.02 </w:t>
                  </w: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Align w:val="center"/>
                </w:tcPr>
                <w:p>
                  <w:pPr>
                    <w:pStyle w:val="62"/>
                    <w:rPr>
                      <w:b/>
                      <w:sz w:val="21"/>
                      <w:szCs w:val="21"/>
                      <w:u w:val="single"/>
                    </w:rPr>
                  </w:pPr>
                  <w:r>
                    <w:rPr>
                      <w:rFonts w:hint="eastAsia"/>
                      <w:b/>
                      <w:sz w:val="21"/>
                      <w:szCs w:val="21"/>
                      <w:u w:val="single"/>
                    </w:rPr>
                    <w:t xml:space="preserve">16.02 </w:t>
                  </w:r>
                </w:p>
              </w:tc>
              <w:tc>
                <w:tcPr>
                  <w:tcW w:w="185" w:type="pct"/>
                  <w:vAlign w:val="center"/>
                </w:tcPr>
                <w:p>
                  <w:pPr>
                    <w:pStyle w:val="62"/>
                    <w:rPr>
                      <w:b/>
                      <w:sz w:val="21"/>
                      <w:szCs w:val="21"/>
                      <w:u w:val="single"/>
                    </w:rPr>
                  </w:pPr>
                  <w:r>
                    <w:rPr>
                      <w:b/>
                      <w:sz w:val="21"/>
                      <w:szCs w:val="21"/>
                      <w:u w:val="single"/>
                    </w:rPr>
                    <w:t>南</w:t>
                  </w:r>
                </w:p>
              </w:tc>
              <w:tc>
                <w:tcPr>
                  <w:tcW w:w="225" w:type="pct"/>
                </w:tcPr>
                <w:p>
                  <w:pPr>
                    <w:pStyle w:val="62"/>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7" w:type="pct"/>
                  <w:vMerge w:val="continue"/>
                  <w:vAlign w:val="center"/>
                </w:tcPr>
                <w:p>
                  <w:pPr>
                    <w:pStyle w:val="62"/>
                    <w:rPr>
                      <w:b/>
                      <w:sz w:val="21"/>
                      <w:szCs w:val="21"/>
                      <w:u w:val="single"/>
                    </w:rPr>
                  </w:pPr>
                </w:p>
              </w:tc>
              <w:tc>
                <w:tcPr>
                  <w:tcW w:w="314" w:type="pct"/>
                  <w:vMerge w:val="continue"/>
                  <w:vAlign w:val="center"/>
                </w:tcPr>
                <w:p>
                  <w:pPr>
                    <w:pStyle w:val="62"/>
                    <w:rPr>
                      <w:b/>
                      <w:sz w:val="21"/>
                      <w:szCs w:val="21"/>
                      <w:u w:val="single"/>
                    </w:rPr>
                  </w:pPr>
                </w:p>
              </w:tc>
              <w:tc>
                <w:tcPr>
                  <w:tcW w:w="414" w:type="pct"/>
                  <w:vMerge w:val="continue"/>
                  <w:vAlign w:val="center"/>
                </w:tcPr>
                <w:p>
                  <w:pPr>
                    <w:pStyle w:val="62"/>
                    <w:rPr>
                      <w:b/>
                      <w:sz w:val="21"/>
                      <w:szCs w:val="21"/>
                      <w:u w:val="single"/>
                    </w:rPr>
                  </w:pPr>
                </w:p>
              </w:tc>
              <w:tc>
                <w:tcPr>
                  <w:tcW w:w="526"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180" w:type="pct"/>
                  <w:vMerge w:val="continue"/>
                  <w:vAlign w:val="center"/>
                </w:tcPr>
                <w:p>
                  <w:pPr>
                    <w:pStyle w:val="62"/>
                    <w:rPr>
                      <w:b/>
                      <w:sz w:val="21"/>
                      <w:szCs w:val="21"/>
                      <w:u w:val="single"/>
                    </w:rPr>
                  </w:pPr>
                </w:p>
              </w:tc>
              <w:tc>
                <w:tcPr>
                  <w:tcW w:w="176" w:type="pct"/>
                  <w:vMerge w:val="continue"/>
                  <w:vAlign w:val="center"/>
                </w:tcPr>
                <w:p>
                  <w:pPr>
                    <w:pStyle w:val="62"/>
                    <w:rPr>
                      <w:b/>
                      <w:sz w:val="21"/>
                      <w:szCs w:val="21"/>
                      <w:u w:val="single"/>
                    </w:rPr>
                  </w:pPr>
                </w:p>
              </w:tc>
              <w:tc>
                <w:tcPr>
                  <w:tcW w:w="196" w:type="pct"/>
                  <w:vMerge w:val="continue"/>
                  <w:vAlign w:val="center"/>
                </w:tcPr>
                <w:p>
                  <w:pPr>
                    <w:pStyle w:val="62"/>
                    <w:rPr>
                      <w:b/>
                      <w:sz w:val="21"/>
                      <w:szCs w:val="21"/>
                      <w:u w:val="single"/>
                    </w:rPr>
                  </w:pPr>
                </w:p>
              </w:tc>
              <w:tc>
                <w:tcPr>
                  <w:tcW w:w="222" w:type="pct"/>
                  <w:vAlign w:val="center"/>
                </w:tcPr>
                <w:p>
                  <w:pPr>
                    <w:pStyle w:val="62"/>
                    <w:rPr>
                      <w:b/>
                      <w:sz w:val="21"/>
                      <w:szCs w:val="21"/>
                      <w:u w:val="single"/>
                    </w:rPr>
                  </w:pPr>
                  <w:r>
                    <w:rPr>
                      <w:b/>
                      <w:sz w:val="21"/>
                      <w:szCs w:val="21"/>
                      <w:u w:val="single"/>
                    </w:rPr>
                    <w:t>北</w:t>
                  </w:r>
                </w:p>
              </w:tc>
              <w:tc>
                <w:tcPr>
                  <w:tcW w:w="155" w:type="pct"/>
                  <w:vAlign w:val="center"/>
                </w:tcPr>
                <w:p>
                  <w:pPr>
                    <w:pStyle w:val="62"/>
                    <w:rPr>
                      <w:b/>
                      <w:sz w:val="21"/>
                      <w:szCs w:val="21"/>
                      <w:u w:val="single"/>
                    </w:rPr>
                  </w:pPr>
                  <w:r>
                    <w:rPr>
                      <w:rFonts w:hint="eastAsia"/>
                      <w:b/>
                      <w:sz w:val="21"/>
                      <w:szCs w:val="21"/>
                      <w:u w:val="single"/>
                    </w:rPr>
                    <w:t>50</w:t>
                  </w:r>
                </w:p>
              </w:tc>
              <w:tc>
                <w:tcPr>
                  <w:tcW w:w="412" w:type="pct"/>
                  <w:vAlign w:val="center"/>
                </w:tcPr>
                <w:p>
                  <w:pPr>
                    <w:pStyle w:val="62"/>
                    <w:rPr>
                      <w:b/>
                      <w:sz w:val="21"/>
                      <w:szCs w:val="21"/>
                      <w:u w:val="single"/>
                    </w:rPr>
                  </w:pPr>
                  <w:r>
                    <w:rPr>
                      <w:rFonts w:hint="eastAsia"/>
                      <w:b/>
                      <w:sz w:val="21"/>
                      <w:szCs w:val="21"/>
                      <w:u w:val="single"/>
                    </w:rPr>
                    <w:t xml:space="preserve">36.02 </w:t>
                  </w: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Align w:val="center"/>
                </w:tcPr>
                <w:p>
                  <w:pPr>
                    <w:pStyle w:val="62"/>
                    <w:rPr>
                      <w:b/>
                      <w:sz w:val="21"/>
                      <w:szCs w:val="21"/>
                      <w:u w:val="single"/>
                    </w:rPr>
                  </w:pPr>
                  <w:r>
                    <w:rPr>
                      <w:rFonts w:hint="eastAsia"/>
                      <w:b/>
                      <w:sz w:val="21"/>
                      <w:szCs w:val="21"/>
                      <w:u w:val="single"/>
                    </w:rPr>
                    <w:t xml:space="preserve">16.02 </w:t>
                  </w:r>
                </w:p>
              </w:tc>
              <w:tc>
                <w:tcPr>
                  <w:tcW w:w="185" w:type="pct"/>
                  <w:vAlign w:val="center"/>
                </w:tcPr>
                <w:p>
                  <w:pPr>
                    <w:pStyle w:val="62"/>
                    <w:rPr>
                      <w:b/>
                      <w:sz w:val="21"/>
                      <w:szCs w:val="21"/>
                      <w:u w:val="single"/>
                    </w:rPr>
                  </w:pPr>
                  <w:r>
                    <w:rPr>
                      <w:b/>
                      <w:sz w:val="21"/>
                      <w:szCs w:val="21"/>
                      <w:u w:val="single"/>
                    </w:rPr>
                    <w:t>北</w:t>
                  </w:r>
                </w:p>
              </w:tc>
              <w:tc>
                <w:tcPr>
                  <w:tcW w:w="225" w:type="pct"/>
                </w:tcPr>
                <w:p>
                  <w:pPr>
                    <w:pStyle w:val="62"/>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7" w:type="pct"/>
                  <w:vMerge w:val="restart"/>
                  <w:vAlign w:val="center"/>
                </w:tcPr>
                <w:p>
                  <w:pPr>
                    <w:pStyle w:val="62"/>
                    <w:rPr>
                      <w:b/>
                      <w:sz w:val="21"/>
                      <w:szCs w:val="21"/>
                      <w:u w:val="single"/>
                    </w:rPr>
                  </w:pPr>
                  <w:r>
                    <w:rPr>
                      <w:b/>
                      <w:sz w:val="21"/>
                      <w:szCs w:val="21"/>
                      <w:u w:val="single"/>
                    </w:rPr>
                    <w:t>3</w:t>
                  </w:r>
                </w:p>
              </w:tc>
              <w:tc>
                <w:tcPr>
                  <w:tcW w:w="314" w:type="pct"/>
                  <w:vMerge w:val="continue"/>
                  <w:vAlign w:val="center"/>
                </w:tcPr>
                <w:p>
                  <w:pPr>
                    <w:pStyle w:val="62"/>
                    <w:rPr>
                      <w:b/>
                      <w:sz w:val="21"/>
                      <w:szCs w:val="21"/>
                      <w:u w:val="single"/>
                    </w:rPr>
                  </w:pPr>
                </w:p>
              </w:tc>
              <w:tc>
                <w:tcPr>
                  <w:tcW w:w="414" w:type="pct"/>
                  <w:vMerge w:val="restart"/>
                  <w:vAlign w:val="center"/>
                </w:tcPr>
                <w:p>
                  <w:pPr>
                    <w:pStyle w:val="62"/>
                    <w:rPr>
                      <w:b/>
                      <w:sz w:val="21"/>
                      <w:szCs w:val="21"/>
                      <w:u w:val="single"/>
                    </w:rPr>
                  </w:pPr>
                  <w:r>
                    <w:rPr>
                      <w:rFonts w:hint="eastAsia"/>
                      <w:b/>
                      <w:sz w:val="21"/>
                      <w:szCs w:val="21"/>
                      <w:u w:val="single"/>
                    </w:rPr>
                    <w:t>3#覆膜机</w:t>
                  </w:r>
                </w:p>
              </w:tc>
              <w:tc>
                <w:tcPr>
                  <w:tcW w:w="526" w:type="pct"/>
                  <w:vMerge w:val="restart"/>
                  <w:vAlign w:val="center"/>
                </w:tcPr>
                <w:p>
                  <w:pPr>
                    <w:pStyle w:val="62"/>
                    <w:rPr>
                      <w:b/>
                      <w:sz w:val="21"/>
                      <w:szCs w:val="21"/>
                      <w:u w:val="single"/>
                    </w:rPr>
                  </w:pPr>
                  <w:r>
                    <w:rPr>
                      <w:b/>
                      <w:sz w:val="21"/>
                      <w:szCs w:val="21"/>
                      <w:u w:val="single"/>
                    </w:rPr>
                    <w:t>/</w:t>
                  </w:r>
                </w:p>
              </w:tc>
              <w:tc>
                <w:tcPr>
                  <w:tcW w:w="374" w:type="pct"/>
                  <w:vMerge w:val="restart"/>
                  <w:vAlign w:val="center"/>
                </w:tcPr>
                <w:p>
                  <w:pPr>
                    <w:pStyle w:val="62"/>
                    <w:rPr>
                      <w:b/>
                      <w:sz w:val="21"/>
                      <w:szCs w:val="21"/>
                      <w:u w:val="single"/>
                    </w:rPr>
                  </w:pPr>
                  <w:r>
                    <w:rPr>
                      <w:rFonts w:hint="eastAsia"/>
                      <w:b/>
                      <w:sz w:val="21"/>
                      <w:szCs w:val="21"/>
                      <w:u w:val="single"/>
                    </w:rPr>
                    <w:t>70</w:t>
                  </w:r>
                </w:p>
              </w:tc>
              <w:tc>
                <w:tcPr>
                  <w:tcW w:w="374" w:type="pct"/>
                  <w:vMerge w:val="continue"/>
                  <w:vAlign w:val="center"/>
                </w:tcPr>
                <w:p>
                  <w:pPr>
                    <w:pStyle w:val="62"/>
                    <w:rPr>
                      <w:b/>
                      <w:sz w:val="21"/>
                      <w:szCs w:val="21"/>
                      <w:u w:val="single"/>
                    </w:rPr>
                  </w:pPr>
                </w:p>
              </w:tc>
              <w:tc>
                <w:tcPr>
                  <w:tcW w:w="180" w:type="pct"/>
                  <w:vMerge w:val="restart"/>
                  <w:vAlign w:val="center"/>
                </w:tcPr>
                <w:p>
                  <w:pPr>
                    <w:pStyle w:val="62"/>
                    <w:rPr>
                      <w:b/>
                      <w:sz w:val="21"/>
                      <w:szCs w:val="21"/>
                      <w:u w:val="single"/>
                    </w:rPr>
                  </w:pPr>
                  <w:r>
                    <w:rPr>
                      <w:rFonts w:hint="eastAsia"/>
                      <w:b/>
                      <w:sz w:val="21"/>
                      <w:szCs w:val="21"/>
                      <w:u w:val="single"/>
                    </w:rPr>
                    <w:t>14</w:t>
                  </w:r>
                </w:p>
              </w:tc>
              <w:tc>
                <w:tcPr>
                  <w:tcW w:w="176" w:type="pct"/>
                  <w:vMerge w:val="restart"/>
                  <w:vAlign w:val="center"/>
                </w:tcPr>
                <w:p>
                  <w:pPr>
                    <w:pStyle w:val="62"/>
                    <w:rPr>
                      <w:b/>
                      <w:sz w:val="21"/>
                      <w:szCs w:val="21"/>
                      <w:u w:val="single"/>
                    </w:rPr>
                  </w:pPr>
                  <w:r>
                    <w:rPr>
                      <w:rFonts w:hint="eastAsia"/>
                      <w:b/>
                      <w:sz w:val="21"/>
                      <w:szCs w:val="21"/>
                      <w:u w:val="single"/>
                    </w:rPr>
                    <w:t>70</w:t>
                  </w:r>
                </w:p>
              </w:tc>
              <w:tc>
                <w:tcPr>
                  <w:tcW w:w="196" w:type="pct"/>
                  <w:vMerge w:val="restart"/>
                  <w:vAlign w:val="center"/>
                </w:tcPr>
                <w:p>
                  <w:pPr>
                    <w:pStyle w:val="62"/>
                    <w:rPr>
                      <w:b/>
                      <w:sz w:val="21"/>
                      <w:szCs w:val="21"/>
                      <w:u w:val="single"/>
                    </w:rPr>
                  </w:pPr>
                  <w:r>
                    <w:rPr>
                      <w:rFonts w:hint="eastAsia"/>
                      <w:b/>
                      <w:sz w:val="21"/>
                      <w:szCs w:val="21"/>
                      <w:u w:val="single"/>
                    </w:rPr>
                    <w:t>1</w:t>
                  </w:r>
                </w:p>
              </w:tc>
              <w:tc>
                <w:tcPr>
                  <w:tcW w:w="222" w:type="pct"/>
                  <w:vAlign w:val="center"/>
                </w:tcPr>
                <w:p>
                  <w:pPr>
                    <w:pStyle w:val="62"/>
                    <w:rPr>
                      <w:b/>
                      <w:sz w:val="21"/>
                      <w:szCs w:val="21"/>
                      <w:u w:val="single"/>
                    </w:rPr>
                  </w:pPr>
                  <w:r>
                    <w:rPr>
                      <w:b/>
                      <w:sz w:val="21"/>
                      <w:szCs w:val="21"/>
                      <w:u w:val="single"/>
                    </w:rPr>
                    <w:t>东</w:t>
                  </w:r>
                </w:p>
              </w:tc>
              <w:tc>
                <w:tcPr>
                  <w:tcW w:w="155" w:type="pct"/>
                  <w:vAlign w:val="center"/>
                </w:tcPr>
                <w:p>
                  <w:pPr>
                    <w:pStyle w:val="62"/>
                    <w:rPr>
                      <w:b/>
                      <w:sz w:val="21"/>
                      <w:szCs w:val="21"/>
                      <w:u w:val="single"/>
                    </w:rPr>
                  </w:pPr>
                  <w:r>
                    <w:rPr>
                      <w:rFonts w:hint="eastAsia"/>
                      <w:b/>
                      <w:sz w:val="21"/>
                      <w:szCs w:val="21"/>
                      <w:u w:val="single"/>
                    </w:rPr>
                    <w:t>6</w:t>
                  </w:r>
                </w:p>
              </w:tc>
              <w:tc>
                <w:tcPr>
                  <w:tcW w:w="412" w:type="pct"/>
                  <w:vAlign w:val="center"/>
                </w:tcPr>
                <w:p>
                  <w:pPr>
                    <w:pStyle w:val="62"/>
                    <w:rPr>
                      <w:b/>
                      <w:sz w:val="21"/>
                      <w:szCs w:val="21"/>
                      <w:u w:val="single"/>
                    </w:rPr>
                  </w:pPr>
                  <w:r>
                    <w:rPr>
                      <w:rFonts w:hint="eastAsia"/>
                      <w:b/>
                      <w:sz w:val="21"/>
                      <w:szCs w:val="21"/>
                      <w:u w:val="single"/>
                    </w:rPr>
                    <w:t xml:space="preserve">54.44 </w:t>
                  </w: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Align w:val="center"/>
                </w:tcPr>
                <w:p>
                  <w:pPr>
                    <w:pStyle w:val="62"/>
                    <w:rPr>
                      <w:b/>
                      <w:sz w:val="21"/>
                      <w:szCs w:val="21"/>
                      <w:u w:val="single"/>
                    </w:rPr>
                  </w:pPr>
                  <w:r>
                    <w:rPr>
                      <w:rFonts w:hint="eastAsia"/>
                      <w:b/>
                      <w:sz w:val="21"/>
                      <w:szCs w:val="21"/>
                      <w:u w:val="single"/>
                    </w:rPr>
                    <w:t xml:space="preserve">34.44 </w:t>
                  </w:r>
                </w:p>
              </w:tc>
              <w:tc>
                <w:tcPr>
                  <w:tcW w:w="185" w:type="pct"/>
                  <w:vAlign w:val="center"/>
                </w:tcPr>
                <w:p>
                  <w:pPr>
                    <w:pStyle w:val="62"/>
                    <w:rPr>
                      <w:b/>
                      <w:sz w:val="21"/>
                      <w:szCs w:val="21"/>
                      <w:u w:val="single"/>
                    </w:rPr>
                  </w:pPr>
                  <w:r>
                    <w:rPr>
                      <w:b/>
                      <w:sz w:val="21"/>
                      <w:szCs w:val="21"/>
                      <w:u w:val="single"/>
                    </w:rPr>
                    <w:t>东</w:t>
                  </w:r>
                </w:p>
              </w:tc>
              <w:tc>
                <w:tcPr>
                  <w:tcW w:w="225" w:type="pct"/>
                </w:tcPr>
                <w:p>
                  <w:pPr>
                    <w:pStyle w:val="62"/>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97" w:type="pct"/>
                  <w:vMerge w:val="continue"/>
                  <w:vAlign w:val="center"/>
                </w:tcPr>
                <w:p>
                  <w:pPr>
                    <w:pStyle w:val="62"/>
                    <w:rPr>
                      <w:b/>
                      <w:sz w:val="21"/>
                      <w:szCs w:val="21"/>
                      <w:u w:val="single"/>
                    </w:rPr>
                  </w:pPr>
                </w:p>
              </w:tc>
              <w:tc>
                <w:tcPr>
                  <w:tcW w:w="314" w:type="pct"/>
                  <w:vMerge w:val="continue"/>
                  <w:vAlign w:val="center"/>
                </w:tcPr>
                <w:p>
                  <w:pPr>
                    <w:pStyle w:val="62"/>
                    <w:rPr>
                      <w:b/>
                      <w:sz w:val="21"/>
                      <w:szCs w:val="21"/>
                      <w:u w:val="single"/>
                    </w:rPr>
                  </w:pPr>
                </w:p>
              </w:tc>
              <w:tc>
                <w:tcPr>
                  <w:tcW w:w="414" w:type="pct"/>
                  <w:vMerge w:val="continue"/>
                  <w:vAlign w:val="center"/>
                </w:tcPr>
                <w:p>
                  <w:pPr>
                    <w:pStyle w:val="62"/>
                    <w:rPr>
                      <w:b/>
                      <w:sz w:val="21"/>
                      <w:szCs w:val="21"/>
                      <w:u w:val="single"/>
                    </w:rPr>
                  </w:pPr>
                </w:p>
              </w:tc>
              <w:tc>
                <w:tcPr>
                  <w:tcW w:w="526"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180" w:type="pct"/>
                  <w:vMerge w:val="continue"/>
                  <w:vAlign w:val="center"/>
                </w:tcPr>
                <w:p>
                  <w:pPr>
                    <w:pStyle w:val="62"/>
                    <w:rPr>
                      <w:b/>
                      <w:sz w:val="21"/>
                      <w:szCs w:val="21"/>
                      <w:u w:val="single"/>
                    </w:rPr>
                  </w:pPr>
                </w:p>
              </w:tc>
              <w:tc>
                <w:tcPr>
                  <w:tcW w:w="176" w:type="pct"/>
                  <w:vMerge w:val="continue"/>
                  <w:vAlign w:val="center"/>
                </w:tcPr>
                <w:p>
                  <w:pPr>
                    <w:pStyle w:val="62"/>
                    <w:rPr>
                      <w:b/>
                      <w:sz w:val="21"/>
                      <w:szCs w:val="21"/>
                      <w:u w:val="single"/>
                    </w:rPr>
                  </w:pPr>
                </w:p>
              </w:tc>
              <w:tc>
                <w:tcPr>
                  <w:tcW w:w="196" w:type="pct"/>
                  <w:vMerge w:val="continue"/>
                  <w:vAlign w:val="center"/>
                </w:tcPr>
                <w:p>
                  <w:pPr>
                    <w:pStyle w:val="62"/>
                    <w:rPr>
                      <w:b/>
                      <w:sz w:val="21"/>
                      <w:szCs w:val="21"/>
                      <w:u w:val="single"/>
                    </w:rPr>
                  </w:pPr>
                </w:p>
              </w:tc>
              <w:tc>
                <w:tcPr>
                  <w:tcW w:w="222" w:type="pct"/>
                  <w:vAlign w:val="center"/>
                </w:tcPr>
                <w:p>
                  <w:pPr>
                    <w:pStyle w:val="62"/>
                    <w:rPr>
                      <w:b/>
                      <w:sz w:val="21"/>
                      <w:szCs w:val="21"/>
                      <w:u w:val="single"/>
                    </w:rPr>
                  </w:pPr>
                  <w:r>
                    <w:rPr>
                      <w:b/>
                      <w:sz w:val="21"/>
                      <w:szCs w:val="21"/>
                      <w:u w:val="single"/>
                    </w:rPr>
                    <w:t>西</w:t>
                  </w:r>
                </w:p>
              </w:tc>
              <w:tc>
                <w:tcPr>
                  <w:tcW w:w="155" w:type="pct"/>
                  <w:vAlign w:val="center"/>
                </w:tcPr>
                <w:p>
                  <w:pPr>
                    <w:pStyle w:val="62"/>
                    <w:rPr>
                      <w:b/>
                      <w:sz w:val="21"/>
                      <w:szCs w:val="21"/>
                      <w:u w:val="single"/>
                    </w:rPr>
                  </w:pPr>
                  <w:r>
                    <w:rPr>
                      <w:rFonts w:hint="eastAsia"/>
                      <w:b/>
                      <w:sz w:val="21"/>
                      <w:szCs w:val="21"/>
                      <w:u w:val="single"/>
                    </w:rPr>
                    <w:t>14</w:t>
                  </w:r>
                </w:p>
              </w:tc>
              <w:tc>
                <w:tcPr>
                  <w:tcW w:w="412" w:type="pct"/>
                  <w:vAlign w:val="center"/>
                </w:tcPr>
                <w:p>
                  <w:pPr>
                    <w:pStyle w:val="62"/>
                    <w:rPr>
                      <w:b/>
                      <w:sz w:val="21"/>
                      <w:szCs w:val="21"/>
                      <w:u w:val="single"/>
                    </w:rPr>
                  </w:pPr>
                  <w:r>
                    <w:rPr>
                      <w:rFonts w:hint="eastAsia"/>
                      <w:b/>
                      <w:sz w:val="21"/>
                      <w:szCs w:val="21"/>
                      <w:u w:val="single"/>
                    </w:rPr>
                    <w:t xml:space="preserve">47.08 </w:t>
                  </w: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Align w:val="center"/>
                </w:tcPr>
                <w:p>
                  <w:pPr>
                    <w:pStyle w:val="62"/>
                    <w:rPr>
                      <w:b/>
                      <w:sz w:val="21"/>
                      <w:szCs w:val="21"/>
                      <w:u w:val="single"/>
                    </w:rPr>
                  </w:pPr>
                  <w:r>
                    <w:rPr>
                      <w:rFonts w:hint="eastAsia"/>
                      <w:b/>
                      <w:sz w:val="21"/>
                      <w:szCs w:val="21"/>
                      <w:u w:val="single"/>
                    </w:rPr>
                    <w:t xml:space="preserve">27.08 </w:t>
                  </w:r>
                </w:p>
              </w:tc>
              <w:tc>
                <w:tcPr>
                  <w:tcW w:w="185" w:type="pct"/>
                  <w:vAlign w:val="center"/>
                </w:tcPr>
                <w:p>
                  <w:pPr>
                    <w:pStyle w:val="62"/>
                    <w:rPr>
                      <w:b/>
                      <w:sz w:val="21"/>
                      <w:szCs w:val="21"/>
                      <w:u w:val="single"/>
                    </w:rPr>
                  </w:pPr>
                  <w:r>
                    <w:rPr>
                      <w:b/>
                      <w:sz w:val="21"/>
                      <w:szCs w:val="21"/>
                      <w:u w:val="single"/>
                    </w:rPr>
                    <w:t>西</w:t>
                  </w:r>
                </w:p>
              </w:tc>
              <w:tc>
                <w:tcPr>
                  <w:tcW w:w="225" w:type="pct"/>
                </w:tcPr>
                <w:p>
                  <w:pPr>
                    <w:pStyle w:val="62"/>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7" w:type="pct"/>
                  <w:vMerge w:val="continue"/>
                  <w:vAlign w:val="center"/>
                </w:tcPr>
                <w:p>
                  <w:pPr>
                    <w:pStyle w:val="62"/>
                    <w:rPr>
                      <w:b/>
                      <w:sz w:val="21"/>
                      <w:szCs w:val="21"/>
                      <w:u w:val="single"/>
                    </w:rPr>
                  </w:pPr>
                </w:p>
              </w:tc>
              <w:tc>
                <w:tcPr>
                  <w:tcW w:w="314" w:type="pct"/>
                  <w:vMerge w:val="continue"/>
                  <w:vAlign w:val="center"/>
                </w:tcPr>
                <w:p>
                  <w:pPr>
                    <w:pStyle w:val="62"/>
                    <w:rPr>
                      <w:b/>
                      <w:sz w:val="21"/>
                      <w:szCs w:val="21"/>
                      <w:u w:val="single"/>
                    </w:rPr>
                  </w:pPr>
                </w:p>
              </w:tc>
              <w:tc>
                <w:tcPr>
                  <w:tcW w:w="414" w:type="pct"/>
                  <w:vMerge w:val="continue"/>
                  <w:vAlign w:val="center"/>
                </w:tcPr>
                <w:p>
                  <w:pPr>
                    <w:pStyle w:val="62"/>
                    <w:rPr>
                      <w:b/>
                      <w:sz w:val="21"/>
                      <w:szCs w:val="21"/>
                      <w:u w:val="single"/>
                    </w:rPr>
                  </w:pPr>
                </w:p>
              </w:tc>
              <w:tc>
                <w:tcPr>
                  <w:tcW w:w="526"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180" w:type="pct"/>
                  <w:vMerge w:val="continue"/>
                  <w:vAlign w:val="center"/>
                </w:tcPr>
                <w:p>
                  <w:pPr>
                    <w:pStyle w:val="62"/>
                    <w:rPr>
                      <w:b/>
                      <w:sz w:val="21"/>
                      <w:szCs w:val="21"/>
                      <w:u w:val="single"/>
                    </w:rPr>
                  </w:pPr>
                </w:p>
              </w:tc>
              <w:tc>
                <w:tcPr>
                  <w:tcW w:w="176" w:type="pct"/>
                  <w:vMerge w:val="continue"/>
                  <w:vAlign w:val="center"/>
                </w:tcPr>
                <w:p>
                  <w:pPr>
                    <w:pStyle w:val="62"/>
                    <w:rPr>
                      <w:b/>
                      <w:sz w:val="21"/>
                      <w:szCs w:val="21"/>
                      <w:u w:val="single"/>
                    </w:rPr>
                  </w:pPr>
                </w:p>
              </w:tc>
              <w:tc>
                <w:tcPr>
                  <w:tcW w:w="196" w:type="pct"/>
                  <w:vMerge w:val="continue"/>
                  <w:vAlign w:val="center"/>
                </w:tcPr>
                <w:p>
                  <w:pPr>
                    <w:pStyle w:val="62"/>
                    <w:rPr>
                      <w:b/>
                      <w:sz w:val="21"/>
                      <w:szCs w:val="21"/>
                      <w:u w:val="single"/>
                    </w:rPr>
                  </w:pPr>
                </w:p>
              </w:tc>
              <w:tc>
                <w:tcPr>
                  <w:tcW w:w="222" w:type="pct"/>
                  <w:vAlign w:val="center"/>
                </w:tcPr>
                <w:p>
                  <w:pPr>
                    <w:pStyle w:val="62"/>
                    <w:rPr>
                      <w:b/>
                      <w:sz w:val="21"/>
                      <w:szCs w:val="21"/>
                      <w:u w:val="single"/>
                    </w:rPr>
                  </w:pPr>
                  <w:r>
                    <w:rPr>
                      <w:b/>
                      <w:sz w:val="21"/>
                      <w:szCs w:val="21"/>
                      <w:u w:val="single"/>
                    </w:rPr>
                    <w:t>南</w:t>
                  </w:r>
                </w:p>
              </w:tc>
              <w:tc>
                <w:tcPr>
                  <w:tcW w:w="155" w:type="pct"/>
                  <w:vAlign w:val="center"/>
                </w:tcPr>
                <w:p>
                  <w:pPr>
                    <w:pStyle w:val="62"/>
                    <w:rPr>
                      <w:b/>
                      <w:sz w:val="21"/>
                      <w:szCs w:val="21"/>
                      <w:u w:val="single"/>
                    </w:rPr>
                  </w:pPr>
                  <w:r>
                    <w:rPr>
                      <w:rFonts w:hint="eastAsia"/>
                      <w:b/>
                      <w:sz w:val="21"/>
                      <w:szCs w:val="21"/>
                      <w:u w:val="single"/>
                    </w:rPr>
                    <w:t>70</w:t>
                  </w:r>
                </w:p>
              </w:tc>
              <w:tc>
                <w:tcPr>
                  <w:tcW w:w="412" w:type="pct"/>
                  <w:vAlign w:val="center"/>
                </w:tcPr>
                <w:p>
                  <w:pPr>
                    <w:pStyle w:val="62"/>
                    <w:rPr>
                      <w:b/>
                      <w:sz w:val="21"/>
                      <w:szCs w:val="21"/>
                      <w:u w:val="single"/>
                    </w:rPr>
                  </w:pPr>
                  <w:r>
                    <w:rPr>
                      <w:rFonts w:hint="eastAsia"/>
                      <w:b/>
                      <w:sz w:val="21"/>
                      <w:szCs w:val="21"/>
                      <w:u w:val="single"/>
                    </w:rPr>
                    <w:t xml:space="preserve">33.10 </w:t>
                  </w: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Align w:val="center"/>
                </w:tcPr>
                <w:p>
                  <w:pPr>
                    <w:pStyle w:val="62"/>
                    <w:rPr>
                      <w:b/>
                      <w:sz w:val="21"/>
                      <w:szCs w:val="21"/>
                      <w:u w:val="single"/>
                    </w:rPr>
                  </w:pPr>
                  <w:r>
                    <w:rPr>
                      <w:rFonts w:hint="eastAsia"/>
                      <w:b/>
                      <w:sz w:val="21"/>
                      <w:szCs w:val="21"/>
                      <w:u w:val="single"/>
                    </w:rPr>
                    <w:t xml:space="preserve">13.10 </w:t>
                  </w:r>
                </w:p>
              </w:tc>
              <w:tc>
                <w:tcPr>
                  <w:tcW w:w="185" w:type="pct"/>
                  <w:vAlign w:val="center"/>
                </w:tcPr>
                <w:p>
                  <w:pPr>
                    <w:pStyle w:val="62"/>
                    <w:rPr>
                      <w:b/>
                      <w:sz w:val="21"/>
                      <w:szCs w:val="21"/>
                      <w:u w:val="single"/>
                    </w:rPr>
                  </w:pPr>
                  <w:r>
                    <w:rPr>
                      <w:b/>
                      <w:sz w:val="21"/>
                      <w:szCs w:val="21"/>
                      <w:u w:val="single"/>
                    </w:rPr>
                    <w:t>南</w:t>
                  </w:r>
                </w:p>
              </w:tc>
              <w:tc>
                <w:tcPr>
                  <w:tcW w:w="225" w:type="pct"/>
                </w:tcPr>
                <w:p>
                  <w:pPr>
                    <w:pStyle w:val="62"/>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7" w:type="pct"/>
                  <w:vMerge w:val="continue"/>
                  <w:vAlign w:val="center"/>
                </w:tcPr>
                <w:p>
                  <w:pPr>
                    <w:pStyle w:val="62"/>
                    <w:rPr>
                      <w:b/>
                      <w:sz w:val="21"/>
                      <w:szCs w:val="21"/>
                      <w:u w:val="single"/>
                    </w:rPr>
                  </w:pPr>
                </w:p>
              </w:tc>
              <w:tc>
                <w:tcPr>
                  <w:tcW w:w="314" w:type="pct"/>
                  <w:vMerge w:val="continue"/>
                  <w:vAlign w:val="center"/>
                </w:tcPr>
                <w:p>
                  <w:pPr>
                    <w:pStyle w:val="62"/>
                    <w:rPr>
                      <w:b/>
                      <w:sz w:val="21"/>
                      <w:szCs w:val="21"/>
                      <w:u w:val="single"/>
                    </w:rPr>
                  </w:pPr>
                </w:p>
              </w:tc>
              <w:tc>
                <w:tcPr>
                  <w:tcW w:w="414" w:type="pct"/>
                  <w:vMerge w:val="continue"/>
                  <w:vAlign w:val="center"/>
                </w:tcPr>
                <w:p>
                  <w:pPr>
                    <w:pStyle w:val="62"/>
                    <w:rPr>
                      <w:b/>
                      <w:sz w:val="21"/>
                      <w:szCs w:val="21"/>
                      <w:u w:val="single"/>
                    </w:rPr>
                  </w:pPr>
                </w:p>
              </w:tc>
              <w:tc>
                <w:tcPr>
                  <w:tcW w:w="526"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180" w:type="pct"/>
                  <w:vMerge w:val="continue"/>
                  <w:vAlign w:val="center"/>
                </w:tcPr>
                <w:p>
                  <w:pPr>
                    <w:pStyle w:val="62"/>
                    <w:rPr>
                      <w:b/>
                      <w:sz w:val="21"/>
                      <w:szCs w:val="21"/>
                      <w:u w:val="single"/>
                    </w:rPr>
                  </w:pPr>
                </w:p>
              </w:tc>
              <w:tc>
                <w:tcPr>
                  <w:tcW w:w="176" w:type="pct"/>
                  <w:vMerge w:val="continue"/>
                  <w:vAlign w:val="center"/>
                </w:tcPr>
                <w:p>
                  <w:pPr>
                    <w:pStyle w:val="62"/>
                    <w:rPr>
                      <w:b/>
                      <w:sz w:val="21"/>
                      <w:szCs w:val="21"/>
                      <w:u w:val="single"/>
                    </w:rPr>
                  </w:pPr>
                </w:p>
              </w:tc>
              <w:tc>
                <w:tcPr>
                  <w:tcW w:w="196" w:type="pct"/>
                  <w:vMerge w:val="continue"/>
                  <w:vAlign w:val="center"/>
                </w:tcPr>
                <w:p>
                  <w:pPr>
                    <w:pStyle w:val="62"/>
                    <w:rPr>
                      <w:b/>
                      <w:sz w:val="21"/>
                      <w:szCs w:val="21"/>
                      <w:u w:val="single"/>
                    </w:rPr>
                  </w:pPr>
                </w:p>
              </w:tc>
              <w:tc>
                <w:tcPr>
                  <w:tcW w:w="222" w:type="pct"/>
                  <w:vAlign w:val="center"/>
                </w:tcPr>
                <w:p>
                  <w:pPr>
                    <w:pStyle w:val="62"/>
                    <w:rPr>
                      <w:b/>
                      <w:sz w:val="21"/>
                      <w:szCs w:val="21"/>
                      <w:u w:val="single"/>
                    </w:rPr>
                  </w:pPr>
                  <w:r>
                    <w:rPr>
                      <w:b/>
                      <w:sz w:val="21"/>
                      <w:szCs w:val="21"/>
                      <w:u w:val="single"/>
                    </w:rPr>
                    <w:t>北</w:t>
                  </w:r>
                </w:p>
              </w:tc>
              <w:tc>
                <w:tcPr>
                  <w:tcW w:w="155" w:type="pct"/>
                  <w:vAlign w:val="center"/>
                </w:tcPr>
                <w:p>
                  <w:pPr>
                    <w:pStyle w:val="62"/>
                    <w:rPr>
                      <w:b/>
                      <w:sz w:val="21"/>
                      <w:szCs w:val="21"/>
                      <w:u w:val="single"/>
                    </w:rPr>
                  </w:pPr>
                  <w:r>
                    <w:rPr>
                      <w:rFonts w:hint="eastAsia"/>
                      <w:b/>
                      <w:sz w:val="21"/>
                      <w:szCs w:val="21"/>
                      <w:u w:val="single"/>
                    </w:rPr>
                    <w:t>30</w:t>
                  </w:r>
                </w:p>
              </w:tc>
              <w:tc>
                <w:tcPr>
                  <w:tcW w:w="412" w:type="pct"/>
                  <w:vAlign w:val="center"/>
                </w:tcPr>
                <w:p>
                  <w:pPr>
                    <w:pStyle w:val="62"/>
                    <w:rPr>
                      <w:b/>
                      <w:sz w:val="21"/>
                      <w:szCs w:val="21"/>
                      <w:u w:val="single"/>
                    </w:rPr>
                  </w:pPr>
                  <w:r>
                    <w:rPr>
                      <w:rFonts w:hint="eastAsia"/>
                      <w:b/>
                      <w:sz w:val="21"/>
                      <w:szCs w:val="21"/>
                      <w:u w:val="single"/>
                    </w:rPr>
                    <w:t xml:space="preserve">40.46 </w:t>
                  </w: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Align w:val="center"/>
                </w:tcPr>
                <w:p>
                  <w:pPr>
                    <w:pStyle w:val="62"/>
                    <w:rPr>
                      <w:b/>
                      <w:sz w:val="21"/>
                      <w:szCs w:val="21"/>
                      <w:u w:val="single"/>
                    </w:rPr>
                  </w:pPr>
                  <w:r>
                    <w:rPr>
                      <w:rFonts w:hint="eastAsia"/>
                      <w:b/>
                      <w:sz w:val="21"/>
                      <w:szCs w:val="21"/>
                      <w:u w:val="single"/>
                    </w:rPr>
                    <w:t xml:space="preserve">20.46 </w:t>
                  </w:r>
                </w:p>
              </w:tc>
              <w:tc>
                <w:tcPr>
                  <w:tcW w:w="185" w:type="pct"/>
                  <w:vAlign w:val="center"/>
                </w:tcPr>
                <w:p>
                  <w:pPr>
                    <w:pStyle w:val="62"/>
                    <w:rPr>
                      <w:b/>
                      <w:sz w:val="21"/>
                      <w:szCs w:val="21"/>
                      <w:u w:val="single"/>
                    </w:rPr>
                  </w:pPr>
                  <w:r>
                    <w:rPr>
                      <w:b/>
                      <w:sz w:val="21"/>
                      <w:szCs w:val="21"/>
                      <w:u w:val="single"/>
                    </w:rPr>
                    <w:t>北</w:t>
                  </w:r>
                </w:p>
              </w:tc>
              <w:tc>
                <w:tcPr>
                  <w:tcW w:w="225" w:type="pct"/>
                </w:tcPr>
                <w:p>
                  <w:pPr>
                    <w:pStyle w:val="62"/>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7" w:type="pct"/>
                  <w:vMerge w:val="restart"/>
                  <w:vAlign w:val="center"/>
                </w:tcPr>
                <w:p>
                  <w:pPr>
                    <w:pStyle w:val="62"/>
                    <w:rPr>
                      <w:b/>
                      <w:sz w:val="21"/>
                      <w:szCs w:val="21"/>
                      <w:u w:val="single"/>
                    </w:rPr>
                  </w:pPr>
                  <w:r>
                    <w:rPr>
                      <w:rFonts w:hint="eastAsia"/>
                      <w:b/>
                      <w:sz w:val="21"/>
                      <w:szCs w:val="21"/>
                      <w:u w:val="single"/>
                    </w:rPr>
                    <w:t>4</w:t>
                  </w:r>
                </w:p>
              </w:tc>
              <w:tc>
                <w:tcPr>
                  <w:tcW w:w="314" w:type="pct"/>
                  <w:vMerge w:val="continue"/>
                  <w:vAlign w:val="center"/>
                </w:tcPr>
                <w:p>
                  <w:pPr>
                    <w:pStyle w:val="62"/>
                    <w:rPr>
                      <w:b/>
                      <w:sz w:val="21"/>
                      <w:szCs w:val="21"/>
                      <w:u w:val="single"/>
                    </w:rPr>
                  </w:pPr>
                </w:p>
              </w:tc>
              <w:tc>
                <w:tcPr>
                  <w:tcW w:w="414" w:type="pct"/>
                  <w:vMerge w:val="restart"/>
                  <w:vAlign w:val="center"/>
                </w:tcPr>
                <w:p>
                  <w:pPr>
                    <w:pStyle w:val="62"/>
                    <w:rPr>
                      <w:b/>
                      <w:sz w:val="21"/>
                      <w:szCs w:val="21"/>
                      <w:u w:val="single"/>
                    </w:rPr>
                  </w:pPr>
                  <w:r>
                    <w:rPr>
                      <w:rFonts w:hint="eastAsia"/>
                      <w:b/>
                      <w:sz w:val="21"/>
                      <w:szCs w:val="21"/>
                      <w:u w:val="single"/>
                    </w:rPr>
                    <w:t>4#覆膜机</w:t>
                  </w:r>
                </w:p>
              </w:tc>
              <w:tc>
                <w:tcPr>
                  <w:tcW w:w="526" w:type="pct"/>
                  <w:vMerge w:val="restart"/>
                  <w:vAlign w:val="center"/>
                </w:tcPr>
                <w:p>
                  <w:pPr>
                    <w:pStyle w:val="62"/>
                    <w:rPr>
                      <w:b/>
                      <w:sz w:val="21"/>
                      <w:szCs w:val="21"/>
                      <w:u w:val="single"/>
                    </w:rPr>
                  </w:pPr>
                  <w:r>
                    <w:rPr>
                      <w:rFonts w:hint="eastAsia"/>
                      <w:b/>
                      <w:sz w:val="21"/>
                      <w:szCs w:val="21"/>
                      <w:u w:val="single"/>
                    </w:rPr>
                    <w:t>/</w:t>
                  </w:r>
                </w:p>
              </w:tc>
              <w:tc>
                <w:tcPr>
                  <w:tcW w:w="374" w:type="pct"/>
                  <w:vMerge w:val="restart"/>
                  <w:vAlign w:val="center"/>
                </w:tcPr>
                <w:p>
                  <w:pPr>
                    <w:pStyle w:val="62"/>
                    <w:rPr>
                      <w:b/>
                      <w:sz w:val="21"/>
                      <w:szCs w:val="21"/>
                      <w:u w:val="single"/>
                    </w:rPr>
                  </w:pPr>
                  <w:r>
                    <w:rPr>
                      <w:rFonts w:hint="eastAsia"/>
                      <w:b/>
                      <w:sz w:val="21"/>
                      <w:szCs w:val="21"/>
                      <w:u w:val="single"/>
                    </w:rPr>
                    <w:t>70</w:t>
                  </w:r>
                </w:p>
              </w:tc>
              <w:tc>
                <w:tcPr>
                  <w:tcW w:w="374" w:type="pct"/>
                  <w:vMerge w:val="continue"/>
                  <w:vAlign w:val="center"/>
                </w:tcPr>
                <w:p>
                  <w:pPr>
                    <w:pStyle w:val="62"/>
                    <w:rPr>
                      <w:b/>
                      <w:sz w:val="21"/>
                      <w:szCs w:val="21"/>
                      <w:u w:val="single"/>
                    </w:rPr>
                  </w:pPr>
                </w:p>
              </w:tc>
              <w:tc>
                <w:tcPr>
                  <w:tcW w:w="180" w:type="pct"/>
                  <w:vMerge w:val="restart"/>
                  <w:vAlign w:val="center"/>
                </w:tcPr>
                <w:p>
                  <w:pPr>
                    <w:pStyle w:val="62"/>
                    <w:rPr>
                      <w:b/>
                      <w:sz w:val="21"/>
                      <w:szCs w:val="21"/>
                      <w:u w:val="single"/>
                    </w:rPr>
                  </w:pPr>
                  <w:r>
                    <w:rPr>
                      <w:rFonts w:hint="eastAsia"/>
                      <w:b/>
                      <w:sz w:val="21"/>
                      <w:szCs w:val="21"/>
                      <w:u w:val="single"/>
                    </w:rPr>
                    <w:t>14</w:t>
                  </w:r>
                </w:p>
              </w:tc>
              <w:tc>
                <w:tcPr>
                  <w:tcW w:w="176" w:type="pct"/>
                  <w:vMerge w:val="restart"/>
                  <w:vAlign w:val="center"/>
                </w:tcPr>
                <w:p>
                  <w:pPr>
                    <w:pStyle w:val="62"/>
                    <w:rPr>
                      <w:b/>
                      <w:sz w:val="21"/>
                      <w:szCs w:val="21"/>
                      <w:u w:val="single"/>
                    </w:rPr>
                  </w:pPr>
                  <w:r>
                    <w:rPr>
                      <w:rFonts w:hint="eastAsia"/>
                      <w:b/>
                      <w:sz w:val="21"/>
                      <w:szCs w:val="21"/>
                      <w:u w:val="single"/>
                    </w:rPr>
                    <w:t>90</w:t>
                  </w:r>
                </w:p>
              </w:tc>
              <w:tc>
                <w:tcPr>
                  <w:tcW w:w="196" w:type="pct"/>
                  <w:vMerge w:val="restart"/>
                  <w:vAlign w:val="center"/>
                </w:tcPr>
                <w:p>
                  <w:pPr>
                    <w:pStyle w:val="62"/>
                    <w:rPr>
                      <w:b/>
                      <w:sz w:val="21"/>
                      <w:szCs w:val="21"/>
                      <w:u w:val="single"/>
                    </w:rPr>
                  </w:pPr>
                  <w:r>
                    <w:rPr>
                      <w:rFonts w:hint="eastAsia"/>
                      <w:b/>
                      <w:sz w:val="21"/>
                      <w:szCs w:val="21"/>
                      <w:u w:val="single"/>
                    </w:rPr>
                    <w:t>1</w:t>
                  </w:r>
                </w:p>
              </w:tc>
              <w:tc>
                <w:tcPr>
                  <w:tcW w:w="222" w:type="pct"/>
                  <w:vAlign w:val="center"/>
                </w:tcPr>
                <w:p>
                  <w:pPr>
                    <w:pStyle w:val="62"/>
                    <w:rPr>
                      <w:b/>
                      <w:sz w:val="21"/>
                      <w:szCs w:val="21"/>
                      <w:u w:val="single"/>
                    </w:rPr>
                  </w:pPr>
                  <w:r>
                    <w:rPr>
                      <w:b/>
                      <w:sz w:val="21"/>
                      <w:szCs w:val="21"/>
                      <w:u w:val="single"/>
                    </w:rPr>
                    <w:t>东</w:t>
                  </w:r>
                </w:p>
              </w:tc>
              <w:tc>
                <w:tcPr>
                  <w:tcW w:w="155" w:type="pct"/>
                  <w:vAlign w:val="center"/>
                </w:tcPr>
                <w:p>
                  <w:pPr>
                    <w:pStyle w:val="62"/>
                    <w:rPr>
                      <w:b/>
                      <w:sz w:val="21"/>
                      <w:szCs w:val="21"/>
                      <w:u w:val="single"/>
                    </w:rPr>
                  </w:pPr>
                  <w:r>
                    <w:rPr>
                      <w:rFonts w:hint="eastAsia"/>
                      <w:b/>
                      <w:sz w:val="21"/>
                      <w:szCs w:val="21"/>
                      <w:u w:val="single"/>
                    </w:rPr>
                    <w:t>6</w:t>
                  </w:r>
                </w:p>
              </w:tc>
              <w:tc>
                <w:tcPr>
                  <w:tcW w:w="412" w:type="pct"/>
                  <w:vAlign w:val="center"/>
                </w:tcPr>
                <w:p>
                  <w:pPr>
                    <w:pStyle w:val="62"/>
                    <w:rPr>
                      <w:b/>
                      <w:sz w:val="21"/>
                      <w:szCs w:val="21"/>
                      <w:u w:val="single"/>
                    </w:rPr>
                  </w:pPr>
                  <w:r>
                    <w:rPr>
                      <w:rFonts w:hint="eastAsia"/>
                      <w:b/>
                      <w:sz w:val="21"/>
                      <w:szCs w:val="21"/>
                      <w:u w:val="single"/>
                    </w:rPr>
                    <w:t xml:space="preserve">54.44 </w:t>
                  </w: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Align w:val="center"/>
                </w:tcPr>
                <w:p>
                  <w:pPr>
                    <w:pStyle w:val="62"/>
                    <w:rPr>
                      <w:b/>
                      <w:sz w:val="21"/>
                      <w:szCs w:val="21"/>
                      <w:u w:val="single"/>
                    </w:rPr>
                  </w:pPr>
                  <w:r>
                    <w:rPr>
                      <w:rFonts w:hint="eastAsia"/>
                      <w:b/>
                      <w:sz w:val="21"/>
                      <w:szCs w:val="21"/>
                      <w:u w:val="single"/>
                    </w:rPr>
                    <w:t xml:space="preserve">34.44 </w:t>
                  </w:r>
                </w:p>
              </w:tc>
              <w:tc>
                <w:tcPr>
                  <w:tcW w:w="185" w:type="pct"/>
                  <w:vAlign w:val="center"/>
                </w:tcPr>
                <w:p>
                  <w:pPr>
                    <w:pStyle w:val="62"/>
                    <w:rPr>
                      <w:b/>
                      <w:sz w:val="21"/>
                      <w:szCs w:val="21"/>
                      <w:u w:val="single"/>
                    </w:rPr>
                  </w:pPr>
                  <w:r>
                    <w:rPr>
                      <w:b/>
                      <w:sz w:val="21"/>
                      <w:szCs w:val="21"/>
                      <w:u w:val="single"/>
                    </w:rPr>
                    <w:t>东</w:t>
                  </w:r>
                </w:p>
              </w:tc>
              <w:tc>
                <w:tcPr>
                  <w:tcW w:w="225" w:type="pct"/>
                </w:tcPr>
                <w:p>
                  <w:pPr>
                    <w:pStyle w:val="62"/>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7" w:type="pct"/>
                  <w:vMerge w:val="continue"/>
                  <w:vAlign w:val="center"/>
                </w:tcPr>
                <w:p>
                  <w:pPr>
                    <w:pStyle w:val="62"/>
                    <w:rPr>
                      <w:b/>
                      <w:sz w:val="21"/>
                      <w:szCs w:val="21"/>
                      <w:u w:val="single"/>
                    </w:rPr>
                  </w:pPr>
                </w:p>
              </w:tc>
              <w:tc>
                <w:tcPr>
                  <w:tcW w:w="314" w:type="pct"/>
                  <w:vMerge w:val="continue"/>
                  <w:vAlign w:val="center"/>
                </w:tcPr>
                <w:p>
                  <w:pPr>
                    <w:pStyle w:val="62"/>
                    <w:rPr>
                      <w:b/>
                      <w:sz w:val="21"/>
                      <w:szCs w:val="21"/>
                      <w:u w:val="single"/>
                    </w:rPr>
                  </w:pPr>
                </w:p>
              </w:tc>
              <w:tc>
                <w:tcPr>
                  <w:tcW w:w="414" w:type="pct"/>
                  <w:vMerge w:val="continue"/>
                  <w:vAlign w:val="center"/>
                </w:tcPr>
                <w:p>
                  <w:pPr>
                    <w:pStyle w:val="62"/>
                    <w:rPr>
                      <w:b/>
                      <w:sz w:val="21"/>
                      <w:szCs w:val="21"/>
                      <w:u w:val="single"/>
                    </w:rPr>
                  </w:pPr>
                </w:p>
              </w:tc>
              <w:tc>
                <w:tcPr>
                  <w:tcW w:w="526"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180" w:type="pct"/>
                  <w:vMerge w:val="continue"/>
                  <w:vAlign w:val="center"/>
                </w:tcPr>
                <w:p>
                  <w:pPr>
                    <w:pStyle w:val="62"/>
                    <w:rPr>
                      <w:b/>
                      <w:sz w:val="21"/>
                      <w:szCs w:val="21"/>
                      <w:u w:val="single"/>
                    </w:rPr>
                  </w:pPr>
                </w:p>
              </w:tc>
              <w:tc>
                <w:tcPr>
                  <w:tcW w:w="176" w:type="pct"/>
                  <w:vMerge w:val="continue"/>
                  <w:vAlign w:val="center"/>
                </w:tcPr>
                <w:p>
                  <w:pPr>
                    <w:pStyle w:val="62"/>
                    <w:rPr>
                      <w:b/>
                      <w:sz w:val="21"/>
                      <w:szCs w:val="21"/>
                      <w:u w:val="single"/>
                    </w:rPr>
                  </w:pPr>
                </w:p>
              </w:tc>
              <w:tc>
                <w:tcPr>
                  <w:tcW w:w="196" w:type="pct"/>
                  <w:vMerge w:val="continue"/>
                  <w:vAlign w:val="center"/>
                </w:tcPr>
                <w:p>
                  <w:pPr>
                    <w:pStyle w:val="62"/>
                    <w:rPr>
                      <w:b/>
                      <w:sz w:val="21"/>
                      <w:szCs w:val="21"/>
                      <w:u w:val="single"/>
                    </w:rPr>
                  </w:pPr>
                </w:p>
              </w:tc>
              <w:tc>
                <w:tcPr>
                  <w:tcW w:w="222" w:type="pct"/>
                  <w:vAlign w:val="center"/>
                </w:tcPr>
                <w:p>
                  <w:pPr>
                    <w:pStyle w:val="62"/>
                    <w:rPr>
                      <w:b/>
                      <w:sz w:val="21"/>
                      <w:szCs w:val="21"/>
                      <w:u w:val="single"/>
                    </w:rPr>
                  </w:pPr>
                  <w:r>
                    <w:rPr>
                      <w:b/>
                      <w:sz w:val="21"/>
                      <w:szCs w:val="21"/>
                      <w:u w:val="single"/>
                    </w:rPr>
                    <w:t>西</w:t>
                  </w:r>
                </w:p>
              </w:tc>
              <w:tc>
                <w:tcPr>
                  <w:tcW w:w="155" w:type="pct"/>
                  <w:vAlign w:val="center"/>
                </w:tcPr>
                <w:p>
                  <w:pPr>
                    <w:pStyle w:val="62"/>
                    <w:rPr>
                      <w:b/>
                      <w:sz w:val="21"/>
                      <w:szCs w:val="21"/>
                      <w:u w:val="single"/>
                    </w:rPr>
                  </w:pPr>
                  <w:r>
                    <w:rPr>
                      <w:rFonts w:hint="eastAsia"/>
                      <w:b/>
                      <w:sz w:val="21"/>
                      <w:szCs w:val="21"/>
                      <w:u w:val="single"/>
                    </w:rPr>
                    <w:t>14</w:t>
                  </w:r>
                </w:p>
              </w:tc>
              <w:tc>
                <w:tcPr>
                  <w:tcW w:w="412" w:type="pct"/>
                  <w:vAlign w:val="center"/>
                </w:tcPr>
                <w:p>
                  <w:pPr>
                    <w:pStyle w:val="62"/>
                    <w:rPr>
                      <w:b/>
                      <w:sz w:val="21"/>
                      <w:szCs w:val="21"/>
                      <w:u w:val="single"/>
                    </w:rPr>
                  </w:pPr>
                  <w:r>
                    <w:rPr>
                      <w:rFonts w:hint="eastAsia"/>
                      <w:b/>
                      <w:sz w:val="21"/>
                      <w:szCs w:val="21"/>
                      <w:u w:val="single"/>
                    </w:rPr>
                    <w:t xml:space="preserve">47.08 </w:t>
                  </w: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Align w:val="center"/>
                </w:tcPr>
                <w:p>
                  <w:pPr>
                    <w:pStyle w:val="62"/>
                    <w:rPr>
                      <w:b/>
                      <w:sz w:val="21"/>
                      <w:szCs w:val="21"/>
                      <w:u w:val="single"/>
                    </w:rPr>
                  </w:pPr>
                  <w:r>
                    <w:rPr>
                      <w:rFonts w:hint="eastAsia"/>
                      <w:b/>
                      <w:sz w:val="21"/>
                      <w:szCs w:val="21"/>
                      <w:u w:val="single"/>
                    </w:rPr>
                    <w:t xml:space="preserve">27.08 </w:t>
                  </w:r>
                </w:p>
              </w:tc>
              <w:tc>
                <w:tcPr>
                  <w:tcW w:w="185" w:type="pct"/>
                  <w:vAlign w:val="center"/>
                </w:tcPr>
                <w:p>
                  <w:pPr>
                    <w:pStyle w:val="62"/>
                    <w:rPr>
                      <w:b/>
                      <w:sz w:val="21"/>
                      <w:szCs w:val="21"/>
                      <w:u w:val="single"/>
                    </w:rPr>
                  </w:pPr>
                  <w:r>
                    <w:rPr>
                      <w:b/>
                      <w:sz w:val="21"/>
                      <w:szCs w:val="21"/>
                      <w:u w:val="single"/>
                    </w:rPr>
                    <w:t>西</w:t>
                  </w:r>
                </w:p>
              </w:tc>
              <w:tc>
                <w:tcPr>
                  <w:tcW w:w="225" w:type="pct"/>
                </w:tcPr>
                <w:p>
                  <w:pPr>
                    <w:pStyle w:val="62"/>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7" w:type="pct"/>
                  <w:vMerge w:val="continue"/>
                  <w:vAlign w:val="center"/>
                </w:tcPr>
                <w:p>
                  <w:pPr>
                    <w:pStyle w:val="62"/>
                    <w:rPr>
                      <w:b/>
                      <w:sz w:val="21"/>
                      <w:szCs w:val="21"/>
                      <w:u w:val="single"/>
                    </w:rPr>
                  </w:pPr>
                </w:p>
              </w:tc>
              <w:tc>
                <w:tcPr>
                  <w:tcW w:w="314" w:type="pct"/>
                  <w:vMerge w:val="continue"/>
                  <w:vAlign w:val="center"/>
                </w:tcPr>
                <w:p>
                  <w:pPr>
                    <w:pStyle w:val="62"/>
                    <w:rPr>
                      <w:b/>
                      <w:sz w:val="21"/>
                      <w:szCs w:val="21"/>
                      <w:u w:val="single"/>
                    </w:rPr>
                  </w:pPr>
                </w:p>
              </w:tc>
              <w:tc>
                <w:tcPr>
                  <w:tcW w:w="414" w:type="pct"/>
                  <w:vMerge w:val="continue"/>
                  <w:vAlign w:val="center"/>
                </w:tcPr>
                <w:p>
                  <w:pPr>
                    <w:pStyle w:val="62"/>
                    <w:rPr>
                      <w:b/>
                      <w:sz w:val="21"/>
                      <w:szCs w:val="21"/>
                      <w:u w:val="single"/>
                    </w:rPr>
                  </w:pPr>
                </w:p>
              </w:tc>
              <w:tc>
                <w:tcPr>
                  <w:tcW w:w="526"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180" w:type="pct"/>
                  <w:vMerge w:val="continue"/>
                  <w:vAlign w:val="center"/>
                </w:tcPr>
                <w:p>
                  <w:pPr>
                    <w:pStyle w:val="62"/>
                    <w:rPr>
                      <w:b/>
                      <w:sz w:val="21"/>
                      <w:szCs w:val="21"/>
                      <w:u w:val="single"/>
                    </w:rPr>
                  </w:pPr>
                </w:p>
              </w:tc>
              <w:tc>
                <w:tcPr>
                  <w:tcW w:w="176" w:type="pct"/>
                  <w:vMerge w:val="continue"/>
                  <w:vAlign w:val="center"/>
                </w:tcPr>
                <w:p>
                  <w:pPr>
                    <w:pStyle w:val="62"/>
                    <w:rPr>
                      <w:b/>
                      <w:sz w:val="21"/>
                      <w:szCs w:val="21"/>
                      <w:u w:val="single"/>
                    </w:rPr>
                  </w:pPr>
                </w:p>
              </w:tc>
              <w:tc>
                <w:tcPr>
                  <w:tcW w:w="196" w:type="pct"/>
                  <w:vMerge w:val="continue"/>
                  <w:vAlign w:val="center"/>
                </w:tcPr>
                <w:p>
                  <w:pPr>
                    <w:pStyle w:val="62"/>
                    <w:rPr>
                      <w:b/>
                      <w:sz w:val="21"/>
                      <w:szCs w:val="21"/>
                      <w:u w:val="single"/>
                    </w:rPr>
                  </w:pPr>
                </w:p>
              </w:tc>
              <w:tc>
                <w:tcPr>
                  <w:tcW w:w="222" w:type="pct"/>
                  <w:vAlign w:val="center"/>
                </w:tcPr>
                <w:p>
                  <w:pPr>
                    <w:pStyle w:val="62"/>
                    <w:rPr>
                      <w:b/>
                      <w:sz w:val="21"/>
                      <w:szCs w:val="21"/>
                      <w:u w:val="single"/>
                    </w:rPr>
                  </w:pPr>
                  <w:r>
                    <w:rPr>
                      <w:b/>
                      <w:sz w:val="21"/>
                      <w:szCs w:val="21"/>
                      <w:u w:val="single"/>
                    </w:rPr>
                    <w:t>南</w:t>
                  </w:r>
                </w:p>
              </w:tc>
              <w:tc>
                <w:tcPr>
                  <w:tcW w:w="155" w:type="pct"/>
                  <w:vAlign w:val="center"/>
                </w:tcPr>
                <w:p>
                  <w:pPr>
                    <w:pStyle w:val="62"/>
                    <w:rPr>
                      <w:b/>
                      <w:sz w:val="21"/>
                      <w:szCs w:val="21"/>
                      <w:u w:val="single"/>
                    </w:rPr>
                  </w:pPr>
                  <w:r>
                    <w:rPr>
                      <w:rFonts w:hint="eastAsia"/>
                      <w:b/>
                      <w:sz w:val="21"/>
                      <w:szCs w:val="21"/>
                      <w:u w:val="single"/>
                    </w:rPr>
                    <w:t>90</w:t>
                  </w:r>
                </w:p>
              </w:tc>
              <w:tc>
                <w:tcPr>
                  <w:tcW w:w="412" w:type="pct"/>
                  <w:vAlign w:val="center"/>
                </w:tcPr>
                <w:p>
                  <w:pPr>
                    <w:pStyle w:val="62"/>
                    <w:rPr>
                      <w:b/>
                      <w:sz w:val="21"/>
                      <w:szCs w:val="21"/>
                      <w:u w:val="single"/>
                    </w:rPr>
                  </w:pPr>
                  <w:r>
                    <w:rPr>
                      <w:rFonts w:hint="eastAsia"/>
                      <w:b/>
                      <w:sz w:val="21"/>
                      <w:szCs w:val="21"/>
                      <w:u w:val="single"/>
                    </w:rPr>
                    <w:t xml:space="preserve">30.92 </w:t>
                  </w: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Align w:val="center"/>
                </w:tcPr>
                <w:p>
                  <w:pPr>
                    <w:pStyle w:val="62"/>
                    <w:rPr>
                      <w:b/>
                      <w:sz w:val="21"/>
                      <w:szCs w:val="21"/>
                      <w:u w:val="single"/>
                    </w:rPr>
                  </w:pPr>
                  <w:r>
                    <w:rPr>
                      <w:rFonts w:hint="eastAsia"/>
                      <w:b/>
                      <w:sz w:val="21"/>
                      <w:szCs w:val="21"/>
                      <w:u w:val="single"/>
                    </w:rPr>
                    <w:t xml:space="preserve">10.92 </w:t>
                  </w:r>
                </w:p>
              </w:tc>
              <w:tc>
                <w:tcPr>
                  <w:tcW w:w="185" w:type="pct"/>
                  <w:vAlign w:val="center"/>
                </w:tcPr>
                <w:p>
                  <w:pPr>
                    <w:pStyle w:val="62"/>
                    <w:rPr>
                      <w:b/>
                      <w:sz w:val="21"/>
                      <w:szCs w:val="21"/>
                      <w:u w:val="single"/>
                    </w:rPr>
                  </w:pPr>
                  <w:r>
                    <w:rPr>
                      <w:b/>
                      <w:sz w:val="21"/>
                      <w:szCs w:val="21"/>
                      <w:u w:val="single"/>
                    </w:rPr>
                    <w:t>南</w:t>
                  </w:r>
                </w:p>
              </w:tc>
              <w:tc>
                <w:tcPr>
                  <w:tcW w:w="225" w:type="pct"/>
                </w:tcPr>
                <w:p>
                  <w:pPr>
                    <w:pStyle w:val="62"/>
                    <w:rPr>
                      <w:b/>
                      <w:sz w:val="21"/>
                      <w:szCs w:val="21"/>
                      <w:u w:val="single"/>
                    </w:rPr>
                  </w:pPr>
                  <w:r>
                    <w:rPr>
                      <w:rFonts w:hint="eastAsia"/>
                      <w:b/>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97" w:type="pct"/>
                  <w:vMerge w:val="continue"/>
                  <w:vAlign w:val="center"/>
                </w:tcPr>
                <w:p>
                  <w:pPr>
                    <w:pStyle w:val="62"/>
                    <w:rPr>
                      <w:b/>
                      <w:sz w:val="21"/>
                      <w:szCs w:val="21"/>
                      <w:u w:val="single"/>
                    </w:rPr>
                  </w:pPr>
                </w:p>
              </w:tc>
              <w:tc>
                <w:tcPr>
                  <w:tcW w:w="314" w:type="pct"/>
                  <w:vMerge w:val="continue"/>
                  <w:vAlign w:val="center"/>
                </w:tcPr>
                <w:p>
                  <w:pPr>
                    <w:pStyle w:val="62"/>
                    <w:rPr>
                      <w:b/>
                      <w:sz w:val="21"/>
                      <w:szCs w:val="21"/>
                      <w:u w:val="single"/>
                    </w:rPr>
                  </w:pPr>
                </w:p>
              </w:tc>
              <w:tc>
                <w:tcPr>
                  <w:tcW w:w="414" w:type="pct"/>
                  <w:vMerge w:val="continue"/>
                  <w:vAlign w:val="center"/>
                </w:tcPr>
                <w:p>
                  <w:pPr>
                    <w:pStyle w:val="62"/>
                    <w:rPr>
                      <w:b/>
                      <w:sz w:val="21"/>
                      <w:szCs w:val="21"/>
                      <w:u w:val="single"/>
                    </w:rPr>
                  </w:pPr>
                </w:p>
              </w:tc>
              <w:tc>
                <w:tcPr>
                  <w:tcW w:w="526"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374" w:type="pct"/>
                  <w:vMerge w:val="continue"/>
                  <w:vAlign w:val="center"/>
                </w:tcPr>
                <w:p>
                  <w:pPr>
                    <w:pStyle w:val="62"/>
                    <w:rPr>
                      <w:b/>
                      <w:sz w:val="21"/>
                      <w:szCs w:val="21"/>
                      <w:u w:val="single"/>
                    </w:rPr>
                  </w:pPr>
                </w:p>
              </w:tc>
              <w:tc>
                <w:tcPr>
                  <w:tcW w:w="180" w:type="pct"/>
                  <w:vMerge w:val="continue"/>
                  <w:vAlign w:val="center"/>
                </w:tcPr>
                <w:p>
                  <w:pPr>
                    <w:pStyle w:val="62"/>
                    <w:rPr>
                      <w:b/>
                      <w:sz w:val="21"/>
                      <w:szCs w:val="21"/>
                      <w:u w:val="single"/>
                    </w:rPr>
                  </w:pPr>
                </w:p>
              </w:tc>
              <w:tc>
                <w:tcPr>
                  <w:tcW w:w="176" w:type="pct"/>
                  <w:vMerge w:val="continue"/>
                  <w:vAlign w:val="center"/>
                </w:tcPr>
                <w:p>
                  <w:pPr>
                    <w:pStyle w:val="62"/>
                    <w:rPr>
                      <w:b/>
                      <w:sz w:val="21"/>
                      <w:szCs w:val="21"/>
                      <w:u w:val="single"/>
                    </w:rPr>
                  </w:pPr>
                </w:p>
              </w:tc>
              <w:tc>
                <w:tcPr>
                  <w:tcW w:w="196" w:type="pct"/>
                  <w:vMerge w:val="continue"/>
                  <w:vAlign w:val="center"/>
                </w:tcPr>
                <w:p>
                  <w:pPr>
                    <w:pStyle w:val="62"/>
                    <w:rPr>
                      <w:b/>
                      <w:sz w:val="21"/>
                      <w:szCs w:val="21"/>
                      <w:u w:val="single"/>
                    </w:rPr>
                  </w:pPr>
                </w:p>
              </w:tc>
              <w:tc>
                <w:tcPr>
                  <w:tcW w:w="222" w:type="pct"/>
                  <w:vAlign w:val="center"/>
                </w:tcPr>
                <w:p>
                  <w:pPr>
                    <w:pStyle w:val="62"/>
                    <w:rPr>
                      <w:b/>
                      <w:sz w:val="21"/>
                      <w:szCs w:val="21"/>
                      <w:u w:val="single"/>
                    </w:rPr>
                  </w:pPr>
                  <w:r>
                    <w:rPr>
                      <w:b/>
                      <w:sz w:val="21"/>
                      <w:szCs w:val="21"/>
                      <w:u w:val="single"/>
                    </w:rPr>
                    <w:t>北</w:t>
                  </w:r>
                </w:p>
              </w:tc>
              <w:tc>
                <w:tcPr>
                  <w:tcW w:w="155" w:type="pct"/>
                  <w:vAlign w:val="center"/>
                </w:tcPr>
                <w:p>
                  <w:pPr>
                    <w:pStyle w:val="62"/>
                    <w:rPr>
                      <w:b/>
                      <w:sz w:val="21"/>
                      <w:szCs w:val="21"/>
                      <w:u w:val="single"/>
                    </w:rPr>
                  </w:pPr>
                  <w:r>
                    <w:rPr>
                      <w:rFonts w:hint="eastAsia"/>
                      <w:b/>
                      <w:sz w:val="21"/>
                      <w:szCs w:val="21"/>
                      <w:u w:val="single"/>
                    </w:rPr>
                    <w:t>10</w:t>
                  </w:r>
                </w:p>
              </w:tc>
              <w:tc>
                <w:tcPr>
                  <w:tcW w:w="412" w:type="pct"/>
                  <w:vAlign w:val="center"/>
                </w:tcPr>
                <w:p>
                  <w:pPr>
                    <w:pStyle w:val="62"/>
                    <w:rPr>
                      <w:b/>
                      <w:sz w:val="21"/>
                      <w:szCs w:val="21"/>
                      <w:u w:val="single"/>
                    </w:rPr>
                  </w:pPr>
                  <w:r>
                    <w:rPr>
                      <w:rFonts w:hint="eastAsia"/>
                      <w:b/>
                      <w:sz w:val="21"/>
                      <w:szCs w:val="21"/>
                      <w:u w:val="single"/>
                    </w:rPr>
                    <w:t xml:space="preserve">50.00 </w:t>
                  </w:r>
                </w:p>
              </w:tc>
              <w:tc>
                <w:tcPr>
                  <w:tcW w:w="466" w:type="pct"/>
                  <w:vMerge w:val="continue"/>
                  <w:vAlign w:val="center"/>
                </w:tcPr>
                <w:p>
                  <w:pPr>
                    <w:pStyle w:val="62"/>
                    <w:rPr>
                      <w:b/>
                      <w:sz w:val="21"/>
                      <w:szCs w:val="21"/>
                      <w:u w:val="single"/>
                    </w:rPr>
                  </w:pPr>
                </w:p>
              </w:tc>
              <w:tc>
                <w:tcPr>
                  <w:tcW w:w="368" w:type="pct"/>
                  <w:vMerge w:val="continue"/>
                  <w:vAlign w:val="center"/>
                </w:tcPr>
                <w:p>
                  <w:pPr>
                    <w:pStyle w:val="62"/>
                    <w:rPr>
                      <w:b/>
                      <w:sz w:val="21"/>
                      <w:szCs w:val="21"/>
                      <w:u w:val="single"/>
                    </w:rPr>
                  </w:pPr>
                </w:p>
              </w:tc>
              <w:tc>
                <w:tcPr>
                  <w:tcW w:w="316" w:type="pct"/>
                  <w:vAlign w:val="center"/>
                </w:tcPr>
                <w:p>
                  <w:pPr>
                    <w:pStyle w:val="62"/>
                    <w:rPr>
                      <w:b/>
                      <w:sz w:val="21"/>
                      <w:szCs w:val="21"/>
                      <w:u w:val="single"/>
                    </w:rPr>
                  </w:pPr>
                  <w:r>
                    <w:rPr>
                      <w:rFonts w:hint="eastAsia"/>
                      <w:b/>
                      <w:sz w:val="21"/>
                      <w:szCs w:val="21"/>
                      <w:u w:val="single"/>
                    </w:rPr>
                    <w:t xml:space="preserve">30.00 </w:t>
                  </w:r>
                </w:p>
              </w:tc>
              <w:tc>
                <w:tcPr>
                  <w:tcW w:w="185" w:type="pct"/>
                  <w:vAlign w:val="center"/>
                </w:tcPr>
                <w:p>
                  <w:pPr>
                    <w:pStyle w:val="62"/>
                    <w:rPr>
                      <w:b/>
                      <w:sz w:val="21"/>
                      <w:szCs w:val="21"/>
                      <w:u w:val="single"/>
                    </w:rPr>
                  </w:pPr>
                  <w:r>
                    <w:rPr>
                      <w:b/>
                      <w:sz w:val="21"/>
                      <w:szCs w:val="21"/>
                      <w:u w:val="single"/>
                    </w:rPr>
                    <w:t>北</w:t>
                  </w:r>
                </w:p>
              </w:tc>
              <w:tc>
                <w:tcPr>
                  <w:tcW w:w="225" w:type="pct"/>
                </w:tcPr>
                <w:p>
                  <w:pPr>
                    <w:pStyle w:val="62"/>
                    <w:rPr>
                      <w:b/>
                      <w:sz w:val="21"/>
                      <w:szCs w:val="21"/>
                      <w:u w:val="single"/>
                    </w:rPr>
                  </w:pPr>
                  <w:r>
                    <w:rPr>
                      <w:rFonts w:hint="eastAsia"/>
                      <w:b/>
                      <w:sz w:val="21"/>
                      <w:szCs w:val="21"/>
                      <w:u w:val="single"/>
                    </w:rPr>
                    <w:t>1</w:t>
                  </w:r>
                </w:p>
              </w:tc>
            </w:tr>
          </w:tbl>
          <w:p>
            <w:pPr>
              <w:pStyle w:val="51"/>
              <w:ind w:firstLine="0" w:firstLineChars="0"/>
              <w:rPr>
                <w:b/>
                <w:bCs/>
              </w:rPr>
            </w:pPr>
          </w:p>
        </w:tc>
      </w:tr>
    </w:tbl>
    <w:p>
      <w:pPr>
        <w:pStyle w:val="51"/>
        <w:ind w:firstLine="0" w:firstLineChars="0"/>
        <w:rPr>
          <w:b/>
          <w:bCs/>
        </w:rPr>
        <w:sectPr>
          <w:pgSz w:w="16840" w:h="11907" w:orient="landscape"/>
          <w:pgMar w:top="1531" w:right="1701" w:bottom="1531" w:left="2127" w:header="851" w:footer="851" w:gutter="0"/>
          <w:cols w:space="720" w:num="1"/>
          <w:docGrid w:linePitch="312" w:charSpace="0"/>
        </w:sectPr>
      </w:pPr>
    </w:p>
    <w:tbl>
      <w:tblPr>
        <w:tblStyle w:val="22"/>
        <w:tblW w:w="508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17" w:hRule="atLeast"/>
          <w:jc w:val="center"/>
        </w:trPr>
        <w:tc>
          <w:tcPr>
            <w:tcW w:w="5000" w:type="pct"/>
            <w:tcMar>
              <w:left w:w="28" w:type="dxa"/>
              <w:right w:w="28" w:type="dxa"/>
            </w:tcMar>
            <w:vAlign w:val="center"/>
          </w:tcPr>
          <w:p>
            <w:pPr>
              <w:pStyle w:val="51"/>
              <w:ind w:firstLine="0" w:firstLineChars="0"/>
            </w:pPr>
            <w:r>
              <w:t>3.2厂界达标情况</w:t>
            </w:r>
          </w:p>
          <w:p>
            <w:pPr>
              <w:pStyle w:val="89"/>
              <w:snapToGrid w:val="0"/>
              <w:spacing w:line="520" w:lineRule="exact"/>
              <w:ind w:firstLine="480" w:firstLineChars="200"/>
            </w:pPr>
            <w:r>
              <w:t>根据《环境影响评价技术导则声环境》（HJ2.4-2021），选用预测模式，应用过程中将根据具体情况作必要简化。</w:t>
            </w:r>
          </w:p>
          <w:p>
            <w:pPr>
              <w:pStyle w:val="89"/>
              <w:snapToGrid w:val="0"/>
              <w:spacing w:line="520" w:lineRule="exact"/>
              <w:ind w:firstLine="480" w:firstLineChars="200"/>
            </w:pPr>
            <w:r>
              <w:rPr>
                <w:rFonts w:ascii="宋体"/>
              </w:rPr>
              <w:t>①</w:t>
            </w:r>
            <w:r>
              <w:t>室内点声源的预测</w:t>
            </w:r>
          </w:p>
          <w:p>
            <w:pPr>
              <w:pStyle w:val="89"/>
              <w:snapToGrid w:val="0"/>
              <w:spacing w:line="520" w:lineRule="exact"/>
              <w:ind w:firstLine="480" w:firstLineChars="200"/>
            </w:pPr>
            <w:r>
              <w:t>a、室内靠近围护结构处的倍频带声压级：</w:t>
            </w:r>
            <w:r>
              <w:rPr>
                <w:position w:val="-10"/>
              </w:rPr>
              <w:object>
                <v:shape id="_x0000_i1025" o:spt="75" type="#_x0000_t75" style="height:18.95pt;width:7.6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7" r:id="rId12">
                  <o:LockedField>false</o:LockedField>
                </o:OLEObject>
              </w:object>
            </w:r>
          </w:p>
          <w:p>
            <w:pPr>
              <w:pStyle w:val="89"/>
              <w:snapToGrid w:val="0"/>
              <w:spacing w:line="288" w:lineRule="auto"/>
              <w:ind w:firstLine="480" w:firstLineChars="200"/>
            </w:pPr>
            <m:oMathPara>
              <m:oMath>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p1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w</m:t>
                    </m:r>
                    <m:ctrlPr>
                      <w:rPr>
                        <w:rFonts w:ascii="Cambria Math" w:hAnsi="Cambria Math"/>
                      </w:rPr>
                    </m:ctrlPr>
                  </m:sub>
                </m:sSub>
                <m:r>
                  <m:rPr>
                    <m:sty m:val="p"/>
                  </m:rPr>
                  <w:rPr>
                    <w:rFonts w:ascii="Cambria Math" w:hAnsi="Cambria Math"/>
                  </w:rPr>
                  <m:t>+10lg⁡(</m:t>
                </m:r>
                <m:f>
                  <m:fPr>
                    <m:ctrlPr>
                      <w:rPr>
                        <w:rFonts w:ascii="Cambria Math" w:hAnsi="Cambria Math"/>
                      </w:rPr>
                    </m:ctrlPr>
                  </m:fPr>
                  <m:num>
                    <m:r>
                      <m:rPr>
                        <m:sty m:val="p"/>
                      </m:rPr>
                      <w:rPr>
                        <w:rFonts w:ascii="Cambria Math" w:hAnsi="Cambria Math"/>
                      </w:rPr>
                      <m:t>Q</m:t>
                    </m:r>
                    <m:ctrlPr>
                      <w:rPr>
                        <w:rFonts w:ascii="Cambria Math" w:hAnsi="Cambria Math"/>
                      </w:rPr>
                    </m:ctrlPr>
                  </m:num>
                  <m:den>
                    <m:r>
                      <m:rPr>
                        <m:sty m:val="p"/>
                      </m:rPr>
                      <w:rPr>
                        <w:rFonts w:ascii="Cambria Math" w:hAnsi="Cambria Math"/>
                      </w:rPr>
                      <m:t>4π</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4</m:t>
                    </m:r>
                    <m:ctrlPr>
                      <w:rPr>
                        <w:rFonts w:ascii="Cambria Math" w:hAnsi="Cambria Math"/>
                      </w:rPr>
                    </m:ctrlPr>
                  </m:num>
                  <m:den>
                    <m:r>
                      <m:rPr>
                        <m:sty m:val="p"/>
                      </m:rPr>
                      <w:rPr>
                        <w:rFonts w:ascii="Cambria Math" w:hAnsi="Cambria Math"/>
                      </w:rPr>
                      <m:t>R</m:t>
                    </m:r>
                    <m:ctrlPr>
                      <w:rPr>
                        <w:rFonts w:ascii="Cambria Math" w:hAnsi="Cambria Math"/>
                      </w:rPr>
                    </m:ctrlPr>
                  </m:den>
                </m:f>
                <m:r>
                  <m:rPr>
                    <m:sty m:val="p"/>
                  </m:rPr>
                  <w:rPr>
                    <w:rFonts w:ascii="Cambria Math" w:hAnsi="Cambria Math"/>
                  </w:rPr>
                  <m:t>)</m:t>
                </m:r>
              </m:oMath>
            </m:oMathPara>
          </w:p>
          <w:p>
            <w:pPr>
              <w:pStyle w:val="89"/>
              <w:snapToGrid w:val="0"/>
              <w:spacing w:line="520" w:lineRule="exact"/>
              <w:ind w:firstLine="480" w:firstLineChars="200"/>
            </w:pPr>
            <w:r>
              <w:t>式中：L</w:t>
            </w:r>
            <w:r>
              <w:rPr>
                <w:vertAlign w:val="subscript"/>
              </w:rPr>
              <w:t>p1</w:t>
            </w:r>
            <w:r>
              <w:t>—靠近开口处（或窗户）室内某倍频带的声压级或A 声级，dB；</w:t>
            </w:r>
          </w:p>
          <w:p>
            <w:pPr>
              <w:pStyle w:val="89"/>
              <w:snapToGrid w:val="0"/>
              <w:spacing w:line="520" w:lineRule="exact"/>
              <w:ind w:firstLine="480" w:firstLineChars="200"/>
            </w:pPr>
            <w:r>
              <w:t xml:space="preserve">      L</w:t>
            </w:r>
            <w:r>
              <w:rPr>
                <w:vertAlign w:val="subscript"/>
              </w:rPr>
              <w:t>w</w:t>
            </w:r>
            <w:r>
              <w:t>—点声源声功率级（A 计权或倍频带），dB；</w:t>
            </w:r>
          </w:p>
          <w:p>
            <w:pPr>
              <w:pStyle w:val="89"/>
              <w:snapToGrid w:val="0"/>
              <w:spacing w:line="520" w:lineRule="exact"/>
              <w:ind w:firstLine="480" w:firstLineChars="200"/>
            </w:pPr>
            <w:r>
              <w:t xml:space="preserve">      Q—指向性因数；通常对无指向性声源，当声源放在房间中心时，Q=1；当放在一面墙的中心时，Q=2；当放在两面墙夹角处时，Q=4；当放在三面墙夹角处时，Q=8；</w:t>
            </w:r>
          </w:p>
          <w:p>
            <w:pPr>
              <w:pStyle w:val="89"/>
              <w:snapToGrid w:val="0"/>
              <w:spacing w:line="520" w:lineRule="exact"/>
              <w:ind w:firstLine="480" w:firstLineChars="200"/>
            </w:pPr>
            <w:r>
              <w:t xml:space="preserve">      R—</w:t>
            </w:r>
            <w:r>
              <w:rPr>
                <w:rFonts w:hint="eastAsia"/>
              </w:rPr>
              <w:t>房间常数；</w:t>
            </w:r>
            <w:r>
              <w:t xml:space="preserve"> </w:t>
            </w:r>
            <m:oMath>
              <m:r>
                <m:rPr>
                  <m:sty m:val="p"/>
                </m:rPr>
                <w:rPr>
                  <w:rFonts w:ascii="Cambria Math" w:hAnsi="Cambria Math"/>
                </w:rPr>
                <m:t>R=Sα/(1−α)</m:t>
              </m:r>
            </m:oMath>
            <w:r>
              <w:t xml:space="preserve">，S </w:t>
            </w:r>
            <w:r>
              <w:rPr>
                <w:rFonts w:hint="eastAsia"/>
              </w:rPr>
              <w:t>为房间内表面面积，</w:t>
            </w:r>
            <w:r>
              <w:t>m</w:t>
            </w:r>
            <w:r>
              <w:rPr>
                <w:vertAlign w:val="superscript"/>
              </w:rPr>
              <w:t>2</w:t>
            </w:r>
            <w:r>
              <w:rPr>
                <w:rFonts w:hint="eastAsia"/>
              </w:rPr>
              <w:t>；</w:t>
            </w:r>
            <w:r>
              <w:rPr>
                <w:position w:val="-6"/>
              </w:rPr>
              <w:pict>
                <v:shape id="_x0000_i1026" o:spt="75" type="#_x0000_t75" style="height:22.75pt;width:7.6pt;" filled="f" o:preferrelative="t" stroked="f" coordsize="21600,21600" equationxml="&lt;">
                  <v:path/>
                  <v:fill on="f" focussize="0,0"/>
                  <v:stroke on="f" joinstyle="miter"/>
                  <v:imagedata r:id="rId14" chromakey="#FFFFFF" o:title=""/>
                  <o:lock v:ext="edit" aspectratio="t"/>
                  <w10:wrap type="none"/>
                  <w10:anchorlock/>
                </v:shape>
              </w:pict>
            </w:r>
            <w:r>
              <w:rPr>
                <w:rFonts w:hint="eastAsia"/>
              </w:rPr>
              <w:t>为平均吸声系数；</w:t>
            </w:r>
          </w:p>
          <w:p>
            <w:pPr>
              <w:pStyle w:val="89"/>
              <w:snapToGrid w:val="0"/>
              <w:spacing w:line="520" w:lineRule="exact"/>
              <w:ind w:firstLine="480" w:firstLineChars="200"/>
            </w:pPr>
            <w:r>
              <w:t xml:space="preserve">      r—声源到靠近围护结构某点处的距离，m。</w:t>
            </w:r>
          </w:p>
          <w:p>
            <w:pPr>
              <w:pStyle w:val="89"/>
              <w:snapToGrid w:val="0"/>
              <w:spacing w:line="520" w:lineRule="exact"/>
              <w:ind w:firstLine="480" w:firstLineChars="200"/>
            </w:pPr>
            <w:r>
              <w:t>b、室内声源在靠近围护结构处产生的i倍频带声压级：</w:t>
            </w:r>
          </w:p>
          <w:p>
            <w:pPr>
              <w:pStyle w:val="89"/>
              <w:snapToGrid w:val="0"/>
              <w:spacing w:line="288" w:lineRule="auto"/>
              <w:ind w:firstLine="480" w:firstLineChars="200"/>
            </w:pPr>
            <w:r>
              <w:pict>
                <v:shape id="_x0000_i1027" o:spt="75" type="#_x0000_t75" style="height:45.45pt;width:151.6pt;" filled="f" o:preferrelative="t" stroked="f" coordsize="21600,21600" equationxml="&lt;">
                  <v:path/>
                  <v:fill on="f" focussize="0,0"/>
                  <v:stroke on="f" joinstyle="miter"/>
                  <v:imagedata r:id="rId15" chromakey="#FFFFFF" o:title=""/>
                  <o:lock v:ext="edit" aspectratio="t"/>
                  <w10:wrap type="none"/>
                  <w10:anchorlock/>
                </v:shape>
              </w:pict>
            </w:r>
          </w:p>
          <w:p>
            <w:pPr>
              <w:pStyle w:val="89"/>
              <w:snapToGrid w:val="0"/>
              <w:spacing w:line="520" w:lineRule="exact"/>
              <w:ind w:firstLine="480" w:firstLineChars="200"/>
            </w:pPr>
            <w:r>
              <w:t>式中：</w:t>
            </w:r>
            <w:r>
              <w:fldChar w:fldCharType="begin"/>
            </w:r>
            <w:r>
              <w:instrText xml:space="preserve"> QUOTE </w:instrText>
            </w:r>
            <w:r>
              <w:rPr>
                <w:position w:val="-9"/>
              </w:rPr>
              <w:pict>
                <v:shape id="_x0000_i1028" o:spt="75" type="#_x0000_t75" style="height:22.75pt;width:37.9pt;" filled="f" o:preferrelative="t" stroked="f" coordsize="21600,21600" equationxml="&lt;">
                  <v:path/>
                  <v:fill on="f" focussize="0,0"/>
                  <v:stroke on="f" joinstyle="miter"/>
                  <v:imagedata r:id="rId16" chromakey="#FFFFFF" o:title=""/>
                  <o:lock v:ext="edit" aspectratio="t"/>
                  <w10:wrap type="none"/>
                  <w10:anchorlock/>
                </v:shape>
              </w:pict>
            </w:r>
            <w:r>
              <w:instrText xml:space="preserve"> </w:instrText>
            </w:r>
            <w:r>
              <w:fldChar w:fldCharType="separate"/>
            </w:r>
            <w:r>
              <w:rPr>
                <w:position w:val="-9"/>
              </w:rPr>
              <w:pict>
                <v:shape id="_x0000_i1029" o:spt="75" type="#_x0000_t75" style="height:22.75pt;width:37.9pt;" filled="f" o:preferrelative="t" stroked="f" coordsize="21600,21600" equationxml="&lt;">
                  <v:path/>
                  <v:fill on="f" focussize="0,0"/>
                  <v:stroke on="f" joinstyle="miter"/>
                  <v:imagedata r:id="rId16" chromakey="#FFFFFF" o:title=""/>
                  <o:lock v:ext="edit" aspectratio="t"/>
                  <w10:wrap type="none"/>
                  <w10:anchorlock/>
                </v:shape>
              </w:pict>
            </w:r>
            <w:r>
              <w:fldChar w:fldCharType="end"/>
            </w:r>
            <w:r>
              <w:rPr>
                <w:rFonts w:hint="eastAsia"/>
              </w:rPr>
              <w:t>-</w:t>
            </w:r>
            <w:r>
              <w:t>靠近围护结构处室内N 个声源i 倍频带的叠加声压级，dB；</w:t>
            </w:r>
          </w:p>
          <w:p>
            <w:pPr>
              <w:pStyle w:val="89"/>
              <w:snapToGrid w:val="0"/>
              <w:spacing w:line="520" w:lineRule="exact"/>
              <w:ind w:firstLine="480" w:firstLineChars="200"/>
            </w:pPr>
            <w:r>
              <w:t xml:space="preserve">       </w:t>
            </w:r>
            <w:r>
              <w:fldChar w:fldCharType="begin"/>
            </w:r>
            <w:r>
              <w:instrText xml:space="preserve"> QUOTE </w:instrText>
            </w:r>
            <w:r>
              <w:rPr>
                <w:position w:val="-9"/>
              </w:rPr>
              <w:pict>
                <v:shape id="_x0000_i1030" o:spt="75" type="#_x0000_t75" style="height:22.75pt;width:22.75pt;" filled="f" o:preferrelative="t" stroked="f" coordsize="21600,21600" equationxml="&lt;">
                  <v:path/>
                  <v:fill on="f" focussize="0,0"/>
                  <v:stroke on="f" joinstyle="miter"/>
                  <v:imagedata r:id="rId17" chromakey="#FFFFFF" o:title=""/>
                  <o:lock v:ext="edit" aspectratio="t"/>
                  <w10:wrap type="none"/>
                  <w10:anchorlock/>
                </v:shape>
              </w:pict>
            </w:r>
            <w:r>
              <w:instrText xml:space="preserve"> </w:instrText>
            </w:r>
            <w:r>
              <w:fldChar w:fldCharType="separate"/>
            </w:r>
            <w:r>
              <w:rPr>
                <w:position w:val="-9"/>
              </w:rPr>
              <w:pict>
                <v:shape id="_x0000_i1031" o:spt="75" type="#_x0000_t75" style="height:22.75pt;width:22.75pt;" filled="f" o:preferrelative="t" stroked="f" coordsize="21600,21600" equationxml="&lt;">
                  <v:path/>
                  <v:fill on="f" focussize="0,0"/>
                  <v:stroke on="f" joinstyle="miter"/>
                  <v:imagedata r:id="rId17" chromakey="#FFFFFF" o:title=""/>
                  <o:lock v:ext="edit" aspectratio="t"/>
                  <w10:wrap type="none"/>
                  <w10:anchorlock/>
                </v:shape>
              </w:pict>
            </w:r>
            <w:r>
              <w:fldChar w:fldCharType="end"/>
            </w:r>
            <w:r>
              <w:t>—室内j 声源i 倍频带的声压级，dB；</w:t>
            </w:r>
          </w:p>
          <w:p>
            <w:pPr>
              <w:pStyle w:val="89"/>
              <w:snapToGrid w:val="0"/>
              <w:spacing w:line="520" w:lineRule="exact"/>
              <w:ind w:firstLine="480" w:firstLineChars="200"/>
            </w:pPr>
            <w:r>
              <w:t xml:space="preserve">      N—室内声源总数。</w:t>
            </w:r>
          </w:p>
          <w:p>
            <w:pPr>
              <w:pStyle w:val="89"/>
              <w:snapToGrid w:val="0"/>
              <w:spacing w:line="520" w:lineRule="exact"/>
              <w:ind w:firstLine="480" w:firstLineChars="200"/>
            </w:pPr>
            <w:r>
              <w:t>c、室外靠近围护结构处的总的声压级：</w:t>
            </w:r>
          </w:p>
          <w:p>
            <w:pPr>
              <w:pStyle w:val="89"/>
              <w:snapToGrid w:val="0"/>
              <w:spacing w:line="520" w:lineRule="exact"/>
              <w:ind w:firstLine="480" w:firstLineChars="200"/>
            </w:pPr>
            <w:r>
              <w:pict>
                <v:shape id="_x0000_i1032" o:spt="75" type="#_x0000_t75" style="height:22.75pt;width:151.6pt;" filled="f" o:preferrelative="t" stroked="f" coordsize="21600,21600" equationxml="&lt;">
                  <v:path/>
                  <v:fill on="f" focussize="0,0"/>
                  <v:stroke on="f" joinstyle="miter"/>
                  <v:imagedata r:id="rId18" chromakey="#FFFFFF" o:title=""/>
                  <o:lock v:ext="edit" aspectratio="t"/>
                  <w10:wrap type="none"/>
                  <w10:anchorlock/>
                </v:shape>
              </w:pict>
            </w:r>
          </w:p>
          <w:p>
            <w:pPr>
              <w:pStyle w:val="89"/>
              <w:snapToGrid w:val="0"/>
              <w:spacing w:line="520" w:lineRule="exact"/>
              <w:ind w:firstLine="480" w:firstLineChars="200"/>
            </w:pPr>
            <w:r>
              <w:t>式中：</w:t>
            </w:r>
            <w:r>
              <w:fldChar w:fldCharType="begin"/>
            </w:r>
            <w:r>
              <w:instrText xml:space="preserve"> QUOTE </w:instrText>
            </w:r>
            <w:r>
              <w:rPr>
                <w:position w:val="-9"/>
              </w:rPr>
              <w:pict>
                <v:shape id="_x0000_i1033" o:spt="75" type="#_x0000_t75" style="height:22.75pt;width:37.9pt;" filled="f" o:preferrelative="t" stroked="f" coordsize="21600,21600" equationxml="&lt;">
                  <v:path/>
                  <v:fill on="f" focussize="0,0"/>
                  <v:stroke on="f" joinstyle="miter"/>
                  <v:imagedata r:id="rId19" chromakey="#FFFFFF" o:title=""/>
                  <o:lock v:ext="edit" aspectratio="t"/>
                  <w10:wrap type="none"/>
                  <w10:anchorlock/>
                </v:shape>
              </w:pict>
            </w:r>
            <w:r>
              <w:instrText xml:space="preserve"> </w:instrText>
            </w:r>
            <w:r>
              <w:fldChar w:fldCharType="separate"/>
            </w:r>
            <w:r>
              <w:rPr>
                <w:position w:val="-9"/>
              </w:rPr>
              <w:pict>
                <v:shape id="_x0000_i1034" o:spt="75" type="#_x0000_t75" style="height:22.75pt;width:37.9pt;" filled="f" o:preferrelative="t" stroked="f" coordsize="21600,21600" equationxml="&lt;">
                  <v:path/>
                  <v:fill on="f" focussize="0,0"/>
                  <v:stroke on="f" joinstyle="miter"/>
                  <v:imagedata r:id="rId19" chromakey="#FFFFFF" o:title=""/>
                  <o:lock v:ext="edit" aspectratio="t"/>
                  <w10:wrap type="none"/>
                  <w10:anchorlock/>
                </v:shape>
              </w:pict>
            </w:r>
            <w:r>
              <w:fldChar w:fldCharType="end"/>
            </w:r>
            <w:r>
              <w:t>为靠近围护结构处室外N个声源i倍频带的叠加声压级，dB；</w:t>
            </w:r>
          </w:p>
          <w:p>
            <w:pPr>
              <w:pStyle w:val="89"/>
              <w:snapToGrid w:val="0"/>
              <w:spacing w:line="520" w:lineRule="exact"/>
              <w:ind w:firstLine="480" w:firstLineChars="200"/>
            </w:pPr>
            <w:r>
              <w:t xml:space="preserve">      </w:t>
            </w:r>
            <w:r>
              <w:fldChar w:fldCharType="begin"/>
            </w:r>
            <w:r>
              <w:instrText xml:space="preserve"> QUOTE </w:instrText>
            </w:r>
            <w:r>
              <w:rPr>
                <w:position w:val="-9"/>
              </w:rPr>
              <w:pict>
                <v:shape id="_x0000_i1035" o:spt="75" type="#_x0000_t75" style="height:22.75pt;width:37.9pt;" filled="f" o:preferrelative="t" stroked="f" coordsize="21600,21600" equationxml="&lt;">
                  <v:path/>
                  <v:fill on="f" focussize="0,0"/>
                  <v:stroke on="f" joinstyle="miter"/>
                  <v:imagedata r:id="rId16" chromakey="#FFFFFF" o:title=""/>
                  <o:lock v:ext="edit" aspectratio="t"/>
                  <w10:wrap type="none"/>
                  <w10:anchorlock/>
                </v:shape>
              </w:pict>
            </w:r>
            <w:r>
              <w:instrText xml:space="preserve"> </w:instrText>
            </w:r>
            <w:r>
              <w:fldChar w:fldCharType="separate"/>
            </w:r>
            <w:r>
              <w:rPr>
                <w:position w:val="-9"/>
              </w:rPr>
              <w:pict>
                <v:shape id="_x0000_i1036" o:spt="75" type="#_x0000_t75" style="height:22.75pt;width:37.9pt;" filled="f" o:preferrelative="t" stroked="f" coordsize="21600,21600" equationxml="&lt;">
                  <v:path/>
                  <v:fill on="f" focussize="0,0"/>
                  <v:stroke on="f" joinstyle="miter"/>
                  <v:imagedata r:id="rId16" chromakey="#FFFFFF" o:title=""/>
                  <o:lock v:ext="edit" aspectratio="t"/>
                  <w10:wrap type="none"/>
                  <w10:anchorlock/>
                </v:shape>
              </w:pict>
            </w:r>
            <w:r>
              <w:fldChar w:fldCharType="end"/>
            </w:r>
            <w:r>
              <w:t>为靠近围护结构处室内N个声源i倍频带的叠加声压级，dB；</w:t>
            </w:r>
          </w:p>
          <w:p>
            <w:pPr>
              <w:pStyle w:val="89"/>
              <w:snapToGrid w:val="0"/>
              <w:spacing w:line="520" w:lineRule="exact"/>
              <w:ind w:firstLine="480" w:firstLineChars="200"/>
            </w:pPr>
            <w:r>
              <w:t xml:space="preserve">      TL</w:t>
            </w:r>
            <w:r>
              <w:rPr>
                <w:vertAlign w:val="subscript"/>
              </w:rPr>
              <w:t>i</w:t>
            </w:r>
            <w:r>
              <w:t>为围护结构i倍频带的隔声量，dB。</w:t>
            </w:r>
          </w:p>
          <w:p>
            <w:pPr>
              <w:pStyle w:val="89"/>
              <w:snapToGrid w:val="0"/>
              <w:spacing w:line="520" w:lineRule="exact"/>
              <w:ind w:firstLine="480" w:firstLineChars="200"/>
            </w:pPr>
            <w:r>
              <w:t>d、室外声压级换算成等效的室外声源：</w:t>
            </w:r>
          </w:p>
          <w:p>
            <w:pPr>
              <w:pStyle w:val="89"/>
              <w:snapToGrid w:val="0"/>
              <w:spacing w:line="520" w:lineRule="exact"/>
              <w:ind w:firstLine="480" w:firstLineChars="200"/>
            </w:pPr>
            <w:r>
              <w:pict>
                <v:shape id="_x0000_i1037" o:spt="75" type="#_x0000_t75" style="height:22.75pt;width:109.9pt;" filled="f" o:preferrelative="t" stroked="f" coordsize="21600,21600" equationxml="&lt;">
                  <v:path/>
                  <v:fill on="f" focussize="0,0"/>
                  <v:stroke on="f" joinstyle="miter"/>
                  <v:imagedata r:id="rId20" chromakey="#FFFFFF" o:title=""/>
                  <o:lock v:ext="edit" aspectratio="t"/>
                  <w10:wrap type="none"/>
                  <w10:anchorlock/>
                </v:shape>
              </w:pict>
            </w:r>
          </w:p>
          <w:p>
            <w:pPr>
              <w:pStyle w:val="89"/>
              <w:snapToGrid w:val="0"/>
              <w:spacing w:line="520" w:lineRule="exact"/>
              <w:ind w:firstLine="480" w:firstLineChars="200"/>
            </w:pPr>
            <w:r>
              <w:t>式中：L</w:t>
            </w:r>
            <w:r>
              <w:rPr>
                <w:vertAlign w:val="subscript"/>
              </w:rPr>
              <w:t>w</w:t>
            </w:r>
            <w:r>
              <w:t>为中心位置位于透声面积（S）处的等效声源的倍频带声功率级，dB；</w:t>
            </w:r>
          </w:p>
          <w:p>
            <w:pPr>
              <w:pStyle w:val="89"/>
              <w:snapToGrid w:val="0"/>
              <w:spacing w:line="520" w:lineRule="exact"/>
              <w:ind w:firstLine="480" w:firstLineChars="200"/>
            </w:pPr>
            <w:r>
              <w:t xml:space="preserve">      </w:t>
            </w:r>
            <w:r>
              <w:fldChar w:fldCharType="begin"/>
            </w:r>
            <w:r>
              <w:instrText xml:space="preserve"> QUOTE </w:instrText>
            </w:r>
            <w:r>
              <w:rPr>
                <w:position w:val="-9"/>
              </w:rPr>
              <w:pict>
                <v:shape id="_x0000_i1038" o:spt="75" type="#_x0000_t75" style="height:22.75pt;width:34.1pt;" filled="f" o:preferrelative="t" stroked="f" coordsize="21600,21600" equationxml="&lt;">
                  <v:path/>
                  <v:fill on="f" focussize="0,0"/>
                  <v:stroke on="f" joinstyle="miter"/>
                  <v:imagedata r:id="rId21" chromakey="#FFFFFF" o:title=""/>
                  <o:lock v:ext="edit" aspectratio="t"/>
                  <w10:wrap type="none"/>
                  <w10:anchorlock/>
                </v:shape>
              </w:pict>
            </w:r>
            <w:r>
              <w:instrText xml:space="preserve"> </w:instrText>
            </w:r>
            <w:r>
              <w:fldChar w:fldCharType="separate"/>
            </w:r>
            <w:r>
              <w:rPr>
                <w:position w:val="-9"/>
              </w:rPr>
              <w:pict>
                <v:shape id="_x0000_i1039" o:spt="75" type="#_x0000_t75" style="height:22.75pt;width:34.1pt;" filled="f" o:preferrelative="t" stroked="f" coordsize="21600,21600" equationxml="&lt;">
                  <v:path/>
                  <v:fill on="f" focussize="0,0"/>
                  <v:stroke on="f" joinstyle="miter"/>
                  <v:imagedata r:id="rId21" chromakey="#FFFFFF" o:title=""/>
                  <o:lock v:ext="edit" aspectratio="t"/>
                  <w10:wrap type="none"/>
                  <w10:anchorlock/>
                </v:shape>
              </w:pict>
            </w:r>
            <w:r>
              <w:fldChar w:fldCharType="end"/>
            </w:r>
            <w:r>
              <w:t>为靠近围护结构处室外声源的声压级，dB；</w:t>
            </w:r>
          </w:p>
          <w:p>
            <w:pPr>
              <w:pStyle w:val="89"/>
              <w:snapToGrid w:val="0"/>
              <w:spacing w:line="520" w:lineRule="exact"/>
              <w:ind w:firstLine="480" w:firstLineChars="200"/>
            </w:pPr>
            <w:r>
              <w:t xml:space="preserve">      S为透声面积，m</w:t>
            </w:r>
            <w:r>
              <w:rPr>
                <w:vertAlign w:val="superscript"/>
              </w:rPr>
              <w:t>2</w:t>
            </w:r>
            <w:r>
              <w:t>。</w:t>
            </w:r>
          </w:p>
          <w:p>
            <w:pPr>
              <w:pStyle w:val="89"/>
              <w:snapToGrid w:val="0"/>
              <w:spacing w:line="520" w:lineRule="exact"/>
              <w:ind w:firstLine="480" w:firstLineChars="200"/>
            </w:pPr>
            <w:r>
              <w:t>e、等效室外声源的位置为围护结构的位置，其倍频带声功率级为Lwoct，由此按室外声源方法计算等效室外声源在预测点产生的声级。</w:t>
            </w:r>
          </w:p>
          <w:p>
            <w:pPr>
              <w:pStyle w:val="89"/>
              <w:snapToGrid w:val="0"/>
              <w:spacing w:line="520" w:lineRule="exact"/>
              <w:ind w:firstLine="480" w:firstLineChars="200"/>
            </w:pPr>
            <w:r>
              <w:rPr>
                <w:rFonts w:ascii="宋体"/>
              </w:rPr>
              <w:t>①</w:t>
            </w:r>
            <w:r>
              <w:t>室外声源传播衰减预测模式：</w:t>
            </w:r>
          </w:p>
          <w:p>
            <w:pPr>
              <w:pStyle w:val="89"/>
              <w:snapToGrid w:val="0"/>
              <w:spacing w:line="288" w:lineRule="auto"/>
              <w:ind w:firstLine="480" w:firstLineChars="200"/>
            </w:pPr>
            <w:r>
              <w:pict>
                <v:shape id="_x0000_i1040" o:spt="75" type="#_x0000_t75" style="height:26.55pt;width:132.65pt;" filled="f" o:preferrelative="t" stroked="f" coordsize="21600,21600" equationxml="&lt;">
                  <v:path/>
                  <v:fill on="f" focussize="0,0"/>
                  <v:stroke on="f" joinstyle="miter"/>
                  <v:imagedata r:id="rId22" chromakey="#FFFFFF" o:title=""/>
                  <o:lock v:ext="edit" aspectratio="t"/>
                  <w10:wrap type="none"/>
                  <w10:anchorlock/>
                </v:shape>
              </w:pict>
            </w:r>
          </w:p>
          <w:p>
            <w:pPr>
              <w:pStyle w:val="89"/>
              <w:snapToGrid w:val="0"/>
              <w:spacing w:line="520" w:lineRule="exact"/>
              <w:ind w:firstLine="480" w:firstLineChars="200"/>
            </w:pPr>
            <w:r>
              <w:t>式中：L</w:t>
            </w:r>
            <w:r>
              <w:rPr>
                <w:vertAlign w:val="subscript"/>
              </w:rPr>
              <w:t>(r1)</w:t>
            </w:r>
            <w:r>
              <w:t>为距声源距离r1处声级，dB(A)；</w:t>
            </w:r>
          </w:p>
          <w:p>
            <w:pPr>
              <w:pStyle w:val="89"/>
              <w:snapToGrid w:val="0"/>
              <w:spacing w:line="520" w:lineRule="exact"/>
              <w:ind w:firstLine="480" w:firstLineChars="200"/>
            </w:pPr>
            <w:r>
              <w:t xml:space="preserve">      L</w:t>
            </w:r>
            <w:r>
              <w:rPr>
                <w:vertAlign w:val="subscript"/>
              </w:rPr>
              <w:t>(r2)</w:t>
            </w:r>
            <w:r>
              <w:t>为距声源距离r2处声级，dB(A)；</w:t>
            </w:r>
          </w:p>
          <w:p>
            <w:pPr>
              <w:pStyle w:val="89"/>
              <w:snapToGrid w:val="0"/>
              <w:spacing w:line="520" w:lineRule="exact"/>
              <w:ind w:firstLine="480" w:firstLineChars="200"/>
            </w:pPr>
            <w:r>
              <w:t xml:space="preserve">      r</w:t>
            </w:r>
            <w:r>
              <w:rPr>
                <w:vertAlign w:val="subscript"/>
              </w:rPr>
              <w:t>1</w:t>
            </w:r>
            <w:r>
              <w:t>为受声点1距声源间的距离，(m)；</w:t>
            </w:r>
          </w:p>
          <w:p>
            <w:pPr>
              <w:pStyle w:val="89"/>
              <w:snapToGrid w:val="0"/>
              <w:spacing w:line="520" w:lineRule="exact"/>
              <w:ind w:firstLine="480" w:firstLineChars="200"/>
            </w:pPr>
            <w:r>
              <w:t xml:space="preserve">      r</w:t>
            </w:r>
            <w:r>
              <w:rPr>
                <w:vertAlign w:val="subscript"/>
              </w:rPr>
              <w:t>2</w:t>
            </w:r>
            <w:r>
              <w:t>为受声点2距声源间的距离，(m)；</w:t>
            </w:r>
          </w:p>
          <w:p>
            <w:pPr>
              <w:pStyle w:val="89"/>
              <w:snapToGrid w:val="0"/>
              <w:spacing w:line="520" w:lineRule="exact"/>
              <w:ind w:firstLine="480" w:firstLineChars="200"/>
            </w:pPr>
            <w:r>
              <w:t xml:space="preserve">     </w:t>
            </w:r>
            <w:r>
              <w:rPr>
                <w:rFonts w:ascii="Cambria Math"/>
              </w:rPr>
              <w:t>△</w:t>
            </w:r>
            <w:r>
              <w:t>L为各种因素引起的衰减量，包括声屏障、遮挡物、绿化等；</w:t>
            </w:r>
          </w:p>
          <w:p>
            <w:pPr>
              <w:pStyle w:val="89"/>
              <w:snapToGrid w:val="0"/>
              <w:spacing w:line="520" w:lineRule="exact"/>
              <w:ind w:firstLine="480" w:firstLineChars="200"/>
            </w:pPr>
            <w:r>
              <w:t xml:space="preserve">      A为预测线声源时取10，预测点声源时取20。</w:t>
            </w:r>
          </w:p>
          <w:p>
            <w:pPr>
              <w:pStyle w:val="89"/>
              <w:snapToGrid w:val="0"/>
              <w:spacing w:line="520" w:lineRule="exact"/>
              <w:ind w:firstLine="480" w:firstLineChars="200"/>
            </w:pPr>
            <w:r>
              <w:rPr>
                <w:rFonts w:ascii="宋体"/>
              </w:rPr>
              <w:t>②</w:t>
            </w:r>
            <w:r>
              <w:t>声级叠加</w:t>
            </w:r>
          </w:p>
          <w:p>
            <w:pPr>
              <w:pStyle w:val="89"/>
              <w:snapToGrid w:val="0"/>
              <w:spacing w:line="288" w:lineRule="auto"/>
              <w:ind w:firstLine="480" w:firstLineChars="200"/>
            </w:pPr>
            <w:r>
              <w:pict>
                <v:shape id="_x0000_i1041" o:spt="75" type="#_x0000_t75" style="height:37.9pt;width:144pt;" filled="f" o:preferrelative="t" stroked="f" coordsize="21600,21600" equationxml="&lt;">
                  <v:path/>
                  <v:fill on="f" focussize="0,0"/>
                  <v:stroke on="f" joinstyle="miter"/>
                  <v:imagedata r:id="rId23" chromakey="#FFFFFF" o:title=""/>
                  <o:lock v:ext="edit" aspectratio="t"/>
                  <w10:wrap type="none"/>
                  <w10:anchorlock/>
                </v:shape>
              </w:pict>
            </w:r>
          </w:p>
          <w:p>
            <w:pPr>
              <w:pStyle w:val="89"/>
              <w:snapToGrid w:val="0"/>
              <w:spacing w:line="520" w:lineRule="exact"/>
              <w:ind w:firstLine="480" w:firstLineChars="200"/>
            </w:pPr>
            <w:r>
              <w:t>式中：L总为噪声叠加后总的声压级dB(A)；</w:t>
            </w:r>
          </w:p>
          <w:p>
            <w:pPr>
              <w:pStyle w:val="89"/>
              <w:snapToGrid w:val="0"/>
              <w:spacing w:line="520" w:lineRule="exact"/>
              <w:ind w:firstLine="480" w:firstLineChars="200"/>
            </w:pPr>
            <w:r>
              <w:t xml:space="preserve">      L</w:t>
            </w:r>
            <w:r>
              <w:rPr>
                <w:vertAlign w:val="subscript"/>
              </w:rPr>
              <w:t>Ai</w:t>
            </w:r>
            <w:r>
              <w:t>单个噪声源的声压级dB(A)；</w:t>
            </w:r>
          </w:p>
          <w:p>
            <w:pPr>
              <w:pStyle w:val="89"/>
              <w:snapToGrid w:val="0"/>
              <w:spacing w:line="520" w:lineRule="exact"/>
              <w:ind w:firstLine="480" w:firstLineChars="200"/>
            </w:pPr>
            <w:r>
              <w:t xml:space="preserve">      n—噪声源个数。</w:t>
            </w:r>
          </w:p>
          <w:p>
            <w:pPr>
              <w:pStyle w:val="89"/>
              <w:snapToGrid w:val="0"/>
              <w:spacing w:line="520" w:lineRule="exact"/>
              <w:ind w:firstLine="480" w:firstLineChars="200"/>
            </w:pPr>
            <w:r>
              <w:t>经预测，本项目各厂界噪声贡献值噪声预测结果见下表。</w:t>
            </w:r>
          </w:p>
          <w:p>
            <w:pPr>
              <w:pStyle w:val="89"/>
              <w:snapToGrid w:val="0"/>
              <w:spacing w:line="520" w:lineRule="exact"/>
              <w:ind w:firstLine="480" w:firstLineChars="200"/>
            </w:pPr>
          </w:p>
          <w:p>
            <w:pPr>
              <w:pStyle w:val="89"/>
              <w:snapToGrid w:val="0"/>
              <w:spacing w:line="520" w:lineRule="exact"/>
              <w:ind w:firstLine="480" w:firstLineChars="200"/>
            </w:pPr>
          </w:p>
          <w:p>
            <w:pPr>
              <w:pStyle w:val="89"/>
              <w:snapToGrid w:val="0"/>
              <w:spacing w:line="520" w:lineRule="exact"/>
              <w:ind w:firstLine="480" w:firstLineChars="200"/>
            </w:pPr>
          </w:p>
          <w:p>
            <w:pPr>
              <w:pStyle w:val="53"/>
              <w:ind w:firstLine="482"/>
              <w:rPr>
                <w:b/>
                <w:u w:val="single"/>
              </w:rPr>
            </w:pPr>
            <w:r>
              <w:rPr>
                <w:b/>
                <w:u w:val="single"/>
              </w:rPr>
              <w:t>表3</w:t>
            </w:r>
            <w:r>
              <w:rPr>
                <w:rFonts w:hint="eastAsia"/>
                <w:b/>
                <w:u w:val="single"/>
              </w:rPr>
              <w:t>7</w:t>
            </w:r>
            <w:r>
              <w:rPr>
                <w:b/>
                <w:u w:val="single"/>
              </w:rPr>
              <w:t xml:space="preserve">             </w:t>
            </w:r>
            <w:r>
              <w:rPr>
                <w:rFonts w:hint="eastAsia"/>
                <w:b/>
                <w:u w:val="single"/>
              </w:rPr>
              <w:t>厂界噪声预测结果</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165"/>
              <w:gridCol w:w="914"/>
              <w:gridCol w:w="915"/>
              <w:gridCol w:w="915"/>
              <w:gridCol w:w="1198"/>
              <w:gridCol w:w="1348"/>
              <w:gridCol w:w="1496"/>
              <w:gridCol w:w="10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 w:hRule="atLeast"/>
                <w:jc w:val="center"/>
              </w:trPr>
              <w:tc>
                <w:tcPr>
                  <w:tcW w:w="1165" w:type="dxa"/>
                  <w:vMerge w:val="restart"/>
                  <w:vAlign w:val="center"/>
                </w:tcPr>
                <w:p>
                  <w:pPr>
                    <w:pStyle w:val="62"/>
                    <w:rPr>
                      <w:b/>
                      <w:sz w:val="21"/>
                      <w:szCs w:val="21"/>
                      <w:u w:val="single"/>
                    </w:rPr>
                  </w:pPr>
                  <w:r>
                    <w:rPr>
                      <w:b/>
                      <w:sz w:val="21"/>
                      <w:szCs w:val="21"/>
                      <w:u w:val="single"/>
                    </w:rPr>
                    <w:t>预测方位</w:t>
                  </w:r>
                </w:p>
              </w:tc>
              <w:tc>
                <w:tcPr>
                  <w:tcW w:w="2744" w:type="dxa"/>
                  <w:gridSpan w:val="3"/>
                  <w:vAlign w:val="center"/>
                </w:tcPr>
                <w:p>
                  <w:pPr>
                    <w:pStyle w:val="62"/>
                    <w:rPr>
                      <w:b/>
                      <w:sz w:val="21"/>
                      <w:szCs w:val="21"/>
                      <w:u w:val="single"/>
                    </w:rPr>
                  </w:pPr>
                  <w:r>
                    <w:rPr>
                      <w:b/>
                      <w:sz w:val="21"/>
                      <w:szCs w:val="21"/>
                      <w:u w:val="single"/>
                    </w:rPr>
                    <w:t>空间相对位置/m</w:t>
                  </w:r>
                </w:p>
              </w:tc>
              <w:tc>
                <w:tcPr>
                  <w:tcW w:w="1198" w:type="dxa"/>
                  <w:vMerge w:val="restart"/>
                  <w:vAlign w:val="center"/>
                </w:tcPr>
                <w:p>
                  <w:pPr>
                    <w:pStyle w:val="62"/>
                    <w:rPr>
                      <w:b/>
                      <w:sz w:val="21"/>
                      <w:szCs w:val="21"/>
                      <w:u w:val="single"/>
                    </w:rPr>
                  </w:pPr>
                  <w:r>
                    <w:rPr>
                      <w:b/>
                      <w:sz w:val="21"/>
                      <w:szCs w:val="21"/>
                      <w:u w:val="single"/>
                    </w:rPr>
                    <w:t>时段</w:t>
                  </w:r>
                </w:p>
              </w:tc>
              <w:tc>
                <w:tcPr>
                  <w:tcW w:w="1348" w:type="dxa"/>
                  <w:vMerge w:val="restart"/>
                  <w:vAlign w:val="center"/>
                </w:tcPr>
                <w:p>
                  <w:pPr>
                    <w:pStyle w:val="62"/>
                    <w:rPr>
                      <w:b/>
                      <w:sz w:val="21"/>
                      <w:szCs w:val="21"/>
                      <w:u w:val="single"/>
                    </w:rPr>
                  </w:pPr>
                  <w:r>
                    <w:rPr>
                      <w:rFonts w:hint="eastAsia"/>
                      <w:b/>
                      <w:sz w:val="21"/>
                      <w:szCs w:val="21"/>
                      <w:u w:val="single"/>
                    </w:rPr>
                    <w:t>贡</w:t>
                  </w:r>
                  <w:r>
                    <w:rPr>
                      <w:b/>
                      <w:sz w:val="21"/>
                      <w:szCs w:val="21"/>
                      <w:u w:val="single"/>
                    </w:rPr>
                    <w:t>献值（dB(A)）</w:t>
                  </w:r>
                </w:p>
              </w:tc>
              <w:tc>
                <w:tcPr>
                  <w:tcW w:w="1496" w:type="dxa"/>
                  <w:vMerge w:val="restart"/>
                  <w:vAlign w:val="center"/>
                </w:tcPr>
                <w:p>
                  <w:pPr>
                    <w:pStyle w:val="62"/>
                    <w:rPr>
                      <w:b/>
                      <w:sz w:val="21"/>
                      <w:szCs w:val="21"/>
                      <w:u w:val="single"/>
                    </w:rPr>
                  </w:pPr>
                  <w:r>
                    <w:rPr>
                      <w:b/>
                      <w:sz w:val="21"/>
                      <w:szCs w:val="21"/>
                      <w:u w:val="single"/>
                    </w:rPr>
                    <w:t>标准限值（dB(A)）</w:t>
                  </w:r>
                </w:p>
              </w:tc>
              <w:tc>
                <w:tcPr>
                  <w:tcW w:w="1022" w:type="dxa"/>
                  <w:vMerge w:val="restart"/>
                  <w:vAlign w:val="center"/>
                </w:tcPr>
                <w:p>
                  <w:pPr>
                    <w:pStyle w:val="62"/>
                    <w:rPr>
                      <w:b/>
                      <w:sz w:val="21"/>
                      <w:szCs w:val="21"/>
                      <w:u w:val="single"/>
                    </w:rPr>
                  </w:pPr>
                  <w:r>
                    <w:rPr>
                      <w:b/>
                      <w:sz w:val="21"/>
                      <w:szCs w:val="21"/>
                      <w:u w:val="single"/>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 w:hRule="atLeast"/>
                <w:jc w:val="center"/>
              </w:trPr>
              <w:tc>
                <w:tcPr>
                  <w:tcW w:w="1165" w:type="dxa"/>
                  <w:vMerge w:val="continue"/>
                  <w:vAlign w:val="center"/>
                </w:tcPr>
                <w:p>
                  <w:pPr>
                    <w:pStyle w:val="62"/>
                    <w:rPr>
                      <w:b/>
                      <w:sz w:val="21"/>
                      <w:szCs w:val="21"/>
                      <w:u w:val="single"/>
                    </w:rPr>
                  </w:pPr>
                </w:p>
              </w:tc>
              <w:tc>
                <w:tcPr>
                  <w:tcW w:w="914" w:type="dxa"/>
                  <w:vAlign w:val="center"/>
                </w:tcPr>
                <w:p>
                  <w:pPr>
                    <w:pStyle w:val="62"/>
                    <w:rPr>
                      <w:b/>
                      <w:sz w:val="21"/>
                      <w:szCs w:val="21"/>
                      <w:u w:val="single"/>
                    </w:rPr>
                  </w:pPr>
                  <w:r>
                    <w:rPr>
                      <w:b/>
                      <w:sz w:val="21"/>
                      <w:szCs w:val="21"/>
                      <w:u w:val="single"/>
                    </w:rPr>
                    <w:t>X</w:t>
                  </w:r>
                </w:p>
              </w:tc>
              <w:tc>
                <w:tcPr>
                  <w:tcW w:w="915" w:type="dxa"/>
                  <w:vAlign w:val="center"/>
                </w:tcPr>
                <w:p>
                  <w:pPr>
                    <w:pStyle w:val="62"/>
                    <w:rPr>
                      <w:b/>
                      <w:sz w:val="21"/>
                      <w:szCs w:val="21"/>
                      <w:u w:val="single"/>
                    </w:rPr>
                  </w:pPr>
                  <w:r>
                    <w:rPr>
                      <w:b/>
                      <w:sz w:val="21"/>
                      <w:szCs w:val="21"/>
                      <w:u w:val="single"/>
                    </w:rPr>
                    <w:t>Y</w:t>
                  </w:r>
                </w:p>
              </w:tc>
              <w:tc>
                <w:tcPr>
                  <w:tcW w:w="915" w:type="dxa"/>
                  <w:vAlign w:val="center"/>
                </w:tcPr>
                <w:p>
                  <w:pPr>
                    <w:pStyle w:val="62"/>
                    <w:rPr>
                      <w:b/>
                      <w:sz w:val="21"/>
                      <w:szCs w:val="21"/>
                      <w:u w:val="single"/>
                    </w:rPr>
                  </w:pPr>
                  <w:r>
                    <w:rPr>
                      <w:b/>
                      <w:sz w:val="21"/>
                      <w:szCs w:val="21"/>
                      <w:u w:val="single"/>
                    </w:rPr>
                    <w:t>Z</w:t>
                  </w:r>
                </w:p>
              </w:tc>
              <w:tc>
                <w:tcPr>
                  <w:tcW w:w="1198" w:type="dxa"/>
                  <w:vMerge w:val="continue"/>
                  <w:vAlign w:val="center"/>
                </w:tcPr>
                <w:p>
                  <w:pPr>
                    <w:pStyle w:val="62"/>
                    <w:rPr>
                      <w:b/>
                      <w:sz w:val="21"/>
                      <w:szCs w:val="21"/>
                      <w:u w:val="single"/>
                    </w:rPr>
                  </w:pPr>
                </w:p>
              </w:tc>
              <w:tc>
                <w:tcPr>
                  <w:tcW w:w="1348" w:type="dxa"/>
                  <w:vMerge w:val="continue"/>
                  <w:vAlign w:val="center"/>
                </w:tcPr>
                <w:p>
                  <w:pPr>
                    <w:pStyle w:val="62"/>
                    <w:rPr>
                      <w:b/>
                      <w:sz w:val="21"/>
                      <w:szCs w:val="21"/>
                      <w:u w:val="single"/>
                    </w:rPr>
                  </w:pPr>
                </w:p>
              </w:tc>
              <w:tc>
                <w:tcPr>
                  <w:tcW w:w="1496" w:type="dxa"/>
                  <w:vMerge w:val="continue"/>
                  <w:vAlign w:val="center"/>
                </w:tcPr>
                <w:p>
                  <w:pPr>
                    <w:pStyle w:val="62"/>
                    <w:rPr>
                      <w:b/>
                      <w:sz w:val="21"/>
                      <w:szCs w:val="21"/>
                      <w:u w:val="single"/>
                    </w:rPr>
                  </w:pPr>
                </w:p>
              </w:tc>
              <w:tc>
                <w:tcPr>
                  <w:tcW w:w="1022" w:type="dxa"/>
                  <w:vMerge w:val="continue"/>
                  <w:vAlign w:val="center"/>
                </w:tcPr>
                <w:p>
                  <w:pPr>
                    <w:pStyle w:val="62"/>
                    <w:rPr>
                      <w:b/>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 w:hRule="atLeast"/>
                <w:jc w:val="center"/>
              </w:trPr>
              <w:tc>
                <w:tcPr>
                  <w:tcW w:w="1165" w:type="dxa"/>
                  <w:vAlign w:val="center"/>
                </w:tcPr>
                <w:p>
                  <w:pPr>
                    <w:pStyle w:val="62"/>
                    <w:rPr>
                      <w:b/>
                      <w:sz w:val="21"/>
                      <w:szCs w:val="21"/>
                      <w:u w:val="single"/>
                    </w:rPr>
                  </w:pPr>
                  <w:r>
                    <w:rPr>
                      <w:rFonts w:hint="eastAsia"/>
                      <w:b/>
                      <w:sz w:val="21"/>
                      <w:szCs w:val="21"/>
                      <w:u w:val="single"/>
                    </w:rPr>
                    <w:t>北</w:t>
                  </w:r>
                  <w:r>
                    <w:rPr>
                      <w:b/>
                      <w:sz w:val="21"/>
                      <w:szCs w:val="21"/>
                      <w:u w:val="single"/>
                    </w:rPr>
                    <w:t>侧</w:t>
                  </w:r>
                </w:p>
              </w:tc>
              <w:tc>
                <w:tcPr>
                  <w:tcW w:w="914" w:type="dxa"/>
                  <w:vAlign w:val="center"/>
                </w:tcPr>
                <w:p>
                  <w:pPr>
                    <w:pStyle w:val="62"/>
                    <w:rPr>
                      <w:b/>
                      <w:sz w:val="21"/>
                      <w:szCs w:val="21"/>
                      <w:u w:val="single"/>
                    </w:rPr>
                  </w:pPr>
                  <w:r>
                    <w:rPr>
                      <w:rFonts w:hint="eastAsia"/>
                      <w:b/>
                      <w:sz w:val="21"/>
                      <w:szCs w:val="21"/>
                      <w:u w:val="single"/>
                    </w:rPr>
                    <w:t>14</w:t>
                  </w:r>
                </w:p>
              </w:tc>
              <w:tc>
                <w:tcPr>
                  <w:tcW w:w="915" w:type="dxa"/>
                  <w:vAlign w:val="center"/>
                </w:tcPr>
                <w:p>
                  <w:pPr>
                    <w:pStyle w:val="62"/>
                    <w:rPr>
                      <w:b/>
                      <w:sz w:val="21"/>
                      <w:szCs w:val="21"/>
                      <w:u w:val="single"/>
                    </w:rPr>
                  </w:pPr>
                  <w:r>
                    <w:rPr>
                      <w:rFonts w:hint="eastAsia"/>
                      <w:b/>
                      <w:sz w:val="21"/>
                      <w:szCs w:val="21"/>
                      <w:u w:val="single"/>
                    </w:rPr>
                    <w:t>290</w:t>
                  </w:r>
                </w:p>
              </w:tc>
              <w:tc>
                <w:tcPr>
                  <w:tcW w:w="915" w:type="dxa"/>
                  <w:vAlign w:val="center"/>
                </w:tcPr>
                <w:p>
                  <w:pPr>
                    <w:pStyle w:val="62"/>
                    <w:rPr>
                      <w:b/>
                      <w:sz w:val="21"/>
                      <w:szCs w:val="21"/>
                      <w:u w:val="single"/>
                    </w:rPr>
                  </w:pPr>
                  <w:r>
                    <w:rPr>
                      <w:rFonts w:hint="eastAsia"/>
                      <w:b/>
                      <w:sz w:val="21"/>
                      <w:szCs w:val="21"/>
                      <w:u w:val="single"/>
                    </w:rPr>
                    <w:t>1</w:t>
                  </w:r>
                </w:p>
              </w:tc>
              <w:tc>
                <w:tcPr>
                  <w:tcW w:w="1198" w:type="dxa"/>
                  <w:vAlign w:val="center"/>
                </w:tcPr>
                <w:p>
                  <w:pPr>
                    <w:pStyle w:val="62"/>
                    <w:rPr>
                      <w:b/>
                      <w:sz w:val="21"/>
                      <w:szCs w:val="21"/>
                      <w:u w:val="single"/>
                    </w:rPr>
                  </w:pPr>
                  <w:r>
                    <w:rPr>
                      <w:b/>
                      <w:sz w:val="21"/>
                      <w:szCs w:val="21"/>
                      <w:u w:val="single"/>
                    </w:rPr>
                    <w:t>昼间</w:t>
                  </w:r>
                </w:p>
              </w:tc>
              <w:tc>
                <w:tcPr>
                  <w:tcW w:w="1348" w:type="dxa"/>
                  <w:vAlign w:val="center"/>
                </w:tcPr>
                <w:p>
                  <w:pPr>
                    <w:pStyle w:val="62"/>
                    <w:rPr>
                      <w:b/>
                      <w:sz w:val="21"/>
                      <w:szCs w:val="21"/>
                      <w:u w:val="single"/>
                    </w:rPr>
                  </w:pPr>
                  <w:r>
                    <w:rPr>
                      <w:rFonts w:hint="eastAsia"/>
                      <w:b/>
                      <w:sz w:val="21"/>
                      <w:szCs w:val="21"/>
                      <w:u w:val="single"/>
                    </w:rPr>
                    <w:t>37.77</w:t>
                  </w:r>
                </w:p>
              </w:tc>
              <w:tc>
                <w:tcPr>
                  <w:tcW w:w="1496" w:type="dxa"/>
                </w:tcPr>
                <w:p>
                  <w:pPr>
                    <w:pStyle w:val="62"/>
                    <w:rPr>
                      <w:b/>
                      <w:sz w:val="21"/>
                      <w:szCs w:val="21"/>
                      <w:u w:val="single"/>
                    </w:rPr>
                  </w:pPr>
                  <w:r>
                    <w:rPr>
                      <w:b/>
                      <w:sz w:val="21"/>
                      <w:szCs w:val="21"/>
                      <w:u w:val="single"/>
                    </w:rPr>
                    <w:t>6</w:t>
                  </w:r>
                  <w:r>
                    <w:rPr>
                      <w:rFonts w:hint="eastAsia"/>
                      <w:b/>
                      <w:sz w:val="21"/>
                      <w:szCs w:val="21"/>
                      <w:u w:val="single"/>
                    </w:rPr>
                    <w:t>5</w:t>
                  </w:r>
                </w:p>
              </w:tc>
              <w:tc>
                <w:tcPr>
                  <w:tcW w:w="1022" w:type="dxa"/>
                  <w:vAlign w:val="center"/>
                </w:tcPr>
                <w:p>
                  <w:pPr>
                    <w:pStyle w:val="62"/>
                    <w:rPr>
                      <w:b/>
                      <w:sz w:val="21"/>
                      <w:szCs w:val="21"/>
                      <w:u w:val="single"/>
                    </w:rPr>
                  </w:pPr>
                  <w:r>
                    <w:rPr>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 w:hRule="atLeast"/>
                <w:jc w:val="center"/>
              </w:trPr>
              <w:tc>
                <w:tcPr>
                  <w:tcW w:w="1165" w:type="dxa"/>
                  <w:vAlign w:val="center"/>
                </w:tcPr>
                <w:p>
                  <w:pPr>
                    <w:pStyle w:val="62"/>
                    <w:rPr>
                      <w:b/>
                      <w:sz w:val="21"/>
                      <w:szCs w:val="21"/>
                      <w:u w:val="single"/>
                    </w:rPr>
                  </w:pPr>
                  <w:r>
                    <w:rPr>
                      <w:rFonts w:hint="eastAsia"/>
                      <w:b/>
                      <w:sz w:val="21"/>
                      <w:szCs w:val="21"/>
                      <w:u w:val="single"/>
                    </w:rPr>
                    <w:t>东侧</w:t>
                  </w:r>
                </w:p>
              </w:tc>
              <w:tc>
                <w:tcPr>
                  <w:tcW w:w="914" w:type="dxa"/>
                  <w:vAlign w:val="center"/>
                </w:tcPr>
                <w:p>
                  <w:pPr>
                    <w:pStyle w:val="62"/>
                    <w:rPr>
                      <w:b/>
                      <w:sz w:val="21"/>
                      <w:szCs w:val="21"/>
                      <w:u w:val="single"/>
                    </w:rPr>
                  </w:pPr>
                  <w:r>
                    <w:rPr>
                      <w:rFonts w:hint="eastAsia"/>
                      <w:b/>
                      <w:sz w:val="21"/>
                      <w:szCs w:val="21"/>
                      <w:u w:val="single"/>
                    </w:rPr>
                    <w:t>100</w:t>
                  </w:r>
                </w:p>
              </w:tc>
              <w:tc>
                <w:tcPr>
                  <w:tcW w:w="915" w:type="dxa"/>
                  <w:vAlign w:val="center"/>
                </w:tcPr>
                <w:p>
                  <w:pPr>
                    <w:pStyle w:val="62"/>
                    <w:rPr>
                      <w:b/>
                      <w:sz w:val="21"/>
                      <w:szCs w:val="21"/>
                      <w:u w:val="single"/>
                    </w:rPr>
                  </w:pPr>
                  <w:r>
                    <w:rPr>
                      <w:rFonts w:hint="eastAsia"/>
                      <w:b/>
                      <w:sz w:val="21"/>
                      <w:szCs w:val="21"/>
                      <w:u w:val="single"/>
                    </w:rPr>
                    <w:t>50</w:t>
                  </w:r>
                </w:p>
              </w:tc>
              <w:tc>
                <w:tcPr>
                  <w:tcW w:w="915" w:type="dxa"/>
                  <w:vAlign w:val="center"/>
                </w:tcPr>
                <w:p>
                  <w:pPr>
                    <w:pStyle w:val="62"/>
                    <w:rPr>
                      <w:b/>
                      <w:sz w:val="21"/>
                      <w:szCs w:val="21"/>
                      <w:u w:val="single"/>
                    </w:rPr>
                  </w:pPr>
                  <w:r>
                    <w:rPr>
                      <w:rFonts w:hint="eastAsia"/>
                      <w:b/>
                      <w:sz w:val="21"/>
                      <w:szCs w:val="21"/>
                      <w:u w:val="single"/>
                    </w:rPr>
                    <w:t>1</w:t>
                  </w:r>
                </w:p>
              </w:tc>
              <w:tc>
                <w:tcPr>
                  <w:tcW w:w="1198" w:type="dxa"/>
                  <w:vAlign w:val="center"/>
                </w:tcPr>
                <w:p>
                  <w:pPr>
                    <w:pStyle w:val="62"/>
                    <w:rPr>
                      <w:b/>
                      <w:sz w:val="21"/>
                      <w:szCs w:val="21"/>
                      <w:u w:val="single"/>
                    </w:rPr>
                  </w:pPr>
                  <w:r>
                    <w:rPr>
                      <w:b/>
                      <w:sz w:val="21"/>
                      <w:szCs w:val="21"/>
                      <w:u w:val="single"/>
                    </w:rPr>
                    <w:t>昼间</w:t>
                  </w:r>
                </w:p>
              </w:tc>
              <w:tc>
                <w:tcPr>
                  <w:tcW w:w="1348" w:type="dxa"/>
                  <w:vAlign w:val="center"/>
                </w:tcPr>
                <w:p>
                  <w:pPr>
                    <w:pStyle w:val="62"/>
                    <w:rPr>
                      <w:b/>
                      <w:sz w:val="21"/>
                      <w:szCs w:val="21"/>
                      <w:u w:val="single"/>
                    </w:rPr>
                  </w:pPr>
                  <w:r>
                    <w:rPr>
                      <w:rFonts w:hint="eastAsia"/>
                      <w:b/>
                      <w:sz w:val="21"/>
                      <w:szCs w:val="21"/>
                      <w:u w:val="single"/>
                    </w:rPr>
                    <w:t>42.72</w:t>
                  </w:r>
                </w:p>
              </w:tc>
              <w:tc>
                <w:tcPr>
                  <w:tcW w:w="1496" w:type="dxa"/>
                </w:tcPr>
                <w:p>
                  <w:pPr>
                    <w:pStyle w:val="62"/>
                    <w:rPr>
                      <w:b/>
                      <w:sz w:val="21"/>
                      <w:szCs w:val="21"/>
                      <w:u w:val="single"/>
                    </w:rPr>
                  </w:pPr>
                  <w:r>
                    <w:rPr>
                      <w:b/>
                      <w:sz w:val="21"/>
                      <w:szCs w:val="21"/>
                      <w:u w:val="single"/>
                    </w:rPr>
                    <w:t>6</w:t>
                  </w:r>
                  <w:r>
                    <w:rPr>
                      <w:rFonts w:hint="eastAsia"/>
                      <w:b/>
                      <w:sz w:val="21"/>
                      <w:szCs w:val="21"/>
                      <w:u w:val="single"/>
                    </w:rPr>
                    <w:t>5</w:t>
                  </w:r>
                </w:p>
              </w:tc>
              <w:tc>
                <w:tcPr>
                  <w:tcW w:w="1022" w:type="dxa"/>
                  <w:vAlign w:val="center"/>
                </w:tcPr>
                <w:p>
                  <w:pPr>
                    <w:pStyle w:val="62"/>
                    <w:rPr>
                      <w:b/>
                      <w:sz w:val="21"/>
                      <w:szCs w:val="21"/>
                      <w:u w:val="single"/>
                    </w:rPr>
                  </w:pPr>
                  <w:r>
                    <w:rPr>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 w:hRule="atLeast"/>
                <w:jc w:val="center"/>
              </w:trPr>
              <w:tc>
                <w:tcPr>
                  <w:tcW w:w="1165" w:type="dxa"/>
                  <w:vAlign w:val="center"/>
                </w:tcPr>
                <w:p>
                  <w:pPr>
                    <w:pStyle w:val="62"/>
                    <w:rPr>
                      <w:b/>
                      <w:sz w:val="21"/>
                      <w:szCs w:val="21"/>
                      <w:u w:val="single"/>
                    </w:rPr>
                  </w:pPr>
                  <w:r>
                    <w:rPr>
                      <w:rFonts w:hint="eastAsia"/>
                      <w:b/>
                      <w:sz w:val="21"/>
                      <w:szCs w:val="21"/>
                      <w:u w:val="single"/>
                    </w:rPr>
                    <w:t>南侧</w:t>
                  </w:r>
                </w:p>
              </w:tc>
              <w:tc>
                <w:tcPr>
                  <w:tcW w:w="914" w:type="dxa"/>
                  <w:vAlign w:val="center"/>
                </w:tcPr>
                <w:p>
                  <w:pPr>
                    <w:pStyle w:val="62"/>
                    <w:rPr>
                      <w:b/>
                      <w:sz w:val="21"/>
                      <w:szCs w:val="21"/>
                      <w:u w:val="single"/>
                    </w:rPr>
                  </w:pPr>
                  <w:r>
                    <w:rPr>
                      <w:rFonts w:hint="eastAsia"/>
                      <w:b/>
                      <w:sz w:val="21"/>
                      <w:szCs w:val="21"/>
                      <w:u w:val="single"/>
                    </w:rPr>
                    <w:t>14</w:t>
                  </w:r>
                </w:p>
              </w:tc>
              <w:tc>
                <w:tcPr>
                  <w:tcW w:w="915" w:type="dxa"/>
                  <w:vAlign w:val="center"/>
                </w:tcPr>
                <w:p>
                  <w:pPr>
                    <w:pStyle w:val="62"/>
                    <w:rPr>
                      <w:b/>
                      <w:sz w:val="21"/>
                      <w:szCs w:val="21"/>
                      <w:u w:val="single"/>
                    </w:rPr>
                  </w:pPr>
                  <w:r>
                    <w:rPr>
                      <w:rFonts w:hint="eastAsia"/>
                      <w:b/>
                      <w:sz w:val="21"/>
                      <w:szCs w:val="21"/>
                      <w:u w:val="single"/>
                    </w:rPr>
                    <w:t>-90</w:t>
                  </w:r>
                </w:p>
              </w:tc>
              <w:tc>
                <w:tcPr>
                  <w:tcW w:w="915" w:type="dxa"/>
                  <w:vAlign w:val="center"/>
                </w:tcPr>
                <w:p>
                  <w:pPr>
                    <w:pStyle w:val="62"/>
                    <w:rPr>
                      <w:b/>
                      <w:sz w:val="21"/>
                      <w:szCs w:val="21"/>
                      <w:u w:val="single"/>
                    </w:rPr>
                  </w:pPr>
                  <w:r>
                    <w:rPr>
                      <w:rFonts w:hint="eastAsia"/>
                      <w:b/>
                      <w:sz w:val="21"/>
                      <w:szCs w:val="21"/>
                      <w:u w:val="single"/>
                    </w:rPr>
                    <w:t>1</w:t>
                  </w:r>
                </w:p>
              </w:tc>
              <w:tc>
                <w:tcPr>
                  <w:tcW w:w="1198" w:type="dxa"/>
                  <w:vAlign w:val="center"/>
                </w:tcPr>
                <w:p>
                  <w:pPr>
                    <w:pStyle w:val="62"/>
                    <w:rPr>
                      <w:b/>
                      <w:sz w:val="21"/>
                      <w:szCs w:val="21"/>
                      <w:u w:val="single"/>
                    </w:rPr>
                  </w:pPr>
                  <w:r>
                    <w:rPr>
                      <w:b/>
                      <w:sz w:val="21"/>
                      <w:szCs w:val="21"/>
                      <w:u w:val="single"/>
                    </w:rPr>
                    <w:t>昼间</w:t>
                  </w:r>
                </w:p>
              </w:tc>
              <w:tc>
                <w:tcPr>
                  <w:tcW w:w="1348" w:type="dxa"/>
                  <w:vAlign w:val="center"/>
                </w:tcPr>
                <w:p>
                  <w:pPr>
                    <w:pStyle w:val="62"/>
                    <w:rPr>
                      <w:b/>
                      <w:sz w:val="21"/>
                      <w:szCs w:val="21"/>
                      <w:u w:val="single"/>
                    </w:rPr>
                  </w:pPr>
                  <w:r>
                    <w:rPr>
                      <w:rFonts w:hint="eastAsia"/>
                      <w:b/>
                      <w:sz w:val="21"/>
                      <w:szCs w:val="21"/>
                      <w:u w:val="single"/>
                    </w:rPr>
                    <w:t>41.48</w:t>
                  </w:r>
                </w:p>
              </w:tc>
              <w:tc>
                <w:tcPr>
                  <w:tcW w:w="1496" w:type="dxa"/>
                </w:tcPr>
                <w:p>
                  <w:pPr>
                    <w:pStyle w:val="62"/>
                    <w:rPr>
                      <w:b/>
                      <w:sz w:val="21"/>
                      <w:szCs w:val="21"/>
                      <w:u w:val="single"/>
                    </w:rPr>
                  </w:pPr>
                  <w:r>
                    <w:rPr>
                      <w:b/>
                      <w:sz w:val="21"/>
                      <w:szCs w:val="21"/>
                      <w:u w:val="single"/>
                    </w:rPr>
                    <w:t>6</w:t>
                  </w:r>
                  <w:r>
                    <w:rPr>
                      <w:rFonts w:hint="eastAsia"/>
                      <w:b/>
                      <w:sz w:val="21"/>
                      <w:szCs w:val="21"/>
                      <w:u w:val="single"/>
                    </w:rPr>
                    <w:t>5</w:t>
                  </w:r>
                </w:p>
              </w:tc>
              <w:tc>
                <w:tcPr>
                  <w:tcW w:w="1022" w:type="dxa"/>
                  <w:vAlign w:val="center"/>
                </w:tcPr>
                <w:p>
                  <w:pPr>
                    <w:pStyle w:val="62"/>
                    <w:rPr>
                      <w:b/>
                      <w:sz w:val="21"/>
                      <w:szCs w:val="21"/>
                      <w:u w:val="single"/>
                    </w:rPr>
                  </w:pPr>
                  <w:r>
                    <w:rPr>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 w:hRule="atLeast"/>
                <w:jc w:val="center"/>
              </w:trPr>
              <w:tc>
                <w:tcPr>
                  <w:tcW w:w="1165" w:type="dxa"/>
                  <w:vAlign w:val="center"/>
                </w:tcPr>
                <w:p>
                  <w:pPr>
                    <w:pStyle w:val="62"/>
                    <w:rPr>
                      <w:b/>
                      <w:sz w:val="21"/>
                      <w:szCs w:val="21"/>
                      <w:u w:val="single"/>
                    </w:rPr>
                  </w:pPr>
                  <w:r>
                    <w:rPr>
                      <w:rFonts w:hint="eastAsia"/>
                      <w:b/>
                      <w:sz w:val="21"/>
                      <w:szCs w:val="21"/>
                      <w:u w:val="single"/>
                    </w:rPr>
                    <w:t>西侧</w:t>
                  </w:r>
                </w:p>
              </w:tc>
              <w:tc>
                <w:tcPr>
                  <w:tcW w:w="914" w:type="dxa"/>
                  <w:vAlign w:val="center"/>
                </w:tcPr>
                <w:p>
                  <w:pPr>
                    <w:pStyle w:val="62"/>
                    <w:rPr>
                      <w:b/>
                      <w:sz w:val="21"/>
                      <w:szCs w:val="21"/>
                      <w:u w:val="single"/>
                    </w:rPr>
                  </w:pPr>
                  <w:r>
                    <w:rPr>
                      <w:rFonts w:hint="eastAsia"/>
                      <w:b/>
                      <w:sz w:val="21"/>
                      <w:szCs w:val="21"/>
                      <w:u w:val="single"/>
                    </w:rPr>
                    <w:t>-130</w:t>
                  </w:r>
                </w:p>
              </w:tc>
              <w:tc>
                <w:tcPr>
                  <w:tcW w:w="915" w:type="dxa"/>
                  <w:vAlign w:val="center"/>
                </w:tcPr>
                <w:p>
                  <w:pPr>
                    <w:pStyle w:val="62"/>
                    <w:rPr>
                      <w:b/>
                      <w:sz w:val="21"/>
                      <w:szCs w:val="21"/>
                      <w:u w:val="single"/>
                    </w:rPr>
                  </w:pPr>
                  <w:r>
                    <w:rPr>
                      <w:rFonts w:hint="eastAsia"/>
                      <w:b/>
                      <w:sz w:val="21"/>
                      <w:szCs w:val="21"/>
                      <w:u w:val="single"/>
                    </w:rPr>
                    <w:t>50</w:t>
                  </w:r>
                </w:p>
              </w:tc>
              <w:tc>
                <w:tcPr>
                  <w:tcW w:w="915" w:type="dxa"/>
                  <w:vAlign w:val="center"/>
                </w:tcPr>
                <w:p>
                  <w:pPr>
                    <w:pStyle w:val="62"/>
                    <w:rPr>
                      <w:b/>
                      <w:sz w:val="21"/>
                      <w:szCs w:val="21"/>
                      <w:u w:val="single"/>
                    </w:rPr>
                  </w:pPr>
                  <w:r>
                    <w:rPr>
                      <w:rFonts w:hint="eastAsia"/>
                      <w:b/>
                      <w:sz w:val="21"/>
                      <w:szCs w:val="21"/>
                      <w:u w:val="single"/>
                    </w:rPr>
                    <w:t>1</w:t>
                  </w:r>
                </w:p>
              </w:tc>
              <w:tc>
                <w:tcPr>
                  <w:tcW w:w="1198" w:type="dxa"/>
                  <w:vAlign w:val="center"/>
                </w:tcPr>
                <w:p>
                  <w:pPr>
                    <w:pStyle w:val="62"/>
                    <w:rPr>
                      <w:b/>
                      <w:sz w:val="21"/>
                      <w:szCs w:val="21"/>
                      <w:u w:val="single"/>
                    </w:rPr>
                  </w:pPr>
                  <w:r>
                    <w:rPr>
                      <w:b/>
                      <w:sz w:val="21"/>
                      <w:szCs w:val="21"/>
                      <w:u w:val="single"/>
                    </w:rPr>
                    <w:t>昼间</w:t>
                  </w:r>
                </w:p>
              </w:tc>
              <w:tc>
                <w:tcPr>
                  <w:tcW w:w="1348" w:type="dxa"/>
                  <w:vAlign w:val="center"/>
                </w:tcPr>
                <w:p>
                  <w:pPr>
                    <w:pStyle w:val="62"/>
                    <w:rPr>
                      <w:b/>
                      <w:sz w:val="21"/>
                      <w:szCs w:val="21"/>
                      <w:u w:val="single"/>
                    </w:rPr>
                  </w:pPr>
                  <w:r>
                    <w:rPr>
                      <w:rFonts w:hint="eastAsia"/>
                      <w:b/>
                      <w:sz w:val="21"/>
                      <w:szCs w:val="21"/>
                      <w:u w:val="single"/>
                    </w:rPr>
                    <w:t>38.98</w:t>
                  </w:r>
                </w:p>
              </w:tc>
              <w:tc>
                <w:tcPr>
                  <w:tcW w:w="1496" w:type="dxa"/>
                </w:tcPr>
                <w:p>
                  <w:pPr>
                    <w:pStyle w:val="62"/>
                    <w:rPr>
                      <w:b/>
                      <w:sz w:val="21"/>
                      <w:szCs w:val="21"/>
                      <w:u w:val="single"/>
                    </w:rPr>
                  </w:pPr>
                  <w:r>
                    <w:rPr>
                      <w:b/>
                      <w:sz w:val="21"/>
                      <w:szCs w:val="21"/>
                      <w:u w:val="single"/>
                    </w:rPr>
                    <w:t>6</w:t>
                  </w:r>
                  <w:r>
                    <w:rPr>
                      <w:rFonts w:hint="eastAsia"/>
                      <w:b/>
                      <w:sz w:val="21"/>
                      <w:szCs w:val="21"/>
                      <w:u w:val="single"/>
                    </w:rPr>
                    <w:t>5</w:t>
                  </w:r>
                </w:p>
              </w:tc>
              <w:tc>
                <w:tcPr>
                  <w:tcW w:w="1022" w:type="dxa"/>
                  <w:vAlign w:val="center"/>
                </w:tcPr>
                <w:p>
                  <w:pPr>
                    <w:pStyle w:val="62"/>
                    <w:rPr>
                      <w:b/>
                      <w:sz w:val="21"/>
                      <w:szCs w:val="21"/>
                      <w:u w:val="single"/>
                    </w:rPr>
                  </w:pPr>
                  <w:r>
                    <w:rPr>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 w:hRule="atLeast"/>
                <w:jc w:val="center"/>
              </w:trPr>
              <w:tc>
                <w:tcPr>
                  <w:tcW w:w="8973" w:type="dxa"/>
                  <w:gridSpan w:val="8"/>
                  <w:vAlign w:val="center"/>
                </w:tcPr>
                <w:p>
                  <w:pPr>
                    <w:pStyle w:val="62"/>
                    <w:jc w:val="left"/>
                    <w:rPr>
                      <w:b/>
                      <w:sz w:val="21"/>
                      <w:szCs w:val="21"/>
                      <w:u w:val="single"/>
                    </w:rPr>
                  </w:pPr>
                  <w:r>
                    <w:rPr>
                      <w:rFonts w:hint="eastAsia"/>
                      <w:b/>
                      <w:sz w:val="21"/>
                      <w:szCs w:val="21"/>
                      <w:u w:val="single"/>
                    </w:rPr>
                    <w:t>注：以车间西南角为坐标原点。</w:t>
                  </w:r>
                </w:p>
              </w:tc>
            </w:tr>
          </w:tbl>
          <w:p>
            <w:pPr>
              <w:pStyle w:val="51"/>
              <w:ind w:firstLine="482"/>
              <w:rPr>
                <w:b/>
                <w:u w:val="single"/>
              </w:rPr>
            </w:pPr>
            <w:r>
              <w:rPr>
                <w:b/>
                <w:u w:val="single"/>
              </w:rPr>
              <w:t>由上表可知，本项目运营期，东、西、南、北厂界噪声预测值能够满足《工业企业厂界环境噪声排放标准》(GB12348-2008)中</w:t>
            </w:r>
            <w:r>
              <w:rPr>
                <w:rFonts w:hint="eastAsia"/>
                <w:b/>
                <w:u w:val="single"/>
              </w:rPr>
              <w:t>3</w:t>
            </w:r>
            <w:r>
              <w:rPr>
                <w:b/>
                <w:u w:val="single"/>
              </w:rPr>
              <w:t>类标准要求。</w:t>
            </w:r>
          </w:p>
          <w:p>
            <w:pPr>
              <w:pStyle w:val="99"/>
              <w:ind w:firstLine="0" w:firstLineChars="0"/>
            </w:pPr>
            <w:r>
              <w:t>3.3监测要求</w:t>
            </w:r>
          </w:p>
          <w:p>
            <w:pPr>
              <w:pStyle w:val="51"/>
              <w:ind w:firstLine="480"/>
            </w:pPr>
            <w:r>
              <w:t>根据</w:t>
            </w:r>
            <w:r>
              <w:rPr>
                <w:rFonts w:hint="eastAsia"/>
                <w:bCs/>
              </w:rPr>
              <w:t>《排污单位自行监测技术指南  橡胶和塑料制品工业》（HJ1207-2021）</w:t>
            </w:r>
            <w:r>
              <w:t>以及本项目运行期产污特征、项目工程周围环境实际情况，制定出本项目运行期环境监测计划，详见表3</w:t>
            </w:r>
            <w:r>
              <w:rPr>
                <w:rFonts w:hint="eastAsia"/>
              </w:rPr>
              <w:t>8</w:t>
            </w:r>
            <w:r>
              <w:t>。</w:t>
            </w:r>
          </w:p>
          <w:p>
            <w:pPr>
              <w:pStyle w:val="53"/>
              <w:ind w:firstLine="480"/>
            </w:pPr>
            <w:r>
              <w:t>表3</w:t>
            </w:r>
            <w:r>
              <w:rPr>
                <w:rFonts w:hint="eastAsia"/>
              </w:rPr>
              <w:t>8</w:t>
            </w:r>
            <w:r>
              <w:t xml:space="preserve">             营运期监测计划</w:t>
            </w:r>
          </w:p>
          <w:tbl>
            <w:tblPr>
              <w:tblStyle w:val="2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748"/>
              <w:gridCol w:w="760"/>
              <w:gridCol w:w="1263"/>
              <w:gridCol w:w="1860"/>
              <w:gridCol w:w="1550"/>
              <w:gridCol w:w="279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1379" w:type="dxa"/>
                  <w:gridSpan w:val="2"/>
                  <w:vAlign w:val="center"/>
                </w:tcPr>
                <w:p>
                  <w:pPr>
                    <w:pStyle w:val="68"/>
                  </w:pPr>
                  <w:r>
                    <w:t>类别</w:t>
                  </w:r>
                </w:p>
              </w:tc>
              <w:tc>
                <w:tcPr>
                  <w:tcW w:w="1155" w:type="dxa"/>
                  <w:vAlign w:val="center"/>
                </w:tcPr>
                <w:p>
                  <w:pPr>
                    <w:pStyle w:val="68"/>
                  </w:pPr>
                  <w:r>
                    <w:t>监测点</w:t>
                  </w:r>
                </w:p>
              </w:tc>
              <w:tc>
                <w:tcPr>
                  <w:tcW w:w="1701" w:type="dxa"/>
                  <w:vAlign w:val="center"/>
                </w:tcPr>
                <w:p>
                  <w:pPr>
                    <w:pStyle w:val="68"/>
                  </w:pPr>
                  <w:r>
                    <w:t>监测项目</w:t>
                  </w:r>
                </w:p>
              </w:tc>
              <w:tc>
                <w:tcPr>
                  <w:tcW w:w="1417" w:type="dxa"/>
                  <w:vAlign w:val="center"/>
                </w:tcPr>
                <w:p>
                  <w:pPr>
                    <w:pStyle w:val="68"/>
                  </w:pPr>
                  <w:r>
                    <w:t>监测频率</w:t>
                  </w:r>
                </w:p>
              </w:tc>
              <w:tc>
                <w:tcPr>
                  <w:tcW w:w="2553" w:type="dxa"/>
                  <w:vAlign w:val="center"/>
                </w:tcPr>
                <w:p>
                  <w:pPr>
                    <w:pStyle w:val="68"/>
                  </w:pPr>
                  <w:r>
                    <w:t>执行标准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2" w:hRule="atLeast"/>
                <w:jc w:val="center"/>
              </w:trPr>
              <w:tc>
                <w:tcPr>
                  <w:tcW w:w="684" w:type="dxa"/>
                  <w:tcBorders>
                    <w:right w:val="single" w:color="auto" w:sz="6" w:space="0"/>
                  </w:tcBorders>
                  <w:vAlign w:val="center"/>
                </w:tcPr>
                <w:p>
                  <w:pPr>
                    <w:pStyle w:val="68"/>
                  </w:pPr>
                  <w:r>
                    <w:t>污染源</w:t>
                  </w:r>
                </w:p>
              </w:tc>
              <w:tc>
                <w:tcPr>
                  <w:tcW w:w="695" w:type="dxa"/>
                  <w:tcBorders>
                    <w:left w:val="single" w:color="auto" w:sz="6" w:space="0"/>
                  </w:tcBorders>
                  <w:vAlign w:val="center"/>
                </w:tcPr>
                <w:p>
                  <w:pPr>
                    <w:pStyle w:val="68"/>
                  </w:pPr>
                  <w:r>
                    <w:t>噪声</w:t>
                  </w:r>
                </w:p>
              </w:tc>
              <w:tc>
                <w:tcPr>
                  <w:tcW w:w="1155" w:type="dxa"/>
                  <w:vAlign w:val="center"/>
                </w:tcPr>
                <w:p>
                  <w:pPr>
                    <w:pStyle w:val="68"/>
                  </w:pPr>
                  <w:r>
                    <w:t>厂界四周</w:t>
                  </w:r>
                </w:p>
              </w:tc>
              <w:tc>
                <w:tcPr>
                  <w:tcW w:w="1701" w:type="dxa"/>
                  <w:vAlign w:val="center"/>
                </w:tcPr>
                <w:p>
                  <w:pPr>
                    <w:pStyle w:val="68"/>
                  </w:pPr>
                  <w:r>
                    <w:t>等效连续A声级</w:t>
                  </w:r>
                </w:p>
              </w:tc>
              <w:tc>
                <w:tcPr>
                  <w:tcW w:w="1417" w:type="dxa"/>
                  <w:vAlign w:val="center"/>
                </w:tcPr>
                <w:p>
                  <w:pPr>
                    <w:pStyle w:val="68"/>
                  </w:pPr>
                  <w:r>
                    <w:t>每季度1次</w:t>
                  </w:r>
                </w:p>
              </w:tc>
              <w:tc>
                <w:tcPr>
                  <w:tcW w:w="2553" w:type="dxa"/>
                  <w:vAlign w:val="center"/>
                </w:tcPr>
                <w:p>
                  <w:pPr>
                    <w:pStyle w:val="68"/>
                  </w:pPr>
                  <w:r>
                    <w:t>《工业企业厂界环境噪声排放标准》(GB12348-2008)</w:t>
                  </w:r>
                  <w:r>
                    <w:rPr>
                      <w:rFonts w:hint="eastAsia"/>
                    </w:rPr>
                    <w:t>3</w:t>
                  </w:r>
                  <w:r>
                    <w:t>类标准</w:t>
                  </w:r>
                </w:p>
              </w:tc>
            </w:tr>
          </w:tbl>
          <w:p>
            <w:pPr>
              <w:pStyle w:val="100"/>
            </w:pPr>
            <w:r>
              <w:t>4. 固废</w:t>
            </w:r>
          </w:p>
          <w:p>
            <w:pPr>
              <w:pStyle w:val="100"/>
            </w:pPr>
            <w:r>
              <w:rPr>
                <w:rFonts w:hint="eastAsia"/>
              </w:rPr>
              <w:t>4.1产生情况</w:t>
            </w:r>
          </w:p>
          <w:p>
            <w:pPr>
              <w:pStyle w:val="100"/>
              <w:ind w:firstLine="480" w:firstLineChars="200"/>
            </w:pPr>
            <w:r>
              <w:rPr>
                <w:rFonts w:hint="eastAsia"/>
              </w:rPr>
              <w:t>（1）</w:t>
            </w:r>
            <w:r>
              <w:t>一般固废</w:t>
            </w:r>
          </w:p>
          <w:p>
            <w:pPr>
              <w:pStyle w:val="51"/>
              <w:ind w:firstLine="480"/>
              <w:rPr>
                <w:rFonts w:ascii="宋体" w:hAnsi="宋体" w:cs="宋体"/>
              </w:rPr>
            </w:pPr>
            <w:r>
              <w:t>本项目产生的一般固废主要有为废包装材料</w:t>
            </w:r>
            <w:r>
              <w:rPr>
                <w:rFonts w:hint="eastAsia"/>
              </w:rPr>
              <w:t>和收尘灰</w:t>
            </w:r>
            <w:r>
              <w:t>，均属一般固废</w:t>
            </w:r>
            <w:r>
              <w:rPr>
                <w:rFonts w:hint="eastAsia" w:ascii="宋体" w:hAnsi="宋体" w:cs="宋体"/>
              </w:rPr>
              <w:t>。</w:t>
            </w:r>
          </w:p>
          <w:p>
            <w:pPr>
              <w:pStyle w:val="99"/>
              <w:ind w:firstLine="480"/>
            </w:pPr>
            <w:r>
              <w:rPr>
                <w:rFonts w:hint="eastAsia"/>
              </w:rPr>
              <w:t>①废包装材料</w:t>
            </w:r>
          </w:p>
          <w:p>
            <w:pPr>
              <w:pStyle w:val="99"/>
              <w:ind w:firstLine="480"/>
            </w:pPr>
            <w:r>
              <w:rPr>
                <w:rFonts w:hint="eastAsia"/>
              </w:rPr>
              <w:t>主要包括原料包装袋等，产生量约为0.5t/a，属于一般固废。</w:t>
            </w:r>
          </w:p>
          <w:p>
            <w:pPr>
              <w:pStyle w:val="99"/>
              <w:ind w:firstLine="480"/>
              <w:rPr>
                <w:rFonts w:ascii="宋体" w:hAnsi="宋体" w:cs="宋体"/>
                <w:b/>
                <w:u w:val="single"/>
              </w:rPr>
            </w:pPr>
            <w:r>
              <w:rPr>
                <w:rFonts w:hint="eastAsia"/>
              </w:rPr>
              <w:t>根据《一般固体废物分类与代码》（GB/T39198-2020），</w:t>
            </w:r>
            <w:r>
              <w:rPr>
                <w:rFonts w:hint="eastAsia"/>
                <w:b/>
                <w:u w:val="single"/>
              </w:rPr>
              <w:t>废包装材料代码为195-999-07，收集后暂存于一般固废暂存区定期外售。</w:t>
            </w:r>
          </w:p>
          <w:p>
            <w:pPr>
              <w:pStyle w:val="99"/>
              <w:ind w:firstLine="480"/>
            </w:pPr>
            <w:r>
              <w:rPr>
                <w:rFonts w:hint="eastAsia"/>
              </w:rPr>
              <w:t>②除尘器收尘灰</w:t>
            </w:r>
          </w:p>
          <w:p>
            <w:pPr>
              <w:pStyle w:val="99"/>
              <w:ind w:firstLine="480"/>
            </w:pPr>
            <w:r>
              <w:rPr>
                <w:rFonts w:hint="eastAsia"/>
              </w:rPr>
              <w:t>根据工程分析，本项目袋式除尘器收尘灰为0.1561t/a，属一般固废。</w:t>
            </w:r>
          </w:p>
          <w:p>
            <w:pPr>
              <w:pStyle w:val="99"/>
              <w:ind w:firstLine="482"/>
              <w:rPr>
                <w:b/>
                <w:u w:val="single"/>
              </w:rPr>
            </w:pPr>
            <w:r>
              <w:rPr>
                <w:rFonts w:hint="eastAsia"/>
                <w:b/>
                <w:u w:val="single"/>
              </w:rPr>
              <w:t>根据《一般固体废物分类与代码》（GB/T39198-2020），除尘器收尘灰代码为195-999-66。除尘器收尘灰收集后暂存于一般固废暂存处，回用于生产。</w:t>
            </w:r>
            <w:r>
              <w:fldChar w:fldCharType="begin"/>
            </w:r>
            <w:r>
              <w:instrText xml:space="preserve"> HYPERLINK "..\\..\\..\\08洛阳足健鞋厂\\参考资料\\同类报告\\01正文%20%20洛阳创新鞋业有限公司年加工60万双布鞋项目-标注0315.doc" \s "1,37632,37686,4094,5正文,③除尘器收尘灰
根据工程分析，本项目袋式除尘器收尘灰为3.846" </w:instrText>
            </w:r>
            <w:r>
              <w:fldChar w:fldCharType="separate"/>
            </w:r>
            <w:r>
              <w:fldChar w:fldCharType="end"/>
            </w:r>
          </w:p>
          <w:p>
            <w:pPr>
              <w:pStyle w:val="51"/>
              <w:spacing w:before="93"/>
              <w:ind w:firstLine="480"/>
            </w:pPr>
            <w:r>
              <w:t>（2）生活垃圾</w:t>
            </w:r>
          </w:p>
          <w:p>
            <w:pPr>
              <w:pStyle w:val="51"/>
              <w:ind w:firstLine="480"/>
            </w:pPr>
            <w:r>
              <w:t>本项目劳动定员</w:t>
            </w:r>
            <w:r>
              <w:rPr>
                <w:rFonts w:hint="eastAsia"/>
              </w:rPr>
              <w:t>10</w:t>
            </w:r>
            <w:r>
              <w:t>人，员工在厂生活垃圾产生量按0.5kg/人d。则生活垃圾产生量为</w:t>
            </w:r>
            <w:r>
              <w:rPr>
                <w:rFonts w:hint="eastAsia"/>
              </w:rPr>
              <w:t>5</w:t>
            </w:r>
            <w:r>
              <w:t>kg/d（</w:t>
            </w:r>
            <w:r>
              <w:rPr>
                <w:rFonts w:hint="eastAsia"/>
              </w:rPr>
              <w:t>1.5</w:t>
            </w:r>
            <w:r>
              <w:t>t/a）。集中收集后交由环卫部门统一清运。</w:t>
            </w:r>
          </w:p>
          <w:p>
            <w:pPr>
              <w:pStyle w:val="51"/>
              <w:spacing w:before="93"/>
              <w:ind w:firstLine="480"/>
            </w:pPr>
            <w:r>
              <w:t>（3）危险废物</w:t>
            </w:r>
          </w:p>
          <w:p>
            <w:pPr>
              <w:pStyle w:val="51"/>
              <w:ind w:firstLine="480"/>
            </w:pPr>
            <w:r>
              <w:rPr>
                <w:rFonts w:hint="eastAsia"/>
              </w:rPr>
              <w:t>①</w:t>
            </w:r>
            <w:r>
              <w:t>废活性炭</w:t>
            </w:r>
          </w:p>
          <w:p>
            <w:pPr>
              <w:spacing w:line="520" w:lineRule="exact"/>
              <w:ind w:firstLine="480" w:firstLineChars="200"/>
              <w:rPr>
                <w:sz w:val="24"/>
              </w:rPr>
            </w:pPr>
            <w:r>
              <w:rPr>
                <w:rFonts w:hint="eastAsia"/>
                <w:sz w:val="24"/>
              </w:rPr>
              <w:t>本项目加热挤出、覆膜工序产生的非甲烷总烃经集气系统收集后经UV光氧+活性炭吸附装置处理后通过15m排气筒排放</w:t>
            </w:r>
            <w:r>
              <w:rPr>
                <w:rFonts w:hint="eastAsia"/>
                <w:b/>
                <w:sz w:val="24"/>
                <w:u w:val="single"/>
              </w:rPr>
              <w:t>（其中UV光氧20%，活性炭吸附75%）</w:t>
            </w:r>
            <w:r>
              <w:rPr>
                <w:rFonts w:hint="eastAsia"/>
                <w:sz w:val="24"/>
              </w:rPr>
              <w:t>，</w:t>
            </w:r>
            <w:r>
              <w:rPr>
                <w:sz w:val="24"/>
              </w:rPr>
              <w:t>根据《简明通风设计手册》，活性炭有效吸附量Q</w:t>
            </w:r>
            <w:r>
              <w:rPr>
                <w:sz w:val="24"/>
                <w:vertAlign w:val="subscript"/>
              </w:rPr>
              <w:t>e</w:t>
            </w:r>
            <w:r>
              <w:rPr>
                <w:sz w:val="24"/>
              </w:rPr>
              <w:t>=0.2kg/kg活性炭，</w:t>
            </w:r>
            <w:r>
              <w:rPr>
                <w:rFonts w:hint="eastAsia"/>
                <w:sz w:val="24"/>
              </w:rPr>
              <w:t>有机废气处理装置活性炭填充量为200kg，能吸附有机废气量为40kg，本项目有机废气处理装置需处理有机废气0.1584t/a，其中UV光氧处理量0.0317t/a，活性炭吸附量为0.1267t/a，则活性炭每年更换4次，每90天更换一次，需新鲜活性炭0.8t/a，则本项目有机废气处理装置产生废活性炭产生量为0.9267t/a。</w:t>
            </w:r>
            <w:r>
              <w:rPr>
                <w:rFonts w:hint="eastAsia"/>
                <w:sz w:val="24"/>
                <w:szCs w:val="20"/>
              </w:rPr>
              <w:t>根据</w:t>
            </w:r>
            <w:r>
              <w:rPr>
                <w:sz w:val="24"/>
              </w:rPr>
              <w:t>《国家危险废物名录》（20</w:t>
            </w:r>
            <w:r>
              <w:rPr>
                <w:rFonts w:hint="eastAsia"/>
                <w:sz w:val="24"/>
              </w:rPr>
              <w:t>21</w:t>
            </w:r>
            <w:r>
              <w:rPr>
                <w:sz w:val="24"/>
              </w:rPr>
              <w:t>年</w:t>
            </w:r>
            <w:r>
              <w:rPr>
                <w:rFonts w:hint="eastAsia"/>
                <w:sz w:val="24"/>
              </w:rPr>
              <w:t>版</w:t>
            </w:r>
            <w:r>
              <w:rPr>
                <w:sz w:val="24"/>
              </w:rPr>
              <w:t>）可知</w:t>
            </w:r>
            <w:r>
              <w:rPr>
                <w:rFonts w:hint="eastAsia"/>
                <w:sz w:val="24"/>
              </w:rPr>
              <w:t>，废活性炭属于危险废物（HW49其他废物，危废代码为900-039-49），由塑料袋密封包装后，暂存于危废暂存间，定期委托有资质单位处置。</w:t>
            </w:r>
          </w:p>
          <w:p>
            <w:pPr>
              <w:spacing w:line="520" w:lineRule="exact"/>
              <w:ind w:firstLine="482" w:firstLineChars="200"/>
              <w:rPr>
                <w:b/>
                <w:sz w:val="24"/>
                <w:u w:val="single"/>
              </w:rPr>
            </w:pPr>
            <w:r>
              <w:rPr>
                <w:rFonts w:hint="eastAsia" w:hAnsi="宋体"/>
                <w:b/>
                <w:sz w:val="24"/>
                <w:u w:val="single"/>
              </w:rPr>
              <w:t>②</w:t>
            </w:r>
            <w:r>
              <w:rPr>
                <w:b/>
                <w:sz w:val="24"/>
                <w:u w:val="single"/>
              </w:rPr>
              <w:t>废UV灯管</w:t>
            </w:r>
          </w:p>
          <w:p>
            <w:pPr>
              <w:spacing w:line="520" w:lineRule="exact"/>
              <w:ind w:firstLine="482" w:firstLineChars="200"/>
              <w:rPr>
                <w:b/>
                <w:sz w:val="24"/>
                <w:u w:val="single"/>
              </w:rPr>
            </w:pPr>
            <w:r>
              <w:rPr>
                <w:b/>
                <w:sz w:val="24"/>
                <w:u w:val="single"/>
              </w:rPr>
              <w:t>本项目有机废气</w:t>
            </w:r>
            <w:r>
              <w:rPr>
                <w:rFonts w:hint="eastAsia"/>
                <w:b/>
                <w:sz w:val="24"/>
                <w:u w:val="single"/>
              </w:rPr>
              <w:t>处理装置UV</w:t>
            </w:r>
            <w:r>
              <w:rPr>
                <w:b/>
                <w:sz w:val="24"/>
                <w:u w:val="single"/>
              </w:rPr>
              <w:t>灯管定期更换产生废</w:t>
            </w:r>
            <w:r>
              <w:rPr>
                <w:rFonts w:hint="eastAsia"/>
                <w:b/>
                <w:sz w:val="24"/>
                <w:u w:val="single"/>
              </w:rPr>
              <w:t>UV</w:t>
            </w:r>
            <w:r>
              <w:rPr>
                <w:b/>
                <w:sz w:val="24"/>
                <w:u w:val="single"/>
              </w:rPr>
              <w:t>灯管，废</w:t>
            </w:r>
            <w:r>
              <w:rPr>
                <w:rFonts w:hint="eastAsia"/>
                <w:b/>
                <w:sz w:val="24"/>
                <w:u w:val="single"/>
              </w:rPr>
              <w:t>UV</w:t>
            </w:r>
            <w:r>
              <w:rPr>
                <w:b/>
                <w:sz w:val="24"/>
                <w:u w:val="single"/>
              </w:rPr>
              <w:t>灯管属于危险废物HW29，危废代码为</w:t>
            </w:r>
            <w:r>
              <w:rPr>
                <w:rFonts w:hint="eastAsia"/>
                <w:b/>
                <w:sz w:val="24"/>
                <w:u w:val="single"/>
              </w:rPr>
              <w:t>：</w:t>
            </w:r>
            <w:r>
              <w:rPr>
                <w:b/>
                <w:sz w:val="24"/>
                <w:u w:val="single"/>
              </w:rPr>
              <w:t>900-023-29，每年更换一次约为</w:t>
            </w:r>
            <w:r>
              <w:rPr>
                <w:rFonts w:hint="eastAsia"/>
                <w:b/>
                <w:sz w:val="24"/>
                <w:u w:val="single"/>
              </w:rPr>
              <w:t>0.01</w:t>
            </w:r>
            <w:r>
              <w:rPr>
                <w:b/>
                <w:sz w:val="24"/>
                <w:u w:val="single"/>
              </w:rPr>
              <w:t>t/a，收集后</w:t>
            </w:r>
            <w:r>
              <w:rPr>
                <w:rFonts w:hint="eastAsia"/>
                <w:b/>
                <w:sz w:val="24"/>
                <w:u w:val="single"/>
              </w:rPr>
              <w:t>暂存危废间定期</w:t>
            </w:r>
            <w:r>
              <w:rPr>
                <w:b/>
                <w:sz w:val="24"/>
                <w:u w:val="single"/>
              </w:rPr>
              <w:t>委托有资质单位处理。</w:t>
            </w:r>
          </w:p>
          <w:p>
            <w:pPr>
              <w:pStyle w:val="100"/>
            </w:pPr>
            <w:r>
              <w:rPr>
                <w:rFonts w:hint="eastAsia"/>
              </w:rPr>
              <w:t>4.2贮存、利用、处置方式和去向情况</w:t>
            </w:r>
          </w:p>
          <w:p>
            <w:pPr>
              <w:pStyle w:val="51"/>
              <w:ind w:firstLine="480"/>
            </w:pPr>
            <w:r>
              <w:rPr>
                <w:rFonts w:hint="eastAsia"/>
              </w:rPr>
              <w:t>根据《一般固体废物分类与代码》（GB/T39198-2020）及《国家危险废物名录》（2021年版），将本项目产生的一般固体废物进行汇总及分类，具体见下表</w:t>
            </w:r>
            <w:r>
              <w:t>。</w:t>
            </w:r>
          </w:p>
          <w:p>
            <w:pPr>
              <w:adjustRightInd w:val="0"/>
              <w:snapToGrid w:val="0"/>
              <w:spacing w:line="520" w:lineRule="exact"/>
              <w:ind w:firstLine="480" w:firstLineChars="200"/>
              <w:textAlignment w:val="baseline"/>
              <w:rPr>
                <w:sz w:val="24"/>
              </w:rPr>
            </w:pPr>
            <w:r>
              <w:rPr>
                <w:rFonts w:hint="eastAsia"/>
                <w:sz w:val="24"/>
              </w:rPr>
              <w:t>项目一般固废产生量及处置方式详见下表：</w:t>
            </w:r>
          </w:p>
          <w:p>
            <w:pPr>
              <w:spacing w:line="520" w:lineRule="exact"/>
              <w:ind w:firstLine="480" w:firstLineChars="200"/>
              <w:rPr>
                <w:rFonts w:eastAsia="黑体"/>
                <w:sz w:val="24"/>
              </w:rPr>
            </w:pPr>
            <w:r>
              <w:rPr>
                <w:rFonts w:eastAsia="黑体"/>
                <w:sz w:val="24"/>
              </w:rPr>
              <w:t>表</w:t>
            </w:r>
            <w:r>
              <w:rPr>
                <w:rFonts w:hint="eastAsia" w:eastAsia="黑体"/>
                <w:sz w:val="24"/>
              </w:rPr>
              <w:t>39            项目一般</w:t>
            </w:r>
            <w:r>
              <w:rPr>
                <w:rFonts w:eastAsia="黑体"/>
                <w:sz w:val="24"/>
              </w:rPr>
              <w:t>固废产生</w:t>
            </w:r>
            <w:r>
              <w:rPr>
                <w:rFonts w:hint="eastAsia" w:eastAsia="黑体"/>
                <w:sz w:val="24"/>
              </w:rPr>
              <w:t>量及处理方式一览表</w:t>
            </w:r>
          </w:p>
          <w:tbl>
            <w:tblPr>
              <w:tblStyle w:val="2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003"/>
              <w:gridCol w:w="1261"/>
              <w:gridCol w:w="1165"/>
              <w:gridCol w:w="1586"/>
              <w:gridCol w:w="22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exact"/>
                    <w:jc w:val="center"/>
                    <w:rPr>
                      <w:bCs/>
                      <w:szCs w:val="21"/>
                    </w:rPr>
                  </w:pPr>
                  <w:r>
                    <w:rPr>
                      <w:rFonts w:hint="eastAsia"/>
                      <w:bCs/>
                      <w:szCs w:val="21"/>
                    </w:rPr>
                    <w:t>序号</w:t>
                  </w:r>
                </w:p>
              </w:tc>
              <w:tc>
                <w:tcPr>
                  <w:tcW w:w="2003" w:type="dxa"/>
                  <w:vAlign w:val="center"/>
                </w:tcPr>
                <w:p>
                  <w:pPr>
                    <w:spacing w:line="360" w:lineRule="exact"/>
                    <w:jc w:val="center"/>
                    <w:rPr>
                      <w:bCs/>
                      <w:szCs w:val="21"/>
                    </w:rPr>
                  </w:pPr>
                  <w:r>
                    <w:rPr>
                      <w:rFonts w:hint="eastAsia"/>
                      <w:bCs/>
                      <w:szCs w:val="21"/>
                    </w:rPr>
                    <w:t>固废名称</w:t>
                  </w:r>
                </w:p>
              </w:tc>
              <w:tc>
                <w:tcPr>
                  <w:tcW w:w="1261" w:type="dxa"/>
                  <w:vAlign w:val="center"/>
                </w:tcPr>
                <w:p>
                  <w:pPr>
                    <w:spacing w:line="360" w:lineRule="exact"/>
                    <w:jc w:val="center"/>
                    <w:rPr>
                      <w:bCs/>
                      <w:szCs w:val="21"/>
                    </w:rPr>
                  </w:pPr>
                  <w:r>
                    <w:rPr>
                      <w:rFonts w:hint="eastAsia"/>
                      <w:bCs/>
                      <w:szCs w:val="21"/>
                    </w:rPr>
                    <w:t>产生量</w:t>
                  </w:r>
                </w:p>
              </w:tc>
              <w:tc>
                <w:tcPr>
                  <w:tcW w:w="1165" w:type="dxa"/>
                  <w:vAlign w:val="center"/>
                </w:tcPr>
                <w:p>
                  <w:pPr>
                    <w:spacing w:line="360" w:lineRule="exact"/>
                    <w:jc w:val="center"/>
                    <w:rPr>
                      <w:bCs/>
                      <w:szCs w:val="21"/>
                    </w:rPr>
                  </w:pPr>
                  <w:r>
                    <w:rPr>
                      <w:rFonts w:hint="eastAsia"/>
                      <w:bCs/>
                      <w:szCs w:val="21"/>
                    </w:rPr>
                    <w:t>类别</w:t>
                  </w:r>
                </w:p>
              </w:tc>
              <w:tc>
                <w:tcPr>
                  <w:tcW w:w="1586" w:type="dxa"/>
                  <w:vAlign w:val="center"/>
                </w:tcPr>
                <w:p>
                  <w:pPr>
                    <w:spacing w:line="360" w:lineRule="exact"/>
                    <w:jc w:val="center"/>
                    <w:rPr>
                      <w:bCs/>
                      <w:szCs w:val="21"/>
                    </w:rPr>
                  </w:pPr>
                  <w:r>
                    <w:rPr>
                      <w:rFonts w:hint="eastAsia"/>
                      <w:bCs/>
                      <w:szCs w:val="21"/>
                    </w:rPr>
                    <w:t>编码</w:t>
                  </w:r>
                </w:p>
              </w:tc>
              <w:tc>
                <w:tcPr>
                  <w:tcW w:w="2218" w:type="dxa"/>
                  <w:vAlign w:val="center"/>
                </w:tcPr>
                <w:p>
                  <w:pPr>
                    <w:spacing w:line="360" w:lineRule="exact"/>
                    <w:jc w:val="center"/>
                    <w:rPr>
                      <w:bCs/>
                      <w:szCs w:val="21"/>
                    </w:rPr>
                  </w:pPr>
                  <w:r>
                    <w:rPr>
                      <w:rFonts w:hint="eastAsia"/>
                      <w:bCs/>
                      <w:szCs w:val="21"/>
                    </w:rPr>
                    <w:t>处理方式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36" w:type="dxa"/>
                  <w:vAlign w:val="center"/>
                </w:tcPr>
                <w:p>
                  <w:pPr>
                    <w:spacing w:line="360" w:lineRule="exact"/>
                    <w:jc w:val="center"/>
                    <w:rPr>
                      <w:bCs/>
                      <w:szCs w:val="21"/>
                    </w:rPr>
                  </w:pPr>
                  <w:r>
                    <w:rPr>
                      <w:rFonts w:hint="eastAsia"/>
                      <w:bCs/>
                      <w:szCs w:val="21"/>
                    </w:rPr>
                    <w:t>1</w:t>
                  </w:r>
                </w:p>
              </w:tc>
              <w:tc>
                <w:tcPr>
                  <w:tcW w:w="2003" w:type="dxa"/>
                  <w:vAlign w:val="center"/>
                </w:tcPr>
                <w:p>
                  <w:pPr>
                    <w:spacing w:line="360" w:lineRule="exact"/>
                    <w:jc w:val="center"/>
                    <w:rPr>
                      <w:bCs/>
                      <w:szCs w:val="21"/>
                    </w:rPr>
                  </w:pPr>
                  <w:r>
                    <w:rPr>
                      <w:rFonts w:hint="eastAsia"/>
                      <w:bCs/>
                      <w:szCs w:val="21"/>
                    </w:rPr>
                    <w:t>废包装材料</w:t>
                  </w:r>
                </w:p>
              </w:tc>
              <w:tc>
                <w:tcPr>
                  <w:tcW w:w="1261" w:type="dxa"/>
                  <w:vAlign w:val="center"/>
                </w:tcPr>
                <w:p>
                  <w:pPr>
                    <w:spacing w:line="360" w:lineRule="exact"/>
                    <w:jc w:val="center"/>
                    <w:rPr>
                      <w:bCs/>
                      <w:szCs w:val="21"/>
                    </w:rPr>
                  </w:pPr>
                  <w:r>
                    <w:rPr>
                      <w:rFonts w:hint="eastAsia"/>
                      <w:bCs/>
                      <w:szCs w:val="21"/>
                    </w:rPr>
                    <w:t>0.5t/a</w:t>
                  </w:r>
                </w:p>
              </w:tc>
              <w:tc>
                <w:tcPr>
                  <w:tcW w:w="1165" w:type="dxa"/>
                  <w:vMerge w:val="restart"/>
                  <w:vAlign w:val="center"/>
                </w:tcPr>
                <w:p>
                  <w:pPr>
                    <w:spacing w:line="360" w:lineRule="exact"/>
                    <w:jc w:val="center"/>
                    <w:rPr>
                      <w:bCs/>
                      <w:szCs w:val="21"/>
                    </w:rPr>
                  </w:pPr>
                  <w:r>
                    <w:rPr>
                      <w:rFonts w:hint="eastAsia"/>
                      <w:bCs/>
                      <w:szCs w:val="21"/>
                    </w:rPr>
                    <w:t>一般工业固废</w:t>
                  </w:r>
                </w:p>
              </w:tc>
              <w:tc>
                <w:tcPr>
                  <w:tcW w:w="1586" w:type="dxa"/>
                  <w:vAlign w:val="center"/>
                </w:tcPr>
                <w:p>
                  <w:pPr>
                    <w:spacing w:line="360" w:lineRule="exact"/>
                    <w:jc w:val="center"/>
                    <w:rPr>
                      <w:bCs/>
                      <w:szCs w:val="21"/>
                    </w:rPr>
                  </w:pPr>
                  <w:r>
                    <w:rPr>
                      <w:rFonts w:hint="eastAsia"/>
                      <w:bCs/>
                      <w:szCs w:val="21"/>
                    </w:rPr>
                    <w:t>195-999-07</w:t>
                  </w:r>
                </w:p>
              </w:tc>
              <w:tc>
                <w:tcPr>
                  <w:tcW w:w="2218" w:type="dxa"/>
                  <w:vMerge w:val="restart"/>
                  <w:vAlign w:val="center"/>
                </w:tcPr>
                <w:p>
                  <w:pPr>
                    <w:spacing w:line="360" w:lineRule="exact"/>
                    <w:jc w:val="center"/>
                    <w:rPr>
                      <w:bCs/>
                      <w:szCs w:val="21"/>
                    </w:rPr>
                  </w:pPr>
                  <w:r>
                    <w:rPr>
                      <w:rFonts w:hint="eastAsia"/>
                      <w:szCs w:val="21"/>
                    </w:rPr>
                    <w:t>暂存于一般固废暂存间，定期外售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36" w:type="dxa"/>
                  <w:vAlign w:val="center"/>
                </w:tcPr>
                <w:p>
                  <w:pPr>
                    <w:spacing w:line="360" w:lineRule="exact"/>
                    <w:jc w:val="center"/>
                    <w:rPr>
                      <w:bCs/>
                      <w:szCs w:val="21"/>
                    </w:rPr>
                  </w:pPr>
                  <w:r>
                    <w:rPr>
                      <w:rFonts w:hint="eastAsia"/>
                      <w:bCs/>
                      <w:szCs w:val="21"/>
                    </w:rPr>
                    <w:t>2</w:t>
                  </w:r>
                </w:p>
              </w:tc>
              <w:tc>
                <w:tcPr>
                  <w:tcW w:w="2003" w:type="dxa"/>
                  <w:vAlign w:val="center"/>
                </w:tcPr>
                <w:p>
                  <w:pPr>
                    <w:spacing w:line="360" w:lineRule="exact"/>
                    <w:jc w:val="center"/>
                    <w:rPr>
                      <w:bCs/>
                      <w:szCs w:val="21"/>
                    </w:rPr>
                  </w:pPr>
                  <w:r>
                    <w:rPr>
                      <w:rFonts w:hint="eastAsia"/>
                      <w:bCs/>
                      <w:szCs w:val="21"/>
                    </w:rPr>
                    <w:t>除尘器收尘灰</w:t>
                  </w:r>
                </w:p>
              </w:tc>
              <w:tc>
                <w:tcPr>
                  <w:tcW w:w="1261" w:type="dxa"/>
                  <w:vAlign w:val="center"/>
                </w:tcPr>
                <w:p>
                  <w:pPr>
                    <w:spacing w:line="360" w:lineRule="exact"/>
                    <w:jc w:val="center"/>
                    <w:rPr>
                      <w:bCs/>
                      <w:szCs w:val="21"/>
                    </w:rPr>
                  </w:pPr>
                  <w:r>
                    <w:rPr>
                      <w:rFonts w:hint="eastAsia"/>
                      <w:bCs/>
                      <w:szCs w:val="21"/>
                    </w:rPr>
                    <w:t>0.1561t/a</w:t>
                  </w:r>
                </w:p>
              </w:tc>
              <w:tc>
                <w:tcPr>
                  <w:tcW w:w="1165" w:type="dxa"/>
                  <w:vMerge w:val="continue"/>
                  <w:vAlign w:val="center"/>
                </w:tcPr>
                <w:p>
                  <w:pPr>
                    <w:spacing w:line="360" w:lineRule="exact"/>
                    <w:jc w:val="center"/>
                    <w:rPr>
                      <w:bCs/>
                      <w:szCs w:val="21"/>
                    </w:rPr>
                  </w:pPr>
                </w:p>
              </w:tc>
              <w:tc>
                <w:tcPr>
                  <w:tcW w:w="1586" w:type="dxa"/>
                  <w:vAlign w:val="center"/>
                </w:tcPr>
                <w:p>
                  <w:pPr>
                    <w:spacing w:line="360" w:lineRule="exact"/>
                    <w:jc w:val="center"/>
                    <w:rPr>
                      <w:bCs/>
                      <w:szCs w:val="21"/>
                    </w:rPr>
                  </w:pPr>
                  <w:r>
                    <w:rPr>
                      <w:bCs/>
                      <w:szCs w:val="21"/>
                    </w:rPr>
                    <w:t>195-999-66</w:t>
                  </w:r>
                </w:p>
              </w:tc>
              <w:tc>
                <w:tcPr>
                  <w:tcW w:w="2218" w:type="dxa"/>
                  <w:vMerge w:val="continue"/>
                  <w:vAlign w:val="center"/>
                </w:tcPr>
                <w:p>
                  <w:pPr>
                    <w:spacing w:line="360" w:lineRule="exact"/>
                    <w:jc w:val="center"/>
                    <w:rPr>
                      <w:szCs w:val="21"/>
                    </w:rPr>
                  </w:pPr>
                </w:p>
              </w:tc>
            </w:tr>
          </w:tbl>
          <w:p>
            <w:pPr>
              <w:pStyle w:val="2"/>
              <w:spacing w:before="0" w:after="0" w:line="520" w:lineRule="exact"/>
              <w:ind w:left="0" w:firstLine="480" w:firstLineChars="200"/>
              <w:rPr>
                <w:rFonts w:eastAsia="宋体" w:cs="宋体"/>
                <w:b w:val="0"/>
                <w:bCs w:val="0"/>
                <w:color w:val="auto"/>
                <w:kern w:val="2"/>
                <w:sz w:val="24"/>
                <w:szCs w:val="20"/>
              </w:rPr>
            </w:pPr>
            <w:r>
              <w:rPr>
                <w:rFonts w:hint="eastAsia" w:eastAsia="宋体" w:cs="宋体"/>
                <w:b w:val="0"/>
                <w:bCs w:val="0"/>
                <w:color w:val="auto"/>
                <w:kern w:val="2"/>
                <w:sz w:val="24"/>
                <w:szCs w:val="20"/>
              </w:rPr>
              <w:t>项目危废产生情况汇总详见下表：</w:t>
            </w:r>
          </w:p>
          <w:p>
            <w:pPr>
              <w:spacing w:line="520" w:lineRule="exact"/>
              <w:ind w:firstLine="480" w:firstLineChars="200"/>
              <w:rPr>
                <w:rFonts w:eastAsia="黑体"/>
                <w:sz w:val="24"/>
              </w:rPr>
            </w:pPr>
            <w:r>
              <w:rPr>
                <w:rFonts w:eastAsia="黑体"/>
                <w:sz w:val="24"/>
              </w:rPr>
              <w:t>表</w:t>
            </w:r>
            <w:r>
              <w:rPr>
                <w:rFonts w:hint="eastAsia" w:eastAsia="黑体"/>
                <w:sz w:val="24"/>
              </w:rPr>
              <w:t>40             本项目</w:t>
            </w:r>
            <w:r>
              <w:rPr>
                <w:rFonts w:eastAsia="黑体"/>
                <w:sz w:val="24"/>
              </w:rPr>
              <w:t>危险废物汇总</w:t>
            </w:r>
            <w:r>
              <w:rPr>
                <w:rFonts w:hint="eastAsia" w:eastAsia="黑体"/>
                <w:sz w:val="24"/>
              </w:rPr>
              <w:t>一览</w:t>
            </w:r>
            <w:r>
              <w:rPr>
                <w:rFonts w:eastAsia="黑体"/>
                <w:sz w:val="24"/>
              </w:rPr>
              <w:t>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721"/>
              <w:gridCol w:w="876"/>
              <w:gridCol w:w="1339"/>
              <w:gridCol w:w="822"/>
              <w:gridCol w:w="725"/>
              <w:gridCol w:w="490"/>
              <w:gridCol w:w="702"/>
              <w:gridCol w:w="576"/>
              <w:gridCol w:w="671"/>
              <w:gridCol w:w="695"/>
              <w:gridCol w:w="8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66" w:type="pct"/>
                  <w:vAlign w:val="center"/>
                </w:tcPr>
                <w:p>
                  <w:pPr>
                    <w:topLinePunct/>
                    <w:spacing w:line="360" w:lineRule="exact"/>
                    <w:jc w:val="center"/>
                    <w:rPr>
                      <w:kern w:val="0"/>
                      <w:szCs w:val="21"/>
                    </w:rPr>
                  </w:pPr>
                  <w:r>
                    <w:rPr>
                      <w:kern w:val="0"/>
                      <w:szCs w:val="21"/>
                    </w:rPr>
                    <w:t>序号</w:t>
                  </w:r>
                </w:p>
              </w:tc>
              <w:tc>
                <w:tcPr>
                  <w:tcW w:w="402" w:type="pct"/>
                  <w:vAlign w:val="center"/>
                </w:tcPr>
                <w:p>
                  <w:pPr>
                    <w:topLinePunct/>
                    <w:spacing w:line="360" w:lineRule="exact"/>
                    <w:jc w:val="center"/>
                    <w:rPr>
                      <w:kern w:val="0"/>
                      <w:szCs w:val="21"/>
                    </w:rPr>
                  </w:pPr>
                  <w:r>
                    <w:rPr>
                      <w:kern w:val="0"/>
                      <w:szCs w:val="21"/>
                    </w:rPr>
                    <w:t>危险废物名称</w:t>
                  </w:r>
                </w:p>
              </w:tc>
              <w:tc>
                <w:tcPr>
                  <w:tcW w:w="488" w:type="pct"/>
                  <w:vAlign w:val="center"/>
                </w:tcPr>
                <w:p>
                  <w:pPr>
                    <w:topLinePunct/>
                    <w:spacing w:line="360" w:lineRule="exact"/>
                    <w:jc w:val="center"/>
                    <w:rPr>
                      <w:kern w:val="0"/>
                      <w:szCs w:val="21"/>
                    </w:rPr>
                  </w:pPr>
                  <w:r>
                    <w:rPr>
                      <w:kern w:val="0"/>
                      <w:szCs w:val="21"/>
                    </w:rPr>
                    <w:t>危险废物类别</w:t>
                  </w:r>
                </w:p>
              </w:tc>
              <w:tc>
                <w:tcPr>
                  <w:tcW w:w="746" w:type="pct"/>
                  <w:vAlign w:val="center"/>
                </w:tcPr>
                <w:p>
                  <w:pPr>
                    <w:topLinePunct/>
                    <w:spacing w:line="360" w:lineRule="exact"/>
                    <w:jc w:val="center"/>
                    <w:rPr>
                      <w:kern w:val="0"/>
                      <w:szCs w:val="21"/>
                    </w:rPr>
                  </w:pPr>
                  <w:r>
                    <w:rPr>
                      <w:kern w:val="0"/>
                      <w:szCs w:val="21"/>
                    </w:rPr>
                    <w:t>废物</w:t>
                  </w:r>
                </w:p>
                <w:p>
                  <w:pPr>
                    <w:topLinePunct/>
                    <w:spacing w:line="360" w:lineRule="exact"/>
                    <w:jc w:val="center"/>
                    <w:rPr>
                      <w:kern w:val="0"/>
                      <w:szCs w:val="21"/>
                    </w:rPr>
                  </w:pPr>
                  <w:r>
                    <w:rPr>
                      <w:kern w:val="0"/>
                      <w:szCs w:val="21"/>
                    </w:rPr>
                    <w:t>代码</w:t>
                  </w:r>
                </w:p>
              </w:tc>
              <w:tc>
                <w:tcPr>
                  <w:tcW w:w="458" w:type="pct"/>
                  <w:vAlign w:val="center"/>
                </w:tcPr>
                <w:p>
                  <w:pPr>
                    <w:topLinePunct/>
                    <w:spacing w:line="360" w:lineRule="exact"/>
                    <w:jc w:val="center"/>
                    <w:rPr>
                      <w:kern w:val="0"/>
                      <w:szCs w:val="21"/>
                    </w:rPr>
                  </w:pPr>
                  <w:r>
                    <w:rPr>
                      <w:kern w:val="0"/>
                      <w:szCs w:val="21"/>
                    </w:rPr>
                    <w:t>产生量t/a</w:t>
                  </w:r>
                </w:p>
              </w:tc>
              <w:tc>
                <w:tcPr>
                  <w:tcW w:w="404" w:type="pct"/>
                  <w:vAlign w:val="center"/>
                </w:tcPr>
                <w:p>
                  <w:pPr>
                    <w:topLinePunct/>
                    <w:spacing w:line="360" w:lineRule="exact"/>
                    <w:ind w:left="-105" w:leftChars="-50" w:right="-105" w:rightChars="-50"/>
                    <w:jc w:val="center"/>
                    <w:rPr>
                      <w:kern w:val="0"/>
                      <w:szCs w:val="21"/>
                    </w:rPr>
                  </w:pPr>
                  <w:r>
                    <w:rPr>
                      <w:kern w:val="0"/>
                      <w:szCs w:val="21"/>
                    </w:rPr>
                    <w:t>产生工序及装置</w:t>
                  </w:r>
                </w:p>
              </w:tc>
              <w:tc>
                <w:tcPr>
                  <w:tcW w:w="273" w:type="pct"/>
                  <w:vAlign w:val="center"/>
                </w:tcPr>
                <w:p>
                  <w:pPr>
                    <w:topLinePunct/>
                    <w:spacing w:line="360" w:lineRule="exact"/>
                    <w:jc w:val="center"/>
                    <w:rPr>
                      <w:kern w:val="0"/>
                      <w:szCs w:val="21"/>
                    </w:rPr>
                  </w:pPr>
                  <w:r>
                    <w:rPr>
                      <w:kern w:val="0"/>
                      <w:szCs w:val="21"/>
                    </w:rPr>
                    <w:t>形态</w:t>
                  </w:r>
                </w:p>
              </w:tc>
              <w:tc>
                <w:tcPr>
                  <w:tcW w:w="391" w:type="pct"/>
                  <w:vAlign w:val="center"/>
                </w:tcPr>
                <w:p>
                  <w:pPr>
                    <w:topLinePunct/>
                    <w:spacing w:line="360" w:lineRule="exact"/>
                    <w:jc w:val="center"/>
                    <w:rPr>
                      <w:kern w:val="0"/>
                      <w:szCs w:val="21"/>
                    </w:rPr>
                  </w:pPr>
                  <w:r>
                    <w:rPr>
                      <w:kern w:val="0"/>
                      <w:szCs w:val="21"/>
                    </w:rPr>
                    <w:t>主要</w:t>
                  </w:r>
                </w:p>
                <w:p>
                  <w:pPr>
                    <w:topLinePunct/>
                    <w:spacing w:line="360" w:lineRule="exact"/>
                    <w:jc w:val="center"/>
                    <w:rPr>
                      <w:kern w:val="0"/>
                      <w:szCs w:val="21"/>
                    </w:rPr>
                  </w:pPr>
                  <w:r>
                    <w:rPr>
                      <w:kern w:val="0"/>
                      <w:szCs w:val="21"/>
                    </w:rPr>
                    <w:t>成分</w:t>
                  </w:r>
                </w:p>
              </w:tc>
              <w:tc>
                <w:tcPr>
                  <w:tcW w:w="321" w:type="pct"/>
                  <w:vAlign w:val="center"/>
                </w:tcPr>
                <w:p>
                  <w:pPr>
                    <w:topLinePunct/>
                    <w:spacing w:line="360" w:lineRule="exact"/>
                    <w:ind w:left="-105" w:leftChars="-50" w:right="-105" w:rightChars="-50"/>
                    <w:jc w:val="center"/>
                    <w:rPr>
                      <w:kern w:val="0"/>
                      <w:szCs w:val="21"/>
                    </w:rPr>
                  </w:pPr>
                  <w:r>
                    <w:rPr>
                      <w:kern w:val="0"/>
                      <w:szCs w:val="21"/>
                    </w:rPr>
                    <w:t>有害成分</w:t>
                  </w:r>
                </w:p>
              </w:tc>
              <w:tc>
                <w:tcPr>
                  <w:tcW w:w="374" w:type="pct"/>
                  <w:vAlign w:val="center"/>
                </w:tcPr>
                <w:p>
                  <w:pPr>
                    <w:topLinePunct/>
                    <w:spacing w:line="360" w:lineRule="exact"/>
                    <w:jc w:val="center"/>
                    <w:rPr>
                      <w:kern w:val="0"/>
                      <w:szCs w:val="21"/>
                    </w:rPr>
                  </w:pPr>
                  <w:r>
                    <w:rPr>
                      <w:kern w:val="0"/>
                      <w:szCs w:val="21"/>
                    </w:rPr>
                    <w:t>产废周期</w:t>
                  </w:r>
                </w:p>
              </w:tc>
              <w:tc>
                <w:tcPr>
                  <w:tcW w:w="387" w:type="pct"/>
                  <w:vAlign w:val="center"/>
                </w:tcPr>
                <w:p>
                  <w:pPr>
                    <w:topLinePunct/>
                    <w:spacing w:line="360" w:lineRule="exact"/>
                    <w:jc w:val="center"/>
                    <w:rPr>
                      <w:kern w:val="0"/>
                      <w:szCs w:val="21"/>
                    </w:rPr>
                  </w:pPr>
                  <w:r>
                    <w:rPr>
                      <w:kern w:val="0"/>
                      <w:szCs w:val="21"/>
                    </w:rPr>
                    <w:t>危险</w:t>
                  </w:r>
                </w:p>
                <w:p>
                  <w:pPr>
                    <w:topLinePunct/>
                    <w:spacing w:line="360" w:lineRule="exact"/>
                    <w:jc w:val="center"/>
                    <w:rPr>
                      <w:kern w:val="0"/>
                      <w:szCs w:val="21"/>
                    </w:rPr>
                  </w:pPr>
                  <w:r>
                    <w:rPr>
                      <w:kern w:val="0"/>
                      <w:szCs w:val="21"/>
                    </w:rPr>
                    <w:t>特性</w:t>
                  </w:r>
                </w:p>
              </w:tc>
              <w:tc>
                <w:tcPr>
                  <w:tcW w:w="490" w:type="pct"/>
                  <w:vAlign w:val="center"/>
                </w:tcPr>
                <w:p>
                  <w:pPr>
                    <w:topLinePunct/>
                    <w:spacing w:line="360" w:lineRule="exact"/>
                    <w:jc w:val="center"/>
                    <w:rPr>
                      <w:kern w:val="0"/>
                      <w:szCs w:val="21"/>
                    </w:rPr>
                  </w:pPr>
                  <w:r>
                    <w:rPr>
                      <w:kern w:val="0"/>
                      <w:szCs w:val="21"/>
                    </w:rPr>
                    <w:t>污染防治措施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66" w:type="pct"/>
                  <w:vAlign w:val="center"/>
                </w:tcPr>
                <w:p>
                  <w:pPr>
                    <w:topLinePunct/>
                    <w:spacing w:line="360" w:lineRule="exact"/>
                    <w:jc w:val="center"/>
                    <w:rPr>
                      <w:kern w:val="0"/>
                      <w:szCs w:val="21"/>
                    </w:rPr>
                  </w:pPr>
                  <w:r>
                    <w:rPr>
                      <w:kern w:val="0"/>
                      <w:szCs w:val="21"/>
                    </w:rPr>
                    <w:t>1</w:t>
                  </w:r>
                </w:p>
              </w:tc>
              <w:tc>
                <w:tcPr>
                  <w:tcW w:w="402" w:type="pct"/>
                  <w:vAlign w:val="center"/>
                </w:tcPr>
                <w:p>
                  <w:pPr>
                    <w:topLinePunct/>
                    <w:adjustRightInd w:val="0"/>
                    <w:snapToGrid w:val="0"/>
                    <w:spacing w:line="360" w:lineRule="exact"/>
                    <w:jc w:val="center"/>
                    <w:rPr>
                      <w:kern w:val="0"/>
                      <w:szCs w:val="21"/>
                    </w:rPr>
                  </w:pPr>
                  <w:r>
                    <w:rPr>
                      <w:kern w:val="0"/>
                      <w:szCs w:val="21"/>
                    </w:rPr>
                    <w:t>废活性炭</w:t>
                  </w:r>
                </w:p>
              </w:tc>
              <w:tc>
                <w:tcPr>
                  <w:tcW w:w="488" w:type="pct"/>
                  <w:vAlign w:val="center"/>
                </w:tcPr>
                <w:p>
                  <w:pPr>
                    <w:topLinePunct/>
                    <w:adjustRightInd w:val="0"/>
                    <w:snapToGrid w:val="0"/>
                    <w:spacing w:line="360" w:lineRule="exact"/>
                    <w:jc w:val="center"/>
                    <w:rPr>
                      <w:kern w:val="0"/>
                      <w:szCs w:val="21"/>
                    </w:rPr>
                  </w:pPr>
                  <w:r>
                    <w:rPr>
                      <w:kern w:val="0"/>
                      <w:szCs w:val="21"/>
                    </w:rPr>
                    <w:t>HW49</w:t>
                  </w:r>
                </w:p>
              </w:tc>
              <w:tc>
                <w:tcPr>
                  <w:tcW w:w="746" w:type="pct"/>
                  <w:vAlign w:val="center"/>
                </w:tcPr>
                <w:p>
                  <w:pPr>
                    <w:topLinePunct/>
                    <w:adjustRightInd w:val="0"/>
                    <w:snapToGrid w:val="0"/>
                    <w:spacing w:line="360" w:lineRule="exact"/>
                    <w:jc w:val="center"/>
                    <w:rPr>
                      <w:szCs w:val="21"/>
                    </w:rPr>
                  </w:pPr>
                  <w:r>
                    <w:rPr>
                      <w:szCs w:val="21"/>
                    </w:rPr>
                    <w:t>900-0</w:t>
                  </w:r>
                  <w:r>
                    <w:rPr>
                      <w:rFonts w:hint="eastAsia"/>
                      <w:szCs w:val="21"/>
                    </w:rPr>
                    <w:t>39</w:t>
                  </w:r>
                  <w:r>
                    <w:rPr>
                      <w:szCs w:val="21"/>
                    </w:rPr>
                    <w:t>-49</w:t>
                  </w:r>
                </w:p>
              </w:tc>
              <w:tc>
                <w:tcPr>
                  <w:tcW w:w="458" w:type="pct"/>
                  <w:vAlign w:val="center"/>
                </w:tcPr>
                <w:p>
                  <w:pPr>
                    <w:topLinePunct/>
                    <w:adjustRightInd w:val="0"/>
                    <w:snapToGrid w:val="0"/>
                    <w:spacing w:line="360" w:lineRule="exact"/>
                    <w:ind w:left="-105" w:leftChars="-50" w:right="-105" w:rightChars="-50"/>
                    <w:jc w:val="center"/>
                    <w:rPr>
                      <w:kern w:val="0"/>
                      <w:szCs w:val="21"/>
                    </w:rPr>
                  </w:pPr>
                  <w:r>
                    <w:rPr>
                      <w:rFonts w:hint="eastAsia"/>
                      <w:kern w:val="0"/>
                      <w:szCs w:val="21"/>
                    </w:rPr>
                    <w:t>0.9267</w:t>
                  </w:r>
                </w:p>
              </w:tc>
              <w:tc>
                <w:tcPr>
                  <w:tcW w:w="404" w:type="pct"/>
                  <w:vMerge w:val="restart"/>
                  <w:vAlign w:val="center"/>
                </w:tcPr>
                <w:p>
                  <w:pPr>
                    <w:topLinePunct/>
                    <w:adjustRightInd w:val="0"/>
                    <w:snapToGrid w:val="0"/>
                    <w:spacing w:line="360" w:lineRule="exact"/>
                    <w:jc w:val="center"/>
                    <w:rPr>
                      <w:szCs w:val="21"/>
                      <w:u w:val="single"/>
                    </w:rPr>
                  </w:pPr>
                  <w:r>
                    <w:rPr>
                      <w:rFonts w:hint="eastAsia"/>
                      <w:szCs w:val="21"/>
                    </w:rPr>
                    <w:t>有机废气处理设施</w:t>
                  </w:r>
                </w:p>
              </w:tc>
              <w:tc>
                <w:tcPr>
                  <w:tcW w:w="273" w:type="pct"/>
                  <w:vMerge w:val="restart"/>
                  <w:vAlign w:val="center"/>
                </w:tcPr>
                <w:p>
                  <w:pPr>
                    <w:topLinePunct/>
                    <w:adjustRightInd w:val="0"/>
                    <w:snapToGrid w:val="0"/>
                    <w:spacing w:line="360" w:lineRule="exact"/>
                    <w:jc w:val="center"/>
                    <w:rPr>
                      <w:kern w:val="0"/>
                      <w:szCs w:val="21"/>
                    </w:rPr>
                  </w:pPr>
                  <w:r>
                    <w:rPr>
                      <w:kern w:val="0"/>
                      <w:szCs w:val="21"/>
                    </w:rPr>
                    <w:t>固态</w:t>
                  </w:r>
                </w:p>
              </w:tc>
              <w:tc>
                <w:tcPr>
                  <w:tcW w:w="391" w:type="pct"/>
                  <w:vAlign w:val="center"/>
                </w:tcPr>
                <w:p>
                  <w:pPr>
                    <w:topLinePunct/>
                    <w:spacing w:line="360" w:lineRule="exact"/>
                    <w:jc w:val="center"/>
                    <w:rPr>
                      <w:kern w:val="0"/>
                      <w:szCs w:val="21"/>
                    </w:rPr>
                  </w:pPr>
                  <w:r>
                    <w:rPr>
                      <w:rFonts w:hint="eastAsia"/>
                      <w:kern w:val="0"/>
                      <w:szCs w:val="21"/>
                    </w:rPr>
                    <w:t>有机废气</w:t>
                  </w:r>
                </w:p>
              </w:tc>
              <w:tc>
                <w:tcPr>
                  <w:tcW w:w="321" w:type="pct"/>
                  <w:vAlign w:val="center"/>
                </w:tcPr>
                <w:p>
                  <w:pPr>
                    <w:topLinePunct/>
                    <w:spacing w:line="360" w:lineRule="exact"/>
                    <w:ind w:left="-105" w:leftChars="-50" w:right="-105" w:rightChars="-50"/>
                    <w:jc w:val="center"/>
                    <w:rPr>
                      <w:kern w:val="0"/>
                      <w:szCs w:val="21"/>
                    </w:rPr>
                  </w:pPr>
                  <w:r>
                    <w:rPr>
                      <w:rFonts w:hint="eastAsia"/>
                      <w:kern w:val="0"/>
                      <w:szCs w:val="21"/>
                    </w:rPr>
                    <w:t>有机废气</w:t>
                  </w:r>
                </w:p>
              </w:tc>
              <w:tc>
                <w:tcPr>
                  <w:tcW w:w="374" w:type="pct"/>
                  <w:vAlign w:val="center"/>
                </w:tcPr>
                <w:p>
                  <w:pPr>
                    <w:topLinePunct/>
                    <w:spacing w:line="360" w:lineRule="exact"/>
                    <w:jc w:val="center"/>
                    <w:rPr>
                      <w:kern w:val="0"/>
                      <w:szCs w:val="21"/>
                    </w:rPr>
                  </w:pPr>
                  <w:r>
                    <w:rPr>
                      <w:rFonts w:hint="eastAsia"/>
                      <w:kern w:val="0"/>
                      <w:szCs w:val="21"/>
                    </w:rPr>
                    <w:t>90d</w:t>
                  </w:r>
                </w:p>
              </w:tc>
              <w:tc>
                <w:tcPr>
                  <w:tcW w:w="387" w:type="pct"/>
                  <w:vAlign w:val="center"/>
                </w:tcPr>
                <w:p>
                  <w:pPr>
                    <w:topLinePunct/>
                    <w:spacing w:line="360" w:lineRule="exact"/>
                    <w:jc w:val="center"/>
                    <w:rPr>
                      <w:kern w:val="0"/>
                      <w:szCs w:val="21"/>
                    </w:rPr>
                  </w:pPr>
                  <w:r>
                    <w:rPr>
                      <w:kern w:val="0"/>
                      <w:szCs w:val="21"/>
                    </w:rPr>
                    <w:t>T</w:t>
                  </w:r>
                </w:p>
              </w:tc>
              <w:tc>
                <w:tcPr>
                  <w:tcW w:w="490" w:type="pct"/>
                  <w:vMerge w:val="restart"/>
                  <w:vAlign w:val="center"/>
                </w:tcPr>
                <w:p>
                  <w:pPr>
                    <w:topLinePunct/>
                    <w:spacing w:line="360" w:lineRule="exact"/>
                    <w:jc w:val="center"/>
                    <w:rPr>
                      <w:kern w:val="0"/>
                      <w:szCs w:val="21"/>
                    </w:rPr>
                  </w:pPr>
                  <w:r>
                    <w:rPr>
                      <w:kern w:val="0"/>
                      <w:szCs w:val="21"/>
                    </w:rPr>
                    <w:t>危废暂存</w:t>
                  </w:r>
                  <w:r>
                    <w:rPr>
                      <w:rFonts w:hint="eastAsia"/>
                      <w:kern w:val="0"/>
                      <w:szCs w:val="21"/>
                    </w:rPr>
                    <w:t>间密闭</w:t>
                  </w:r>
                  <w:r>
                    <w:rPr>
                      <w:kern w:val="0"/>
                      <w:szCs w:val="21"/>
                    </w:rPr>
                    <w:t>暂存，后交由有资质单位处理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66" w:type="pct"/>
                  <w:vAlign w:val="center"/>
                </w:tcPr>
                <w:p>
                  <w:pPr>
                    <w:topLinePunct/>
                    <w:spacing w:line="360" w:lineRule="exact"/>
                    <w:jc w:val="center"/>
                    <w:rPr>
                      <w:b/>
                      <w:kern w:val="0"/>
                      <w:szCs w:val="21"/>
                      <w:u w:val="single"/>
                    </w:rPr>
                  </w:pPr>
                  <w:r>
                    <w:rPr>
                      <w:rFonts w:hint="eastAsia"/>
                      <w:b/>
                      <w:kern w:val="0"/>
                      <w:szCs w:val="21"/>
                      <w:u w:val="single"/>
                    </w:rPr>
                    <w:t>2</w:t>
                  </w:r>
                </w:p>
              </w:tc>
              <w:tc>
                <w:tcPr>
                  <w:tcW w:w="402" w:type="pct"/>
                  <w:vAlign w:val="center"/>
                </w:tcPr>
                <w:p>
                  <w:pPr>
                    <w:topLinePunct/>
                    <w:adjustRightInd w:val="0"/>
                    <w:snapToGrid w:val="0"/>
                    <w:spacing w:line="360" w:lineRule="exact"/>
                    <w:jc w:val="center"/>
                    <w:rPr>
                      <w:b/>
                      <w:kern w:val="0"/>
                      <w:szCs w:val="21"/>
                      <w:u w:val="single"/>
                    </w:rPr>
                  </w:pPr>
                  <w:r>
                    <w:rPr>
                      <w:rFonts w:hint="eastAsia"/>
                      <w:b/>
                      <w:kern w:val="0"/>
                      <w:szCs w:val="21"/>
                      <w:u w:val="single"/>
                    </w:rPr>
                    <w:t>废UV灯管</w:t>
                  </w:r>
                </w:p>
              </w:tc>
              <w:tc>
                <w:tcPr>
                  <w:tcW w:w="488" w:type="pct"/>
                  <w:vAlign w:val="center"/>
                </w:tcPr>
                <w:p>
                  <w:pPr>
                    <w:topLinePunct/>
                    <w:adjustRightInd w:val="0"/>
                    <w:snapToGrid w:val="0"/>
                    <w:spacing w:line="360" w:lineRule="exact"/>
                    <w:jc w:val="center"/>
                    <w:rPr>
                      <w:b/>
                      <w:kern w:val="0"/>
                      <w:szCs w:val="21"/>
                      <w:u w:val="single"/>
                    </w:rPr>
                  </w:pPr>
                  <w:r>
                    <w:rPr>
                      <w:b/>
                      <w:kern w:val="0"/>
                      <w:szCs w:val="21"/>
                      <w:u w:val="single"/>
                    </w:rPr>
                    <w:t>HW</w:t>
                  </w:r>
                  <w:r>
                    <w:rPr>
                      <w:rFonts w:hint="eastAsia"/>
                      <w:b/>
                      <w:kern w:val="0"/>
                      <w:szCs w:val="21"/>
                      <w:u w:val="single"/>
                    </w:rPr>
                    <w:t>2</w:t>
                  </w:r>
                  <w:r>
                    <w:rPr>
                      <w:b/>
                      <w:kern w:val="0"/>
                      <w:szCs w:val="21"/>
                      <w:u w:val="single"/>
                    </w:rPr>
                    <w:t>9</w:t>
                  </w:r>
                </w:p>
              </w:tc>
              <w:tc>
                <w:tcPr>
                  <w:tcW w:w="746" w:type="pct"/>
                  <w:vAlign w:val="center"/>
                </w:tcPr>
                <w:p>
                  <w:pPr>
                    <w:topLinePunct/>
                    <w:adjustRightInd w:val="0"/>
                    <w:snapToGrid w:val="0"/>
                    <w:spacing w:line="360" w:lineRule="exact"/>
                    <w:jc w:val="center"/>
                    <w:rPr>
                      <w:b/>
                      <w:szCs w:val="21"/>
                      <w:u w:val="single"/>
                    </w:rPr>
                  </w:pPr>
                  <w:r>
                    <w:rPr>
                      <w:b/>
                      <w:szCs w:val="21"/>
                      <w:u w:val="single"/>
                    </w:rPr>
                    <w:t>900-023-29</w:t>
                  </w:r>
                </w:p>
              </w:tc>
              <w:tc>
                <w:tcPr>
                  <w:tcW w:w="458" w:type="pct"/>
                  <w:vAlign w:val="center"/>
                </w:tcPr>
                <w:p>
                  <w:pPr>
                    <w:topLinePunct/>
                    <w:adjustRightInd w:val="0"/>
                    <w:snapToGrid w:val="0"/>
                    <w:spacing w:line="360" w:lineRule="exact"/>
                    <w:ind w:left="-105" w:leftChars="-50" w:right="-105" w:rightChars="-50"/>
                    <w:jc w:val="center"/>
                    <w:rPr>
                      <w:b/>
                      <w:kern w:val="0"/>
                      <w:szCs w:val="21"/>
                      <w:u w:val="single"/>
                    </w:rPr>
                  </w:pPr>
                  <w:r>
                    <w:rPr>
                      <w:rFonts w:hint="eastAsia"/>
                      <w:b/>
                      <w:kern w:val="0"/>
                      <w:szCs w:val="21"/>
                      <w:u w:val="single"/>
                    </w:rPr>
                    <w:t>0.005</w:t>
                  </w:r>
                </w:p>
              </w:tc>
              <w:tc>
                <w:tcPr>
                  <w:tcW w:w="404" w:type="pct"/>
                  <w:vMerge w:val="continue"/>
                  <w:vAlign w:val="center"/>
                </w:tcPr>
                <w:p>
                  <w:pPr>
                    <w:topLinePunct/>
                    <w:adjustRightInd w:val="0"/>
                    <w:snapToGrid w:val="0"/>
                    <w:spacing w:line="360" w:lineRule="exact"/>
                    <w:jc w:val="center"/>
                    <w:rPr>
                      <w:b/>
                      <w:szCs w:val="21"/>
                      <w:u w:val="single"/>
                    </w:rPr>
                  </w:pPr>
                </w:p>
              </w:tc>
              <w:tc>
                <w:tcPr>
                  <w:tcW w:w="273" w:type="pct"/>
                  <w:vMerge w:val="continue"/>
                  <w:vAlign w:val="center"/>
                </w:tcPr>
                <w:p>
                  <w:pPr>
                    <w:topLinePunct/>
                    <w:adjustRightInd w:val="0"/>
                    <w:snapToGrid w:val="0"/>
                    <w:spacing w:line="360" w:lineRule="exact"/>
                    <w:jc w:val="center"/>
                    <w:rPr>
                      <w:b/>
                      <w:kern w:val="0"/>
                      <w:szCs w:val="21"/>
                      <w:u w:val="single"/>
                    </w:rPr>
                  </w:pPr>
                </w:p>
              </w:tc>
              <w:tc>
                <w:tcPr>
                  <w:tcW w:w="391" w:type="pct"/>
                  <w:vAlign w:val="center"/>
                </w:tcPr>
                <w:p>
                  <w:pPr>
                    <w:topLinePunct/>
                    <w:spacing w:line="360" w:lineRule="exact"/>
                    <w:jc w:val="center"/>
                    <w:rPr>
                      <w:b/>
                      <w:kern w:val="0"/>
                      <w:szCs w:val="21"/>
                      <w:u w:val="single"/>
                    </w:rPr>
                  </w:pPr>
                  <w:r>
                    <w:rPr>
                      <w:rFonts w:hint="eastAsia"/>
                      <w:b/>
                      <w:kern w:val="0"/>
                      <w:szCs w:val="21"/>
                      <w:u w:val="single"/>
                    </w:rPr>
                    <w:t>含汞废物</w:t>
                  </w:r>
                </w:p>
              </w:tc>
              <w:tc>
                <w:tcPr>
                  <w:tcW w:w="321" w:type="pct"/>
                  <w:vAlign w:val="center"/>
                </w:tcPr>
                <w:p>
                  <w:pPr>
                    <w:topLinePunct/>
                    <w:spacing w:line="360" w:lineRule="exact"/>
                    <w:ind w:left="-105" w:leftChars="-50" w:right="-105" w:rightChars="-50"/>
                    <w:jc w:val="center"/>
                    <w:rPr>
                      <w:b/>
                      <w:kern w:val="0"/>
                      <w:szCs w:val="21"/>
                      <w:u w:val="single"/>
                    </w:rPr>
                  </w:pPr>
                  <w:r>
                    <w:rPr>
                      <w:rFonts w:hint="eastAsia"/>
                      <w:b/>
                      <w:kern w:val="0"/>
                      <w:szCs w:val="21"/>
                      <w:u w:val="single"/>
                    </w:rPr>
                    <w:t>含汞废物</w:t>
                  </w:r>
                </w:p>
              </w:tc>
              <w:tc>
                <w:tcPr>
                  <w:tcW w:w="374" w:type="pct"/>
                  <w:vAlign w:val="center"/>
                </w:tcPr>
                <w:p>
                  <w:pPr>
                    <w:topLinePunct/>
                    <w:spacing w:line="360" w:lineRule="exact"/>
                    <w:jc w:val="center"/>
                    <w:rPr>
                      <w:b/>
                      <w:kern w:val="0"/>
                      <w:szCs w:val="21"/>
                      <w:u w:val="single"/>
                    </w:rPr>
                  </w:pPr>
                  <w:r>
                    <w:rPr>
                      <w:rFonts w:hint="eastAsia"/>
                      <w:b/>
                      <w:kern w:val="0"/>
                      <w:szCs w:val="21"/>
                      <w:u w:val="single"/>
                    </w:rPr>
                    <w:t>1年</w:t>
                  </w:r>
                </w:p>
              </w:tc>
              <w:tc>
                <w:tcPr>
                  <w:tcW w:w="387" w:type="pct"/>
                  <w:vAlign w:val="center"/>
                </w:tcPr>
                <w:p>
                  <w:pPr>
                    <w:topLinePunct/>
                    <w:spacing w:line="360" w:lineRule="exact"/>
                    <w:jc w:val="center"/>
                    <w:rPr>
                      <w:b/>
                      <w:kern w:val="0"/>
                      <w:szCs w:val="21"/>
                      <w:u w:val="single"/>
                    </w:rPr>
                  </w:pPr>
                  <w:r>
                    <w:rPr>
                      <w:b/>
                      <w:szCs w:val="21"/>
                      <w:u w:val="single"/>
                    </w:rPr>
                    <w:t>T/In</w:t>
                  </w:r>
                </w:p>
              </w:tc>
              <w:tc>
                <w:tcPr>
                  <w:tcW w:w="490" w:type="pct"/>
                  <w:vMerge w:val="continue"/>
                  <w:vAlign w:val="center"/>
                </w:tcPr>
                <w:p>
                  <w:pPr>
                    <w:topLinePunct/>
                    <w:spacing w:line="360" w:lineRule="exact"/>
                    <w:jc w:val="center"/>
                    <w:rPr>
                      <w:kern w:val="0"/>
                      <w:szCs w:val="21"/>
                    </w:rPr>
                  </w:pPr>
                </w:p>
              </w:tc>
            </w:tr>
          </w:tbl>
          <w:p>
            <w:pPr>
              <w:keepNext/>
              <w:keepLines/>
              <w:spacing w:line="520" w:lineRule="exact"/>
              <w:ind w:firstLine="480" w:firstLineChars="200"/>
              <w:outlineLvl w:val="0"/>
              <w:rPr>
                <w:kern w:val="44"/>
                <w:sz w:val="24"/>
              </w:rPr>
            </w:pPr>
            <w:r>
              <w:rPr>
                <w:rFonts w:hint="eastAsia"/>
                <w:kern w:val="44"/>
                <w:sz w:val="24"/>
              </w:rPr>
              <w:t>本项目危险废物贮存场所基本情况一览表见下表</w:t>
            </w:r>
            <w:r>
              <w:rPr>
                <w:kern w:val="44"/>
                <w:sz w:val="24"/>
              </w:rPr>
              <w:t>。</w:t>
            </w:r>
          </w:p>
          <w:p>
            <w:pPr>
              <w:keepNext/>
              <w:keepLines/>
              <w:spacing w:line="520" w:lineRule="exact"/>
              <w:ind w:firstLine="480" w:firstLineChars="200"/>
              <w:outlineLvl w:val="0"/>
              <w:rPr>
                <w:rFonts w:eastAsia="黑体"/>
                <w:sz w:val="24"/>
              </w:rPr>
            </w:pPr>
            <w:r>
              <w:rPr>
                <w:rFonts w:eastAsia="黑体"/>
                <w:sz w:val="24"/>
              </w:rPr>
              <w:t>表</w:t>
            </w:r>
            <w:r>
              <w:rPr>
                <w:rFonts w:hint="eastAsia" w:eastAsia="黑体"/>
                <w:sz w:val="24"/>
              </w:rPr>
              <w:t>41      本项目</w:t>
            </w:r>
            <w:r>
              <w:rPr>
                <w:rFonts w:eastAsia="黑体"/>
                <w:sz w:val="24"/>
              </w:rPr>
              <w:t>危险废物</w:t>
            </w:r>
            <w:r>
              <w:rPr>
                <w:rFonts w:hint="eastAsia" w:eastAsia="黑体"/>
                <w:sz w:val="24"/>
              </w:rPr>
              <w:t>贮存场所（设施）基本情况表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043"/>
              <w:gridCol w:w="1192"/>
              <w:gridCol w:w="1258"/>
              <w:gridCol w:w="746"/>
              <w:gridCol w:w="915"/>
              <w:gridCol w:w="1069"/>
              <w:gridCol w:w="939"/>
              <w:gridCol w:w="7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Align w:val="center"/>
                </w:tcPr>
                <w:p>
                  <w:pPr>
                    <w:spacing w:line="360" w:lineRule="exact"/>
                    <w:jc w:val="center"/>
                    <w:rPr>
                      <w:szCs w:val="21"/>
                    </w:rPr>
                  </w:pPr>
                  <w:r>
                    <w:rPr>
                      <w:szCs w:val="21"/>
                    </w:rPr>
                    <w:t>贮存场所（设施）名称</w:t>
                  </w:r>
                </w:p>
              </w:tc>
              <w:tc>
                <w:tcPr>
                  <w:tcW w:w="1043" w:type="dxa"/>
                  <w:vAlign w:val="center"/>
                </w:tcPr>
                <w:p>
                  <w:pPr>
                    <w:pStyle w:val="18"/>
                    <w:spacing w:line="360" w:lineRule="exact"/>
                    <w:ind w:left="0" w:leftChars="0"/>
                    <w:jc w:val="center"/>
                    <w:rPr>
                      <w:sz w:val="21"/>
                      <w:szCs w:val="21"/>
                    </w:rPr>
                  </w:pPr>
                  <w:r>
                    <w:rPr>
                      <w:sz w:val="21"/>
                      <w:szCs w:val="21"/>
                    </w:rPr>
                    <w:t>危险废物名称</w:t>
                  </w:r>
                </w:p>
              </w:tc>
              <w:tc>
                <w:tcPr>
                  <w:tcW w:w="1192" w:type="dxa"/>
                  <w:vAlign w:val="center"/>
                </w:tcPr>
                <w:p>
                  <w:pPr>
                    <w:pStyle w:val="18"/>
                    <w:spacing w:line="360" w:lineRule="exact"/>
                    <w:ind w:left="0" w:leftChars="0"/>
                    <w:jc w:val="center"/>
                    <w:rPr>
                      <w:sz w:val="21"/>
                      <w:szCs w:val="21"/>
                    </w:rPr>
                  </w:pPr>
                  <w:r>
                    <w:rPr>
                      <w:sz w:val="21"/>
                      <w:szCs w:val="21"/>
                    </w:rPr>
                    <w:t>危险废物</w:t>
                  </w:r>
                </w:p>
                <w:p>
                  <w:pPr>
                    <w:pStyle w:val="18"/>
                    <w:spacing w:line="360" w:lineRule="exact"/>
                    <w:ind w:left="0" w:leftChars="0"/>
                    <w:jc w:val="center"/>
                    <w:rPr>
                      <w:sz w:val="21"/>
                      <w:szCs w:val="21"/>
                    </w:rPr>
                  </w:pPr>
                  <w:r>
                    <w:rPr>
                      <w:sz w:val="21"/>
                      <w:szCs w:val="21"/>
                    </w:rPr>
                    <w:t>类别</w:t>
                  </w:r>
                </w:p>
              </w:tc>
              <w:tc>
                <w:tcPr>
                  <w:tcW w:w="1258" w:type="dxa"/>
                  <w:vAlign w:val="center"/>
                </w:tcPr>
                <w:p>
                  <w:pPr>
                    <w:pStyle w:val="18"/>
                    <w:spacing w:line="360" w:lineRule="exact"/>
                    <w:ind w:left="0" w:leftChars="0"/>
                    <w:jc w:val="center"/>
                    <w:rPr>
                      <w:sz w:val="21"/>
                      <w:szCs w:val="21"/>
                    </w:rPr>
                  </w:pPr>
                  <w:r>
                    <w:rPr>
                      <w:sz w:val="21"/>
                      <w:szCs w:val="21"/>
                    </w:rPr>
                    <w:t>危险废物代码</w:t>
                  </w:r>
                </w:p>
              </w:tc>
              <w:tc>
                <w:tcPr>
                  <w:tcW w:w="746" w:type="dxa"/>
                  <w:vAlign w:val="center"/>
                </w:tcPr>
                <w:p>
                  <w:pPr>
                    <w:pStyle w:val="18"/>
                    <w:spacing w:line="360" w:lineRule="exact"/>
                    <w:ind w:left="0" w:leftChars="0"/>
                    <w:jc w:val="center"/>
                    <w:rPr>
                      <w:sz w:val="21"/>
                      <w:szCs w:val="21"/>
                    </w:rPr>
                  </w:pPr>
                  <w:r>
                    <w:rPr>
                      <w:sz w:val="21"/>
                      <w:szCs w:val="21"/>
                    </w:rPr>
                    <w:t>位置</w:t>
                  </w:r>
                </w:p>
              </w:tc>
              <w:tc>
                <w:tcPr>
                  <w:tcW w:w="915" w:type="dxa"/>
                  <w:vAlign w:val="center"/>
                </w:tcPr>
                <w:p>
                  <w:pPr>
                    <w:pStyle w:val="18"/>
                    <w:spacing w:after="0" w:line="360" w:lineRule="exact"/>
                    <w:ind w:left="0" w:leftChars="0"/>
                    <w:jc w:val="center"/>
                    <w:rPr>
                      <w:sz w:val="21"/>
                      <w:szCs w:val="21"/>
                    </w:rPr>
                  </w:pPr>
                  <w:r>
                    <w:rPr>
                      <w:sz w:val="21"/>
                      <w:szCs w:val="21"/>
                    </w:rPr>
                    <w:t>占地</w:t>
                  </w:r>
                </w:p>
                <w:p>
                  <w:pPr>
                    <w:pStyle w:val="18"/>
                    <w:spacing w:after="0" w:line="360" w:lineRule="exact"/>
                    <w:ind w:left="0" w:leftChars="0"/>
                    <w:jc w:val="center"/>
                    <w:rPr>
                      <w:sz w:val="21"/>
                      <w:szCs w:val="21"/>
                    </w:rPr>
                  </w:pPr>
                  <w:r>
                    <w:rPr>
                      <w:sz w:val="21"/>
                      <w:szCs w:val="21"/>
                    </w:rPr>
                    <w:t>面积</w:t>
                  </w:r>
                </w:p>
                <w:p>
                  <w:pPr>
                    <w:pStyle w:val="18"/>
                    <w:spacing w:line="360" w:lineRule="exact"/>
                    <w:ind w:left="0" w:leftChars="0"/>
                    <w:jc w:val="center"/>
                    <w:rPr>
                      <w:sz w:val="21"/>
                      <w:szCs w:val="21"/>
                    </w:rPr>
                  </w:pPr>
                  <w:r>
                    <w:rPr>
                      <w:sz w:val="21"/>
                      <w:szCs w:val="21"/>
                    </w:rPr>
                    <w:t>（m</w:t>
                  </w:r>
                  <w:r>
                    <w:rPr>
                      <w:sz w:val="21"/>
                      <w:szCs w:val="21"/>
                      <w:vertAlign w:val="superscript"/>
                    </w:rPr>
                    <w:t>2</w:t>
                  </w:r>
                  <w:r>
                    <w:rPr>
                      <w:sz w:val="21"/>
                      <w:szCs w:val="21"/>
                    </w:rPr>
                    <w:t>）</w:t>
                  </w:r>
                </w:p>
              </w:tc>
              <w:tc>
                <w:tcPr>
                  <w:tcW w:w="1069" w:type="dxa"/>
                  <w:vAlign w:val="center"/>
                </w:tcPr>
                <w:p>
                  <w:pPr>
                    <w:pStyle w:val="18"/>
                    <w:spacing w:line="360" w:lineRule="exact"/>
                    <w:ind w:left="0" w:leftChars="0"/>
                    <w:jc w:val="center"/>
                    <w:rPr>
                      <w:sz w:val="21"/>
                      <w:szCs w:val="21"/>
                    </w:rPr>
                  </w:pPr>
                  <w:r>
                    <w:rPr>
                      <w:sz w:val="21"/>
                      <w:szCs w:val="21"/>
                    </w:rPr>
                    <w:t>贮存</w:t>
                  </w:r>
                </w:p>
                <w:p>
                  <w:pPr>
                    <w:pStyle w:val="18"/>
                    <w:spacing w:line="360" w:lineRule="exact"/>
                    <w:ind w:left="0" w:leftChars="0"/>
                    <w:jc w:val="center"/>
                    <w:rPr>
                      <w:sz w:val="21"/>
                      <w:szCs w:val="21"/>
                    </w:rPr>
                  </w:pPr>
                  <w:r>
                    <w:rPr>
                      <w:sz w:val="21"/>
                      <w:szCs w:val="21"/>
                    </w:rPr>
                    <w:t>方式</w:t>
                  </w:r>
                </w:p>
              </w:tc>
              <w:tc>
                <w:tcPr>
                  <w:tcW w:w="939" w:type="dxa"/>
                  <w:vAlign w:val="center"/>
                </w:tcPr>
                <w:p>
                  <w:pPr>
                    <w:pStyle w:val="18"/>
                    <w:spacing w:after="0" w:line="360" w:lineRule="exact"/>
                    <w:ind w:left="0" w:leftChars="0"/>
                    <w:jc w:val="center"/>
                    <w:rPr>
                      <w:sz w:val="21"/>
                      <w:szCs w:val="21"/>
                    </w:rPr>
                  </w:pPr>
                  <w:r>
                    <w:rPr>
                      <w:sz w:val="21"/>
                      <w:szCs w:val="21"/>
                    </w:rPr>
                    <w:t>贮存</w:t>
                  </w:r>
                </w:p>
                <w:p>
                  <w:pPr>
                    <w:pStyle w:val="18"/>
                    <w:spacing w:after="0" w:line="360" w:lineRule="exact"/>
                    <w:ind w:left="0" w:leftChars="0"/>
                    <w:jc w:val="center"/>
                    <w:rPr>
                      <w:sz w:val="21"/>
                      <w:szCs w:val="21"/>
                    </w:rPr>
                  </w:pPr>
                  <w:r>
                    <w:rPr>
                      <w:sz w:val="21"/>
                      <w:szCs w:val="21"/>
                    </w:rPr>
                    <w:t>能力</w:t>
                  </w:r>
                </w:p>
              </w:tc>
              <w:tc>
                <w:tcPr>
                  <w:tcW w:w="733" w:type="dxa"/>
                  <w:vAlign w:val="center"/>
                </w:tcPr>
                <w:p>
                  <w:pPr>
                    <w:pStyle w:val="18"/>
                    <w:spacing w:after="0" w:line="360" w:lineRule="exact"/>
                    <w:ind w:left="0" w:leftChars="0"/>
                    <w:jc w:val="center"/>
                    <w:rPr>
                      <w:sz w:val="21"/>
                      <w:szCs w:val="21"/>
                    </w:rPr>
                  </w:pPr>
                  <w:r>
                    <w:rPr>
                      <w:sz w:val="21"/>
                      <w:szCs w:val="21"/>
                    </w:rPr>
                    <w:t>贮存</w:t>
                  </w:r>
                </w:p>
                <w:p>
                  <w:pPr>
                    <w:pStyle w:val="18"/>
                    <w:spacing w:after="0" w:line="360" w:lineRule="exact"/>
                    <w:ind w:left="0" w:leftChars="0"/>
                    <w:jc w:val="center"/>
                    <w:rPr>
                      <w:sz w:val="21"/>
                      <w:szCs w:val="21"/>
                    </w:rPr>
                  </w:pPr>
                  <w:r>
                    <w:rPr>
                      <w:sz w:val="21"/>
                      <w:szCs w:val="21"/>
                    </w:rPr>
                    <w:t>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78" w:type="dxa"/>
                  <w:vMerge w:val="restart"/>
                  <w:vAlign w:val="center"/>
                </w:tcPr>
                <w:p>
                  <w:pPr>
                    <w:spacing w:line="360" w:lineRule="exact"/>
                    <w:jc w:val="center"/>
                    <w:rPr>
                      <w:szCs w:val="21"/>
                    </w:rPr>
                  </w:pPr>
                  <w:r>
                    <w:rPr>
                      <w:rFonts w:hint="eastAsia"/>
                      <w:szCs w:val="21"/>
                    </w:rPr>
                    <w:t>危废</w:t>
                  </w:r>
                </w:p>
                <w:p>
                  <w:pPr>
                    <w:spacing w:line="360" w:lineRule="exact"/>
                    <w:jc w:val="center"/>
                    <w:rPr>
                      <w:szCs w:val="21"/>
                    </w:rPr>
                  </w:pPr>
                  <w:r>
                    <w:rPr>
                      <w:rFonts w:hint="eastAsia"/>
                      <w:szCs w:val="21"/>
                    </w:rPr>
                    <w:t>暂存间</w:t>
                  </w:r>
                </w:p>
              </w:tc>
              <w:tc>
                <w:tcPr>
                  <w:tcW w:w="1043" w:type="dxa"/>
                  <w:vAlign w:val="center"/>
                </w:tcPr>
                <w:p>
                  <w:pPr>
                    <w:topLinePunct/>
                    <w:adjustRightInd w:val="0"/>
                    <w:snapToGrid w:val="0"/>
                    <w:spacing w:line="360" w:lineRule="exact"/>
                    <w:jc w:val="center"/>
                    <w:rPr>
                      <w:kern w:val="0"/>
                      <w:szCs w:val="21"/>
                    </w:rPr>
                  </w:pPr>
                  <w:r>
                    <w:rPr>
                      <w:kern w:val="0"/>
                      <w:szCs w:val="21"/>
                    </w:rPr>
                    <w:t>废活</w:t>
                  </w:r>
                </w:p>
                <w:p>
                  <w:pPr>
                    <w:topLinePunct/>
                    <w:adjustRightInd w:val="0"/>
                    <w:snapToGrid w:val="0"/>
                    <w:spacing w:line="360" w:lineRule="exact"/>
                    <w:jc w:val="center"/>
                    <w:rPr>
                      <w:kern w:val="0"/>
                      <w:szCs w:val="21"/>
                    </w:rPr>
                  </w:pPr>
                  <w:r>
                    <w:rPr>
                      <w:kern w:val="0"/>
                      <w:szCs w:val="21"/>
                    </w:rPr>
                    <w:t>性炭</w:t>
                  </w:r>
                </w:p>
              </w:tc>
              <w:tc>
                <w:tcPr>
                  <w:tcW w:w="1192" w:type="dxa"/>
                  <w:vAlign w:val="center"/>
                </w:tcPr>
                <w:p>
                  <w:pPr>
                    <w:topLinePunct/>
                    <w:spacing w:line="360" w:lineRule="exact"/>
                    <w:jc w:val="center"/>
                    <w:rPr>
                      <w:kern w:val="0"/>
                      <w:szCs w:val="21"/>
                    </w:rPr>
                  </w:pPr>
                  <w:r>
                    <w:rPr>
                      <w:kern w:val="0"/>
                      <w:szCs w:val="21"/>
                    </w:rPr>
                    <w:t>HW49</w:t>
                  </w:r>
                </w:p>
              </w:tc>
              <w:tc>
                <w:tcPr>
                  <w:tcW w:w="1258" w:type="dxa"/>
                  <w:vAlign w:val="center"/>
                </w:tcPr>
                <w:p>
                  <w:pPr>
                    <w:topLinePunct/>
                    <w:spacing w:line="360" w:lineRule="exact"/>
                    <w:jc w:val="center"/>
                    <w:rPr>
                      <w:szCs w:val="21"/>
                    </w:rPr>
                  </w:pPr>
                  <w:r>
                    <w:rPr>
                      <w:kern w:val="0"/>
                      <w:szCs w:val="21"/>
                    </w:rPr>
                    <w:t>900-0</w:t>
                  </w:r>
                  <w:r>
                    <w:rPr>
                      <w:rFonts w:hint="eastAsia"/>
                      <w:kern w:val="0"/>
                      <w:szCs w:val="21"/>
                    </w:rPr>
                    <w:t>39</w:t>
                  </w:r>
                  <w:r>
                    <w:rPr>
                      <w:kern w:val="0"/>
                      <w:szCs w:val="21"/>
                    </w:rPr>
                    <w:t>-49</w:t>
                  </w:r>
                </w:p>
              </w:tc>
              <w:tc>
                <w:tcPr>
                  <w:tcW w:w="746" w:type="dxa"/>
                  <w:vMerge w:val="restart"/>
                  <w:vAlign w:val="center"/>
                </w:tcPr>
                <w:p>
                  <w:pPr>
                    <w:pStyle w:val="18"/>
                    <w:spacing w:line="360" w:lineRule="exact"/>
                    <w:ind w:left="0" w:leftChars="0"/>
                    <w:jc w:val="center"/>
                    <w:rPr>
                      <w:sz w:val="21"/>
                      <w:szCs w:val="21"/>
                    </w:rPr>
                  </w:pPr>
                  <w:r>
                    <w:rPr>
                      <w:rFonts w:hint="eastAsia"/>
                      <w:sz w:val="21"/>
                      <w:szCs w:val="21"/>
                    </w:rPr>
                    <w:t>车间西南角</w:t>
                  </w:r>
                </w:p>
              </w:tc>
              <w:tc>
                <w:tcPr>
                  <w:tcW w:w="915" w:type="dxa"/>
                  <w:vMerge w:val="restart"/>
                  <w:vAlign w:val="center"/>
                </w:tcPr>
                <w:p>
                  <w:pPr>
                    <w:pStyle w:val="18"/>
                    <w:spacing w:line="360" w:lineRule="exact"/>
                    <w:ind w:left="0" w:leftChars="0"/>
                    <w:jc w:val="center"/>
                    <w:rPr>
                      <w:sz w:val="21"/>
                      <w:szCs w:val="21"/>
                    </w:rPr>
                  </w:pPr>
                  <w:r>
                    <w:rPr>
                      <w:rFonts w:hint="eastAsia"/>
                      <w:sz w:val="21"/>
                      <w:szCs w:val="21"/>
                    </w:rPr>
                    <w:t>5</w:t>
                  </w:r>
                </w:p>
              </w:tc>
              <w:tc>
                <w:tcPr>
                  <w:tcW w:w="1069" w:type="dxa"/>
                  <w:vMerge w:val="restart"/>
                  <w:vAlign w:val="center"/>
                </w:tcPr>
                <w:p>
                  <w:pPr>
                    <w:pStyle w:val="18"/>
                    <w:spacing w:line="360" w:lineRule="exact"/>
                    <w:ind w:left="0" w:leftChars="0"/>
                    <w:jc w:val="center"/>
                    <w:rPr>
                      <w:sz w:val="21"/>
                      <w:szCs w:val="21"/>
                    </w:rPr>
                  </w:pPr>
                  <w:r>
                    <w:rPr>
                      <w:sz w:val="21"/>
                      <w:szCs w:val="21"/>
                    </w:rPr>
                    <w:t>分区暂存，放置</w:t>
                  </w:r>
                  <w:r>
                    <w:rPr>
                      <w:rFonts w:hint="eastAsia"/>
                      <w:sz w:val="21"/>
                      <w:szCs w:val="21"/>
                    </w:rPr>
                    <w:t>于</w:t>
                  </w:r>
                  <w:r>
                    <w:rPr>
                      <w:sz w:val="21"/>
                      <w:szCs w:val="21"/>
                    </w:rPr>
                    <w:t>专用容器内</w:t>
                  </w:r>
                  <w:r>
                    <w:rPr>
                      <w:rFonts w:hint="eastAsia"/>
                      <w:sz w:val="21"/>
                      <w:szCs w:val="21"/>
                    </w:rPr>
                    <w:t>，密闭储存</w:t>
                  </w:r>
                </w:p>
              </w:tc>
              <w:tc>
                <w:tcPr>
                  <w:tcW w:w="939" w:type="dxa"/>
                  <w:vAlign w:val="center"/>
                </w:tcPr>
                <w:p>
                  <w:pPr>
                    <w:pStyle w:val="18"/>
                    <w:spacing w:line="360" w:lineRule="exact"/>
                    <w:ind w:left="0" w:leftChars="0"/>
                    <w:jc w:val="center"/>
                    <w:rPr>
                      <w:sz w:val="21"/>
                      <w:szCs w:val="21"/>
                    </w:rPr>
                  </w:pPr>
                  <w:r>
                    <w:rPr>
                      <w:rFonts w:hint="eastAsia"/>
                      <w:sz w:val="21"/>
                      <w:szCs w:val="21"/>
                    </w:rPr>
                    <w:t>3.0t</w:t>
                  </w:r>
                </w:p>
              </w:tc>
              <w:tc>
                <w:tcPr>
                  <w:tcW w:w="733" w:type="dxa"/>
                  <w:vAlign w:val="center"/>
                </w:tcPr>
                <w:p>
                  <w:pPr>
                    <w:pStyle w:val="18"/>
                    <w:spacing w:line="360" w:lineRule="exact"/>
                    <w:ind w:left="0" w:leftChars="0"/>
                    <w:jc w:val="center"/>
                    <w:rPr>
                      <w:sz w:val="21"/>
                      <w:szCs w:val="21"/>
                    </w:rPr>
                  </w:pPr>
                  <w:r>
                    <w:rPr>
                      <w:rFonts w:hint="eastAsia"/>
                      <w:sz w:val="21"/>
                      <w:szCs w:val="21"/>
                    </w:rPr>
                    <w:t>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78" w:type="dxa"/>
                  <w:vMerge w:val="continue"/>
                  <w:vAlign w:val="center"/>
                </w:tcPr>
                <w:p>
                  <w:pPr>
                    <w:spacing w:line="360" w:lineRule="exact"/>
                    <w:jc w:val="center"/>
                    <w:rPr>
                      <w:szCs w:val="21"/>
                    </w:rPr>
                  </w:pPr>
                </w:p>
              </w:tc>
              <w:tc>
                <w:tcPr>
                  <w:tcW w:w="1043" w:type="dxa"/>
                  <w:vAlign w:val="center"/>
                </w:tcPr>
                <w:p>
                  <w:pPr>
                    <w:topLinePunct/>
                    <w:adjustRightInd w:val="0"/>
                    <w:snapToGrid w:val="0"/>
                    <w:spacing w:line="360" w:lineRule="exact"/>
                    <w:jc w:val="center"/>
                    <w:rPr>
                      <w:b/>
                      <w:kern w:val="0"/>
                      <w:szCs w:val="21"/>
                      <w:u w:val="single"/>
                    </w:rPr>
                  </w:pPr>
                  <w:r>
                    <w:rPr>
                      <w:rFonts w:hint="eastAsia"/>
                      <w:b/>
                      <w:kern w:val="0"/>
                      <w:szCs w:val="21"/>
                      <w:u w:val="single"/>
                    </w:rPr>
                    <w:t>废UV灯管</w:t>
                  </w:r>
                </w:p>
              </w:tc>
              <w:tc>
                <w:tcPr>
                  <w:tcW w:w="1192" w:type="dxa"/>
                  <w:vAlign w:val="center"/>
                </w:tcPr>
                <w:p>
                  <w:pPr>
                    <w:topLinePunct/>
                    <w:adjustRightInd w:val="0"/>
                    <w:snapToGrid w:val="0"/>
                    <w:spacing w:line="360" w:lineRule="exact"/>
                    <w:jc w:val="center"/>
                    <w:rPr>
                      <w:b/>
                      <w:kern w:val="0"/>
                      <w:szCs w:val="21"/>
                      <w:u w:val="single"/>
                    </w:rPr>
                  </w:pPr>
                  <w:r>
                    <w:rPr>
                      <w:b/>
                      <w:kern w:val="0"/>
                      <w:szCs w:val="21"/>
                      <w:u w:val="single"/>
                    </w:rPr>
                    <w:t>HW</w:t>
                  </w:r>
                  <w:r>
                    <w:rPr>
                      <w:rFonts w:hint="eastAsia"/>
                      <w:b/>
                      <w:kern w:val="0"/>
                      <w:szCs w:val="21"/>
                      <w:u w:val="single"/>
                    </w:rPr>
                    <w:t>2</w:t>
                  </w:r>
                  <w:r>
                    <w:rPr>
                      <w:b/>
                      <w:kern w:val="0"/>
                      <w:szCs w:val="21"/>
                      <w:u w:val="single"/>
                    </w:rPr>
                    <w:t>9</w:t>
                  </w:r>
                </w:p>
              </w:tc>
              <w:tc>
                <w:tcPr>
                  <w:tcW w:w="1258" w:type="dxa"/>
                  <w:vAlign w:val="center"/>
                </w:tcPr>
                <w:p>
                  <w:pPr>
                    <w:topLinePunct/>
                    <w:adjustRightInd w:val="0"/>
                    <w:snapToGrid w:val="0"/>
                    <w:spacing w:line="360" w:lineRule="exact"/>
                    <w:jc w:val="center"/>
                    <w:rPr>
                      <w:b/>
                      <w:szCs w:val="21"/>
                      <w:u w:val="single"/>
                    </w:rPr>
                  </w:pPr>
                  <w:r>
                    <w:rPr>
                      <w:b/>
                      <w:szCs w:val="21"/>
                      <w:u w:val="single"/>
                    </w:rPr>
                    <w:t>900-023-29</w:t>
                  </w:r>
                </w:p>
              </w:tc>
              <w:tc>
                <w:tcPr>
                  <w:tcW w:w="746" w:type="dxa"/>
                  <w:vMerge w:val="continue"/>
                  <w:vAlign w:val="center"/>
                </w:tcPr>
                <w:p>
                  <w:pPr>
                    <w:pStyle w:val="18"/>
                    <w:spacing w:line="360" w:lineRule="exact"/>
                    <w:ind w:left="0" w:leftChars="0"/>
                    <w:jc w:val="center"/>
                    <w:rPr>
                      <w:b/>
                      <w:sz w:val="21"/>
                      <w:szCs w:val="21"/>
                      <w:u w:val="single"/>
                    </w:rPr>
                  </w:pPr>
                </w:p>
              </w:tc>
              <w:tc>
                <w:tcPr>
                  <w:tcW w:w="915" w:type="dxa"/>
                  <w:vMerge w:val="continue"/>
                  <w:vAlign w:val="center"/>
                </w:tcPr>
                <w:p>
                  <w:pPr>
                    <w:pStyle w:val="18"/>
                    <w:spacing w:line="360" w:lineRule="exact"/>
                    <w:ind w:left="0" w:leftChars="0"/>
                    <w:jc w:val="center"/>
                    <w:rPr>
                      <w:b/>
                      <w:sz w:val="21"/>
                      <w:szCs w:val="21"/>
                      <w:u w:val="single"/>
                    </w:rPr>
                  </w:pPr>
                </w:p>
              </w:tc>
              <w:tc>
                <w:tcPr>
                  <w:tcW w:w="1069" w:type="dxa"/>
                  <w:vMerge w:val="continue"/>
                  <w:vAlign w:val="center"/>
                </w:tcPr>
                <w:p>
                  <w:pPr>
                    <w:pStyle w:val="18"/>
                    <w:spacing w:line="360" w:lineRule="exact"/>
                    <w:ind w:left="0" w:leftChars="0"/>
                    <w:jc w:val="center"/>
                    <w:rPr>
                      <w:b/>
                      <w:sz w:val="21"/>
                      <w:szCs w:val="21"/>
                      <w:u w:val="single"/>
                    </w:rPr>
                  </w:pPr>
                </w:p>
              </w:tc>
              <w:tc>
                <w:tcPr>
                  <w:tcW w:w="939" w:type="dxa"/>
                  <w:vAlign w:val="center"/>
                </w:tcPr>
                <w:p>
                  <w:pPr>
                    <w:pStyle w:val="18"/>
                    <w:spacing w:line="360" w:lineRule="exact"/>
                    <w:ind w:left="0" w:leftChars="0"/>
                    <w:jc w:val="center"/>
                    <w:rPr>
                      <w:b/>
                      <w:sz w:val="21"/>
                      <w:szCs w:val="21"/>
                      <w:u w:val="single"/>
                    </w:rPr>
                  </w:pPr>
                  <w:r>
                    <w:rPr>
                      <w:rFonts w:hint="eastAsia"/>
                      <w:b/>
                      <w:sz w:val="21"/>
                      <w:szCs w:val="21"/>
                      <w:u w:val="single"/>
                    </w:rPr>
                    <w:t>0.1t</w:t>
                  </w:r>
                </w:p>
              </w:tc>
              <w:tc>
                <w:tcPr>
                  <w:tcW w:w="733" w:type="dxa"/>
                  <w:vAlign w:val="center"/>
                </w:tcPr>
                <w:p>
                  <w:pPr>
                    <w:pStyle w:val="18"/>
                    <w:spacing w:line="360" w:lineRule="exact"/>
                    <w:ind w:left="0" w:leftChars="0"/>
                    <w:jc w:val="center"/>
                    <w:rPr>
                      <w:b/>
                      <w:sz w:val="21"/>
                      <w:szCs w:val="21"/>
                      <w:u w:val="single"/>
                    </w:rPr>
                  </w:pPr>
                  <w:r>
                    <w:rPr>
                      <w:rFonts w:hint="eastAsia"/>
                      <w:b/>
                      <w:sz w:val="21"/>
                      <w:szCs w:val="21"/>
                      <w:u w:val="single"/>
                    </w:rPr>
                    <w:t>1年</w:t>
                  </w:r>
                </w:p>
              </w:tc>
            </w:tr>
          </w:tbl>
          <w:p>
            <w:pPr>
              <w:pStyle w:val="100"/>
            </w:pPr>
            <w:r>
              <w:t xml:space="preserve">4.3 </w:t>
            </w:r>
            <w:r>
              <w:rPr>
                <w:rFonts w:hint="eastAsia"/>
              </w:rPr>
              <w:t xml:space="preserve">处置去向及环境管理要求 </w:t>
            </w:r>
          </w:p>
          <w:p>
            <w:pPr>
              <w:widowControl/>
              <w:spacing w:line="520" w:lineRule="exact"/>
              <w:ind w:firstLine="480" w:firstLineChars="200"/>
              <w:jc w:val="left"/>
            </w:pPr>
            <w:r>
              <w:rPr>
                <w:rFonts w:hint="eastAsia" w:ascii="宋体" w:hAnsi="宋体" w:cs="宋体"/>
                <w:kern w:val="0"/>
                <w:sz w:val="24"/>
              </w:rPr>
              <w:t>项目各类危险废物经专用容器收集后，暂存于厂内危废暂存间，定期交由有资质单位进行处置。</w:t>
            </w:r>
          </w:p>
          <w:p>
            <w:pPr>
              <w:widowControl/>
              <w:spacing w:line="520" w:lineRule="exact"/>
              <w:ind w:firstLine="480" w:firstLineChars="200"/>
              <w:jc w:val="left"/>
            </w:pPr>
            <w:r>
              <w:rPr>
                <w:rFonts w:hint="eastAsia" w:ascii="宋体" w:hAnsi="宋体" w:cs="宋体"/>
                <w:kern w:val="0"/>
                <w:sz w:val="24"/>
              </w:rPr>
              <w:t>（</w:t>
            </w:r>
            <w:r>
              <w:rPr>
                <w:kern w:val="0"/>
                <w:sz w:val="24"/>
              </w:rPr>
              <w:t>1</w:t>
            </w:r>
            <w:r>
              <w:rPr>
                <w:rFonts w:hint="eastAsia" w:ascii="宋体" w:hAnsi="宋体" w:cs="宋体"/>
                <w:kern w:val="0"/>
                <w:sz w:val="24"/>
              </w:rPr>
              <w:t xml:space="preserve">）危险废物收集 </w:t>
            </w:r>
          </w:p>
          <w:p>
            <w:pPr>
              <w:widowControl/>
              <w:spacing w:line="520" w:lineRule="exact"/>
              <w:ind w:firstLine="480" w:firstLineChars="200"/>
              <w:jc w:val="left"/>
            </w:pPr>
            <w:r>
              <w:rPr>
                <w:rFonts w:hint="eastAsia" w:ascii="宋体" w:hAnsi="宋体" w:cs="宋体"/>
                <w:kern w:val="0"/>
                <w:sz w:val="24"/>
              </w:rPr>
              <w:t>项目危险废物的收集包括两个方面：一是在危险废物产生节点将废活性炭集中到适当的包装容器中或车辆上的活动；二是将已包装或装到运输车辆上的塑料容器集中到危险废物暂存仓库的内部转运。项目危废的收集须严格按照《危险废物收集贮存运输技术规范》（</w:t>
            </w:r>
            <w:r>
              <w:rPr>
                <w:kern w:val="0"/>
                <w:sz w:val="24"/>
              </w:rPr>
              <w:t>HJ2025-2012</w:t>
            </w:r>
            <w:r>
              <w:rPr>
                <w:rFonts w:hint="eastAsia" w:ascii="宋体" w:hAnsi="宋体" w:cs="宋体"/>
                <w:kern w:val="0"/>
                <w:sz w:val="24"/>
              </w:rPr>
              <w:t>）的要求：</w:t>
            </w:r>
          </w:p>
          <w:p>
            <w:pPr>
              <w:widowControl/>
              <w:spacing w:line="520" w:lineRule="exact"/>
              <w:ind w:firstLine="480" w:firstLineChars="200"/>
              <w:jc w:val="left"/>
            </w:pPr>
            <w:r>
              <w:rPr>
                <w:rFonts w:hint="eastAsia" w:ascii="宋体" w:hAnsi="宋体" w:cs="宋体"/>
                <w:kern w:val="0"/>
                <w:sz w:val="24"/>
              </w:rPr>
              <w:t>①根据危险废物产生的工艺特征、排放周期、特性、管理计划等因素制定详细的收集计划。</w:t>
            </w:r>
          </w:p>
          <w:p>
            <w:pPr>
              <w:widowControl/>
              <w:spacing w:line="520" w:lineRule="exact"/>
              <w:ind w:firstLine="480" w:firstLineChars="200"/>
              <w:jc w:val="left"/>
            </w:pPr>
            <w:r>
              <w:rPr>
                <w:rFonts w:hint="eastAsia" w:ascii="宋体" w:hAnsi="宋体" w:cs="宋体"/>
                <w:kern w:val="0"/>
                <w:sz w:val="24"/>
              </w:rPr>
              <w:t xml:space="preserve">②制定危废收集操作规程，内容包括：适用范围、操作程序和方法、专用设备和工具、转移和交接、安全保障和应急防护等。 </w:t>
            </w:r>
          </w:p>
          <w:p>
            <w:pPr>
              <w:widowControl/>
              <w:spacing w:line="520" w:lineRule="exact"/>
              <w:ind w:firstLine="480" w:firstLineChars="200"/>
              <w:jc w:val="left"/>
            </w:pPr>
            <w:r>
              <w:rPr>
                <w:rFonts w:hint="eastAsia" w:ascii="宋体" w:hAnsi="宋体" w:cs="宋体"/>
                <w:kern w:val="0"/>
                <w:sz w:val="24"/>
              </w:rPr>
              <w:t>③危废收集和转运作业人员根据工作需要配备必要的个人防护装备，如手套、口罩等。</w:t>
            </w:r>
          </w:p>
          <w:p>
            <w:pPr>
              <w:widowControl/>
              <w:spacing w:line="520" w:lineRule="exact"/>
              <w:ind w:firstLine="480" w:firstLineChars="200"/>
              <w:jc w:val="left"/>
            </w:pPr>
            <w:r>
              <w:rPr>
                <w:rFonts w:hint="eastAsia" w:ascii="宋体" w:hAnsi="宋体" w:cs="宋体"/>
                <w:kern w:val="0"/>
                <w:sz w:val="24"/>
              </w:rPr>
              <w:t>（</w:t>
            </w:r>
            <w:r>
              <w:rPr>
                <w:kern w:val="0"/>
                <w:sz w:val="24"/>
              </w:rPr>
              <w:t>2</w:t>
            </w:r>
            <w:r>
              <w:rPr>
                <w:rFonts w:hint="eastAsia" w:ascii="宋体" w:hAnsi="宋体" w:cs="宋体"/>
                <w:kern w:val="0"/>
                <w:sz w:val="24"/>
              </w:rPr>
              <w:t>）危险废物暂存间要求</w:t>
            </w:r>
          </w:p>
          <w:p>
            <w:pPr>
              <w:widowControl/>
              <w:spacing w:line="520" w:lineRule="exact"/>
              <w:ind w:firstLine="480" w:firstLineChars="200"/>
              <w:jc w:val="left"/>
            </w:pPr>
            <w:r>
              <w:rPr>
                <w:rFonts w:hint="eastAsia" w:ascii="宋体" w:hAnsi="宋体" w:cs="宋体"/>
                <w:kern w:val="0"/>
                <w:sz w:val="24"/>
              </w:rPr>
              <w:t>①危废储存库地面基础应采取防渗，地面、墙裙基础建设环氧树脂防渗地坪，暂存场所达到防渗漏、防流失、防扬散、防雨淋的要求；危废暂存间内要有安全照明设施和观察窗口。</w:t>
            </w:r>
          </w:p>
          <w:p>
            <w:pPr>
              <w:spacing w:line="520" w:lineRule="exact"/>
              <w:ind w:firstLine="480" w:firstLineChars="200"/>
              <w:rPr>
                <w:sz w:val="24"/>
                <w:szCs w:val="22"/>
              </w:rPr>
            </w:pPr>
            <w:r>
              <w:rPr>
                <w:rFonts w:hint="eastAsia"/>
                <w:sz w:val="24"/>
                <w:szCs w:val="22"/>
              </w:rPr>
              <w:t xml:space="preserve">②企业须配备专业技术人员和管理人员专门负责企业危险废物的统计、收集、暂存、转运和管理工作，作好危废情况的记录，并即时存档以备查阅。 </w:t>
            </w:r>
          </w:p>
          <w:p>
            <w:pPr>
              <w:spacing w:line="520" w:lineRule="exact"/>
              <w:ind w:firstLine="480" w:firstLineChars="200"/>
              <w:rPr>
                <w:sz w:val="24"/>
                <w:szCs w:val="22"/>
              </w:rPr>
            </w:pPr>
            <w:r>
              <w:rPr>
                <w:rFonts w:hint="eastAsia"/>
                <w:sz w:val="24"/>
                <w:szCs w:val="22"/>
              </w:rPr>
              <w:t xml:space="preserve">③危险废物在危废库房内暂存期间应严格按照《危险废物贮存污染控制标准》（GB18596-2023）和《危险废物收集贮存运输技术规范》（HJ 2025-2012）的相关要求进行存储和管理。铁质密闭容器贮存前应进行检验，并登记注册，不得接收未粘贴符合规定的标签或标签没按规定填写的危废；必须定期对所贮存的危废设施进行检查，发现破损，应及时采取措施。 </w:t>
            </w:r>
          </w:p>
          <w:p>
            <w:pPr>
              <w:numPr>
                <w:ilvl w:val="0"/>
                <w:numId w:val="2"/>
              </w:numPr>
              <w:spacing w:line="520" w:lineRule="exact"/>
              <w:ind w:firstLine="480" w:firstLineChars="200"/>
              <w:rPr>
                <w:sz w:val="24"/>
                <w:szCs w:val="22"/>
              </w:rPr>
            </w:pPr>
            <w:r>
              <w:rPr>
                <w:rFonts w:hint="eastAsia"/>
                <w:sz w:val="24"/>
                <w:szCs w:val="22"/>
              </w:rPr>
              <w:t xml:space="preserve">危险废物转运 </w:t>
            </w:r>
          </w:p>
          <w:p>
            <w:pPr>
              <w:spacing w:line="520" w:lineRule="exact"/>
              <w:ind w:firstLine="480" w:firstLineChars="200"/>
              <w:rPr>
                <w:sz w:val="24"/>
                <w:szCs w:val="22"/>
              </w:rPr>
            </w:pPr>
            <w:r>
              <w:rPr>
                <w:rFonts w:hint="eastAsia"/>
                <w:sz w:val="24"/>
                <w:szCs w:val="22"/>
              </w:rPr>
              <w:t xml:space="preserve">危险废物转移过程中，废活性炭要求采用不透风的塑料包装袋作为内衬对其进行转移。严格执行《危险废物转移电子联单管理办法（试行）》，塑料容器转移必须实行电子联单制度。危险废物转移电子联单通过《物联网系统》实现。危废运至接受单位后，运输单位将随车携带的纸质联单交接受单位，危废接受单位照联单内容对塑料容器核实验收，通过扫描电子联单条码进行接受确认。 </w:t>
            </w:r>
          </w:p>
          <w:p>
            <w:pPr>
              <w:spacing w:line="520" w:lineRule="exact"/>
              <w:ind w:firstLine="480" w:firstLineChars="200"/>
              <w:rPr>
                <w:sz w:val="24"/>
                <w:szCs w:val="22"/>
              </w:rPr>
            </w:pPr>
            <w:r>
              <w:rPr>
                <w:rFonts w:hint="eastAsia"/>
                <w:sz w:val="24"/>
                <w:szCs w:val="22"/>
              </w:rPr>
              <w:t>综上所述，项目危险废物的收集、贮存和转运环节严格按照《危险废物贮存污染控制标准》（GB18597-2023）、《危险废物收集贮存运输技术规范》（HJ2025-2012）等相关规范进行。在加强并落实好各项污染防治措施和安全处置措施的前提下，项目产生的固体废物对周围环境影响较小。</w:t>
            </w:r>
          </w:p>
          <w:p>
            <w:pPr>
              <w:pStyle w:val="91"/>
              <w:rPr>
                <w:color w:val="auto"/>
              </w:rPr>
            </w:pPr>
            <w:r>
              <w:rPr>
                <w:rFonts w:hint="eastAsia"/>
                <w:color w:val="auto"/>
              </w:rPr>
              <w:t>5、地下水、土壤</w:t>
            </w:r>
          </w:p>
          <w:p>
            <w:pPr>
              <w:pStyle w:val="100"/>
            </w:pPr>
            <w:r>
              <w:t>5.1分区防控措施</w:t>
            </w:r>
          </w:p>
          <w:p>
            <w:pPr>
              <w:pStyle w:val="51"/>
              <w:ind w:firstLine="480"/>
            </w:pPr>
            <w:r>
              <w:t>项目各生产车间内均设置单独的固废堆存区，地面硬化；厂区设置有危废暂存间，按照《危险废物贮存污染控制标准》的要求进行设计、施工；生活垃圾均设置垃圾收集桶，定点收集。厂内化粪池池壁采用高标号的防水混凝土，内壁涂防水涂料，满足防渗要求。</w:t>
            </w:r>
          </w:p>
          <w:p>
            <w:pPr>
              <w:pStyle w:val="100"/>
            </w:pPr>
            <w:r>
              <w:t>5.2对环境的影响</w:t>
            </w:r>
          </w:p>
          <w:p>
            <w:pPr>
              <w:pStyle w:val="51"/>
              <w:ind w:firstLine="480"/>
            </w:pPr>
            <w:r>
              <w:t>经采取措施后，本项目对地下水的影响很小。</w:t>
            </w:r>
          </w:p>
          <w:p>
            <w:pPr>
              <w:pStyle w:val="91"/>
              <w:rPr>
                <w:color w:val="auto"/>
              </w:rPr>
            </w:pPr>
            <w:r>
              <w:rPr>
                <w:rFonts w:hint="eastAsia"/>
                <w:color w:val="auto"/>
              </w:rPr>
              <w:t>6、生态</w:t>
            </w:r>
          </w:p>
          <w:p>
            <w:pPr>
              <w:pStyle w:val="73"/>
              <w:ind w:firstLine="480"/>
            </w:pPr>
            <w:r>
              <w:rPr>
                <w:bCs/>
              </w:rPr>
              <w:t>本项目周围主要为人工生态系统，运营期主要污染物为</w:t>
            </w:r>
            <w:r>
              <w:rPr>
                <w:rFonts w:hint="eastAsia"/>
                <w:bCs/>
              </w:rPr>
              <w:t>废气、废水、</w:t>
            </w:r>
            <w:r>
              <w:rPr>
                <w:bCs/>
              </w:rPr>
              <w:t>噪声</w:t>
            </w:r>
            <w:r>
              <w:rPr>
                <w:rFonts w:hint="eastAsia"/>
                <w:bCs/>
              </w:rPr>
              <w:t>和固废</w:t>
            </w:r>
            <w:r>
              <w:rPr>
                <w:bCs/>
              </w:rPr>
              <w:t>，</w:t>
            </w:r>
            <w:r>
              <w:rPr>
                <w:rFonts w:hint="eastAsia"/>
                <w:bCs/>
              </w:rPr>
              <w:t>经污染防治措施处理后</w:t>
            </w:r>
            <w:r>
              <w:rPr>
                <w:bCs/>
              </w:rPr>
              <w:t>，</w:t>
            </w:r>
            <w:r>
              <w:t>本项目对厂址所在区域生态环境不会产生大的影响。</w:t>
            </w:r>
          </w:p>
          <w:p>
            <w:pPr>
              <w:pStyle w:val="91"/>
              <w:rPr>
                <w:color w:val="auto"/>
              </w:rPr>
            </w:pPr>
            <w:r>
              <w:rPr>
                <w:rFonts w:hint="eastAsia"/>
                <w:color w:val="auto"/>
              </w:rPr>
              <w:t>7、环境风险</w:t>
            </w:r>
          </w:p>
          <w:p>
            <w:pPr>
              <w:pStyle w:val="99"/>
              <w:ind w:firstLine="480"/>
              <w:rPr>
                <w:rFonts w:ascii="宋体" w:hAnsi="宋体"/>
              </w:rPr>
            </w:pPr>
            <w:r>
              <w:rPr>
                <w:rFonts w:hint="eastAsia" w:cs="宋体"/>
              </w:rPr>
              <w:t>对照《建设项目环境风险评价技术导则》（HJ/T169-2018）附录B，</w:t>
            </w:r>
            <w:r>
              <w:rPr>
                <w:bCs/>
              </w:rPr>
              <w:t>本</w:t>
            </w:r>
            <w:r>
              <w:rPr>
                <w:lang w:val="zh-CN"/>
              </w:rPr>
              <w:t>项目</w:t>
            </w:r>
            <w:r>
              <w:rPr>
                <w:rFonts w:hint="eastAsia"/>
                <w:lang w:val="zh-CN"/>
              </w:rPr>
              <w:t>不存在风险物质</w:t>
            </w:r>
            <w:r>
              <w:rPr>
                <w:lang w:val="zh-CN"/>
              </w:rPr>
              <w:t>，</w:t>
            </w:r>
            <w:r>
              <w:rPr>
                <w:rFonts w:hint="eastAsia"/>
                <w:bCs/>
              </w:rPr>
              <w:t>故本项目不在进行环境风险分析</w:t>
            </w:r>
            <w:r>
              <w:t>。</w:t>
            </w:r>
          </w:p>
          <w:p>
            <w:pPr>
              <w:spacing w:line="520" w:lineRule="exact"/>
              <w:rPr>
                <w:sz w:val="24"/>
              </w:rPr>
            </w:pPr>
            <w:r>
              <w:rPr>
                <w:rFonts w:hint="eastAsia"/>
                <w:sz w:val="24"/>
              </w:rPr>
              <w:t>8</w:t>
            </w:r>
            <w:r>
              <w:rPr>
                <w:sz w:val="24"/>
              </w:rPr>
              <w:t>. 环保投资估算</w:t>
            </w:r>
          </w:p>
          <w:p>
            <w:pPr>
              <w:spacing w:line="520" w:lineRule="exact"/>
              <w:ind w:firstLine="480" w:firstLineChars="200"/>
              <w:rPr>
                <w:sz w:val="24"/>
              </w:rPr>
            </w:pPr>
            <w:r>
              <w:rPr>
                <w:sz w:val="24"/>
              </w:rPr>
              <w:t>项目总投资</w:t>
            </w:r>
            <w:r>
              <w:rPr>
                <w:rFonts w:hint="eastAsia"/>
                <w:sz w:val="24"/>
              </w:rPr>
              <w:t>为800</w:t>
            </w:r>
            <w:r>
              <w:rPr>
                <w:sz w:val="24"/>
              </w:rPr>
              <w:t>万元，其中环保投资为</w:t>
            </w:r>
            <w:r>
              <w:rPr>
                <w:rFonts w:hint="eastAsia"/>
                <w:sz w:val="24"/>
              </w:rPr>
              <w:t>10.0</w:t>
            </w:r>
            <w:r>
              <w:rPr>
                <w:sz w:val="24"/>
              </w:rPr>
              <w:t>万元，占总投资的</w:t>
            </w:r>
            <w:r>
              <w:rPr>
                <w:rFonts w:hint="eastAsia"/>
                <w:sz w:val="24"/>
              </w:rPr>
              <w:t>1.25</w:t>
            </w:r>
            <w:r>
              <w:rPr>
                <w:sz w:val="24"/>
              </w:rPr>
              <w:t>%，具体环保投资估算见下表</w:t>
            </w:r>
            <w:r>
              <w:rPr>
                <w:rFonts w:hint="eastAsia"/>
                <w:sz w:val="24"/>
              </w:rPr>
              <w:t xml:space="preserve">。  </w:t>
            </w:r>
          </w:p>
          <w:p>
            <w:pPr>
              <w:pStyle w:val="53"/>
              <w:ind w:firstLine="480"/>
            </w:pPr>
            <w:r>
              <w:t>表</w:t>
            </w:r>
            <w:r>
              <w:rPr>
                <w:rFonts w:hint="eastAsia"/>
              </w:rPr>
              <w:t>42</w:t>
            </w:r>
            <w:r>
              <w:t xml:space="preserve">     </w:t>
            </w:r>
            <w:r>
              <w:rPr>
                <w:rFonts w:hint="eastAsia"/>
              </w:rPr>
              <w:t xml:space="preserve">    </w:t>
            </w:r>
            <w:r>
              <w:t xml:space="preserve"> 项目拟采取的环保措施及投资一览表</w:t>
            </w:r>
          </w:p>
          <w:tbl>
            <w:tblPr>
              <w:tblStyle w:val="22"/>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57" w:type="dxa"/>
                <w:bottom w:w="0" w:type="dxa"/>
                <w:right w:w="57" w:type="dxa"/>
              </w:tblCellMar>
            </w:tblPr>
            <w:tblGrid>
              <w:gridCol w:w="671"/>
              <w:gridCol w:w="1376"/>
              <w:gridCol w:w="2835"/>
              <w:gridCol w:w="2836"/>
              <w:gridCol w:w="12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jc w:val="center"/>
              </w:trPr>
              <w:tc>
                <w:tcPr>
                  <w:tcW w:w="374" w:type="pct"/>
                  <w:vAlign w:val="center"/>
                </w:tcPr>
                <w:p>
                  <w:pPr>
                    <w:pStyle w:val="68"/>
                  </w:pPr>
                  <w:r>
                    <w:t>污染要素</w:t>
                  </w:r>
                </w:p>
              </w:tc>
              <w:tc>
                <w:tcPr>
                  <w:tcW w:w="767" w:type="pct"/>
                  <w:vAlign w:val="center"/>
                </w:tcPr>
                <w:p>
                  <w:pPr>
                    <w:pStyle w:val="68"/>
                  </w:pPr>
                  <w:r>
                    <w:t>产污环节</w:t>
                  </w:r>
                </w:p>
              </w:tc>
              <w:tc>
                <w:tcPr>
                  <w:tcW w:w="3160" w:type="pct"/>
                  <w:gridSpan w:val="2"/>
                  <w:vAlign w:val="center"/>
                </w:tcPr>
                <w:p>
                  <w:pPr>
                    <w:pStyle w:val="68"/>
                  </w:pPr>
                  <w:r>
                    <w:t>环保措施</w:t>
                  </w:r>
                </w:p>
              </w:tc>
              <w:tc>
                <w:tcPr>
                  <w:tcW w:w="699" w:type="pct"/>
                  <w:vAlign w:val="center"/>
                </w:tcPr>
                <w:p>
                  <w:pPr>
                    <w:pStyle w:val="68"/>
                  </w:pPr>
                  <w:r>
                    <w:t>投资估算（万元）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jc w:val="center"/>
              </w:trPr>
              <w:tc>
                <w:tcPr>
                  <w:tcW w:w="374" w:type="pct"/>
                  <w:vMerge w:val="restart"/>
                  <w:vAlign w:val="center"/>
                </w:tcPr>
                <w:p>
                  <w:pPr>
                    <w:pStyle w:val="68"/>
                    <w:rPr>
                      <w:highlight w:val="yellow"/>
                    </w:rPr>
                  </w:pPr>
                  <w:r>
                    <w:t>废气</w:t>
                  </w:r>
                </w:p>
              </w:tc>
              <w:tc>
                <w:tcPr>
                  <w:tcW w:w="767" w:type="pct"/>
                  <w:vAlign w:val="center"/>
                </w:tcPr>
                <w:p>
                  <w:pPr>
                    <w:pStyle w:val="68"/>
                    <w:rPr>
                      <w:b/>
                      <w:bCs/>
                      <w:highlight w:val="yellow"/>
                      <w:u w:val="single"/>
                    </w:rPr>
                  </w:pPr>
                  <w:r>
                    <w:rPr>
                      <w:rFonts w:hint="eastAsia"/>
                      <w:b/>
                      <w:bCs/>
                      <w:u w:val="single"/>
                    </w:rPr>
                    <w:t>搅拌废气</w:t>
                  </w:r>
                </w:p>
              </w:tc>
              <w:tc>
                <w:tcPr>
                  <w:tcW w:w="3160" w:type="pct"/>
                  <w:gridSpan w:val="2"/>
                  <w:vAlign w:val="center"/>
                </w:tcPr>
                <w:p>
                  <w:pPr>
                    <w:pStyle w:val="68"/>
                    <w:rPr>
                      <w:b/>
                      <w:bCs/>
                      <w:u w:val="single"/>
                    </w:rPr>
                  </w:pPr>
                  <w:r>
                    <w:rPr>
                      <w:rFonts w:hint="eastAsia" w:hAnsi="宋体"/>
                      <w:b/>
                      <w:u w:val="single"/>
                    </w:rPr>
                    <w:t>由布袋除尘器处理后通过15m高排气筒排放</w:t>
                  </w:r>
                  <w:r>
                    <w:rPr>
                      <w:rFonts w:hint="eastAsia"/>
                      <w:b/>
                      <w:bCs/>
                      <w:u w:val="single"/>
                    </w:rPr>
                    <w:t>（DA001）</w:t>
                  </w:r>
                </w:p>
              </w:tc>
              <w:tc>
                <w:tcPr>
                  <w:tcW w:w="699" w:type="pct"/>
                  <w:vAlign w:val="center"/>
                </w:tcPr>
                <w:p>
                  <w:pPr>
                    <w:pStyle w:val="68"/>
                    <w:rPr>
                      <w:b/>
                      <w:bCs/>
                      <w:u w:val="single"/>
                    </w:rPr>
                  </w:pPr>
                  <w:r>
                    <w:rPr>
                      <w:rFonts w:hint="eastAsia"/>
                      <w:b/>
                      <w:bCs/>
                      <w:u w:val="single"/>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jc w:val="center"/>
              </w:trPr>
              <w:tc>
                <w:tcPr>
                  <w:tcW w:w="374" w:type="pct"/>
                  <w:vMerge w:val="continue"/>
                  <w:vAlign w:val="center"/>
                </w:tcPr>
                <w:p>
                  <w:pPr>
                    <w:pStyle w:val="68"/>
                  </w:pPr>
                </w:p>
              </w:tc>
              <w:tc>
                <w:tcPr>
                  <w:tcW w:w="767" w:type="pct"/>
                  <w:vAlign w:val="center"/>
                </w:tcPr>
                <w:p>
                  <w:pPr>
                    <w:pStyle w:val="68"/>
                    <w:rPr>
                      <w:bCs/>
                      <w:highlight w:val="yellow"/>
                    </w:rPr>
                  </w:pPr>
                  <w:r>
                    <w:rPr>
                      <w:rFonts w:hint="eastAsia"/>
                      <w:bCs/>
                    </w:rPr>
                    <w:t>加热挤出、覆膜废气</w:t>
                  </w:r>
                </w:p>
              </w:tc>
              <w:tc>
                <w:tcPr>
                  <w:tcW w:w="3160" w:type="pct"/>
                  <w:gridSpan w:val="2"/>
                  <w:vAlign w:val="center"/>
                </w:tcPr>
                <w:p>
                  <w:pPr>
                    <w:pStyle w:val="68"/>
                    <w:rPr>
                      <w:bCs/>
                    </w:rPr>
                  </w:pPr>
                  <w:r>
                    <w:rPr>
                      <w:rFonts w:hint="eastAsia" w:hAnsi="宋体"/>
                    </w:rPr>
                    <w:t>集气罩收集后由UV光氧+活性炭吸附装置处理后通过15m高排气筒排放</w:t>
                  </w:r>
                  <w:r>
                    <w:rPr>
                      <w:rFonts w:hint="eastAsia"/>
                      <w:bCs/>
                    </w:rPr>
                    <w:t>（DA002）</w:t>
                  </w:r>
                </w:p>
              </w:tc>
              <w:tc>
                <w:tcPr>
                  <w:tcW w:w="699" w:type="pct"/>
                  <w:vAlign w:val="center"/>
                </w:tcPr>
                <w:p>
                  <w:pPr>
                    <w:pStyle w:val="68"/>
                    <w:rPr>
                      <w:bCs/>
                    </w:rPr>
                  </w:pPr>
                  <w:r>
                    <w:rPr>
                      <w:rFonts w:hint="eastAsia"/>
                      <w:bCs/>
                    </w:rPr>
                    <w:t>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374" w:type="pct"/>
                  <w:vAlign w:val="center"/>
                </w:tcPr>
                <w:p>
                  <w:pPr>
                    <w:pStyle w:val="68"/>
                  </w:pPr>
                  <w:r>
                    <w:t>废水</w:t>
                  </w:r>
                </w:p>
              </w:tc>
              <w:tc>
                <w:tcPr>
                  <w:tcW w:w="767" w:type="pct"/>
                  <w:vAlign w:val="center"/>
                </w:tcPr>
                <w:p>
                  <w:pPr>
                    <w:spacing w:line="400" w:lineRule="exact"/>
                    <w:jc w:val="center"/>
                    <w:rPr>
                      <w:bCs/>
                      <w:szCs w:val="21"/>
                    </w:rPr>
                  </w:pPr>
                  <w:r>
                    <w:rPr>
                      <w:bCs/>
                      <w:szCs w:val="21"/>
                    </w:rPr>
                    <w:t>生活污水</w:t>
                  </w:r>
                </w:p>
              </w:tc>
              <w:tc>
                <w:tcPr>
                  <w:tcW w:w="3160" w:type="pct"/>
                  <w:gridSpan w:val="2"/>
                  <w:vAlign w:val="center"/>
                </w:tcPr>
                <w:p>
                  <w:pPr>
                    <w:adjustRightInd w:val="0"/>
                    <w:snapToGrid w:val="0"/>
                    <w:spacing w:line="400" w:lineRule="exact"/>
                    <w:jc w:val="center"/>
                    <w:rPr>
                      <w:bCs/>
                    </w:rPr>
                  </w:pPr>
                  <w:r>
                    <w:rPr>
                      <w:rStyle w:val="31"/>
                      <w:kern w:val="0"/>
                    </w:rPr>
                    <w:t>生活污水经厂区现有化粪池（</w:t>
                  </w:r>
                  <w:r>
                    <w:rPr>
                      <w:rStyle w:val="31"/>
                      <w:rFonts w:hint="eastAsia"/>
                      <w:kern w:val="0"/>
                    </w:rPr>
                    <w:t>5</w:t>
                  </w:r>
                  <w:r>
                    <w:rPr>
                      <w:rStyle w:val="31"/>
                      <w:kern w:val="0"/>
                    </w:rPr>
                    <w:t>0m</w:t>
                  </w:r>
                  <w:r>
                    <w:rPr>
                      <w:rStyle w:val="31"/>
                      <w:kern w:val="0"/>
                      <w:vertAlign w:val="superscript"/>
                    </w:rPr>
                    <w:t>3</w:t>
                  </w:r>
                  <w:r>
                    <w:rPr>
                      <w:rStyle w:val="31"/>
                      <w:kern w:val="0"/>
                    </w:rPr>
                    <w:t>）处理后通过市政管网排入偃师市第三污水处理厂。</w:t>
                  </w:r>
                </w:p>
              </w:tc>
              <w:tc>
                <w:tcPr>
                  <w:tcW w:w="699" w:type="pct"/>
                  <w:vAlign w:val="center"/>
                </w:tcPr>
                <w:p>
                  <w:pPr>
                    <w:pStyle w:val="68"/>
                    <w:rPr>
                      <w:bCs/>
                    </w:rPr>
                  </w:pPr>
                  <w:r>
                    <w:rPr>
                      <w:rFonts w:hint="eastAsia"/>
                      <w:bCs/>
                    </w:rPr>
                    <w:t>依托现有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jc w:val="center"/>
              </w:trPr>
              <w:tc>
                <w:tcPr>
                  <w:tcW w:w="374" w:type="pct"/>
                  <w:vAlign w:val="center"/>
                </w:tcPr>
                <w:p>
                  <w:pPr>
                    <w:pStyle w:val="68"/>
                  </w:pPr>
                  <w:r>
                    <w:t>噪声</w:t>
                  </w:r>
                </w:p>
              </w:tc>
              <w:tc>
                <w:tcPr>
                  <w:tcW w:w="767" w:type="pct"/>
                  <w:vAlign w:val="center"/>
                </w:tcPr>
                <w:p>
                  <w:pPr>
                    <w:pStyle w:val="68"/>
                  </w:pPr>
                  <w:r>
                    <w:rPr>
                      <w:rFonts w:hint="eastAsia"/>
                    </w:rPr>
                    <w:t>设备</w:t>
                  </w:r>
                  <w:r>
                    <w:t>噪声</w:t>
                  </w:r>
                </w:p>
              </w:tc>
              <w:tc>
                <w:tcPr>
                  <w:tcW w:w="3160" w:type="pct"/>
                  <w:gridSpan w:val="2"/>
                  <w:vAlign w:val="center"/>
                </w:tcPr>
                <w:p>
                  <w:pPr>
                    <w:pStyle w:val="68"/>
                  </w:pPr>
                  <w:r>
                    <w:t>厂房隔声</w:t>
                  </w:r>
                  <w:r>
                    <w:rPr>
                      <w:rFonts w:hint="eastAsia"/>
                    </w:rPr>
                    <w:t>、距离衰减</w:t>
                  </w:r>
                </w:p>
              </w:tc>
              <w:tc>
                <w:tcPr>
                  <w:tcW w:w="699" w:type="pct"/>
                  <w:vAlign w:val="center"/>
                </w:tcPr>
                <w:p>
                  <w:pPr>
                    <w:pStyle w:val="68"/>
                  </w:pPr>
                  <w:r>
                    <w:rPr>
                      <w:rFonts w:hint="eastAsia"/>
                    </w:rPr>
                    <w:t>依托现有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180" w:hRule="atLeast"/>
                <w:jc w:val="center"/>
              </w:trPr>
              <w:tc>
                <w:tcPr>
                  <w:tcW w:w="374" w:type="pct"/>
                  <w:vMerge w:val="restart"/>
                  <w:vAlign w:val="center"/>
                </w:tcPr>
                <w:p>
                  <w:pPr>
                    <w:pStyle w:val="68"/>
                  </w:pPr>
                  <w:r>
                    <w:t>固废</w:t>
                  </w:r>
                </w:p>
              </w:tc>
              <w:tc>
                <w:tcPr>
                  <w:tcW w:w="767" w:type="pct"/>
                  <w:vAlign w:val="center"/>
                </w:tcPr>
                <w:p>
                  <w:pPr>
                    <w:pStyle w:val="68"/>
                    <w:rPr>
                      <w:sz w:val="24"/>
                    </w:rPr>
                  </w:pPr>
                  <w:r>
                    <w:rPr>
                      <w:rFonts w:hint="eastAsia"/>
                    </w:rPr>
                    <w:t>废包装材料</w:t>
                  </w:r>
                </w:p>
              </w:tc>
              <w:tc>
                <w:tcPr>
                  <w:tcW w:w="1580" w:type="pct"/>
                  <w:vMerge w:val="restart"/>
                  <w:vAlign w:val="center"/>
                </w:tcPr>
                <w:p>
                  <w:pPr>
                    <w:pStyle w:val="68"/>
                  </w:pPr>
                  <w:r>
                    <w:rPr>
                      <w:rFonts w:hint="eastAsia"/>
                    </w:rPr>
                    <w:t>暂存于一般固废暂存区（10m</w:t>
                  </w:r>
                  <w:r>
                    <w:rPr>
                      <w:rFonts w:hint="eastAsia"/>
                      <w:vertAlign w:val="superscript"/>
                    </w:rPr>
                    <w:t>2</w:t>
                  </w:r>
                  <w:r>
                    <w:rPr>
                      <w:rFonts w:hint="eastAsia"/>
                    </w:rPr>
                    <w:t>）</w:t>
                  </w:r>
                </w:p>
              </w:tc>
              <w:tc>
                <w:tcPr>
                  <w:tcW w:w="1580" w:type="pct"/>
                  <w:vAlign w:val="center"/>
                </w:tcPr>
                <w:p>
                  <w:pPr>
                    <w:pStyle w:val="68"/>
                  </w:pPr>
                  <w:r>
                    <w:rPr>
                      <w:rFonts w:hint="eastAsia"/>
                    </w:rPr>
                    <w:t>定期外售</w:t>
                  </w:r>
                </w:p>
              </w:tc>
              <w:tc>
                <w:tcPr>
                  <w:tcW w:w="699" w:type="pct"/>
                  <w:vMerge w:val="restart"/>
                  <w:vAlign w:val="center"/>
                </w:tcPr>
                <w:p>
                  <w:pPr>
                    <w:pStyle w:val="68"/>
                  </w:pPr>
                  <w:r>
                    <w:rPr>
                      <w:rFonts w:hint="eastAsia"/>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180" w:hRule="atLeast"/>
                <w:jc w:val="center"/>
              </w:trPr>
              <w:tc>
                <w:tcPr>
                  <w:tcW w:w="374" w:type="pct"/>
                  <w:vMerge w:val="continue"/>
                  <w:vAlign w:val="center"/>
                </w:tcPr>
                <w:p>
                  <w:pPr>
                    <w:pStyle w:val="68"/>
                  </w:pPr>
                </w:p>
              </w:tc>
              <w:tc>
                <w:tcPr>
                  <w:tcW w:w="767" w:type="pct"/>
                  <w:vAlign w:val="center"/>
                </w:tcPr>
                <w:p>
                  <w:pPr>
                    <w:pStyle w:val="68"/>
                  </w:pPr>
                  <w:r>
                    <w:rPr>
                      <w:rFonts w:hint="eastAsia"/>
                    </w:rPr>
                    <w:t>收尘灰</w:t>
                  </w:r>
                </w:p>
              </w:tc>
              <w:tc>
                <w:tcPr>
                  <w:tcW w:w="1580" w:type="pct"/>
                  <w:vMerge w:val="continue"/>
                  <w:vAlign w:val="center"/>
                </w:tcPr>
                <w:p>
                  <w:pPr>
                    <w:pStyle w:val="68"/>
                  </w:pPr>
                </w:p>
              </w:tc>
              <w:tc>
                <w:tcPr>
                  <w:tcW w:w="1580" w:type="pct"/>
                  <w:vAlign w:val="center"/>
                </w:tcPr>
                <w:p>
                  <w:pPr>
                    <w:pStyle w:val="68"/>
                  </w:pPr>
                  <w:r>
                    <w:rPr>
                      <w:rFonts w:hint="eastAsia"/>
                    </w:rPr>
                    <w:t>定期回用于生产</w:t>
                  </w:r>
                </w:p>
              </w:tc>
              <w:tc>
                <w:tcPr>
                  <w:tcW w:w="699" w:type="pct"/>
                  <w:vMerge w:val="continue"/>
                  <w:vAlign w:val="center"/>
                </w:tcPr>
                <w:p>
                  <w:pPr>
                    <w:pStyle w:val="68"/>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jc w:val="center"/>
              </w:trPr>
              <w:tc>
                <w:tcPr>
                  <w:tcW w:w="374" w:type="pct"/>
                  <w:vMerge w:val="continue"/>
                  <w:vAlign w:val="center"/>
                </w:tcPr>
                <w:p>
                  <w:pPr>
                    <w:pStyle w:val="68"/>
                    <w:rPr>
                      <w:szCs w:val="22"/>
                    </w:rPr>
                  </w:pPr>
                </w:p>
              </w:tc>
              <w:tc>
                <w:tcPr>
                  <w:tcW w:w="767" w:type="pct"/>
                  <w:vAlign w:val="center"/>
                </w:tcPr>
                <w:p>
                  <w:pPr>
                    <w:pStyle w:val="68"/>
                  </w:pPr>
                  <w:r>
                    <w:rPr>
                      <w:rFonts w:hint="eastAsia"/>
                    </w:rPr>
                    <w:t>生活垃圾</w:t>
                  </w:r>
                </w:p>
              </w:tc>
              <w:tc>
                <w:tcPr>
                  <w:tcW w:w="3160" w:type="pct"/>
                  <w:gridSpan w:val="2"/>
                  <w:vAlign w:val="center"/>
                </w:tcPr>
                <w:p>
                  <w:pPr>
                    <w:pStyle w:val="68"/>
                  </w:pPr>
                  <w:r>
                    <w:rPr>
                      <w:rFonts w:hint="eastAsia"/>
                    </w:rPr>
                    <w:t>集中收集，定期交由环卫部门处理</w:t>
                  </w:r>
                </w:p>
              </w:tc>
              <w:tc>
                <w:tcPr>
                  <w:tcW w:w="699" w:type="pct"/>
                  <w:vMerge w:val="continue"/>
                  <w:vAlign w:val="center"/>
                </w:tcPr>
                <w:p>
                  <w:pPr>
                    <w:pStyle w:val="68"/>
                    <w:rPr>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jc w:val="center"/>
              </w:trPr>
              <w:tc>
                <w:tcPr>
                  <w:tcW w:w="374" w:type="pct"/>
                  <w:vMerge w:val="continue"/>
                  <w:vAlign w:val="center"/>
                </w:tcPr>
                <w:p>
                  <w:pPr>
                    <w:pStyle w:val="68"/>
                    <w:rPr>
                      <w:szCs w:val="22"/>
                    </w:rPr>
                  </w:pPr>
                </w:p>
              </w:tc>
              <w:tc>
                <w:tcPr>
                  <w:tcW w:w="767" w:type="pct"/>
                  <w:vAlign w:val="center"/>
                </w:tcPr>
                <w:p>
                  <w:pPr>
                    <w:pStyle w:val="68"/>
                  </w:pPr>
                  <w:r>
                    <w:rPr>
                      <w:rFonts w:hint="eastAsia"/>
                    </w:rPr>
                    <w:t>废活性炭、废UV灯管</w:t>
                  </w:r>
                </w:p>
              </w:tc>
              <w:tc>
                <w:tcPr>
                  <w:tcW w:w="3160" w:type="pct"/>
                  <w:gridSpan w:val="2"/>
                  <w:vAlign w:val="center"/>
                </w:tcPr>
                <w:p>
                  <w:pPr>
                    <w:pStyle w:val="68"/>
                  </w:pPr>
                  <w:r>
                    <w:rPr>
                      <w:rFonts w:hint="eastAsia"/>
                    </w:rPr>
                    <w:t>暂存于危险废物暂存间（5m</w:t>
                  </w:r>
                  <w:r>
                    <w:rPr>
                      <w:rFonts w:hint="eastAsia"/>
                      <w:vertAlign w:val="superscript"/>
                    </w:rPr>
                    <w:t>2</w:t>
                  </w:r>
                  <w:r>
                    <w:rPr>
                      <w:rFonts w:hint="eastAsia"/>
                    </w:rPr>
                    <w:t>），委托有资质的单位进行处理</w:t>
                  </w:r>
                </w:p>
              </w:tc>
              <w:tc>
                <w:tcPr>
                  <w:tcW w:w="699" w:type="pct"/>
                  <w:vMerge w:val="continue"/>
                  <w:vAlign w:val="center"/>
                </w:tcPr>
                <w:p>
                  <w:pPr>
                    <w:pStyle w:val="68"/>
                    <w:rPr>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jc w:val="center"/>
              </w:trPr>
              <w:tc>
                <w:tcPr>
                  <w:tcW w:w="374" w:type="pct"/>
                  <w:vAlign w:val="center"/>
                </w:tcPr>
                <w:p>
                  <w:pPr>
                    <w:pStyle w:val="68"/>
                  </w:pPr>
                  <w:r>
                    <w:t>合计</w:t>
                  </w:r>
                </w:p>
              </w:tc>
              <w:tc>
                <w:tcPr>
                  <w:tcW w:w="767" w:type="pct"/>
                  <w:vAlign w:val="center"/>
                </w:tcPr>
                <w:p>
                  <w:pPr>
                    <w:pStyle w:val="68"/>
                  </w:pPr>
                  <w:r>
                    <w:t>/</w:t>
                  </w:r>
                </w:p>
              </w:tc>
              <w:tc>
                <w:tcPr>
                  <w:tcW w:w="3160" w:type="pct"/>
                  <w:gridSpan w:val="2"/>
                  <w:vAlign w:val="center"/>
                </w:tcPr>
                <w:p>
                  <w:pPr>
                    <w:pStyle w:val="68"/>
                  </w:pPr>
                  <w:r>
                    <w:t>/</w:t>
                  </w:r>
                </w:p>
              </w:tc>
              <w:tc>
                <w:tcPr>
                  <w:tcW w:w="699" w:type="pct"/>
                  <w:vAlign w:val="center"/>
                </w:tcPr>
                <w:p>
                  <w:pPr>
                    <w:pStyle w:val="68"/>
                  </w:pPr>
                  <w:r>
                    <w:rPr>
                      <w:rFonts w:hint="eastAsia"/>
                    </w:rPr>
                    <w:t>10.0</w:t>
                  </w:r>
                </w:p>
              </w:tc>
            </w:tr>
          </w:tbl>
          <w:p>
            <w:pPr>
              <w:pStyle w:val="51"/>
              <w:ind w:firstLine="0" w:firstLineChars="0"/>
              <w:rPr>
                <w:b/>
                <w:bCs/>
              </w:rPr>
            </w:pPr>
          </w:p>
        </w:tc>
      </w:tr>
    </w:tbl>
    <w:p>
      <w:pPr>
        <w:adjustRightInd w:val="0"/>
        <w:snapToGrid w:val="0"/>
        <w:spacing w:line="360" w:lineRule="auto"/>
        <w:rPr>
          <w:rFonts w:ascii="宋体" w:cs="宋体"/>
          <w:b/>
          <w:kern w:val="0"/>
          <w:sz w:val="28"/>
          <w:szCs w:val="28"/>
        </w:rPr>
        <w:sectPr>
          <w:pgSz w:w="11907" w:h="16840"/>
          <w:pgMar w:top="1701" w:right="1531" w:bottom="2127" w:left="1531" w:header="851" w:footer="851" w:gutter="0"/>
          <w:cols w:space="720" w:num="1"/>
          <w:docGrid w:linePitch="312" w:charSpace="0"/>
        </w:sectPr>
      </w:pPr>
    </w:p>
    <w:p>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4" w:name="_Hlk54167917"/>
      <w:r>
        <w:rPr>
          <w:rFonts w:hint="eastAsia" w:ascii="黑体" w:hAnsi="黑体" w:eastAsia="黑体"/>
          <w:snapToGrid w:val="0"/>
          <w:sz w:val="30"/>
          <w:szCs w:val="30"/>
        </w:rPr>
        <w:t>环境保护措施监督检查清单</w:t>
      </w:r>
      <w:bookmarkEnd w:id="4"/>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188"/>
        <w:gridCol w:w="864"/>
        <w:gridCol w:w="3172"/>
        <w:gridCol w:w="24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33" w:type="dxa"/>
            <w:tcBorders>
              <w:tl2br w:val="single" w:color="auto" w:sz="4" w:space="0"/>
            </w:tcBorders>
          </w:tcPr>
          <w:p>
            <w:pPr>
              <w:adjustRightInd w:val="0"/>
              <w:snapToGrid w:val="0"/>
              <w:rPr>
                <w:rFonts w:ascii="宋体" w:hAnsi="宋体" w:cs="宋体"/>
                <w:bCs/>
                <w:szCs w:val="21"/>
              </w:rPr>
            </w:pPr>
            <w:r>
              <w:rPr>
                <w:rFonts w:hint="eastAsia" w:ascii="宋体" w:hAnsi="宋体" w:cs="宋体"/>
                <w:bCs/>
                <w:szCs w:val="21"/>
              </w:rPr>
              <w:t xml:space="preserve">    内容</w:t>
            </w:r>
          </w:p>
          <w:p>
            <w:pPr>
              <w:adjustRightInd w:val="0"/>
              <w:snapToGrid w:val="0"/>
              <w:rPr>
                <w:rFonts w:ascii="宋体" w:hAnsi="宋体" w:cs="宋体"/>
                <w:bCs/>
                <w:szCs w:val="21"/>
              </w:rPr>
            </w:pPr>
          </w:p>
          <w:p>
            <w:pPr>
              <w:adjustRightInd w:val="0"/>
              <w:snapToGrid w:val="0"/>
              <w:rPr>
                <w:rFonts w:ascii="宋体" w:hAnsi="宋体" w:cs="宋体"/>
                <w:bCs/>
                <w:szCs w:val="21"/>
              </w:rPr>
            </w:pPr>
            <w:r>
              <w:rPr>
                <w:rFonts w:hint="eastAsia" w:ascii="宋体" w:hAnsi="宋体" w:cs="宋体"/>
                <w:bCs/>
                <w:szCs w:val="21"/>
              </w:rPr>
              <w:t>要素</w:t>
            </w:r>
          </w:p>
        </w:tc>
        <w:tc>
          <w:tcPr>
            <w:tcW w:w="1188" w:type="dxa"/>
            <w:vAlign w:val="center"/>
          </w:tcPr>
          <w:p>
            <w:pPr>
              <w:adjustRightInd w:val="0"/>
              <w:snapToGrid w:val="0"/>
              <w:jc w:val="center"/>
              <w:rPr>
                <w:rFonts w:ascii="宋体" w:hAnsi="宋体" w:cs="宋体"/>
                <w:bCs/>
                <w:szCs w:val="21"/>
              </w:rPr>
            </w:pPr>
            <w:r>
              <w:rPr>
                <w:rFonts w:hint="eastAsia" w:ascii="宋体" w:hAnsi="宋体" w:cs="宋体"/>
                <w:bCs/>
                <w:szCs w:val="21"/>
              </w:rPr>
              <w:t>排放口(编号、名称)/污染源</w:t>
            </w:r>
          </w:p>
        </w:tc>
        <w:tc>
          <w:tcPr>
            <w:tcW w:w="864" w:type="dxa"/>
            <w:vAlign w:val="center"/>
          </w:tcPr>
          <w:p>
            <w:pPr>
              <w:adjustRightInd w:val="0"/>
              <w:snapToGrid w:val="0"/>
              <w:jc w:val="center"/>
              <w:rPr>
                <w:rFonts w:ascii="宋体" w:hAnsi="宋体" w:cs="宋体"/>
                <w:bCs/>
                <w:szCs w:val="21"/>
              </w:rPr>
            </w:pPr>
            <w:r>
              <w:rPr>
                <w:rFonts w:hint="eastAsia" w:ascii="宋体" w:hAnsi="宋体" w:cs="宋体"/>
                <w:bCs/>
                <w:szCs w:val="21"/>
              </w:rPr>
              <w:t>污染物项目</w:t>
            </w:r>
          </w:p>
        </w:tc>
        <w:tc>
          <w:tcPr>
            <w:tcW w:w="3172" w:type="dxa"/>
            <w:vAlign w:val="center"/>
          </w:tcPr>
          <w:p>
            <w:pPr>
              <w:adjustRightInd w:val="0"/>
              <w:snapToGrid w:val="0"/>
              <w:jc w:val="center"/>
              <w:rPr>
                <w:rFonts w:ascii="宋体" w:hAnsi="宋体" w:cs="宋体"/>
                <w:bCs/>
                <w:szCs w:val="21"/>
              </w:rPr>
            </w:pPr>
            <w:r>
              <w:rPr>
                <w:rFonts w:hint="eastAsia" w:ascii="宋体" w:hAnsi="宋体" w:cs="宋体"/>
                <w:bCs/>
                <w:szCs w:val="21"/>
              </w:rPr>
              <w:t>环境保护措施</w:t>
            </w:r>
          </w:p>
        </w:tc>
        <w:tc>
          <w:tcPr>
            <w:tcW w:w="2443" w:type="dxa"/>
            <w:vAlign w:val="center"/>
          </w:tcPr>
          <w:p>
            <w:pPr>
              <w:adjustRightInd w:val="0"/>
              <w:snapToGrid w:val="0"/>
              <w:jc w:val="center"/>
              <w:rPr>
                <w:rFonts w:ascii="宋体" w:hAnsi="宋体" w:cs="宋体"/>
                <w:bCs/>
                <w:szCs w:val="21"/>
              </w:rPr>
            </w:pPr>
            <w:r>
              <w:rPr>
                <w:rFonts w:hint="eastAsia" w:ascii="宋体" w:hAnsi="宋体" w:cs="宋体"/>
                <w:bCs/>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33" w:type="dxa"/>
            <w:vMerge w:val="restart"/>
            <w:vAlign w:val="center"/>
          </w:tcPr>
          <w:p>
            <w:pPr>
              <w:adjustRightInd w:val="0"/>
              <w:snapToGrid w:val="0"/>
              <w:jc w:val="center"/>
              <w:rPr>
                <w:rFonts w:ascii="宋体" w:hAnsi="宋体" w:cs="宋体"/>
                <w:bCs/>
                <w:szCs w:val="21"/>
                <w:highlight w:val="yellow"/>
              </w:rPr>
            </w:pPr>
            <w:r>
              <w:rPr>
                <w:rFonts w:hint="eastAsia" w:ascii="宋体" w:hAnsi="宋体" w:cs="宋体"/>
                <w:bCs/>
                <w:szCs w:val="21"/>
              </w:rPr>
              <w:t>大气环境</w:t>
            </w:r>
          </w:p>
        </w:tc>
        <w:tc>
          <w:tcPr>
            <w:tcW w:w="1188" w:type="dxa"/>
            <w:vAlign w:val="center"/>
          </w:tcPr>
          <w:p>
            <w:pPr>
              <w:pStyle w:val="68"/>
              <w:spacing w:line="240" w:lineRule="auto"/>
              <w:rPr>
                <w:b/>
                <w:u w:val="single"/>
              </w:rPr>
            </w:pPr>
            <w:r>
              <w:rPr>
                <w:rFonts w:hint="eastAsia"/>
                <w:b/>
                <w:bCs/>
                <w:u w:val="single"/>
              </w:rPr>
              <w:t>投料搅拌废气（DA001）</w:t>
            </w:r>
          </w:p>
        </w:tc>
        <w:tc>
          <w:tcPr>
            <w:tcW w:w="864" w:type="dxa"/>
            <w:vAlign w:val="center"/>
          </w:tcPr>
          <w:p>
            <w:pPr>
              <w:pStyle w:val="68"/>
              <w:spacing w:line="240" w:lineRule="auto"/>
              <w:rPr>
                <w:b/>
                <w:u w:val="single"/>
              </w:rPr>
            </w:pPr>
            <w:r>
              <w:rPr>
                <w:rFonts w:hint="eastAsia"/>
                <w:b/>
                <w:u w:val="single"/>
              </w:rPr>
              <w:t>颗粒物</w:t>
            </w:r>
          </w:p>
        </w:tc>
        <w:tc>
          <w:tcPr>
            <w:tcW w:w="3172" w:type="dxa"/>
            <w:vAlign w:val="center"/>
          </w:tcPr>
          <w:p>
            <w:pPr>
              <w:pStyle w:val="68"/>
              <w:spacing w:line="240" w:lineRule="auto"/>
              <w:rPr>
                <w:b/>
                <w:u w:val="single"/>
              </w:rPr>
            </w:pPr>
            <w:r>
              <w:rPr>
                <w:rFonts w:hint="eastAsia" w:hAnsi="宋体"/>
                <w:b/>
                <w:u w:val="single"/>
              </w:rPr>
              <w:t>由布袋除尘器处理后通过15m高排气筒排放</w:t>
            </w:r>
          </w:p>
        </w:tc>
        <w:tc>
          <w:tcPr>
            <w:tcW w:w="2443" w:type="dxa"/>
            <w:vMerge w:val="restart"/>
            <w:vAlign w:val="center"/>
          </w:tcPr>
          <w:p>
            <w:pPr>
              <w:jc w:val="center"/>
              <w:rPr>
                <w:szCs w:val="21"/>
              </w:rPr>
            </w:pPr>
            <w:r>
              <w:t>《合成树脂工业污染物排放标准》（GB31572-2015）表5大气污染物特别排放限值要求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33" w:type="dxa"/>
            <w:vMerge w:val="continue"/>
            <w:vAlign w:val="center"/>
          </w:tcPr>
          <w:p>
            <w:pPr>
              <w:adjustRightInd w:val="0"/>
              <w:snapToGrid w:val="0"/>
              <w:jc w:val="center"/>
              <w:rPr>
                <w:rFonts w:ascii="宋体" w:hAnsi="宋体" w:cs="宋体"/>
                <w:bCs/>
                <w:szCs w:val="21"/>
              </w:rPr>
            </w:pPr>
          </w:p>
        </w:tc>
        <w:tc>
          <w:tcPr>
            <w:tcW w:w="1188" w:type="dxa"/>
            <w:vAlign w:val="center"/>
          </w:tcPr>
          <w:p>
            <w:pPr>
              <w:pStyle w:val="68"/>
              <w:spacing w:line="240" w:lineRule="auto"/>
            </w:pPr>
            <w:r>
              <w:rPr>
                <w:rFonts w:hint="eastAsia"/>
              </w:rPr>
              <w:t>加热挤出覆膜</w:t>
            </w:r>
            <w:r>
              <w:t>废气</w:t>
            </w:r>
            <w:r>
              <w:rPr>
                <w:rFonts w:hint="eastAsia"/>
                <w:bCs/>
              </w:rPr>
              <w:t>（DA002）</w:t>
            </w:r>
          </w:p>
        </w:tc>
        <w:tc>
          <w:tcPr>
            <w:tcW w:w="864" w:type="dxa"/>
            <w:vAlign w:val="center"/>
          </w:tcPr>
          <w:p>
            <w:pPr>
              <w:pStyle w:val="68"/>
              <w:spacing w:line="240" w:lineRule="auto"/>
            </w:pPr>
            <w:r>
              <w:rPr>
                <w:rFonts w:hint="eastAsia"/>
              </w:rPr>
              <w:t>非甲烷总烃</w:t>
            </w:r>
          </w:p>
        </w:tc>
        <w:tc>
          <w:tcPr>
            <w:tcW w:w="3172" w:type="dxa"/>
            <w:vAlign w:val="center"/>
          </w:tcPr>
          <w:p>
            <w:pPr>
              <w:pStyle w:val="68"/>
              <w:spacing w:line="240" w:lineRule="auto"/>
            </w:pPr>
            <w:r>
              <w:rPr>
                <w:rFonts w:hint="eastAsia" w:hAnsi="宋体"/>
              </w:rPr>
              <w:t>集气罩收集后由UV光氧+活性炭吸附装置处理后通过15m高排气筒排放</w:t>
            </w:r>
          </w:p>
        </w:tc>
        <w:tc>
          <w:tcPr>
            <w:tcW w:w="2443" w:type="dxa"/>
            <w:vMerge w:val="continue"/>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133" w:type="dxa"/>
            <w:vAlign w:val="center"/>
          </w:tcPr>
          <w:p>
            <w:pPr>
              <w:adjustRightInd w:val="0"/>
              <w:snapToGrid w:val="0"/>
              <w:jc w:val="center"/>
              <w:rPr>
                <w:rFonts w:ascii="宋体" w:hAnsi="宋体" w:cs="宋体"/>
                <w:bCs/>
                <w:szCs w:val="21"/>
                <w:highlight w:val="yellow"/>
              </w:rPr>
            </w:pPr>
            <w:r>
              <w:rPr>
                <w:rFonts w:hint="eastAsia" w:ascii="宋体" w:hAnsi="宋体" w:cs="宋体"/>
                <w:bCs/>
                <w:szCs w:val="21"/>
              </w:rPr>
              <w:t>地表水环境</w:t>
            </w:r>
          </w:p>
        </w:tc>
        <w:tc>
          <w:tcPr>
            <w:tcW w:w="1188" w:type="dxa"/>
            <w:vAlign w:val="center"/>
          </w:tcPr>
          <w:p>
            <w:pPr>
              <w:jc w:val="center"/>
              <w:rPr>
                <w:szCs w:val="21"/>
              </w:rPr>
            </w:pPr>
            <w:r>
              <w:rPr>
                <w:rFonts w:hint="eastAsia"/>
                <w:szCs w:val="21"/>
              </w:rPr>
              <w:t>生活污水</w:t>
            </w:r>
          </w:p>
        </w:tc>
        <w:tc>
          <w:tcPr>
            <w:tcW w:w="864" w:type="dxa"/>
            <w:vAlign w:val="center"/>
          </w:tcPr>
          <w:p>
            <w:pPr>
              <w:rPr>
                <w:szCs w:val="21"/>
              </w:rPr>
            </w:pPr>
            <w:r>
              <w:rPr>
                <w:szCs w:val="21"/>
              </w:rPr>
              <w:t>COD</w:t>
            </w:r>
          </w:p>
          <w:p>
            <w:pPr>
              <w:rPr>
                <w:szCs w:val="21"/>
              </w:rPr>
            </w:pPr>
            <w:r>
              <w:rPr>
                <w:szCs w:val="21"/>
              </w:rPr>
              <w:t>BOD</w:t>
            </w:r>
            <w:r>
              <w:rPr>
                <w:szCs w:val="21"/>
                <w:vertAlign w:val="subscript"/>
              </w:rPr>
              <w:t>5</w:t>
            </w:r>
            <w:r>
              <w:rPr>
                <w:szCs w:val="21"/>
              </w:rPr>
              <w:t xml:space="preserve"> SS</w:t>
            </w:r>
          </w:p>
          <w:p>
            <w:pPr>
              <w:rPr>
                <w:szCs w:val="21"/>
              </w:rPr>
            </w:pPr>
            <w:r>
              <w:rPr>
                <w:szCs w:val="21"/>
              </w:rPr>
              <w:t>NH</w:t>
            </w:r>
            <w:r>
              <w:rPr>
                <w:szCs w:val="21"/>
                <w:vertAlign w:val="subscript"/>
              </w:rPr>
              <w:t>3</w:t>
            </w:r>
            <w:r>
              <w:rPr>
                <w:szCs w:val="21"/>
              </w:rPr>
              <w:t xml:space="preserve">-N </w:t>
            </w:r>
          </w:p>
        </w:tc>
        <w:tc>
          <w:tcPr>
            <w:tcW w:w="3172" w:type="dxa"/>
            <w:vAlign w:val="center"/>
          </w:tcPr>
          <w:p>
            <w:pPr>
              <w:adjustRightInd w:val="0"/>
              <w:snapToGrid w:val="0"/>
              <w:jc w:val="center"/>
              <w:rPr>
                <w:bCs/>
              </w:rPr>
            </w:pPr>
            <w:r>
              <w:rPr>
                <w:rStyle w:val="31"/>
                <w:kern w:val="0"/>
              </w:rPr>
              <w:t>生活污水经厂区现有化粪池（</w:t>
            </w:r>
            <w:r>
              <w:rPr>
                <w:rStyle w:val="31"/>
                <w:rFonts w:hint="eastAsia"/>
                <w:kern w:val="0"/>
              </w:rPr>
              <w:t>5</w:t>
            </w:r>
            <w:r>
              <w:rPr>
                <w:rStyle w:val="31"/>
                <w:kern w:val="0"/>
              </w:rPr>
              <w:t>0m</w:t>
            </w:r>
            <w:r>
              <w:rPr>
                <w:rStyle w:val="31"/>
                <w:kern w:val="0"/>
                <w:vertAlign w:val="superscript"/>
              </w:rPr>
              <w:t>3</w:t>
            </w:r>
            <w:r>
              <w:rPr>
                <w:rStyle w:val="31"/>
                <w:kern w:val="0"/>
              </w:rPr>
              <w:t>）处理后通过市政管网排入偃师市第三污水处理厂。</w:t>
            </w:r>
          </w:p>
        </w:tc>
        <w:tc>
          <w:tcPr>
            <w:tcW w:w="2443" w:type="dxa"/>
            <w:vAlign w:val="center"/>
          </w:tcPr>
          <w:p>
            <w:pPr>
              <w:adjustRightInd w:val="0"/>
              <w:snapToGrid w:val="0"/>
              <w:jc w:val="center"/>
              <w:rPr>
                <w:bCs/>
                <w:szCs w:val="21"/>
              </w:rPr>
            </w:pPr>
            <w:r>
              <w:rPr>
                <w:rFonts w:hint="eastAsia"/>
              </w:rPr>
              <w:t>《污水综合排放标准》（GB8978-1996）三级标准及偃师区第三污水处理厂进水水质要求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3" w:type="dxa"/>
            <w:vAlign w:val="center"/>
          </w:tcPr>
          <w:p>
            <w:pPr>
              <w:adjustRightInd w:val="0"/>
              <w:snapToGrid w:val="0"/>
              <w:jc w:val="center"/>
              <w:rPr>
                <w:rFonts w:ascii="宋体" w:hAnsi="宋体" w:cs="宋体"/>
                <w:bCs/>
                <w:szCs w:val="21"/>
              </w:rPr>
            </w:pPr>
            <w:r>
              <w:rPr>
                <w:rFonts w:hint="eastAsia" w:ascii="宋体" w:hAnsi="宋体" w:cs="宋体"/>
                <w:bCs/>
                <w:szCs w:val="21"/>
              </w:rPr>
              <w:t>声环境</w:t>
            </w:r>
          </w:p>
        </w:tc>
        <w:tc>
          <w:tcPr>
            <w:tcW w:w="1188" w:type="dxa"/>
            <w:vAlign w:val="center"/>
          </w:tcPr>
          <w:p>
            <w:pPr>
              <w:adjustRightInd w:val="0"/>
              <w:snapToGrid w:val="0"/>
              <w:jc w:val="center"/>
              <w:rPr>
                <w:rFonts w:ascii="宋体" w:hAnsi="宋体" w:cs="宋体"/>
                <w:bCs/>
                <w:szCs w:val="21"/>
              </w:rPr>
            </w:pPr>
            <w:r>
              <w:rPr>
                <w:rFonts w:hint="eastAsia" w:ascii="宋体" w:hAnsi="宋体" w:cs="宋体"/>
                <w:bCs/>
                <w:szCs w:val="21"/>
              </w:rPr>
              <w:t>生产设备、风机等</w:t>
            </w:r>
          </w:p>
        </w:tc>
        <w:tc>
          <w:tcPr>
            <w:tcW w:w="864" w:type="dxa"/>
            <w:vAlign w:val="center"/>
          </w:tcPr>
          <w:p>
            <w:pPr>
              <w:pStyle w:val="68"/>
              <w:spacing w:line="240" w:lineRule="auto"/>
              <w:rPr>
                <w:bCs/>
              </w:rPr>
            </w:pPr>
            <w:r>
              <w:rPr>
                <w:rFonts w:hint="eastAsia"/>
                <w:bCs/>
              </w:rPr>
              <w:t>等效A等级</w:t>
            </w:r>
          </w:p>
        </w:tc>
        <w:tc>
          <w:tcPr>
            <w:tcW w:w="3172" w:type="dxa"/>
            <w:vAlign w:val="center"/>
          </w:tcPr>
          <w:p>
            <w:pPr>
              <w:pStyle w:val="68"/>
              <w:spacing w:line="240" w:lineRule="auto"/>
              <w:rPr>
                <w:bCs/>
              </w:rPr>
            </w:pPr>
            <w:r>
              <w:rPr>
                <w:bCs/>
              </w:rPr>
              <w:t>厂房隔声</w:t>
            </w:r>
            <w:r>
              <w:rPr>
                <w:rFonts w:hint="eastAsia"/>
                <w:bCs/>
              </w:rPr>
              <w:t>、距离衰减</w:t>
            </w:r>
            <w:r>
              <w:rPr>
                <w:bCs/>
              </w:rPr>
              <w:t>等</w:t>
            </w:r>
          </w:p>
        </w:tc>
        <w:tc>
          <w:tcPr>
            <w:tcW w:w="2443" w:type="dxa"/>
            <w:vAlign w:val="center"/>
          </w:tcPr>
          <w:p>
            <w:pPr>
              <w:adjustRightInd w:val="0"/>
              <w:snapToGrid w:val="0"/>
              <w:jc w:val="center"/>
              <w:rPr>
                <w:rFonts w:ascii="宋体" w:hAnsi="宋体" w:cs="宋体"/>
                <w:bCs/>
                <w:szCs w:val="21"/>
              </w:rPr>
            </w:pPr>
            <w:r>
              <w:rPr>
                <w:bCs/>
              </w:rPr>
              <w:t>《工业企业厂界环境噪声排放标准》(GB12348-2008)中</w:t>
            </w:r>
            <w:r>
              <w:rPr>
                <w:rFonts w:hint="eastAsia"/>
                <w:bCs/>
              </w:rPr>
              <w:t>3</w:t>
            </w:r>
            <w:r>
              <w:rPr>
                <w:bCs/>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3" w:type="dxa"/>
            <w:vAlign w:val="center"/>
          </w:tcPr>
          <w:p>
            <w:pPr>
              <w:adjustRightInd w:val="0"/>
              <w:snapToGrid w:val="0"/>
              <w:jc w:val="center"/>
              <w:rPr>
                <w:rFonts w:ascii="宋体" w:hAnsi="宋体" w:cs="宋体"/>
                <w:bCs/>
                <w:szCs w:val="21"/>
              </w:rPr>
            </w:pPr>
            <w:r>
              <w:rPr>
                <w:rFonts w:hint="eastAsia" w:ascii="宋体" w:hAnsi="宋体" w:cs="宋体"/>
                <w:bCs/>
                <w:szCs w:val="21"/>
              </w:rPr>
              <w:t>电磁辐射</w:t>
            </w:r>
          </w:p>
        </w:tc>
        <w:tc>
          <w:tcPr>
            <w:tcW w:w="1188" w:type="dxa"/>
            <w:vAlign w:val="center"/>
          </w:tcPr>
          <w:p>
            <w:pPr>
              <w:adjustRightInd w:val="0"/>
              <w:snapToGrid w:val="0"/>
              <w:jc w:val="center"/>
              <w:rPr>
                <w:rFonts w:ascii="宋体" w:hAnsi="宋体" w:cs="宋体"/>
                <w:bCs/>
                <w:szCs w:val="21"/>
              </w:rPr>
            </w:pPr>
            <w:r>
              <w:rPr>
                <w:rFonts w:hint="eastAsia" w:ascii="宋体" w:hAnsi="宋体" w:cs="宋体"/>
                <w:bCs/>
                <w:szCs w:val="21"/>
              </w:rPr>
              <w:t>/</w:t>
            </w:r>
          </w:p>
        </w:tc>
        <w:tc>
          <w:tcPr>
            <w:tcW w:w="864" w:type="dxa"/>
            <w:vAlign w:val="center"/>
          </w:tcPr>
          <w:p>
            <w:pPr>
              <w:adjustRightInd w:val="0"/>
              <w:snapToGrid w:val="0"/>
              <w:jc w:val="center"/>
              <w:rPr>
                <w:rFonts w:ascii="宋体" w:hAnsi="宋体" w:cs="宋体"/>
                <w:bCs/>
                <w:szCs w:val="21"/>
              </w:rPr>
            </w:pPr>
            <w:r>
              <w:rPr>
                <w:rFonts w:hint="eastAsia" w:ascii="宋体" w:hAnsi="宋体" w:cs="宋体"/>
                <w:bCs/>
                <w:szCs w:val="21"/>
              </w:rPr>
              <w:t>/</w:t>
            </w:r>
          </w:p>
        </w:tc>
        <w:tc>
          <w:tcPr>
            <w:tcW w:w="3172" w:type="dxa"/>
            <w:vAlign w:val="center"/>
          </w:tcPr>
          <w:p>
            <w:pPr>
              <w:adjustRightInd w:val="0"/>
              <w:snapToGrid w:val="0"/>
              <w:jc w:val="center"/>
              <w:rPr>
                <w:rFonts w:ascii="宋体" w:hAnsi="宋体" w:cs="宋体"/>
                <w:bCs/>
                <w:szCs w:val="21"/>
              </w:rPr>
            </w:pPr>
            <w:r>
              <w:rPr>
                <w:rFonts w:hint="eastAsia" w:ascii="宋体" w:hAnsi="宋体" w:cs="宋体"/>
                <w:bCs/>
                <w:szCs w:val="21"/>
              </w:rPr>
              <w:t>/</w:t>
            </w:r>
          </w:p>
        </w:tc>
        <w:tc>
          <w:tcPr>
            <w:tcW w:w="2443" w:type="dxa"/>
            <w:vAlign w:val="center"/>
          </w:tcPr>
          <w:p>
            <w:pPr>
              <w:adjustRightInd w:val="0"/>
              <w:snapToGrid w:val="0"/>
              <w:jc w:val="center"/>
              <w:rPr>
                <w:rFonts w:ascii="宋体" w:hAnsi="宋体" w:cs="宋体"/>
                <w:bCs/>
                <w:szCs w:val="21"/>
              </w:rPr>
            </w:pPr>
            <w:r>
              <w:rPr>
                <w:rFonts w:hint="eastAsia" w:ascii="宋体" w:hAnsi="宋体" w:cs="宋体"/>
                <w:bCs/>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pPr>
              <w:adjustRightInd w:val="0"/>
              <w:snapToGrid w:val="0"/>
              <w:jc w:val="center"/>
              <w:rPr>
                <w:rFonts w:ascii="宋体" w:hAnsi="宋体" w:cs="宋体"/>
                <w:bCs/>
                <w:szCs w:val="21"/>
              </w:rPr>
            </w:pPr>
            <w:r>
              <w:rPr>
                <w:rFonts w:hint="eastAsia" w:ascii="宋体" w:hAnsi="宋体" w:cs="宋体"/>
                <w:bCs/>
                <w:szCs w:val="21"/>
              </w:rPr>
              <w:t>固体废物</w:t>
            </w:r>
          </w:p>
        </w:tc>
        <w:tc>
          <w:tcPr>
            <w:tcW w:w="7667" w:type="dxa"/>
            <w:gridSpan w:val="4"/>
            <w:vAlign w:val="center"/>
          </w:tcPr>
          <w:p>
            <w:pPr>
              <w:adjustRightInd w:val="0"/>
              <w:snapToGrid w:val="0"/>
              <w:jc w:val="center"/>
              <w:rPr>
                <w:rFonts w:ascii="宋体" w:hAnsi="宋体" w:cs="宋体"/>
                <w:bCs/>
                <w:szCs w:val="21"/>
              </w:rPr>
            </w:pPr>
            <w:r>
              <w:rPr>
                <w:rFonts w:hint="eastAsia"/>
              </w:rPr>
              <w:t>本项目</w:t>
            </w:r>
            <w:r>
              <w:t>废包装材料收集后外售</w:t>
            </w:r>
            <w:r>
              <w:rPr>
                <w:rFonts w:hint="eastAsia"/>
                <w:bCs/>
              </w:rPr>
              <w:t>；生活垃圾</w:t>
            </w:r>
            <w:r>
              <w:rPr>
                <w:bCs/>
              </w:rPr>
              <w:t>集中收集后交由环卫部门统一清运</w:t>
            </w:r>
            <w:r>
              <w:rPr>
                <w:rFonts w:hint="eastAsia"/>
                <w:bCs/>
              </w:rPr>
              <w:t>；危险废物</w:t>
            </w:r>
            <w:r>
              <w:rPr>
                <w:bCs/>
              </w:rPr>
              <w:t>在厂区危险废物暂存</w:t>
            </w:r>
            <w:r>
              <w:rPr>
                <w:rFonts w:hint="eastAsia"/>
                <w:bCs/>
              </w:rPr>
              <w:t>间（车间西南角、5m</w:t>
            </w:r>
            <w:r>
              <w:rPr>
                <w:rFonts w:hint="eastAsia"/>
                <w:bCs/>
                <w:vertAlign w:val="superscript"/>
              </w:rPr>
              <w:t>2</w:t>
            </w:r>
            <w:r>
              <w:rPr>
                <w:rFonts w:hint="eastAsia"/>
                <w:bCs/>
              </w:rPr>
              <w:t>），建设满足</w:t>
            </w:r>
            <w:r>
              <w:rPr>
                <w:bCs/>
              </w:rPr>
              <w:t>《危险废物贮存污染控制标准》</w:t>
            </w:r>
            <w:r>
              <w:rPr>
                <w:rFonts w:hAnsi="宋体"/>
                <w:bCs/>
                <w:szCs w:val="21"/>
              </w:rPr>
              <w:t>（</w:t>
            </w:r>
            <w:r>
              <w:rPr>
                <w:bCs/>
                <w:szCs w:val="21"/>
              </w:rPr>
              <w:t>GB18597-20</w:t>
            </w:r>
            <w:r>
              <w:rPr>
                <w:rFonts w:hint="eastAsia"/>
                <w:bCs/>
                <w:szCs w:val="21"/>
              </w:rPr>
              <w:t>23</w:t>
            </w:r>
            <w:r>
              <w:rPr>
                <w:rFonts w:hAnsi="宋体"/>
                <w:bCs/>
                <w:szCs w:val="21"/>
              </w:rPr>
              <w:t>）</w:t>
            </w:r>
            <w:r>
              <w:rPr>
                <w:rFonts w:hint="eastAsia"/>
                <w:bCs/>
              </w:rPr>
              <w:t>相关要求</w:t>
            </w:r>
            <w:r>
              <w:rPr>
                <w:bCs/>
              </w:rPr>
              <w:t>，定期交由有资质的单位进行处理。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133" w:type="dxa"/>
            <w:vAlign w:val="center"/>
          </w:tcPr>
          <w:p>
            <w:pPr>
              <w:adjustRightInd w:val="0"/>
              <w:snapToGrid w:val="0"/>
              <w:jc w:val="center"/>
              <w:rPr>
                <w:rFonts w:ascii="宋体" w:hAnsi="宋体" w:cs="宋体"/>
                <w:bCs/>
                <w:szCs w:val="21"/>
              </w:rPr>
            </w:pPr>
            <w:r>
              <w:rPr>
                <w:rFonts w:hint="eastAsia" w:ascii="宋体" w:hAnsi="宋体" w:cs="宋体"/>
                <w:bCs/>
                <w:szCs w:val="21"/>
              </w:rPr>
              <w:t>土壤及地下水污染防治措施</w:t>
            </w:r>
          </w:p>
        </w:tc>
        <w:tc>
          <w:tcPr>
            <w:tcW w:w="7667" w:type="dxa"/>
            <w:gridSpan w:val="4"/>
            <w:vAlign w:val="center"/>
          </w:tcPr>
          <w:p>
            <w:pPr>
              <w:adjustRightInd w:val="0"/>
              <w:snapToGrid w:val="0"/>
              <w:jc w:val="center"/>
              <w:rPr>
                <w:bCs/>
                <w:szCs w:val="21"/>
              </w:rPr>
            </w:pPr>
            <w:r>
              <w:rPr>
                <w:rFonts w:hAnsi="宋体"/>
                <w:bCs/>
                <w:szCs w:val="21"/>
              </w:rPr>
              <w:t>项目各生产车间内均设置单独的固废堆存区，地面硬化；厂区设置有危废暂存间，建设满足《危险废物贮存污染控制标准》（</w:t>
            </w:r>
            <w:r>
              <w:rPr>
                <w:bCs/>
                <w:szCs w:val="21"/>
              </w:rPr>
              <w:t>GB18597-20</w:t>
            </w:r>
            <w:r>
              <w:rPr>
                <w:rFonts w:hint="eastAsia"/>
                <w:bCs/>
                <w:szCs w:val="21"/>
              </w:rPr>
              <w:t>23</w:t>
            </w:r>
            <w:r>
              <w:rPr>
                <w:rFonts w:hAnsi="宋体"/>
                <w:bCs/>
                <w:szCs w:val="21"/>
              </w:rPr>
              <w:t>）相关要求；生活垃圾均设置垃圾收集桶，定点收集。厂内化粪池的池壁采用高标号的防水混凝土，内壁涂防水涂料，满足防渗要求。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3" w:type="dxa"/>
            <w:vAlign w:val="center"/>
          </w:tcPr>
          <w:p>
            <w:pPr>
              <w:adjustRightInd w:val="0"/>
              <w:snapToGrid w:val="0"/>
              <w:jc w:val="center"/>
              <w:rPr>
                <w:rFonts w:ascii="宋体" w:hAnsi="宋体" w:cs="宋体"/>
                <w:bCs/>
                <w:szCs w:val="21"/>
              </w:rPr>
            </w:pPr>
            <w:r>
              <w:rPr>
                <w:rFonts w:hint="eastAsia" w:ascii="宋体" w:hAnsi="宋体" w:cs="宋体"/>
                <w:bCs/>
                <w:szCs w:val="21"/>
              </w:rPr>
              <w:t>生态保护措施</w:t>
            </w:r>
          </w:p>
        </w:tc>
        <w:tc>
          <w:tcPr>
            <w:tcW w:w="7667" w:type="dxa"/>
            <w:gridSpan w:val="4"/>
            <w:vAlign w:val="center"/>
          </w:tcPr>
          <w:p>
            <w:pPr>
              <w:adjustRightInd w:val="0"/>
              <w:snapToGrid w:val="0"/>
              <w:jc w:val="center"/>
              <w:rPr>
                <w:rFonts w:ascii="宋体" w:hAnsi="宋体" w:cs="宋体"/>
                <w:bCs/>
                <w:szCs w:val="21"/>
                <w:highlight w:val="yellow"/>
              </w:rPr>
            </w:pPr>
            <w:r>
              <w:rPr>
                <w:rFonts w:hint="eastAsia" w:cs="宋体"/>
                <w:szCs w:val="21"/>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3" w:type="dxa"/>
            <w:vAlign w:val="center"/>
          </w:tcPr>
          <w:p>
            <w:pPr>
              <w:adjustRightInd w:val="0"/>
              <w:snapToGrid w:val="0"/>
              <w:jc w:val="center"/>
              <w:rPr>
                <w:rFonts w:ascii="宋体" w:hAnsi="宋体" w:cs="宋体"/>
                <w:bCs/>
                <w:spacing w:val="-8"/>
                <w:szCs w:val="21"/>
              </w:rPr>
            </w:pPr>
            <w:r>
              <w:rPr>
                <w:rFonts w:hint="eastAsia" w:ascii="宋体" w:hAnsi="宋体" w:cs="宋体"/>
                <w:bCs/>
                <w:spacing w:val="-8"/>
                <w:szCs w:val="21"/>
              </w:rPr>
              <w:t>环境风险</w:t>
            </w:r>
          </w:p>
          <w:p>
            <w:pPr>
              <w:adjustRightInd w:val="0"/>
              <w:snapToGrid w:val="0"/>
              <w:jc w:val="center"/>
              <w:rPr>
                <w:rFonts w:ascii="宋体" w:hAnsi="宋体" w:cs="宋体"/>
                <w:bCs/>
                <w:spacing w:val="-8"/>
                <w:szCs w:val="21"/>
              </w:rPr>
            </w:pPr>
            <w:r>
              <w:rPr>
                <w:rFonts w:hint="eastAsia" w:ascii="宋体" w:hAnsi="宋体" w:cs="宋体"/>
                <w:bCs/>
                <w:spacing w:val="-8"/>
                <w:szCs w:val="21"/>
              </w:rPr>
              <w:t>防范措施</w:t>
            </w:r>
          </w:p>
        </w:tc>
        <w:tc>
          <w:tcPr>
            <w:tcW w:w="7667" w:type="dxa"/>
            <w:gridSpan w:val="4"/>
            <w:vAlign w:val="center"/>
          </w:tcPr>
          <w:p>
            <w:pPr>
              <w:adjustRightInd w:val="0"/>
              <w:snapToGrid w:val="0"/>
              <w:ind w:firstLine="420" w:firstLineChars="200"/>
              <w:jc w:val="left"/>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33" w:type="dxa"/>
            <w:vAlign w:val="center"/>
          </w:tcPr>
          <w:p>
            <w:pPr>
              <w:adjustRightInd w:val="0"/>
              <w:snapToGrid w:val="0"/>
              <w:jc w:val="center"/>
              <w:rPr>
                <w:rFonts w:ascii="宋体" w:hAnsi="宋体" w:cs="宋体"/>
                <w:bCs/>
                <w:spacing w:val="-8"/>
                <w:szCs w:val="21"/>
              </w:rPr>
            </w:pPr>
            <w:r>
              <w:rPr>
                <w:rFonts w:hint="eastAsia" w:ascii="宋体" w:hAnsi="宋体" w:cs="宋体"/>
                <w:bCs/>
                <w:spacing w:val="-8"/>
                <w:szCs w:val="21"/>
              </w:rPr>
              <w:t>其他环境</w:t>
            </w:r>
          </w:p>
          <w:p>
            <w:pPr>
              <w:adjustRightInd w:val="0"/>
              <w:snapToGrid w:val="0"/>
              <w:jc w:val="center"/>
              <w:rPr>
                <w:rFonts w:ascii="宋体" w:hAnsi="宋体" w:cs="宋体"/>
                <w:bCs/>
                <w:spacing w:val="-8"/>
                <w:szCs w:val="21"/>
              </w:rPr>
            </w:pPr>
            <w:r>
              <w:rPr>
                <w:rFonts w:hint="eastAsia" w:ascii="宋体" w:hAnsi="宋体" w:cs="宋体"/>
                <w:bCs/>
                <w:spacing w:val="-8"/>
                <w:szCs w:val="21"/>
              </w:rPr>
              <w:t>管理要求</w:t>
            </w:r>
          </w:p>
        </w:tc>
        <w:tc>
          <w:tcPr>
            <w:tcW w:w="7667" w:type="dxa"/>
            <w:gridSpan w:val="4"/>
            <w:vAlign w:val="center"/>
          </w:tcPr>
          <w:p>
            <w:pPr>
              <w:spacing w:line="360" w:lineRule="exact"/>
              <w:rPr>
                <w:szCs w:val="21"/>
              </w:rPr>
            </w:pPr>
            <w:r>
              <w:rPr>
                <w:szCs w:val="21"/>
              </w:rPr>
              <w:t>（1）加强环保治理设施管理，确保治理设施正常运行，污染物稳定达标排放；</w:t>
            </w:r>
          </w:p>
          <w:p>
            <w:pPr>
              <w:spacing w:line="360" w:lineRule="exact"/>
              <w:rPr>
                <w:szCs w:val="21"/>
              </w:rPr>
            </w:pPr>
            <w:r>
              <w:rPr>
                <w:szCs w:val="21"/>
              </w:rPr>
              <w:t>（2）排放口规范化设置，粘贴标识牌；</w:t>
            </w:r>
          </w:p>
          <w:p>
            <w:pPr>
              <w:spacing w:line="360" w:lineRule="exact"/>
              <w:rPr>
                <w:szCs w:val="21"/>
              </w:rPr>
            </w:pPr>
            <w:r>
              <w:rPr>
                <w:szCs w:val="21"/>
              </w:rPr>
              <w:t>（3）依据行业规范制定自行监测计划；</w:t>
            </w:r>
          </w:p>
          <w:p>
            <w:pPr>
              <w:spacing w:line="360" w:lineRule="exact"/>
              <w:rPr>
                <w:szCs w:val="21"/>
              </w:rPr>
            </w:pPr>
            <w:r>
              <w:rPr>
                <w:szCs w:val="21"/>
              </w:rPr>
              <w:t>（4）发生排污行为前，完成排污许可证的申请。</w:t>
            </w:r>
          </w:p>
          <w:p>
            <w:pPr>
              <w:spacing w:line="360" w:lineRule="exact"/>
              <w:rPr>
                <w:szCs w:val="21"/>
              </w:rPr>
            </w:pPr>
            <w:r>
              <w:rPr>
                <w:rFonts w:hint="eastAsia"/>
                <w:szCs w:val="21"/>
              </w:rPr>
              <w:t>（5）项目正式运营后，应对污染治理设施、设备及各污染物产生排放情况进行统计，建立管理台账，台账保存期限不得少于五年。</w:t>
            </w:r>
          </w:p>
          <w:p>
            <w:pPr>
              <w:adjustRightInd w:val="0"/>
              <w:snapToGrid w:val="0"/>
              <w:rPr>
                <w:rFonts w:ascii="宋体" w:hAnsi="宋体" w:cs="宋体"/>
                <w:bCs/>
                <w:szCs w:val="21"/>
              </w:rPr>
            </w:pPr>
          </w:p>
        </w:tc>
      </w:tr>
    </w:tbl>
    <w:p>
      <w:pPr>
        <w:pStyle w:val="19"/>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520" w:lineRule="exact"/>
              <w:ind w:firstLine="480" w:firstLineChars="200"/>
              <w:jc w:val="left"/>
              <w:rPr>
                <w:rFonts w:eastAsia="黑体"/>
                <w:sz w:val="24"/>
              </w:rPr>
            </w:pPr>
            <w:r>
              <w:rPr>
                <w:rFonts w:hint="eastAsia" w:eastAsia="黑体"/>
                <w:sz w:val="24"/>
              </w:rPr>
              <w:t>洛阳和一集装袋包装有限公司年产5000吨覆膜基布项目</w:t>
            </w:r>
            <w:r>
              <w:rPr>
                <w:rFonts w:eastAsia="黑体"/>
                <w:sz w:val="24"/>
              </w:rPr>
              <w:t>符合国家产业政策，选址可行并符合当地规划。项目的建设不可避免会对环境造成一定影响，但企业在认真执行环境“三同时”制度，落实本环评提出的各项污染防治措施后，项目的环境影响</w:t>
            </w:r>
            <w:r>
              <w:rPr>
                <w:rFonts w:hint="eastAsia" w:eastAsia="黑体"/>
                <w:sz w:val="24"/>
              </w:rPr>
              <w:t>较小</w:t>
            </w:r>
            <w:r>
              <w:rPr>
                <w:rFonts w:eastAsia="黑体"/>
                <w:sz w:val="24"/>
              </w:rPr>
              <w:t>。综合其社会、经济和环境效益，从环保角度出发，本项目是可行的。</w:t>
            </w:r>
          </w:p>
          <w:p>
            <w:pPr>
              <w:spacing w:line="360" w:lineRule="auto"/>
              <w:rPr>
                <w:rFonts w:ascii="宋体" w:cs="宋体"/>
                <w:sz w:val="24"/>
              </w:rPr>
            </w:pPr>
          </w:p>
        </w:tc>
      </w:tr>
    </w:tbl>
    <w:p>
      <w:pPr>
        <w:rPr>
          <w:rFonts w:ascii="宋体"/>
        </w:rPr>
        <w:sectPr>
          <w:pgSz w:w="11906" w:h="16838"/>
          <w:pgMar w:top="1701" w:right="1531" w:bottom="1701" w:left="1531" w:header="851" w:footer="851" w:gutter="0"/>
          <w:cols w:space="720" w:num="1"/>
          <w:docGrid w:linePitch="312" w:charSpace="0"/>
        </w:sectPr>
      </w:pPr>
    </w:p>
    <w:p>
      <w:pPr>
        <w:pStyle w:val="19"/>
        <w:adjustRightInd w:val="0"/>
        <w:snapToGrid w:val="0"/>
        <w:spacing w:before="0" w:beforeAutospacing="0" w:after="0" w:afterAutospacing="0" w:line="520" w:lineRule="exact"/>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19"/>
        <w:adjustRightInd w:val="0"/>
        <w:snapToGrid w:val="0"/>
        <w:spacing w:before="0" w:beforeAutospacing="0" w:after="0" w:afterAutospacing="0" w:line="520" w:lineRule="exact"/>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2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59"/>
        <w:gridCol w:w="1559"/>
        <w:gridCol w:w="1276"/>
        <w:gridCol w:w="1701"/>
        <w:gridCol w:w="1559"/>
        <w:gridCol w:w="1761"/>
        <w:gridCol w:w="1499"/>
        <w:gridCol w:w="1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56"/>
              <w:spacing w:beforeLines="0" w:afterLines="0" w:line="240" w:lineRule="auto"/>
              <w:jc w:val="right"/>
              <w:rPr>
                <w:rFonts w:ascii="Times New Roman"/>
                <w:snapToGrid w:val="0"/>
                <w:spacing w:val="-6"/>
                <w:kern w:val="21"/>
                <w:szCs w:val="21"/>
              </w:rPr>
            </w:pPr>
            <w:r>
              <w:rPr>
                <w:rFonts w:ascii="Times New Roman" w:hAnsi="宋体"/>
                <w:snapToGrid w:val="0"/>
                <w:spacing w:val="-6"/>
                <w:kern w:val="21"/>
                <w:szCs w:val="21"/>
              </w:rPr>
              <w:t>项目</w:t>
            </w:r>
          </w:p>
          <w:p>
            <w:pPr>
              <w:pStyle w:val="56"/>
              <w:spacing w:beforeLines="0" w:afterLines="0" w:line="240" w:lineRule="auto"/>
              <w:jc w:val="left"/>
              <w:rPr>
                <w:rFonts w:ascii="Times New Roman"/>
                <w:snapToGrid w:val="0"/>
                <w:spacing w:val="-6"/>
                <w:kern w:val="21"/>
                <w:szCs w:val="21"/>
              </w:rPr>
            </w:pPr>
            <w:r>
              <w:rPr>
                <w:rFonts w:ascii="Times New Roman" w:hAnsi="宋体"/>
                <w:snapToGrid w:val="0"/>
                <w:spacing w:val="-6"/>
                <w:kern w:val="21"/>
                <w:szCs w:val="21"/>
              </w:rPr>
              <w:t>分类</w:t>
            </w:r>
          </w:p>
        </w:tc>
        <w:tc>
          <w:tcPr>
            <w:tcW w:w="1559" w:type="dxa"/>
            <w:tcMar>
              <w:left w:w="28" w:type="dxa"/>
              <w:right w:w="28" w:type="dxa"/>
            </w:tcMar>
            <w:vAlign w:val="center"/>
          </w:tcPr>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污染物名称</w:t>
            </w:r>
          </w:p>
        </w:tc>
        <w:tc>
          <w:tcPr>
            <w:tcW w:w="1559" w:type="dxa"/>
            <w:tcMar>
              <w:left w:w="28" w:type="dxa"/>
              <w:right w:w="28" w:type="dxa"/>
            </w:tcMar>
            <w:vAlign w:val="center"/>
          </w:tcPr>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现有工程</w:t>
            </w:r>
          </w:p>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hAnsi="宋体"/>
                <w:kern w:val="2"/>
                <w:szCs w:val="21"/>
              </w:rPr>
              <w:t>①</w:t>
            </w:r>
            <w:r>
              <w:rPr>
                <w:rFonts w:ascii="Times New Roman"/>
                <w:snapToGrid w:val="0"/>
                <w:spacing w:val="-6"/>
                <w:kern w:val="21"/>
                <w:szCs w:val="21"/>
              </w:rPr>
              <w:fldChar w:fldCharType="end"/>
            </w:r>
          </w:p>
        </w:tc>
        <w:tc>
          <w:tcPr>
            <w:tcW w:w="1276" w:type="dxa"/>
            <w:tcMar>
              <w:left w:w="28" w:type="dxa"/>
              <w:right w:w="28" w:type="dxa"/>
            </w:tcMar>
            <w:vAlign w:val="center"/>
          </w:tcPr>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现有工程</w:t>
            </w:r>
          </w:p>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许可排放量</w:t>
            </w:r>
          </w:p>
          <w:p>
            <w:pPr>
              <w:pStyle w:val="56"/>
              <w:spacing w:beforeLines="0" w:afterLines="0"/>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2 \* GB3 \* MERGEFORMAT </w:instrText>
            </w:r>
            <w:r>
              <w:rPr>
                <w:rFonts w:ascii="Times New Roman"/>
                <w:snapToGrid w:val="0"/>
                <w:spacing w:val="-6"/>
                <w:kern w:val="21"/>
                <w:szCs w:val="21"/>
              </w:rPr>
              <w:fldChar w:fldCharType="separate"/>
            </w:r>
            <w:r>
              <w:rPr>
                <w:rFonts w:ascii="Times New Roman" w:hAnsi="宋体"/>
                <w:snapToGrid w:val="0"/>
                <w:spacing w:val="-6"/>
                <w:kern w:val="21"/>
                <w:szCs w:val="21"/>
              </w:rPr>
              <w:t>②</w:t>
            </w:r>
            <w:r>
              <w:rPr>
                <w:rFonts w:ascii="Times New Roman"/>
                <w:snapToGrid w:val="0"/>
                <w:spacing w:val="-6"/>
                <w:kern w:val="21"/>
                <w:szCs w:val="21"/>
              </w:rPr>
              <w:fldChar w:fldCharType="end"/>
            </w:r>
          </w:p>
        </w:tc>
        <w:tc>
          <w:tcPr>
            <w:tcW w:w="1701" w:type="dxa"/>
            <w:tcMar>
              <w:left w:w="28" w:type="dxa"/>
              <w:right w:w="28" w:type="dxa"/>
            </w:tcMar>
            <w:vAlign w:val="center"/>
          </w:tcPr>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在建工程</w:t>
            </w:r>
          </w:p>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ascii="Times New Roman" w:hAnsi="宋体"/>
                <w:kern w:val="2"/>
                <w:szCs w:val="21"/>
              </w:rPr>
              <w:t>③</w:t>
            </w:r>
            <w:r>
              <w:rPr>
                <w:rFonts w:ascii="Times New Roman"/>
                <w:snapToGrid w:val="0"/>
                <w:spacing w:val="-6"/>
                <w:kern w:val="21"/>
                <w:szCs w:val="21"/>
              </w:rPr>
              <w:fldChar w:fldCharType="end"/>
            </w:r>
          </w:p>
        </w:tc>
        <w:tc>
          <w:tcPr>
            <w:tcW w:w="1559" w:type="dxa"/>
            <w:tcMar>
              <w:left w:w="28" w:type="dxa"/>
              <w:right w:w="28" w:type="dxa"/>
            </w:tcMar>
            <w:vAlign w:val="center"/>
          </w:tcPr>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本项目</w:t>
            </w:r>
          </w:p>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ascii="Times New Roman" w:hAnsi="宋体"/>
                <w:kern w:val="2"/>
                <w:szCs w:val="21"/>
              </w:rPr>
              <w:t>④</w:t>
            </w:r>
            <w:r>
              <w:rPr>
                <w:rFonts w:ascii="Times New Roman"/>
                <w:snapToGrid w:val="0"/>
                <w:spacing w:val="-6"/>
                <w:kern w:val="21"/>
                <w:szCs w:val="21"/>
              </w:rPr>
              <w:fldChar w:fldCharType="end"/>
            </w:r>
          </w:p>
        </w:tc>
        <w:tc>
          <w:tcPr>
            <w:tcW w:w="1761" w:type="dxa"/>
            <w:tcMar>
              <w:left w:w="28" w:type="dxa"/>
              <w:right w:w="28" w:type="dxa"/>
            </w:tcMar>
            <w:vAlign w:val="center"/>
          </w:tcPr>
          <w:p>
            <w:pPr>
              <w:pStyle w:val="56"/>
              <w:spacing w:beforeLines="0" w:afterLines="0" w:line="240" w:lineRule="auto"/>
              <w:rPr>
                <w:rFonts w:ascii="Times New Roman"/>
                <w:snapToGrid w:val="0"/>
                <w:spacing w:val="-16"/>
                <w:kern w:val="21"/>
                <w:szCs w:val="21"/>
              </w:rPr>
            </w:pPr>
            <w:r>
              <w:rPr>
                <w:rFonts w:ascii="Times New Roman" w:hAnsi="宋体"/>
                <w:snapToGrid w:val="0"/>
                <w:spacing w:val="-16"/>
                <w:kern w:val="21"/>
                <w:szCs w:val="21"/>
              </w:rPr>
              <w:t>以新带老削减量</w:t>
            </w:r>
          </w:p>
          <w:p>
            <w:pPr>
              <w:pStyle w:val="56"/>
              <w:spacing w:beforeLines="0" w:afterLines="0" w:line="240" w:lineRule="auto"/>
              <w:rPr>
                <w:rFonts w:ascii="Times New Roman"/>
                <w:snapToGrid w:val="0"/>
                <w:spacing w:val="-16"/>
                <w:kern w:val="21"/>
                <w:szCs w:val="21"/>
              </w:rPr>
            </w:pPr>
            <w:r>
              <w:rPr>
                <w:rFonts w:ascii="Times New Roman" w:hAnsi="宋体"/>
                <w:snapToGrid w:val="0"/>
                <w:spacing w:val="-16"/>
                <w:kern w:val="21"/>
                <w:szCs w:val="21"/>
              </w:rPr>
              <w:t>（新建项目不填）</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ascii="Times New Roman" w:hAnsi="宋体"/>
                <w:kern w:val="2"/>
                <w:szCs w:val="21"/>
              </w:rPr>
              <w:t>⑤</w:t>
            </w:r>
            <w:r>
              <w:rPr>
                <w:rFonts w:ascii="Times New Roman"/>
                <w:snapToGrid w:val="0"/>
                <w:spacing w:val="-16"/>
                <w:kern w:val="21"/>
                <w:szCs w:val="21"/>
              </w:rPr>
              <w:fldChar w:fldCharType="end"/>
            </w:r>
          </w:p>
        </w:tc>
        <w:tc>
          <w:tcPr>
            <w:tcW w:w="1499" w:type="dxa"/>
            <w:tcMar>
              <w:left w:w="28" w:type="dxa"/>
              <w:right w:w="28" w:type="dxa"/>
            </w:tcMar>
            <w:vAlign w:val="center"/>
          </w:tcPr>
          <w:p>
            <w:pPr>
              <w:pStyle w:val="56"/>
              <w:spacing w:beforeLines="0" w:afterLines="0" w:line="240" w:lineRule="auto"/>
              <w:rPr>
                <w:rFonts w:ascii="Times New Roman"/>
                <w:snapToGrid w:val="0"/>
                <w:spacing w:val="-16"/>
                <w:kern w:val="21"/>
                <w:szCs w:val="21"/>
              </w:rPr>
            </w:pPr>
            <w:r>
              <w:rPr>
                <w:rFonts w:ascii="Times New Roman" w:hAnsi="宋体"/>
                <w:snapToGrid w:val="0"/>
                <w:spacing w:val="-16"/>
                <w:kern w:val="21"/>
                <w:szCs w:val="21"/>
              </w:rPr>
              <w:t>本项目建成后</w:t>
            </w:r>
          </w:p>
          <w:p>
            <w:pPr>
              <w:pStyle w:val="56"/>
              <w:spacing w:beforeLines="0" w:afterLines="0" w:line="240" w:lineRule="auto"/>
              <w:rPr>
                <w:rFonts w:ascii="Times New Roman"/>
                <w:snapToGrid w:val="0"/>
                <w:spacing w:val="-16"/>
                <w:kern w:val="21"/>
                <w:szCs w:val="21"/>
              </w:rPr>
            </w:pPr>
            <w:r>
              <w:rPr>
                <w:rFonts w:ascii="Times New Roman" w:hAnsi="宋体"/>
                <w:snapToGrid w:val="0"/>
                <w:spacing w:val="-16"/>
                <w:kern w:val="21"/>
                <w:szCs w:val="21"/>
              </w:rPr>
              <w:t>全厂排放量（固体废物产生量）</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hAnsi="宋体"/>
                <w:kern w:val="2"/>
                <w:szCs w:val="21"/>
              </w:rPr>
              <w:t>⑥</w:t>
            </w:r>
            <w:r>
              <w:rPr>
                <w:rFonts w:ascii="Times New Roman"/>
                <w:snapToGrid w:val="0"/>
                <w:spacing w:val="-16"/>
                <w:kern w:val="21"/>
                <w:szCs w:val="21"/>
              </w:rPr>
              <w:fldChar w:fldCharType="end"/>
            </w:r>
          </w:p>
        </w:tc>
        <w:tc>
          <w:tcPr>
            <w:tcW w:w="1286" w:type="dxa"/>
            <w:tcMar>
              <w:left w:w="28" w:type="dxa"/>
              <w:right w:w="28" w:type="dxa"/>
            </w:tcMar>
            <w:vAlign w:val="center"/>
          </w:tcPr>
          <w:p>
            <w:pPr>
              <w:pStyle w:val="56"/>
              <w:spacing w:beforeLines="0" w:afterLines="0" w:line="240" w:lineRule="auto"/>
              <w:rPr>
                <w:rFonts w:ascii="Times New Roman"/>
                <w:snapToGrid w:val="0"/>
                <w:spacing w:val="-6"/>
                <w:kern w:val="21"/>
                <w:szCs w:val="21"/>
              </w:rPr>
            </w:pPr>
            <w:r>
              <w:rPr>
                <w:rFonts w:ascii="Times New Roman" w:hAnsi="宋体"/>
                <w:snapToGrid w:val="0"/>
                <w:spacing w:val="-6"/>
                <w:kern w:val="21"/>
                <w:szCs w:val="21"/>
              </w:rPr>
              <w:t>变化量</w:t>
            </w:r>
          </w:p>
          <w:p>
            <w:pPr>
              <w:pStyle w:val="56"/>
              <w:spacing w:beforeLines="0" w:afterLines="0" w:line="240" w:lineRule="auto"/>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ascii="Times New Roman" w:hAnsi="宋体"/>
                <w:kern w:val="2"/>
                <w:szCs w:val="21"/>
              </w:rPr>
              <w:t>⑦</w:t>
            </w:r>
            <w:r>
              <w:rPr>
                <w:rFonts w:ascii="Times New Roman"/>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6"/>
              <w:spacing w:beforeLines="0" w:afterLines="0" w:line="240" w:lineRule="auto"/>
              <w:rPr>
                <w:rFonts w:hAnsi="宋体" w:cs="宋体"/>
                <w:snapToGrid w:val="0"/>
                <w:kern w:val="21"/>
                <w:szCs w:val="21"/>
              </w:rPr>
            </w:pPr>
            <w:r>
              <w:rPr>
                <w:rFonts w:hint="eastAsia" w:hAnsi="宋体" w:cs="宋体"/>
                <w:snapToGrid w:val="0"/>
                <w:kern w:val="21"/>
                <w:szCs w:val="21"/>
              </w:rPr>
              <w:t>废气</w:t>
            </w:r>
          </w:p>
        </w:tc>
        <w:tc>
          <w:tcPr>
            <w:tcW w:w="1559" w:type="dxa"/>
            <w:vAlign w:val="center"/>
          </w:tcPr>
          <w:p>
            <w:pPr>
              <w:pStyle w:val="68"/>
              <w:spacing w:line="320" w:lineRule="exact"/>
              <w:rPr>
                <w:b/>
                <w:szCs w:val="21"/>
                <w:u w:val="single"/>
              </w:rPr>
            </w:pPr>
            <w:r>
              <w:rPr>
                <w:rFonts w:hint="eastAsia"/>
                <w:b/>
                <w:szCs w:val="21"/>
                <w:u w:val="single"/>
              </w:rPr>
              <w:t>颗粒物</w:t>
            </w:r>
          </w:p>
        </w:tc>
        <w:tc>
          <w:tcPr>
            <w:tcW w:w="1559" w:type="dxa"/>
            <w:vAlign w:val="center"/>
          </w:tcPr>
          <w:p>
            <w:pPr>
              <w:pStyle w:val="68"/>
              <w:spacing w:line="320" w:lineRule="exact"/>
              <w:rPr>
                <w:b/>
                <w:szCs w:val="21"/>
                <w:u w:val="single"/>
              </w:rPr>
            </w:pPr>
            <w:r>
              <w:rPr>
                <w:rFonts w:hint="eastAsia"/>
                <w:b/>
                <w:szCs w:val="21"/>
                <w:u w:val="single"/>
              </w:rPr>
              <w:t>/</w:t>
            </w:r>
          </w:p>
        </w:tc>
        <w:tc>
          <w:tcPr>
            <w:tcW w:w="1276" w:type="dxa"/>
            <w:vAlign w:val="center"/>
          </w:tcPr>
          <w:p>
            <w:pPr>
              <w:pStyle w:val="68"/>
              <w:spacing w:line="320" w:lineRule="exact"/>
              <w:rPr>
                <w:b/>
                <w:szCs w:val="21"/>
                <w:u w:val="single"/>
              </w:rPr>
            </w:pPr>
            <w:r>
              <w:rPr>
                <w:rFonts w:hint="eastAsia"/>
                <w:b/>
                <w:szCs w:val="21"/>
                <w:u w:val="single"/>
              </w:rPr>
              <w:t>/</w:t>
            </w:r>
          </w:p>
        </w:tc>
        <w:tc>
          <w:tcPr>
            <w:tcW w:w="1701" w:type="dxa"/>
            <w:vAlign w:val="center"/>
          </w:tcPr>
          <w:p>
            <w:pPr>
              <w:pStyle w:val="68"/>
              <w:spacing w:line="320" w:lineRule="exact"/>
              <w:rPr>
                <w:b/>
                <w:szCs w:val="21"/>
                <w:u w:val="single"/>
              </w:rPr>
            </w:pPr>
            <w:r>
              <w:rPr>
                <w:rFonts w:hint="eastAsia"/>
                <w:b/>
                <w:szCs w:val="21"/>
                <w:u w:val="single"/>
              </w:rPr>
              <w:t>/</w:t>
            </w:r>
          </w:p>
        </w:tc>
        <w:tc>
          <w:tcPr>
            <w:tcW w:w="1559" w:type="dxa"/>
            <w:vAlign w:val="center"/>
          </w:tcPr>
          <w:p>
            <w:pPr>
              <w:pStyle w:val="68"/>
              <w:spacing w:line="320" w:lineRule="exact"/>
              <w:rPr>
                <w:b/>
                <w:bCs/>
                <w:szCs w:val="21"/>
                <w:u w:val="single"/>
              </w:rPr>
            </w:pPr>
            <w:r>
              <w:rPr>
                <w:rFonts w:hint="eastAsia"/>
                <w:b/>
                <w:bCs/>
                <w:szCs w:val="21"/>
                <w:u w:val="single"/>
              </w:rPr>
              <w:t>0.0082t/a</w:t>
            </w:r>
          </w:p>
        </w:tc>
        <w:tc>
          <w:tcPr>
            <w:tcW w:w="1761" w:type="dxa"/>
            <w:vAlign w:val="center"/>
          </w:tcPr>
          <w:p>
            <w:pPr>
              <w:pStyle w:val="68"/>
              <w:spacing w:line="320" w:lineRule="exact"/>
              <w:rPr>
                <w:b/>
                <w:bCs/>
                <w:szCs w:val="21"/>
                <w:u w:val="single"/>
              </w:rPr>
            </w:pPr>
            <w:r>
              <w:rPr>
                <w:rFonts w:hint="eastAsia"/>
                <w:b/>
                <w:bCs/>
                <w:szCs w:val="21"/>
                <w:u w:val="single"/>
              </w:rPr>
              <w:t>/</w:t>
            </w:r>
          </w:p>
        </w:tc>
        <w:tc>
          <w:tcPr>
            <w:tcW w:w="1499" w:type="dxa"/>
            <w:vAlign w:val="center"/>
          </w:tcPr>
          <w:p>
            <w:pPr>
              <w:pStyle w:val="68"/>
              <w:spacing w:line="320" w:lineRule="exact"/>
              <w:rPr>
                <w:b/>
                <w:bCs/>
                <w:szCs w:val="21"/>
                <w:u w:val="single"/>
              </w:rPr>
            </w:pPr>
            <w:r>
              <w:rPr>
                <w:rFonts w:hint="eastAsia"/>
                <w:b/>
                <w:bCs/>
                <w:szCs w:val="21"/>
                <w:u w:val="single"/>
              </w:rPr>
              <w:t>0.0082t/a</w:t>
            </w:r>
          </w:p>
        </w:tc>
        <w:tc>
          <w:tcPr>
            <w:tcW w:w="1286" w:type="dxa"/>
            <w:vAlign w:val="center"/>
          </w:tcPr>
          <w:p>
            <w:pPr>
              <w:pStyle w:val="68"/>
              <w:spacing w:line="320" w:lineRule="exact"/>
              <w:rPr>
                <w:b/>
                <w:szCs w:val="21"/>
                <w:u w:val="single"/>
              </w:rPr>
            </w:pPr>
            <w:r>
              <w:rPr>
                <w:rFonts w:hint="eastAsia"/>
                <w:b/>
                <w:szCs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6"/>
              <w:spacing w:beforeLines="0" w:afterLines="0" w:line="240" w:lineRule="auto"/>
              <w:rPr>
                <w:rFonts w:hAnsi="宋体" w:cs="宋体"/>
                <w:snapToGrid w:val="0"/>
                <w:kern w:val="21"/>
                <w:szCs w:val="21"/>
              </w:rPr>
            </w:pPr>
          </w:p>
        </w:tc>
        <w:tc>
          <w:tcPr>
            <w:tcW w:w="1559" w:type="dxa"/>
            <w:vAlign w:val="center"/>
          </w:tcPr>
          <w:p>
            <w:pPr>
              <w:pStyle w:val="68"/>
              <w:spacing w:line="320" w:lineRule="exact"/>
              <w:rPr>
                <w:szCs w:val="21"/>
              </w:rPr>
            </w:pPr>
            <w:r>
              <w:rPr>
                <w:rFonts w:hint="eastAsia"/>
                <w:szCs w:val="21"/>
              </w:rPr>
              <w:t>非甲烷总烃</w:t>
            </w:r>
          </w:p>
        </w:tc>
        <w:tc>
          <w:tcPr>
            <w:tcW w:w="1559" w:type="dxa"/>
            <w:vAlign w:val="center"/>
          </w:tcPr>
          <w:p>
            <w:pPr>
              <w:pStyle w:val="68"/>
              <w:spacing w:line="320" w:lineRule="exact"/>
              <w:rPr>
                <w:szCs w:val="21"/>
              </w:rPr>
            </w:pPr>
            <w:r>
              <w:rPr>
                <w:rFonts w:hint="eastAsia"/>
                <w:szCs w:val="21"/>
              </w:rPr>
              <w:t>/</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spacing w:line="320" w:lineRule="exact"/>
              <w:rPr>
                <w:bCs/>
                <w:szCs w:val="21"/>
              </w:rPr>
            </w:pPr>
            <w:r>
              <w:rPr>
                <w:rFonts w:hint="eastAsia"/>
                <w:bCs/>
                <w:szCs w:val="21"/>
              </w:rPr>
              <w:t>0.0616t/a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spacing w:line="320" w:lineRule="exact"/>
              <w:rPr>
                <w:bCs/>
                <w:szCs w:val="21"/>
              </w:rPr>
            </w:pPr>
            <w:r>
              <w:rPr>
                <w:rFonts w:hint="eastAsia"/>
                <w:bCs/>
                <w:szCs w:val="21"/>
              </w:rPr>
              <w:t>0.0616t/a</w:t>
            </w:r>
          </w:p>
        </w:tc>
        <w:tc>
          <w:tcPr>
            <w:tcW w:w="1286" w:type="dxa"/>
            <w:vAlign w:val="center"/>
          </w:tcPr>
          <w:p>
            <w:pPr>
              <w:pStyle w:val="68"/>
              <w:spacing w:line="320" w:lineRule="exact"/>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6"/>
              <w:spacing w:beforeLines="0" w:afterLines="0" w:line="240" w:lineRule="auto"/>
              <w:rPr>
                <w:rFonts w:hAnsi="宋体" w:cs="宋体"/>
                <w:snapToGrid w:val="0"/>
                <w:kern w:val="21"/>
                <w:szCs w:val="21"/>
              </w:rPr>
            </w:pPr>
            <w:r>
              <w:rPr>
                <w:rFonts w:hint="eastAsia" w:hAnsi="宋体" w:cs="宋体"/>
                <w:snapToGrid w:val="0"/>
                <w:kern w:val="21"/>
                <w:szCs w:val="21"/>
              </w:rPr>
              <w:t>废水</w:t>
            </w:r>
          </w:p>
        </w:tc>
        <w:tc>
          <w:tcPr>
            <w:tcW w:w="1559" w:type="dxa"/>
            <w:vAlign w:val="center"/>
          </w:tcPr>
          <w:p>
            <w:pPr>
              <w:pStyle w:val="68"/>
              <w:spacing w:line="320" w:lineRule="exact"/>
              <w:rPr>
                <w:szCs w:val="21"/>
              </w:rPr>
            </w:pPr>
            <w:r>
              <w:rPr>
                <w:rFonts w:hint="eastAsia"/>
                <w:szCs w:val="21"/>
              </w:rPr>
              <w:t>COD</w:t>
            </w:r>
          </w:p>
        </w:tc>
        <w:tc>
          <w:tcPr>
            <w:tcW w:w="1559" w:type="dxa"/>
            <w:vAlign w:val="center"/>
          </w:tcPr>
          <w:p>
            <w:pPr>
              <w:pStyle w:val="68"/>
              <w:spacing w:line="320" w:lineRule="exact"/>
              <w:rPr>
                <w:szCs w:val="21"/>
              </w:rPr>
            </w:pPr>
            <w:r>
              <w:rPr>
                <w:rFonts w:hint="eastAsia"/>
                <w:szCs w:val="21"/>
              </w:rPr>
              <w:t>/</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spacing w:line="320" w:lineRule="exact"/>
              <w:rPr>
                <w:bCs/>
                <w:szCs w:val="21"/>
              </w:rPr>
            </w:pPr>
            <w:r>
              <w:rPr>
                <w:rFonts w:hint="eastAsia"/>
                <w:bCs/>
                <w:szCs w:val="21"/>
              </w:rPr>
              <w:t>0.0269t/a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spacing w:line="320" w:lineRule="exact"/>
              <w:rPr>
                <w:bCs/>
                <w:szCs w:val="21"/>
              </w:rPr>
            </w:pPr>
            <w:r>
              <w:rPr>
                <w:rFonts w:hint="eastAsia"/>
                <w:bCs/>
                <w:szCs w:val="21"/>
              </w:rPr>
              <w:t>0.0269t/a</w:t>
            </w:r>
          </w:p>
        </w:tc>
        <w:tc>
          <w:tcPr>
            <w:tcW w:w="1286" w:type="dxa"/>
            <w:vAlign w:val="center"/>
          </w:tcPr>
          <w:p>
            <w:pPr>
              <w:pStyle w:val="68"/>
              <w:spacing w:line="320" w:lineRule="exact"/>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6"/>
              <w:spacing w:beforeLines="0" w:afterLines="0" w:line="240" w:lineRule="auto"/>
              <w:rPr>
                <w:rFonts w:hAnsi="宋体" w:cs="宋体"/>
                <w:snapToGrid w:val="0"/>
                <w:kern w:val="21"/>
                <w:szCs w:val="21"/>
              </w:rPr>
            </w:pPr>
          </w:p>
        </w:tc>
        <w:tc>
          <w:tcPr>
            <w:tcW w:w="1559" w:type="dxa"/>
            <w:vAlign w:val="center"/>
          </w:tcPr>
          <w:p>
            <w:pPr>
              <w:pStyle w:val="68"/>
              <w:spacing w:line="320" w:lineRule="exact"/>
              <w:rPr>
                <w:szCs w:val="21"/>
              </w:rPr>
            </w:pPr>
            <w:r>
              <w:rPr>
                <w:szCs w:val="21"/>
              </w:rPr>
              <w:t>NH</w:t>
            </w:r>
            <w:r>
              <w:rPr>
                <w:szCs w:val="21"/>
                <w:vertAlign w:val="subscript"/>
              </w:rPr>
              <w:t>3</w:t>
            </w:r>
            <w:r>
              <w:rPr>
                <w:szCs w:val="21"/>
              </w:rPr>
              <w:t>-N</w:t>
            </w:r>
          </w:p>
        </w:tc>
        <w:tc>
          <w:tcPr>
            <w:tcW w:w="1559" w:type="dxa"/>
            <w:vAlign w:val="center"/>
          </w:tcPr>
          <w:p>
            <w:pPr>
              <w:pStyle w:val="68"/>
              <w:spacing w:line="320" w:lineRule="exact"/>
              <w:rPr>
                <w:szCs w:val="21"/>
              </w:rPr>
            </w:pPr>
            <w:r>
              <w:rPr>
                <w:rFonts w:hint="eastAsia"/>
                <w:szCs w:val="21"/>
              </w:rPr>
              <w:t>/</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spacing w:line="320" w:lineRule="exact"/>
              <w:rPr>
                <w:bCs/>
                <w:szCs w:val="21"/>
              </w:rPr>
            </w:pPr>
            <w:r>
              <w:rPr>
                <w:rFonts w:hint="eastAsia"/>
                <w:bCs/>
                <w:szCs w:val="21"/>
              </w:rPr>
              <w:t>0.0028t/a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spacing w:line="320" w:lineRule="exact"/>
              <w:rPr>
                <w:bCs/>
                <w:szCs w:val="21"/>
              </w:rPr>
            </w:pPr>
            <w:r>
              <w:rPr>
                <w:rFonts w:hint="eastAsia"/>
                <w:bCs/>
                <w:szCs w:val="21"/>
              </w:rPr>
              <w:t>0.0028t/a</w:t>
            </w:r>
          </w:p>
        </w:tc>
        <w:tc>
          <w:tcPr>
            <w:tcW w:w="1286" w:type="dxa"/>
            <w:vAlign w:val="center"/>
          </w:tcPr>
          <w:p>
            <w:pPr>
              <w:pStyle w:val="68"/>
              <w:spacing w:line="320" w:lineRule="exact"/>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6"/>
              <w:spacing w:beforeLines="0" w:afterLines="0" w:line="240" w:lineRule="auto"/>
              <w:rPr>
                <w:rFonts w:hAnsi="宋体" w:cs="宋体"/>
                <w:snapToGrid w:val="0"/>
                <w:kern w:val="21"/>
                <w:szCs w:val="21"/>
              </w:rPr>
            </w:pPr>
          </w:p>
        </w:tc>
        <w:tc>
          <w:tcPr>
            <w:tcW w:w="1559" w:type="dxa"/>
            <w:vAlign w:val="center"/>
          </w:tcPr>
          <w:p>
            <w:pPr>
              <w:pStyle w:val="68"/>
              <w:spacing w:line="320" w:lineRule="exact"/>
              <w:rPr>
                <w:b/>
                <w:szCs w:val="21"/>
                <w:u w:val="single"/>
              </w:rPr>
            </w:pPr>
            <w:r>
              <w:rPr>
                <w:rFonts w:hint="eastAsia"/>
                <w:b/>
                <w:szCs w:val="21"/>
                <w:u w:val="single"/>
              </w:rPr>
              <w:t>BOD</w:t>
            </w:r>
            <w:r>
              <w:rPr>
                <w:rFonts w:hint="eastAsia"/>
                <w:b/>
                <w:szCs w:val="21"/>
                <w:u w:val="single"/>
                <w:vertAlign w:val="subscript"/>
              </w:rPr>
              <w:t>5</w:t>
            </w:r>
          </w:p>
        </w:tc>
        <w:tc>
          <w:tcPr>
            <w:tcW w:w="1559" w:type="dxa"/>
            <w:vAlign w:val="center"/>
          </w:tcPr>
          <w:p>
            <w:pPr>
              <w:pStyle w:val="68"/>
              <w:spacing w:line="320" w:lineRule="exact"/>
              <w:rPr>
                <w:b/>
                <w:szCs w:val="21"/>
                <w:u w:val="single"/>
              </w:rPr>
            </w:pPr>
            <w:r>
              <w:rPr>
                <w:rFonts w:hint="eastAsia"/>
                <w:b/>
                <w:szCs w:val="21"/>
                <w:u w:val="single"/>
              </w:rPr>
              <w:t>/</w:t>
            </w:r>
          </w:p>
        </w:tc>
        <w:tc>
          <w:tcPr>
            <w:tcW w:w="1276" w:type="dxa"/>
            <w:vAlign w:val="center"/>
          </w:tcPr>
          <w:p>
            <w:pPr>
              <w:pStyle w:val="68"/>
              <w:spacing w:line="320" w:lineRule="exact"/>
              <w:rPr>
                <w:b/>
                <w:szCs w:val="21"/>
                <w:u w:val="single"/>
              </w:rPr>
            </w:pPr>
            <w:r>
              <w:rPr>
                <w:rFonts w:hint="eastAsia"/>
                <w:b/>
                <w:szCs w:val="21"/>
                <w:u w:val="single"/>
              </w:rPr>
              <w:t>/</w:t>
            </w:r>
          </w:p>
        </w:tc>
        <w:tc>
          <w:tcPr>
            <w:tcW w:w="1701" w:type="dxa"/>
            <w:vAlign w:val="center"/>
          </w:tcPr>
          <w:p>
            <w:pPr>
              <w:pStyle w:val="68"/>
              <w:spacing w:line="320" w:lineRule="exact"/>
              <w:rPr>
                <w:b/>
                <w:szCs w:val="21"/>
                <w:u w:val="single"/>
              </w:rPr>
            </w:pPr>
            <w:r>
              <w:rPr>
                <w:rFonts w:hint="eastAsia"/>
                <w:b/>
                <w:szCs w:val="21"/>
                <w:u w:val="single"/>
              </w:rPr>
              <w:t>/</w:t>
            </w:r>
          </w:p>
        </w:tc>
        <w:tc>
          <w:tcPr>
            <w:tcW w:w="1559" w:type="dxa"/>
            <w:vAlign w:val="center"/>
          </w:tcPr>
          <w:p>
            <w:pPr>
              <w:pStyle w:val="68"/>
              <w:spacing w:line="320" w:lineRule="exact"/>
              <w:rPr>
                <w:b/>
                <w:bCs/>
                <w:szCs w:val="21"/>
                <w:u w:val="single"/>
              </w:rPr>
            </w:pPr>
            <w:r>
              <w:rPr>
                <w:rFonts w:hint="eastAsia"/>
                <w:b/>
                <w:bCs/>
                <w:szCs w:val="21"/>
                <w:u w:val="single"/>
              </w:rPr>
              <w:t>0.0138t/a</w:t>
            </w:r>
          </w:p>
        </w:tc>
        <w:tc>
          <w:tcPr>
            <w:tcW w:w="1761" w:type="dxa"/>
            <w:vAlign w:val="center"/>
          </w:tcPr>
          <w:p>
            <w:pPr>
              <w:pStyle w:val="68"/>
              <w:spacing w:line="320" w:lineRule="exact"/>
              <w:rPr>
                <w:b/>
                <w:bCs/>
                <w:szCs w:val="21"/>
                <w:u w:val="single"/>
              </w:rPr>
            </w:pPr>
            <w:r>
              <w:rPr>
                <w:rFonts w:hint="eastAsia"/>
                <w:b/>
                <w:bCs/>
                <w:szCs w:val="21"/>
                <w:u w:val="single"/>
              </w:rPr>
              <w:t>/</w:t>
            </w:r>
          </w:p>
        </w:tc>
        <w:tc>
          <w:tcPr>
            <w:tcW w:w="1499" w:type="dxa"/>
            <w:vAlign w:val="center"/>
          </w:tcPr>
          <w:p>
            <w:pPr>
              <w:pStyle w:val="68"/>
              <w:spacing w:line="320" w:lineRule="exact"/>
              <w:rPr>
                <w:b/>
                <w:bCs/>
                <w:szCs w:val="21"/>
                <w:u w:val="single"/>
              </w:rPr>
            </w:pPr>
            <w:r>
              <w:rPr>
                <w:rFonts w:hint="eastAsia"/>
                <w:b/>
                <w:bCs/>
                <w:szCs w:val="21"/>
                <w:u w:val="single"/>
              </w:rPr>
              <w:t>0.0138t/a</w:t>
            </w:r>
          </w:p>
        </w:tc>
        <w:tc>
          <w:tcPr>
            <w:tcW w:w="1286" w:type="dxa"/>
            <w:vAlign w:val="center"/>
          </w:tcPr>
          <w:p>
            <w:pPr>
              <w:pStyle w:val="68"/>
              <w:spacing w:line="320" w:lineRule="exact"/>
              <w:rPr>
                <w:b/>
                <w:szCs w:val="21"/>
                <w:u w:val="single"/>
              </w:rPr>
            </w:pPr>
            <w:r>
              <w:rPr>
                <w:rFonts w:hint="eastAsia"/>
                <w:b/>
                <w:szCs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6"/>
              <w:spacing w:beforeLines="0" w:afterLines="0" w:line="240" w:lineRule="auto"/>
              <w:rPr>
                <w:rFonts w:hAnsi="宋体" w:cs="宋体"/>
                <w:snapToGrid w:val="0"/>
                <w:kern w:val="21"/>
                <w:szCs w:val="21"/>
              </w:rPr>
            </w:pPr>
          </w:p>
        </w:tc>
        <w:tc>
          <w:tcPr>
            <w:tcW w:w="1559" w:type="dxa"/>
            <w:vAlign w:val="center"/>
          </w:tcPr>
          <w:p>
            <w:pPr>
              <w:pStyle w:val="68"/>
              <w:spacing w:line="320" w:lineRule="exact"/>
              <w:rPr>
                <w:b/>
                <w:szCs w:val="21"/>
                <w:u w:val="single"/>
              </w:rPr>
            </w:pPr>
            <w:r>
              <w:rPr>
                <w:rFonts w:hint="eastAsia"/>
                <w:b/>
                <w:szCs w:val="21"/>
                <w:u w:val="single"/>
              </w:rPr>
              <w:t>SS</w:t>
            </w:r>
          </w:p>
        </w:tc>
        <w:tc>
          <w:tcPr>
            <w:tcW w:w="1559" w:type="dxa"/>
            <w:vAlign w:val="center"/>
          </w:tcPr>
          <w:p>
            <w:pPr>
              <w:pStyle w:val="68"/>
              <w:spacing w:line="320" w:lineRule="exact"/>
              <w:rPr>
                <w:b/>
                <w:szCs w:val="21"/>
                <w:u w:val="single"/>
              </w:rPr>
            </w:pPr>
            <w:r>
              <w:rPr>
                <w:rFonts w:hint="eastAsia"/>
                <w:b/>
                <w:szCs w:val="21"/>
                <w:u w:val="single"/>
              </w:rPr>
              <w:t>/</w:t>
            </w:r>
          </w:p>
        </w:tc>
        <w:tc>
          <w:tcPr>
            <w:tcW w:w="1276" w:type="dxa"/>
            <w:vAlign w:val="center"/>
          </w:tcPr>
          <w:p>
            <w:pPr>
              <w:pStyle w:val="68"/>
              <w:spacing w:line="320" w:lineRule="exact"/>
              <w:rPr>
                <w:b/>
                <w:szCs w:val="21"/>
                <w:u w:val="single"/>
              </w:rPr>
            </w:pPr>
            <w:r>
              <w:rPr>
                <w:rFonts w:hint="eastAsia"/>
                <w:b/>
                <w:szCs w:val="21"/>
                <w:u w:val="single"/>
              </w:rPr>
              <w:t>/</w:t>
            </w:r>
          </w:p>
        </w:tc>
        <w:tc>
          <w:tcPr>
            <w:tcW w:w="1701" w:type="dxa"/>
            <w:vAlign w:val="center"/>
          </w:tcPr>
          <w:p>
            <w:pPr>
              <w:pStyle w:val="68"/>
              <w:spacing w:line="320" w:lineRule="exact"/>
              <w:rPr>
                <w:b/>
                <w:szCs w:val="21"/>
                <w:u w:val="single"/>
              </w:rPr>
            </w:pPr>
            <w:r>
              <w:rPr>
                <w:rFonts w:hint="eastAsia"/>
                <w:b/>
                <w:szCs w:val="21"/>
                <w:u w:val="single"/>
              </w:rPr>
              <w:t>/</w:t>
            </w:r>
          </w:p>
        </w:tc>
        <w:tc>
          <w:tcPr>
            <w:tcW w:w="1559" w:type="dxa"/>
            <w:vAlign w:val="center"/>
          </w:tcPr>
          <w:p>
            <w:pPr>
              <w:pStyle w:val="68"/>
              <w:spacing w:line="320" w:lineRule="exact"/>
              <w:rPr>
                <w:b/>
                <w:bCs/>
                <w:szCs w:val="21"/>
                <w:u w:val="single"/>
              </w:rPr>
            </w:pPr>
            <w:r>
              <w:rPr>
                <w:rFonts w:hint="eastAsia"/>
                <w:b/>
                <w:bCs/>
                <w:szCs w:val="21"/>
                <w:u w:val="single"/>
              </w:rPr>
              <w:t>0.0096t/a</w:t>
            </w:r>
          </w:p>
        </w:tc>
        <w:tc>
          <w:tcPr>
            <w:tcW w:w="1761" w:type="dxa"/>
            <w:vAlign w:val="center"/>
          </w:tcPr>
          <w:p>
            <w:pPr>
              <w:pStyle w:val="68"/>
              <w:spacing w:line="320" w:lineRule="exact"/>
              <w:rPr>
                <w:b/>
                <w:bCs/>
                <w:szCs w:val="21"/>
                <w:u w:val="single"/>
              </w:rPr>
            </w:pPr>
            <w:r>
              <w:rPr>
                <w:rFonts w:hint="eastAsia"/>
                <w:b/>
                <w:bCs/>
                <w:szCs w:val="21"/>
                <w:u w:val="single"/>
              </w:rPr>
              <w:t>/</w:t>
            </w:r>
          </w:p>
        </w:tc>
        <w:tc>
          <w:tcPr>
            <w:tcW w:w="1499" w:type="dxa"/>
            <w:vAlign w:val="center"/>
          </w:tcPr>
          <w:p>
            <w:pPr>
              <w:pStyle w:val="68"/>
              <w:spacing w:line="320" w:lineRule="exact"/>
              <w:rPr>
                <w:b/>
                <w:bCs/>
                <w:szCs w:val="21"/>
                <w:u w:val="single"/>
              </w:rPr>
            </w:pPr>
            <w:r>
              <w:rPr>
                <w:rFonts w:hint="eastAsia"/>
                <w:b/>
                <w:bCs/>
                <w:szCs w:val="21"/>
                <w:u w:val="single"/>
              </w:rPr>
              <w:t>0.0096t/a</w:t>
            </w:r>
          </w:p>
        </w:tc>
        <w:tc>
          <w:tcPr>
            <w:tcW w:w="1286" w:type="dxa"/>
            <w:vAlign w:val="center"/>
          </w:tcPr>
          <w:p>
            <w:pPr>
              <w:pStyle w:val="68"/>
              <w:spacing w:line="320" w:lineRule="exact"/>
              <w:rPr>
                <w:b/>
                <w:szCs w:val="21"/>
                <w:u w:val="single"/>
              </w:rPr>
            </w:pPr>
            <w:r>
              <w:rPr>
                <w:rFonts w:hint="eastAsia"/>
                <w:b/>
                <w:szCs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6"/>
              <w:spacing w:beforeLines="0" w:afterLines="0" w:line="240" w:lineRule="auto"/>
              <w:rPr>
                <w:rFonts w:hAnsi="宋体" w:cs="宋体"/>
                <w:snapToGrid w:val="0"/>
                <w:kern w:val="21"/>
                <w:szCs w:val="21"/>
              </w:rPr>
            </w:pPr>
            <w:r>
              <w:rPr>
                <w:rFonts w:hint="eastAsia" w:hAnsi="宋体" w:cs="宋体"/>
                <w:snapToGrid w:val="0"/>
                <w:kern w:val="21"/>
                <w:szCs w:val="21"/>
              </w:rPr>
              <w:t>一般工业</w:t>
            </w:r>
          </w:p>
          <w:p>
            <w:pPr>
              <w:pStyle w:val="56"/>
              <w:spacing w:beforeLines="0" w:afterLines="0" w:line="240" w:lineRule="auto"/>
              <w:rPr>
                <w:rFonts w:hAnsi="宋体" w:cs="宋体"/>
                <w:snapToGrid w:val="0"/>
                <w:kern w:val="21"/>
                <w:szCs w:val="21"/>
              </w:rPr>
            </w:pPr>
            <w:r>
              <w:rPr>
                <w:rFonts w:hint="eastAsia" w:hAnsi="宋体" w:cs="宋体"/>
                <w:snapToGrid w:val="0"/>
                <w:kern w:val="21"/>
                <w:szCs w:val="21"/>
              </w:rPr>
              <w:t>固体废物</w:t>
            </w:r>
          </w:p>
        </w:tc>
        <w:tc>
          <w:tcPr>
            <w:tcW w:w="1559" w:type="dxa"/>
            <w:vAlign w:val="center"/>
          </w:tcPr>
          <w:p>
            <w:pPr>
              <w:pStyle w:val="68"/>
              <w:spacing w:line="320" w:lineRule="exact"/>
              <w:rPr>
                <w:szCs w:val="21"/>
              </w:rPr>
            </w:pPr>
            <w:r>
              <w:rPr>
                <w:rFonts w:hint="eastAsia"/>
                <w:szCs w:val="21"/>
              </w:rPr>
              <w:t>废包装材料</w:t>
            </w:r>
          </w:p>
        </w:tc>
        <w:tc>
          <w:tcPr>
            <w:tcW w:w="1559" w:type="dxa"/>
            <w:vAlign w:val="center"/>
          </w:tcPr>
          <w:p>
            <w:pPr>
              <w:pStyle w:val="68"/>
              <w:spacing w:line="320" w:lineRule="exact"/>
              <w:rPr>
                <w:szCs w:val="21"/>
              </w:rPr>
            </w:pPr>
            <w:r>
              <w:rPr>
                <w:rFonts w:hint="eastAsia"/>
                <w:szCs w:val="21"/>
              </w:rPr>
              <w:t>/</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pPr>
            <w:r>
              <w:rPr>
                <w:rFonts w:hint="eastAsia"/>
              </w:rPr>
              <w:t>0.5t/a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pPr>
            <w:r>
              <w:rPr>
                <w:rFonts w:hint="eastAsia"/>
              </w:rPr>
              <w:t>0.5t/a</w:t>
            </w:r>
          </w:p>
        </w:tc>
        <w:tc>
          <w:tcPr>
            <w:tcW w:w="1286" w:type="dxa"/>
            <w:vAlign w:val="center"/>
          </w:tcPr>
          <w:p>
            <w:pPr>
              <w:pStyle w:val="68"/>
              <w:spacing w:line="320" w:lineRule="exact"/>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6"/>
              <w:spacing w:beforeLines="0" w:afterLines="0" w:line="240" w:lineRule="auto"/>
              <w:rPr>
                <w:rFonts w:hAnsi="宋体" w:cs="宋体"/>
                <w:snapToGrid w:val="0"/>
                <w:kern w:val="21"/>
                <w:szCs w:val="21"/>
              </w:rPr>
            </w:pPr>
          </w:p>
        </w:tc>
        <w:tc>
          <w:tcPr>
            <w:tcW w:w="1559" w:type="dxa"/>
            <w:vAlign w:val="center"/>
          </w:tcPr>
          <w:p>
            <w:pPr>
              <w:pStyle w:val="68"/>
              <w:spacing w:line="320" w:lineRule="exact"/>
              <w:rPr>
                <w:b/>
                <w:szCs w:val="21"/>
                <w:u w:val="single"/>
              </w:rPr>
            </w:pPr>
            <w:r>
              <w:rPr>
                <w:rFonts w:hint="eastAsia"/>
                <w:b/>
                <w:szCs w:val="21"/>
                <w:u w:val="single"/>
              </w:rPr>
              <w:t>收尘灰</w:t>
            </w:r>
          </w:p>
        </w:tc>
        <w:tc>
          <w:tcPr>
            <w:tcW w:w="1559" w:type="dxa"/>
            <w:vAlign w:val="center"/>
          </w:tcPr>
          <w:p>
            <w:pPr>
              <w:pStyle w:val="68"/>
              <w:spacing w:line="320" w:lineRule="exact"/>
              <w:rPr>
                <w:b/>
                <w:szCs w:val="21"/>
                <w:u w:val="single"/>
              </w:rPr>
            </w:pPr>
            <w:r>
              <w:rPr>
                <w:rFonts w:hint="eastAsia"/>
                <w:b/>
                <w:szCs w:val="21"/>
                <w:u w:val="single"/>
              </w:rPr>
              <w:t>/</w:t>
            </w:r>
          </w:p>
        </w:tc>
        <w:tc>
          <w:tcPr>
            <w:tcW w:w="1276" w:type="dxa"/>
            <w:vAlign w:val="center"/>
          </w:tcPr>
          <w:p>
            <w:pPr>
              <w:pStyle w:val="68"/>
              <w:spacing w:line="320" w:lineRule="exact"/>
              <w:rPr>
                <w:b/>
                <w:szCs w:val="21"/>
                <w:u w:val="single"/>
              </w:rPr>
            </w:pPr>
            <w:r>
              <w:rPr>
                <w:rFonts w:hint="eastAsia"/>
                <w:b/>
                <w:szCs w:val="21"/>
                <w:u w:val="single"/>
              </w:rPr>
              <w:t>/</w:t>
            </w:r>
          </w:p>
        </w:tc>
        <w:tc>
          <w:tcPr>
            <w:tcW w:w="1701" w:type="dxa"/>
            <w:vAlign w:val="center"/>
          </w:tcPr>
          <w:p>
            <w:pPr>
              <w:pStyle w:val="68"/>
              <w:spacing w:line="320" w:lineRule="exact"/>
              <w:rPr>
                <w:b/>
                <w:szCs w:val="21"/>
                <w:u w:val="single"/>
              </w:rPr>
            </w:pPr>
            <w:r>
              <w:rPr>
                <w:rFonts w:hint="eastAsia"/>
                <w:b/>
                <w:szCs w:val="21"/>
                <w:u w:val="single"/>
              </w:rPr>
              <w:t>/</w:t>
            </w:r>
          </w:p>
        </w:tc>
        <w:tc>
          <w:tcPr>
            <w:tcW w:w="1559" w:type="dxa"/>
            <w:vAlign w:val="center"/>
          </w:tcPr>
          <w:p>
            <w:pPr>
              <w:pStyle w:val="68"/>
              <w:rPr>
                <w:b/>
                <w:u w:val="single"/>
              </w:rPr>
            </w:pPr>
            <w:r>
              <w:rPr>
                <w:rFonts w:hint="eastAsia"/>
                <w:b/>
                <w:u w:val="single"/>
              </w:rPr>
              <w:t>0.1561t/a</w:t>
            </w:r>
          </w:p>
        </w:tc>
        <w:tc>
          <w:tcPr>
            <w:tcW w:w="1761" w:type="dxa"/>
            <w:vAlign w:val="center"/>
          </w:tcPr>
          <w:p>
            <w:pPr>
              <w:pStyle w:val="68"/>
              <w:spacing w:line="320" w:lineRule="exact"/>
              <w:rPr>
                <w:b/>
                <w:bCs/>
                <w:szCs w:val="21"/>
                <w:u w:val="single"/>
              </w:rPr>
            </w:pPr>
            <w:r>
              <w:rPr>
                <w:rFonts w:hint="eastAsia"/>
                <w:b/>
                <w:bCs/>
                <w:szCs w:val="21"/>
                <w:u w:val="single"/>
              </w:rPr>
              <w:t>/</w:t>
            </w:r>
          </w:p>
        </w:tc>
        <w:tc>
          <w:tcPr>
            <w:tcW w:w="1499" w:type="dxa"/>
            <w:vAlign w:val="center"/>
          </w:tcPr>
          <w:p>
            <w:pPr>
              <w:pStyle w:val="68"/>
              <w:rPr>
                <w:b/>
                <w:u w:val="single"/>
              </w:rPr>
            </w:pPr>
            <w:r>
              <w:rPr>
                <w:rFonts w:hint="eastAsia"/>
                <w:b/>
                <w:u w:val="single"/>
              </w:rPr>
              <w:t>0.1561t/a</w:t>
            </w:r>
          </w:p>
        </w:tc>
        <w:tc>
          <w:tcPr>
            <w:tcW w:w="1286" w:type="dxa"/>
            <w:vAlign w:val="center"/>
          </w:tcPr>
          <w:p>
            <w:pPr>
              <w:pStyle w:val="68"/>
              <w:spacing w:line="320" w:lineRule="exact"/>
              <w:rPr>
                <w:b/>
                <w:szCs w:val="21"/>
                <w:u w:val="single"/>
              </w:rPr>
            </w:pPr>
            <w:r>
              <w:rPr>
                <w:rFonts w:hint="eastAsia"/>
                <w:b/>
                <w:szCs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56"/>
              <w:spacing w:beforeLines="0" w:afterLines="0" w:line="240" w:lineRule="auto"/>
              <w:rPr>
                <w:rFonts w:hAnsi="宋体" w:cs="宋体"/>
                <w:snapToGrid w:val="0"/>
                <w:kern w:val="21"/>
                <w:szCs w:val="21"/>
              </w:rPr>
            </w:pPr>
            <w:r>
              <w:rPr>
                <w:szCs w:val="21"/>
              </w:rPr>
              <w:t>生活垃圾</w:t>
            </w:r>
          </w:p>
        </w:tc>
        <w:tc>
          <w:tcPr>
            <w:tcW w:w="1559" w:type="dxa"/>
            <w:vAlign w:val="center"/>
          </w:tcPr>
          <w:p>
            <w:pPr>
              <w:pStyle w:val="68"/>
              <w:spacing w:line="320" w:lineRule="exact"/>
              <w:rPr>
                <w:szCs w:val="21"/>
              </w:rPr>
            </w:pPr>
            <w:r>
              <w:rPr>
                <w:szCs w:val="21"/>
              </w:rPr>
              <w:t>生活垃圾</w:t>
            </w:r>
          </w:p>
        </w:tc>
        <w:tc>
          <w:tcPr>
            <w:tcW w:w="1559" w:type="dxa"/>
            <w:vAlign w:val="center"/>
          </w:tcPr>
          <w:p>
            <w:pPr>
              <w:pStyle w:val="68"/>
              <w:spacing w:line="320" w:lineRule="exact"/>
              <w:rPr>
                <w:szCs w:val="21"/>
              </w:rPr>
            </w:pPr>
            <w:r>
              <w:rPr>
                <w:rFonts w:hint="eastAsia"/>
                <w:szCs w:val="21"/>
              </w:rPr>
              <w:t>/</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pPr>
            <w:r>
              <w:rPr>
                <w:rFonts w:hint="eastAsia"/>
              </w:rPr>
              <w:t>1.5t/a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pPr>
            <w:r>
              <w:rPr>
                <w:rFonts w:hint="eastAsia"/>
              </w:rPr>
              <w:t>1.5t/a</w:t>
            </w:r>
          </w:p>
        </w:tc>
        <w:tc>
          <w:tcPr>
            <w:tcW w:w="1286" w:type="dxa"/>
            <w:vAlign w:val="center"/>
          </w:tcPr>
          <w:p>
            <w:pPr>
              <w:pStyle w:val="68"/>
              <w:spacing w:line="320" w:lineRule="exact"/>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6"/>
              <w:spacing w:beforeLines="0" w:afterLines="0" w:line="240" w:lineRule="auto"/>
              <w:rPr>
                <w:rFonts w:hAnsi="宋体" w:cs="宋体"/>
                <w:snapToGrid w:val="0"/>
                <w:kern w:val="21"/>
                <w:szCs w:val="21"/>
              </w:rPr>
            </w:pPr>
            <w:r>
              <w:rPr>
                <w:rFonts w:hint="eastAsia" w:hAnsi="宋体" w:cs="宋体"/>
                <w:snapToGrid w:val="0"/>
                <w:kern w:val="21"/>
                <w:szCs w:val="21"/>
              </w:rPr>
              <w:t>危险废物</w:t>
            </w:r>
          </w:p>
        </w:tc>
        <w:tc>
          <w:tcPr>
            <w:tcW w:w="1559" w:type="dxa"/>
            <w:vAlign w:val="center"/>
          </w:tcPr>
          <w:p>
            <w:pPr>
              <w:pStyle w:val="68"/>
              <w:rPr>
                <w:szCs w:val="21"/>
              </w:rPr>
            </w:pPr>
            <w:r>
              <w:rPr>
                <w:rFonts w:hint="eastAsia"/>
              </w:rPr>
              <w:t>废活性炭</w:t>
            </w:r>
          </w:p>
        </w:tc>
        <w:tc>
          <w:tcPr>
            <w:tcW w:w="1559" w:type="dxa"/>
            <w:vAlign w:val="center"/>
          </w:tcPr>
          <w:p>
            <w:pPr>
              <w:pStyle w:val="68"/>
              <w:spacing w:line="320" w:lineRule="exact"/>
              <w:rPr>
                <w:szCs w:val="21"/>
              </w:rPr>
            </w:pPr>
            <w:r>
              <w:rPr>
                <w:rFonts w:hint="eastAsia"/>
                <w:szCs w:val="21"/>
              </w:rPr>
              <w:t>/</w:t>
            </w:r>
          </w:p>
        </w:tc>
        <w:tc>
          <w:tcPr>
            <w:tcW w:w="1276" w:type="dxa"/>
            <w:vAlign w:val="center"/>
          </w:tcPr>
          <w:p>
            <w:pPr>
              <w:pStyle w:val="68"/>
              <w:spacing w:line="320" w:lineRule="exact"/>
              <w:rPr>
                <w:szCs w:val="21"/>
              </w:rPr>
            </w:pPr>
            <w:r>
              <w:rPr>
                <w:rFonts w:hint="eastAsia"/>
                <w:szCs w:val="21"/>
              </w:rPr>
              <w:t>/</w:t>
            </w:r>
          </w:p>
        </w:tc>
        <w:tc>
          <w:tcPr>
            <w:tcW w:w="1701" w:type="dxa"/>
            <w:vAlign w:val="center"/>
          </w:tcPr>
          <w:p>
            <w:pPr>
              <w:pStyle w:val="68"/>
              <w:spacing w:line="320" w:lineRule="exact"/>
              <w:rPr>
                <w:szCs w:val="21"/>
              </w:rPr>
            </w:pPr>
            <w:r>
              <w:rPr>
                <w:rFonts w:hint="eastAsia"/>
                <w:szCs w:val="21"/>
              </w:rPr>
              <w:t>/</w:t>
            </w:r>
          </w:p>
        </w:tc>
        <w:tc>
          <w:tcPr>
            <w:tcW w:w="1559" w:type="dxa"/>
            <w:vAlign w:val="center"/>
          </w:tcPr>
          <w:p>
            <w:pPr>
              <w:pStyle w:val="68"/>
            </w:pPr>
            <w:r>
              <w:rPr>
                <w:rFonts w:hint="eastAsia"/>
              </w:rPr>
              <w:t>0.9267</w:t>
            </w:r>
            <w:r>
              <w:t>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pPr>
            <w:r>
              <w:rPr>
                <w:rFonts w:hint="eastAsia"/>
              </w:rPr>
              <w:t>0.9267</w:t>
            </w:r>
            <w:r>
              <w:t>t/a</w:t>
            </w:r>
          </w:p>
        </w:tc>
        <w:tc>
          <w:tcPr>
            <w:tcW w:w="1286" w:type="dxa"/>
            <w:vAlign w:val="center"/>
          </w:tcPr>
          <w:p>
            <w:pPr>
              <w:pStyle w:val="68"/>
              <w:spacing w:line="320" w:lineRule="exact"/>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6"/>
              <w:spacing w:beforeLines="0" w:afterLines="0" w:line="240" w:lineRule="auto"/>
              <w:rPr>
                <w:rFonts w:hAnsi="宋体" w:cs="宋体"/>
                <w:snapToGrid w:val="0"/>
                <w:kern w:val="21"/>
                <w:szCs w:val="21"/>
              </w:rPr>
            </w:pPr>
          </w:p>
        </w:tc>
        <w:tc>
          <w:tcPr>
            <w:tcW w:w="1559" w:type="dxa"/>
            <w:vAlign w:val="center"/>
          </w:tcPr>
          <w:p>
            <w:pPr>
              <w:pStyle w:val="68"/>
            </w:pPr>
            <w:r>
              <w:rPr>
                <w:rFonts w:hint="eastAsia"/>
              </w:rPr>
              <w:t>废UV灯管</w:t>
            </w:r>
          </w:p>
        </w:tc>
        <w:tc>
          <w:tcPr>
            <w:tcW w:w="1559" w:type="dxa"/>
            <w:vAlign w:val="center"/>
          </w:tcPr>
          <w:p>
            <w:pPr>
              <w:pStyle w:val="68"/>
              <w:spacing w:line="320" w:lineRule="exact"/>
              <w:rPr>
                <w:szCs w:val="21"/>
              </w:rPr>
            </w:pPr>
          </w:p>
        </w:tc>
        <w:tc>
          <w:tcPr>
            <w:tcW w:w="1276" w:type="dxa"/>
            <w:vAlign w:val="center"/>
          </w:tcPr>
          <w:p>
            <w:pPr>
              <w:pStyle w:val="68"/>
              <w:spacing w:line="320" w:lineRule="exact"/>
              <w:rPr>
                <w:szCs w:val="21"/>
              </w:rPr>
            </w:pPr>
          </w:p>
        </w:tc>
        <w:tc>
          <w:tcPr>
            <w:tcW w:w="1701" w:type="dxa"/>
            <w:vAlign w:val="center"/>
          </w:tcPr>
          <w:p>
            <w:pPr>
              <w:pStyle w:val="68"/>
              <w:spacing w:line="320" w:lineRule="exact"/>
              <w:rPr>
                <w:szCs w:val="21"/>
              </w:rPr>
            </w:pPr>
          </w:p>
        </w:tc>
        <w:tc>
          <w:tcPr>
            <w:tcW w:w="1559" w:type="dxa"/>
            <w:vAlign w:val="center"/>
          </w:tcPr>
          <w:p>
            <w:pPr>
              <w:pStyle w:val="68"/>
            </w:pPr>
            <w:r>
              <w:rPr>
                <w:rFonts w:hint="eastAsia"/>
              </w:rPr>
              <w:t>0.005t/a</w:t>
            </w:r>
          </w:p>
        </w:tc>
        <w:tc>
          <w:tcPr>
            <w:tcW w:w="1761" w:type="dxa"/>
            <w:vAlign w:val="center"/>
          </w:tcPr>
          <w:p>
            <w:pPr>
              <w:pStyle w:val="68"/>
              <w:spacing w:line="320" w:lineRule="exact"/>
              <w:rPr>
                <w:bCs/>
                <w:szCs w:val="21"/>
              </w:rPr>
            </w:pPr>
            <w:r>
              <w:rPr>
                <w:rFonts w:hint="eastAsia"/>
                <w:bCs/>
                <w:szCs w:val="21"/>
              </w:rPr>
              <w:t>/</w:t>
            </w:r>
          </w:p>
        </w:tc>
        <w:tc>
          <w:tcPr>
            <w:tcW w:w="1499" w:type="dxa"/>
            <w:vAlign w:val="center"/>
          </w:tcPr>
          <w:p>
            <w:pPr>
              <w:pStyle w:val="68"/>
            </w:pPr>
            <w:r>
              <w:rPr>
                <w:rFonts w:hint="eastAsia"/>
              </w:rPr>
              <w:t>0.005t/a</w:t>
            </w:r>
          </w:p>
        </w:tc>
        <w:tc>
          <w:tcPr>
            <w:tcW w:w="1286" w:type="dxa"/>
            <w:vAlign w:val="center"/>
          </w:tcPr>
          <w:p>
            <w:pPr>
              <w:pStyle w:val="68"/>
              <w:spacing w:line="320" w:lineRule="exact"/>
              <w:rPr>
                <w:szCs w:val="21"/>
              </w:rPr>
            </w:pPr>
            <w:r>
              <w:rPr>
                <w:rFonts w:hint="eastAsia"/>
                <w:bCs/>
                <w:szCs w:val="21"/>
              </w:rPr>
              <w:t>/</w:t>
            </w:r>
          </w:p>
        </w:tc>
      </w:tr>
    </w:tbl>
    <w:p>
      <w:pPr>
        <w:pStyle w:val="56"/>
        <w:spacing w:beforeLines="80" w:after="24"/>
        <w:jc w:val="left"/>
        <w:rPr>
          <w:rFonts w:hAnsi="宋体" w:eastAsia="黑体"/>
        </w:rPr>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p>
    <w:sectPr>
      <w:footerReference r:id="rId6"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宋体"/>
    <w:panose1 w:val="00000000000000000000"/>
    <w:charset w:val="86"/>
    <w:family w:val="roman"/>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TimesNewRomanPSMT">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6"/>
        <w:rFonts w:ascii="宋体" w:hAnsi="宋体"/>
        <w:sz w:val="28"/>
        <w:szCs w:val="28"/>
      </w:rPr>
    </w:pPr>
  </w:p>
  <w:p>
    <w:pPr>
      <w:pStyle w:val="1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Fonts w:ascii="宋体" w:hAnsi="宋体"/>
        <w:sz w:val="26"/>
        <w:szCs w:val="26"/>
      </w:rPr>
      <w:fldChar w:fldCharType="begin"/>
    </w:r>
    <w:r>
      <w:rPr>
        <w:rStyle w:val="26"/>
        <w:rFonts w:ascii="宋体" w:hAnsi="宋体"/>
        <w:sz w:val="26"/>
        <w:szCs w:val="26"/>
      </w:rPr>
      <w:instrText xml:space="preserve">PAGE  </w:instrText>
    </w:r>
    <w:r>
      <w:rPr>
        <w:rFonts w:ascii="宋体" w:hAnsi="宋体"/>
        <w:sz w:val="26"/>
        <w:szCs w:val="26"/>
      </w:rPr>
      <w:fldChar w:fldCharType="separate"/>
    </w:r>
    <w:r>
      <w:rPr>
        <w:rStyle w:val="26"/>
        <w:rFonts w:ascii="宋体" w:hAnsi="宋体"/>
        <w:sz w:val="26"/>
        <w:szCs w:val="26"/>
      </w:rPr>
      <w:t>19</w:t>
    </w:r>
    <w:r>
      <w:rPr>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p>
    <w:pPr>
      <w:pStyle w:val="1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Fonts w:ascii="宋体" w:hAnsi="宋体"/>
        <w:sz w:val="26"/>
        <w:szCs w:val="26"/>
      </w:rPr>
      <w:fldChar w:fldCharType="begin"/>
    </w:r>
    <w:r>
      <w:rPr>
        <w:rStyle w:val="26"/>
        <w:rFonts w:ascii="宋体" w:hAnsi="宋体"/>
        <w:sz w:val="26"/>
        <w:szCs w:val="26"/>
      </w:rPr>
      <w:instrText xml:space="preserve">PAGE  </w:instrText>
    </w:r>
    <w:r>
      <w:rPr>
        <w:rFonts w:ascii="宋体" w:hAnsi="宋体"/>
        <w:sz w:val="26"/>
        <w:szCs w:val="26"/>
      </w:rPr>
      <w:fldChar w:fldCharType="separate"/>
    </w:r>
    <w:r>
      <w:rPr>
        <w:rStyle w:val="26"/>
        <w:rFonts w:ascii="宋体" w:hAnsi="宋体"/>
        <w:sz w:val="26"/>
        <w:szCs w:val="26"/>
      </w:rPr>
      <w:t>53</w:t>
    </w:r>
    <w:r>
      <w:rPr>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p>
    <w:pPr>
      <w:pStyle w:val="1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29DB9"/>
    <w:multiLevelType w:val="singleLevel"/>
    <w:tmpl w:val="A8829DB9"/>
    <w:lvl w:ilvl="0" w:tentative="0">
      <w:start w:val="3"/>
      <w:numFmt w:val="decimal"/>
      <w:suff w:val="nothing"/>
      <w:lvlText w:val="（%1）"/>
      <w:lvlJc w:val="left"/>
    </w:lvl>
  </w:abstractNum>
  <w:abstractNum w:abstractNumId="1">
    <w:nsid w:val="3E4D3FD7"/>
    <w:multiLevelType w:val="multilevel"/>
    <w:tmpl w:val="3E4D3FD7"/>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trackedChanges" w:enforcement="0"/>
  <w:defaultTabStop w:val="420"/>
  <w:doNotHyphenateCaps/>
  <w:drawingGridHorizontalSpacing w:val="105"/>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RhMTgyNzM1ZjhjNzcwNjE3NDM5NDUxOWI5YTQzNDMifQ=="/>
  </w:docVars>
  <w:rsids>
    <w:rsidRoot w:val="00172A27"/>
    <w:rsid w:val="00002887"/>
    <w:rsid w:val="000030CC"/>
    <w:rsid w:val="00004C9E"/>
    <w:rsid w:val="000060B1"/>
    <w:rsid w:val="000060B3"/>
    <w:rsid w:val="00007FFB"/>
    <w:rsid w:val="00013B7A"/>
    <w:rsid w:val="00015E0F"/>
    <w:rsid w:val="000214FC"/>
    <w:rsid w:val="00021A9A"/>
    <w:rsid w:val="00022C11"/>
    <w:rsid w:val="00022E06"/>
    <w:rsid w:val="00024251"/>
    <w:rsid w:val="00025427"/>
    <w:rsid w:val="00030833"/>
    <w:rsid w:val="00030EC7"/>
    <w:rsid w:val="00035098"/>
    <w:rsid w:val="000354CB"/>
    <w:rsid w:val="00035A96"/>
    <w:rsid w:val="00035D1B"/>
    <w:rsid w:val="000369EF"/>
    <w:rsid w:val="0003766F"/>
    <w:rsid w:val="000376BE"/>
    <w:rsid w:val="00037773"/>
    <w:rsid w:val="00037B81"/>
    <w:rsid w:val="00041FC6"/>
    <w:rsid w:val="0004364B"/>
    <w:rsid w:val="00045D56"/>
    <w:rsid w:val="000514E0"/>
    <w:rsid w:val="00055A7C"/>
    <w:rsid w:val="00061B1F"/>
    <w:rsid w:val="00064912"/>
    <w:rsid w:val="00066BEE"/>
    <w:rsid w:val="000672E1"/>
    <w:rsid w:val="00071116"/>
    <w:rsid w:val="000733C4"/>
    <w:rsid w:val="00074783"/>
    <w:rsid w:val="00074A63"/>
    <w:rsid w:val="00074F68"/>
    <w:rsid w:val="00074F99"/>
    <w:rsid w:val="00075690"/>
    <w:rsid w:val="000804EC"/>
    <w:rsid w:val="0008070B"/>
    <w:rsid w:val="000809E4"/>
    <w:rsid w:val="000810AC"/>
    <w:rsid w:val="00081A02"/>
    <w:rsid w:val="00082231"/>
    <w:rsid w:val="00084548"/>
    <w:rsid w:val="00085D05"/>
    <w:rsid w:val="00087A0E"/>
    <w:rsid w:val="00092A8D"/>
    <w:rsid w:val="00092D38"/>
    <w:rsid w:val="0009351D"/>
    <w:rsid w:val="0009377B"/>
    <w:rsid w:val="000A0C13"/>
    <w:rsid w:val="000A1DD0"/>
    <w:rsid w:val="000A20C9"/>
    <w:rsid w:val="000B058F"/>
    <w:rsid w:val="000B087C"/>
    <w:rsid w:val="000B2B71"/>
    <w:rsid w:val="000B2D24"/>
    <w:rsid w:val="000B4467"/>
    <w:rsid w:val="000B4DB9"/>
    <w:rsid w:val="000B5DE4"/>
    <w:rsid w:val="000B6527"/>
    <w:rsid w:val="000B6F71"/>
    <w:rsid w:val="000C09AC"/>
    <w:rsid w:val="000C1FF9"/>
    <w:rsid w:val="000C4DAA"/>
    <w:rsid w:val="000C6075"/>
    <w:rsid w:val="000C66CD"/>
    <w:rsid w:val="000C6DB8"/>
    <w:rsid w:val="000C7308"/>
    <w:rsid w:val="000C767F"/>
    <w:rsid w:val="000D003B"/>
    <w:rsid w:val="000D087F"/>
    <w:rsid w:val="000D1EEA"/>
    <w:rsid w:val="000D34D7"/>
    <w:rsid w:val="000D3615"/>
    <w:rsid w:val="000D4DC8"/>
    <w:rsid w:val="000D5A44"/>
    <w:rsid w:val="000E0609"/>
    <w:rsid w:val="000E2541"/>
    <w:rsid w:val="000E3ED2"/>
    <w:rsid w:val="000E428D"/>
    <w:rsid w:val="000F1DBA"/>
    <w:rsid w:val="000F4124"/>
    <w:rsid w:val="000F487B"/>
    <w:rsid w:val="00100B75"/>
    <w:rsid w:val="00101E49"/>
    <w:rsid w:val="00103CE9"/>
    <w:rsid w:val="00105907"/>
    <w:rsid w:val="00105EE3"/>
    <w:rsid w:val="00107769"/>
    <w:rsid w:val="00111902"/>
    <w:rsid w:val="0011358A"/>
    <w:rsid w:val="00113DC6"/>
    <w:rsid w:val="00115FEE"/>
    <w:rsid w:val="00123830"/>
    <w:rsid w:val="00126A48"/>
    <w:rsid w:val="00126BFE"/>
    <w:rsid w:val="001307F4"/>
    <w:rsid w:val="00130C1D"/>
    <w:rsid w:val="00131D06"/>
    <w:rsid w:val="00131F42"/>
    <w:rsid w:val="00132A78"/>
    <w:rsid w:val="0013354F"/>
    <w:rsid w:val="001357F1"/>
    <w:rsid w:val="001404FF"/>
    <w:rsid w:val="00140FA8"/>
    <w:rsid w:val="00142ACE"/>
    <w:rsid w:val="00142FEB"/>
    <w:rsid w:val="001432DA"/>
    <w:rsid w:val="00143A2D"/>
    <w:rsid w:val="00144758"/>
    <w:rsid w:val="00145A41"/>
    <w:rsid w:val="00145EEA"/>
    <w:rsid w:val="00147404"/>
    <w:rsid w:val="00147D09"/>
    <w:rsid w:val="00151417"/>
    <w:rsid w:val="00151675"/>
    <w:rsid w:val="00157435"/>
    <w:rsid w:val="0016353D"/>
    <w:rsid w:val="001643FE"/>
    <w:rsid w:val="00164DD4"/>
    <w:rsid w:val="001704C6"/>
    <w:rsid w:val="00171994"/>
    <w:rsid w:val="00172606"/>
    <w:rsid w:val="00172A27"/>
    <w:rsid w:val="00172AE3"/>
    <w:rsid w:val="0017324B"/>
    <w:rsid w:val="00173CDC"/>
    <w:rsid w:val="0017504D"/>
    <w:rsid w:val="0017521D"/>
    <w:rsid w:val="0017671A"/>
    <w:rsid w:val="00177422"/>
    <w:rsid w:val="00180B4B"/>
    <w:rsid w:val="001832C8"/>
    <w:rsid w:val="00184590"/>
    <w:rsid w:val="001870D1"/>
    <w:rsid w:val="0018781E"/>
    <w:rsid w:val="0019262D"/>
    <w:rsid w:val="001957CF"/>
    <w:rsid w:val="001A06D6"/>
    <w:rsid w:val="001A1B35"/>
    <w:rsid w:val="001A48A2"/>
    <w:rsid w:val="001A583F"/>
    <w:rsid w:val="001A6F61"/>
    <w:rsid w:val="001A7BA2"/>
    <w:rsid w:val="001B0967"/>
    <w:rsid w:val="001B3FBB"/>
    <w:rsid w:val="001B6E0C"/>
    <w:rsid w:val="001B72B8"/>
    <w:rsid w:val="001C1112"/>
    <w:rsid w:val="001C69B3"/>
    <w:rsid w:val="001C6F31"/>
    <w:rsid w:val="001C741A"/>
    <w:rsid w:val="001D1746"/>
    <w:rsid w:val="001D47A3"/>
    <w:rsid w:val="001D5595"/>
    <w:rsid w:val="001D7874"/>
    <w:rsid w:val="001D7D62"/>
    <w:rsid w:val="001D7F22"/>
    <w:rsid w:val="001E1C34"/>
    <w:rsid w:val="001E264A"/>
    <w:rsid w:val="001E4114"/>
    <w:rsid w:val="001F053A"/>
    <w:rsid w:val="001F0F17"/>
    <w:rsid w:val="001F13EF"/>
    <w:rsid w:val="001F307A"/>
    <w:rsid w:val="001F3347"/>
    <w:rsid w:val="001F44EE"/>
    <w:rsid w:val="001F499B"/>
    <w:rsid w:val="001F5A93"/>
    <w:rsid w:val="001F69E4"/>
    <w:rsid w:val="001F70DF"/>
    <w:rsid w:val="0020101F"/>
    <w:rsid w:val="00201C37"/>
    <w:rsid w:val="002056E0"/>
    <w:rsid w:val="00211558"/>
    <w:rsid w:val="002125B4"/>
    <w:rsid w:val="00214236"/>
    <w:rsid w:val="00214DEC"/>
    <w:rsid w:val="002155B8"/>
    <w:rsid w:val="002205C8"/>
    <w:rsid w:val="00223210"/>
    <w:rsid w:val="0022349B"/>
    <w:rsid w:val="00223A15"/>
    <w:rsid w:val="00223F33"/>
    <w:rsid w:val="00224839"/>
    <w:rsid w:val="002249B2"/>
    <w:rsid w:val="00226574"/>
    <w:rsid w:val="002278EC"/>
    <w:rsid w:val="00227D26"/>
    <w:rsid w:val="0023280E"/>
    <w:rsid w:val="00236095"/>
    <w:rsid w:val="002369C9"/>
    <w:rsid w:val="00236D79"/>
    <w:rsid w:val="002377D1"/>
    <w:rsid w:val="00247224"/>
    <w:rsid w:val="00250487"/>
    <w:rsid w:val="002506BC"/>
    <w:rsid w:val="00251D0C"/>
    <w:rsid w:val="00254345"/>
    <w:rsid w:val="00254D98"/>
    <w:rsid w:val="00255C5A"/>
    <w:rsid w:val="0025641C"/>
    <w:rsid w:val="00257BD1"/>
    <w:rsid w:val="00260502"/>
    <w:rsid w:val="00262D4D"/>
    <w:rsid w:val="002631B1"/>
    <w:rsid w:val="00264557"/>
    <w:rsid w:val="00265EAC"/>
    <w:rsid w:val="002708B9"/>
    <w:rsid w:val="002732FC"/>
    <w:rsid w:val="00274920"/>
    <w:rsid w:val="0027506B"/>
    <w:rsid w:val="00275DBB"/>
    <w:rsid w:val="002760F6"/>
    <w:rsid w:val="002805AB"/>
    <w:rsid w:val="00284204"/>
    <w:rsid w:val="0028484F"/>
    <w:rsid w:val="00287BF0"/>
    <w:rsid w:val="00290487"/>
    <w:rsid w:val="00291773"/>
    <w:rsid w:val="002917F2"/>
    <w:rsid w:val="00294421"/>
    <w:rsid w:val="00294BBC"/>
    <w:rsid w:val="0029758A"/>
    <w:rsid w:val="002A168C"/>
    <w:rsid w:val="002A3DC7"/>
    <w:rsid w:val="002A5672"/>
    <w:rsid w:val="002A59D8"/>
    <w:rsid w:val="002A650C"/>
    <w:rsid w:val="002B1EAD"/>
    <w:rsid w:val="002B2510"/>
    <w:rsid w:val="002B32C8"/>
    <w:rsid w:val="002B49E2"/>
    <w:rsid w:val="002B5BCE"/>
    <w:rsid w:val="002B7B00"/>
    <w:rsid w:val="002B7C44"/>
    <w:rsid w:val="002C0DCC"/>
    <w:rsid w:val="002C17DE"/>
    <w:rsid w:val="002C2B17"/>
    <w:rsid w:val="002C3990"/>
    <w:rsid w:val="002C58DD"/>
    <w:rsid w:val="002C6BD3"/>
    <w:rsid w:val="002D058D"/>
    <w:rsid w:val="002D1C5F"/>
    <w:rsid w:val="002D3DD0"/>
    <w:rsid w:val="002D5878"/>
    <w:rsid w:val="002E0D16"/>
    <w:rsid w:val="002E1F3A"/>
    <w:rsid w:val="002E298A"/>
    <w:rsid w:val="002E4F37"/>
    <w:rsid w:val="002E67BE"/>
    <w:rsid w:val="002F0391"/>
    <w:rsid w:val="002F0BAA"/>
    <w:rsid w:val="002F0FA3"/>
    <w:rsid w:val="002F2541"/>
    <w:rsid w:val="002F37F5"/>
    <w:rsid w:val="002F57DF"/>
    <w:rsid w:val="003015FB"/>
    <w:rsid w:val="00301978"/>
    <w:rsid w:val="00301A1C"/>
    <w:rsid w:val="00301E43"/>
    <w:rsid w:val="0030332C"/>
    <w:rsid w:val="003051C2"/>
    <w:rsid w:val="003074D8"/>
    <w:rsid w:val="00307716"/>
    <w:rsid w:val="00312296"/>
    <w:rsid w:val="00313171"/>
    <w:rsid w:val="00314CEC"/>
    <w:rsid w:val="00314F0E"/>
    <w:rsid w:val="00315B15"/>
    <w:rsid w:val="00315C30"/>
    <w:rsid w:val="00316005"/>
    <w:rsid w:val="00320307"/>
    <w:rsid w:val="00321D8E"/>
    <w:rsid w:val="00323F75"/>
    <w:rsid w:val="00325928"/>
    <w:rsid w:val="003265CD"/>
    <w:rsid w:val="00326B63"/>
    <w:rsid w:val="00332863"/>
    <w:rsid w:val="00334FC3"/>
    <w:rsid w:val="00335C43"/>
    <w:rsid w:val="0033684D"/>
    <w:rsid w:val="00337B42"/>
    <w:rsid w:val="00341B42"/>
    <w:rsid w:val="00342496"/>
    <w:rsid w:val="0034348F"/>
    <w:rsid w:val="0034415E"/>
    <w:rsid w:val="003447B7"/>
    <w:rsid w:val="003461B0"/>
    <w:rsid w:val="003461CC"/>
    <w:rsid w:val="003462BD"/>
    <w:rsid w:val="00352F77"/>
    <w:rsid w:val="00354C41"/>
    <w:rsid w:val="00356653"/>
    <w:rsid w:val="0035743F"/>
    <w:rsid w:val="00357441"/>
    <w:rsid w:val="00357BE2"/>
    <w:rsid w:val="00357C19"/>
    <w:rsid w:val="00360E24"/>
    <w:rsid w:val="00360F3A"/>
    <w:rsid w:val="0036170C"/>
    <w:rsid w:val="00361B60"/>
    <w:rsid w:val="00362A5C"/>
    <w:rsid w:val="00366E0F"/>
    <w:rsid w:val="00367891"/>
    <w:rsid w:val="0037341A"/>
    <w:rsid w:val="00377FA5"/>
    <w:rsid w:val="00381A72"/>
    <w:rsid w:val="00384676"/>
    <w:rsid w:val="003860B0"/>
    <w:rsid w:val="00386A6F"/>
    <w:rsid w:val="00386C14"/>
    <w:rsid w:val="00386E44"/>
    <w:rsid w:val="00390857"/>
    <w:rsid w:val="003923B4"/>
    <w:rsid w:val="003933E6"/>
    <w:rsid w:val="00393641"/>
    <w:rsid w:val="00394093"/>
    <w:rsid w:val="00395606"/>
    <w:rsid w:val="00396FCB"/>
    <w:rsid w:val="00397B98"/>
    <w:rsid w:val="003A3271"/>
    <w:rsid w:val="003A4BF3"/>
    <w:rsid w:val="003A5C8A"/>
    <w:rsid w:val="003A6BCF"/>
    <w:rsid w:val="003B420D"/>
    <w:rsid w:val="003C09AD"/>
    <w:rsid w:val="003C2AC1"/>
    <w:rsid w:val="003C2CA8"/>
    <w:rsid w:val="003C5B39"/>
    <w:rsid w:val="003C6135"/>
    <w:rsid w:val="003C6C16"/>
    <w:rsid w:val="003D0E9D"/>
    <w:rsid w:val="003D1849"/>
    <w:rsid w:val="003D22B1"/>
    <w:rsid w:val="003D794D"/>
    <w:rsid w:val="003E08FF"/>
    <w:rsid w:val="003E12C4"/>
    <w:rsid w:val="003E17F6"/>
    <w:rsid w:val="003E3058"/>
    <w:rsid w:val="003E3425"/>
    <w:rsid w:val="003E3D45"/>
    <w:rsid w:val="003E76A9"/>
    <w:rsid w:val="003F0809"/>
    <w:rsid w:val="003F31D6"/>
    <w:rsid w:val="003F35FC"/>
    <w:rsid w:val="003F4161"/>
    <w:rsid w:val="003F4EE9"/>
    <w:rsid w:val="003F6A8C"/>
    <w:rsid w:val="003F755C"/>
    <w:rsid w:val="003F79A7"/>
    <w:rsid w:val="004025BD"/>
    <w:rsid w:val="00403136"/>
    <w:rsid w:val="00406F01"/>
    <w:rsid w:val="004078D8"/>
    <w:rsid w:val="00410158"/>
    <w:rsid w:val="00411F52"/>
    <w:rsid w:val="0041686B"/>
    <w:rsid w:val="00416D50"/>
    <w:rsid w:val="00416D59"/>
    <w:rsid w:val="00416FD5"/>
    <w:rsid w:val="004176E8"/>
    <w:rsid w:val="00417772"/>
    <w:rsid w:val="00420E6A"/>
    <w:rsid w:val="00421EEC"/>
    <w:rsid w:val="00423E33"/>
    <w:rsid w:val="00424242"/>
    <w:rsid w:val="004243E6"/>
    <w:rsid w:val="00425A9E"/>
    <w:rsid w:val="00426D6B"/>
    <w:rsid w:val="00431E6C"/>
    <w:rsid w:val="00433A58"/>
    <w:rsid w:val="00433C20"/>
    <w:rsid w:val="00433CE7"/>
    <w:rsid w:val="00433D52"/>
    <w:rsid w:val="004358BB"/>
    <w:rsid w:val="00437BE0"/>
    <w:rsid w:val="00452738"/>
    <w:rsid w:val="00454073"/>
    <w:rsid w:val="004559E7"/>
    <w:rsid w:val="00456091"/>
    <w:rsid w:val="00456242"/>
    <w:rsid w:val="0046002B"/>
    <w:rsid w:val="004625AE"/>
    <w:rsid w:val="00466321"/>
    <w:rsid w:val="00467334"/>
    <w:rsid w:val="00470062"/>
    <w:rsid w:val="00470C17"/>
    <w:rsid w:val="00471216"/>
    <w:rsid w:val="00471DF8"/>
    <w:rsid w:val="004732EF"/>
    <w:rsid w:val="00474D15"/>
    <w:rsid w:val="004751C8"/>
    <w:rsid w:val="00484B9B"/>
    <w:rsid w:val="004855F6"/>
    <w:rsid w:val="0048661E"/>
    <w:rsid w:val="00494670"/>
    <w:rsid w:val="0049523F"/>
    <w:rsid w:val="004A23C4"/>
    <w:rsid w:val="004A2843"/>
    <w:rsid w:val="004A2ED6"/>
    <w:rsid w:val="004A3823"/>
    <w:rsid w:val="004A5F2A"/>
    <w:rsid w:val="004B1385"/>
    <w:rsid w:val="004B3469"/>
    <w:rsid w:val="004B4383"/>
    <w:rsid w:val="004B4651"/>
    <w:rsid w:val="004B6063"/>
    <w:rsid w:val="004B6BC2"/>
    <w:rsid w:val="004B7683"/>
    <w:rsid w:val="004C01FC"/>
    <w:rsid w:val="004C0DF0"/>
    <w:rsid w:val="004C25C7"/>
    <w:rsid w:val="004C4959"/>
    <w:rsid w:val="004C5844"/>
    <w:rsid w:val="004C5DFB"/>
    <w:rsid w:val="004C61DD"/>
    <w:rsid w:val="004D19EE"/>
    <w:rsid w:val="004D326D"/>
    <w:rsid w:val="004D382E"/>
    <w:rsid w:val="004E0DBE"/>
    <w:rsid w:val="004E0FF6"/>
    <w:rsid w:val="004E20C9"/>
    <w:rsid w:val="004E4903"/>
    <w:rsid w:val="004E5C01"/>
    <w:rsid w:val="004E6946"/>
    <w:rsid w:val="004E6CAF"/>
    <w:rsid w:val="004E73AD"/>
    <w:rsid w:val="004E7761"/>
    <w:rsid w:val="004F19C8"/>
    <w:rsid w:val="004F1AD8"/>
    <w:rsid w:val="004F2228"/>
    <w:rsid w:val="004F32BB"/>
    <w:rsid w:val="004F741C"/>
    <w:rsid w:val="00500ACA"/>
    <w:rsid w:val="00501356"/>
    <w:rsid w:val="005039CB"/>
    <w:rsid w:val="00504A87"/>
    <w:rsid w:val="0050558F"/>
    <w:rsid w:val="00505795"/>
    <w:rsid w:val="005059B5"/>
    <w:rsid w:val="00506286"/>
    <w:rsid w:val="00510813"/>
    <w:rsid w:val="00511990"/>
    <w:rsid w:val="00511DE0"/>
    <w:rsid w:val="00513AD5"/>
    <w:rsid w:val="005141D6"/>
    <w:rsid w:val="00514870"/>
    <w:rsid w:val="00514B9B"/>
    <w:rsid w:val="00517F02"/>
    <w:rsid w:val="00520B7A"/>
    <w:rsid w:val="005223F5"/>
    <w:rsid w:val="00522BDD"/>
    <w:rsid w:val="00524303"/>
    <w:rsid w:val="005258A2"/>
    <w:rsid w:val="00531851"/>
    <w:rsid w:val="00532CC6"/>
    <w:rsid w:val="00533CD2"/>
    <w:rsid w:val="00535E7A"/>
    <w:rsid w:val="005401AE"/>
    <w:rsid w:val="00541E98"/>
    <w:rsid w:val="00542E07"/>
    <w:rsid w:val="005449A1"/>
    <w:rsid w:val="00545424"/>
    <w:rsid w:val="0054697C"/>
    <w:rsid w:val="00547C09"/>
    <w:rsid w:val="005546CB"/>
    <w:rsid w:val="00554A7B"/>
    <w:rsid w:val="0055572C"/>
    <w:rsid w:val="00556492"/>
    <w:rsid w:val="00560AA3"/>
    <w:rsid w:val="0056106A"/>
    <w:rsid w:val="00561B0F"/>
    <w:rsid w:val="00562B3A"/>
    <w:rsid w:val="0056521D"/>
    <w:rsid w:val="0056668A"/>
    <w:rsid w:val="005710CC"/>
    <w:rsid w:val="00571786"/>
    <w:rsid w:val="005720AE"/>
    <w:rsid w:val="005728F1"/>
    <w:rsid w:val="00573E7E"/>
    <w:rsid w:val="00573FB0"/>
    <w:rsid w:val="005743E1"/>
    <w:rsid w:val="00575162"/>
    <w:rsid w:val="0057570A"/>
    <w:rsid w:val="00582BD0"/>
    <w:rsid w:val="0058389B"/>
    <w:rsid w:val="00583FC1"/>
    <w:rsid w:val="005855A3"/>
    <w:rsid w:val="005858E9"/>
    <w:rsid w:val="00586496"/>
    <w:rsid w:val="00591E8B"/>
    <w:rsid w:val="00592FA8"/>
    <w:rsid w:val="00592FE8"/>
    <w:rsid w:val="00593481"/>
    <w:rsid w:val="005944F6"/>
    <w:rsid w:val="00594D77"/>
    <w:rsid w:val="005969E4"/>
    <w:rsid w:val="00597688"/>
    <w:rsid w:val="005979CC"/>
    <w:rsid w:val="005A06B7"/>
    <w:rsid w:val="005A0E8D"/>
    <w:rsid w:val="005A1759"/>
    <w:rsid w:val="005A2198"/>
    <w:rsid w:val="005A2B28"/>
    <w:rsid w:val="005A2E82"/>
    <w:rsid w:val="005A2F7D"/>
    <w:rsid w:val="005A593F"/>
    <w:rsid w:val="005A68A7"/>
    <w:rsid w:val="005A778E"/>
    <w:rsid w:val="005B0F1E"/>
    <w:rsid w:val="005B20FF"/>
    <w:rsid w:val="005B4B2B"/>
    <w:rsid w:val="005B4B8B"/>
    <w:rsid w:val="005B6057"/>
    <w:rsid w:val="005C0370"/>
    <w:rsid w:val="005C12F8"/>
    <w:rsid w:val="005D01CF"/>
    <w:rsid w:val="005D1240"/>
    <w:rsid w:val="005D277F"/>
    <w:rsid w:val="005D2AD8"/>
    <w:rsid w:val="005D36AB"/>
    <w:rsid w:val="005E1404"/>
    <w:rsid w:val="005E2043"/>
    <w:rsid w:val="005E2F98"/>
    <w:rsid w:val="005E3B32"/>
    <w:rsid w:val="005E4A96"/>
    <w:rsid w:val="005E4FCF"/>
    <w:rsid w:val="005E6471"/>
    <w:rsid w:val="005E78C5"/>
    <w:rsid w:val="005F04D4"/>
    <w:rsid w:val="005F0EAE"/>
    <w:rsid w:val="005F17EF"/>
    <w:rsid w:val="005F3902"/>
    <w:rsid w:val="005F4186"/>
    <w:rsid w:val="005F4F78"/>
    <w:rsid w:val="005F6887"/>
    <w:rsid w:val="00600B00"/>
    <w:rsid w:val="00600E84"/>
    <w:rsid w:val="006027CC"/>
    <w:rsid w:val="00602FEF"/>
    <w:rsid w:val="00613F3A"/>
    <w:rsid w:val="00617AFF"/>
    <w:rsid w:val="00617CC3"/>
    <w:rsid w:val="006201F2"/>
    <w:rsid w:val="0062097B"/>
    <w:rsid w:val="00620A94"/>
    <w:rsid w:val="00626672"/>
    <w:rsid w:val="006318F3"/>
    <w:rsid w:val="00631AB3"/>
    <w:rsid w:val="00633080"/>
    <w:rsid w:val="00633A0A"/>
    <w:rsid w:val="00634431"/>
    <w:rsid w:val="006377A6"/>
    <w:rsid w:val="0063782B"/>
    <w:rsid w:val="00637A3D"/>
    <w:rsid w:val="006411EF"/>
    <w:rsid w:val="0064130B"/>
    <w:rsid w:val="00645819"/>
    <w:rsid w:val="006478B6"/>
    <w:rsid w:val="006526A6"/>
    <w:rsid w:val="00652F79"/>
    <w:rsid w:val="00653AA3"/>
    <w:rsid w:val="00655EF5"/>
    <w:rsid w:val="00661888"/>
    <w:rsid w:val="00661CB1"/>
    <w:rsid w:val="0066218A"/>
    <w:rsid w:val="00662857"/>
    <w:rsid w:val="00663F64"/>
    <w:rsid w:val="0066703A"/>
    <w:rsid w:val="006707A7"/>
    <w:rsid w:val="00672703"/>
    <w:rsid w:val="00673F47"/>
    <w:rsid w:val="006748B8"/>
    <w:rsid w:val="00675638"/>
    <w:rsid w:val="006775C3"/>
    <w:rsid w:val="00680816"/>
    <w:rsid w:val="00680B47"/>
    <w:rsid w:val="0068165B"/>
    <w:rsid w:val="006829FF"/>
    <w:rsid w:val="00690B1F"/>
    <w:rsid w:val="0069290A"/>
    <w:rsid w:val="00694D86"/>
    <w:rsid w:val="00695518"/>
    <w:rsid w:val="0069775A"/>
    <w:rsid w:val="00697813"/>
    <w:rsid w:val="006A1084"/>
    <w:rsid w:val="006A1D4C"/>
    <w:rsid w:val="006A3EE8"/>
    <w:rsid w:val="006A72BF"/>
    <w:rsid w:val="006A7712"/>
    <w:rsid w:val="006A7F7D"/>
    <w:rsid w:val="006B03F2"/>
    <w:rsid w:val="006B074A"/>
    <w:rsid w:val="006B28FF"/>
    <w:rsid w:val="006B37DC"/>
    <w:rsid w:val="006B3FE0"/>
    <w:rsid w:val="006B4B49"/>
    <w:rsid w:val="006B4F68"/>
    <w:rsid w:val="006B6BFB"/>
    <w:rsid w:val="006B6C26"/>
    <w:rsid w:val="006C0592"/>
    <w:rsid w:val="006C111F"/>
    <w:rsid w:val="006C272E"/>
    <w:rsid w:val="006C2A99"/>
    <w:rsid w:val="006C3CC7"/>
    <w:rsid w:val="006C5479"/>
    <w:rsid w:val="006C600E"/>
    <w:rsid w:val="006D13B5"/>
    <w:rsid w:val="006E12FF"/>
    <w:rsid w:val="006E1C3D"/>
    <w:rsid w:val="006E2003"/>
    <w:rsid w:val="006E3157"/>
    <w:rsid w:val="006E5D5D"/>
    <w:rsid w:val="006E607E"/>
    <w:rsid w:val="006E7B05"/>
    <w:rsid w:val="006F3E09"/>
    <w:rsid w:val="00701124"/>
    <w:rsid w:val="00706C5D"/>
    <w:rsid w:val="00715E8B"/>
    <w:rsid w:val="00716426"/>
    <w:rsid w:val="00721000"/>
    <w:rsid w:val="00723CA3"/>
    <w:rsid w:val="007265C2"/>
    <w:rsid w:val="00727C0B"/>
    <w:rsid w:val="00732922"/>
    <w:rsid w:val="00732F76"/>
    <w:rsid w:val="0073484B"/>
    <w:rsid w:val="00734E21"/>
    <w:rsid w:val="00740BD8"/>
    <w:rsid w:val="00744F1F"/>
    <w:rsid w:val="007466E0"/>
    <w:rsid w:val="0074674D"/>
    <w:rsid w:val="007474CE"/>
    <w:rsid w:val="0075162E"/>
    <w:rsid w:val="00751E46"/>
    <w:rsid w:val="00754034"/>
    <w:rsid w:val="00754607"/>
    <w:rsid w:val="00756556"/>
    <w:rsid w:val="00757F37"/>
    <w:rsid w:val="007618C4"/>
    <w:rsid w:val="0076461E"/>
    <w:rsid w:val="0076483C"/>
    <w:rsid w:val="00766B9C"/>
    <w:rsid w:val="00767980"/>
    <w:rsid w:val="00770B19"/>
    <w:rsid w:val="00770E5C"/>
    <w:rsid w:val="0077194C"/>
    <w:rsid w:val="00774379"/>
    <w:rsid w:val="0077463F"/>
    <w:rsid w:val="00776696"/>
    <w:rsid w:val="00780FCF"/>
    <w:rsid w:val="0078145A"/>
    <w:rsid w:val="007836EA"/>
    <w:rsid w:val="00784CDA"/>
    <w:rsid w:val="007858C6"/>
    <w:rsid w:val="00785B05"/>
    <w:rsid w:val="007906C4"/>
    <w:rsid w:val="007913B6"/>
    <w:rsid w:val="007935FA"/>
    <w:rsid w:val="007940EA"/>
    <w:rsid w:val="007967E8"/>
    <w:rsid w:val="00796ABE"/>
    <w:rsid w:val="007A2170"/>
    <w:rsid w:val="007A22BF"/>
    <w:rsid w:val="007A27F2"/>
    <w:rsid w:val="007A32E8"/>
    <w:rsid w:val="007A3323"/>
    <w:rsid w:val="007A5432"/>
    <w:rsid w:val="007A6535"/>
    <w:rsid w:val="007A6A10"/>
    <w:rsid w:val="007A6D7A"/>
    <w:rsid w:val="007B066C"/>
    <w:rsid w:val="007B1932"/>
    <w:rsid w:val="007B29F2"/>
    <w:rsid w:val="007B4CE3"/>
    <w:rsid w:val="007B7094"/>
    <w:rsid w:val="007B72B8"/>
    <w:rsid w:val="007B7A58"/>
    <w:rsid w:val="007C21B5"/>
    <w:rsid w:val="007C3589"/>
    <w:rsid w:val="007C59D9"/>
    <w:rsid w:val="007D0D3B"/>
    <w:rsid w:val="007D40F0"/>
    <w:rsid w:val="007D4BF5"/>
    <w:rsid w:val="007D5DCF"/>
    <w:rsid w:val="007E2AB6"/>
    <w:rsid w:val="007E42C1"/>
    <w:rsid w:val="007E4A0F"/>
    <w:rsid w:val="007E4BD2"/>
    <w:rsid w:val="007F288F"/>
    <w:rsid w:val="007F5A7D"/>
    <w:rsid w:val="008004E9"/>
    <w:rsid w:val="0080069E"/>
    <w:rsid w:val="00801393"/>
    <w:rsid w:val="00801A16"/>
    <w:rsid w:val="0080260E"/>
    <w:rsid w:val="00802F88"/>
    <w:rsid w:val="00806268"/>
    <w:rsid w:val="008102F1"/>
    <w:rsid w:val="00810F39"/>
    <w:rsid w:val="00811CD9"/>
    <w:rsid w:val="0081293E"/>
    <w:rsid w:val="0081517B"/>
    <w:rsid w:val="00815465"/>
    <w:rsid w:val="00817C70"/>
    <w:rsid w:val="00817CBD"/>
    <w:rsid w:val="00817E9A"/>
    <w:rsid w:val="008217B1"/>
    <w:rsid w:val="008247B0"/>
    <w:rsid w:val="00827C23"/>
    <w:rsid w:val="008306BD"/>
    <w:rsid w:val="00831A80"/>
    <w:rsid w:val="008331CF"/>
    <w:rsid w:val="00833743"/>
    <w:rsid w:val="008340A4"/>
    <w:rsid w:val="0083561E"/>
    <w:rsid w:val="00836879"/>
    <w:rsid w:val="008373A3"/>
    <w:rsid w:val="00837C03"/>
    <w:rsid w:val="0084084A"/>
    <w:rsid w:val="00840F7D"/>
    <w:rsid w:val="00844231"/>
    <w:rsid w:val="00845C04"/>
    <w:rsid w:val="00852878"/>
    <w:rsid w:val="00854D97"/>
    <w:rsid w:val="008554BA"/>
    <w:rsid w:val="008561B9"/>
    <w:rsid w:val="00857A1A"/>
    <w:rsid w:val="00862861"/>
    <w:rsid w:val="00863741"/>
    <w:rsid w:val="00864A7E"/>
    <w:rsid w:val="0087135F"/>
    <w:rsid w:val="00872D94"/>
    <w:rsid w:val="008745FF"/>
    <w:rsid w:val="00875365"/>
    <w:rsid w:val="008754A4"/>
    <w:rsid w:val="00876401"/>
    <w:rsid w:val="00876493"/>
    <w:rsid w:val="00880364"/>
    <w:rsid w:val="0088325E"/>
    <w:rsid w:val="0088358D"/>
    <w:rsid w:val="008852F2"/>
    <w:rsid w:val="00887841"/>
    <w:rsid w:val="00891592"/>
    <w:rsid w:val="008915FC"/>
    <w:rsid w:val="00891E9E"/>
    <w:rsid w:val="00892DF5"/>
    <w:rsid w:val="00893782"/>
    <w:rsid w:val="00893EC1"/>
    <w:rsid w:val="0089491B"/>
    <w:rsid w:val="00894A5B"/>
    <w:rsid w:val="008951E6"/>
    <w:rsid w:val="0089774D"/>
    <w:rsid w:val="00897C26"/>
    <w:rsid w:val="008A0330"/>
    <w:rsid w:val="008A244B"/>
    <w:rsid w:val="008A2F68"/>
    <w:rsid w:val="008A3A32"/>
    <w:rsid w:val="008A5809"/>
    <w:rsid w:val="008A5EB5"/>
    <w:rsid w:val="008A68E2"/>
    <w:rsid w:val="008B0882"/>
    <w:rsid w:val="008B0E5D"/>
    <w:rsid w:val="008B4FA6"/>
    <w:rsid w:val="008B5282"/>
    <w:rsid w:val="008B7C17"/>
    <w:rsid w:val="008C2D01"/>
    <w:rsid w:val="008C40E6"/>
    <w:rsid w:val="008C4AD3"/>
    <w:rsid w:val="008C5887"/>
    <w:rsid w:val="008C6C34"/>
    <w:rsid w:val="008D025A"/>
    <w:rsid w:val="008D0F7A"/>
    <w:rsid w:val="008D1034"/>
    <w:rsid w:val="008D2C62"/>
    <w:rsid w:val="008D310B"/>
    <w:rsid w:val="008D68E4"/>
    <w:rsid w:val="008E0506"/>
    <w:rsid w:val="008E0CFF"/>
    <w:rsid w:val="008E5167"/>
    <w:rsid w:val="008E5948"/>
    <w:rsid w:val="008E5D6B"/>
    <w:rsid w:val="008E7027"/>
    <w:rsid w:val="008E76F0"/>
    <w:rsid w:val="008F15FE"/>
    <w:rsid w:val="008F2D29"/>
    <w:rsid w:val="008F5187"/>
    <w:rsid w:val="008F60D8"/>
    <w:rsid w:val="008F6E91"/>
    <w:rsid w:val="008F77F2"/>
    <w:rsid w:val="00902727"/>
    <w:rsid w:val="0090312B"/>
    <w:rsid w:val="00903F1E"/>
    <w:rsid w:val="0090562D"/>
    <w:rsid w:val="009106DC"/>
    <w:rsid w:val="009130D4"/>
    <w:rsid w:val="0091339F"/>
    <w:rsid w:val="009148D2"/>
    <w:rsid w:val="009154C9"/>
    <w:rsid w:val="0091736D"/>
    <w:rsid w:val="00917437"/>
    <w:rsid w:val="0092006A"/>
    <w:rsid w:val="009218A8"/>
    <w:rsid w:val="00923A05"/>
    <w:rsid w:val="00924C5D"/>
    <w:rsid w:val="00930362"/>
    <w:rsid w:val="0093037A"/>
    <w:rsid w:val="00930E95"/>
    <w:rsid w:val="0093388C"/>
    <w:rsid w:val="00935410"/>
    <w:rsid w:val="00936648"/>
    <w:rsid w:val="009409BE"/>
    <w:rsid w:val="0094154D"/>
    <w:rsid w:val="00945F32"/>
    <w:rsid w:val="00950BDF"/>
    <w:rsid w:val="0095155F"/>
    <w:rsid w:val="0095337D"/>
    <w:rsid w:val="00954429"/>
    <w:rsid w:val="00956062"/>
    <w:rsid w:val="009563CE"/>
    <w:rsid w:val="00956ECA"/>
    <w:rsid w:val="00960206"/>
    <w:rsid w:val="00960398"/>
    <w:rsid w:val="00960671"/>
    <w:rsid w:val="00960745"/>
    <w:rsid w:val="009613DD"/>
    <w:rsid w:val="0096244A"/>
    <w:rsid w:val="009634C1"/>
    <w:rsid w:val="00963896"/>
    <w:rsid w:val="00965BC6"/>
    <w:rsid w:val="00966242"/>
    <w:rsid w:val="00967410"/>
    <w:rsid w:val="009700DE"/>
    <w:rsid w:val="0097042B"/>
    <w:rsid w:val="0097106B"/>
    <w:rsid w:val="009716F4"/>
    <w:rsid w:val="00973029"/>
    <w:rsid w:val="009734CD"/>
    <w:rsid w:val="00976328"/>
    <w:rsid w:val="0097680D"/>
    <w:rsid w:val="00980269"/>
    <w:rsid w:val="009805C1"/>
    <w:rsid w:val="0098196A"/>
    <w:rsid w:val="00981BD0"/>
    <w:rsid w:val="00982438"/>
    <w:rsid w:val="009839AA"/>
    <w:rsid w:val="0098404C"/>
    <w:rsid w:val="00985283"/>
    <w:rsid w:val="00985687"/>
    <w:rsid w:val="0098796C"/>
    <w:rsid w:val="009920D4"/>
    <w:rsid w:val="00992CD4"/>
    <w:rsid w:val="00992D2A"/>
    <w:rsid w:val="0099343E"/>
    <w:rsid w:val="00994E12"/>
    <w:rsid w:val="00995992"/>
    <w:rsid w:val="00996C9E"/>
    <w:rsid w:val="00997DB4"/>
    <w:rsid w:val="009A03E5"/>
    <w:rsid w:val="009A04EA"/>
    <w:rsid w:val="009A0F3B"/>
    <w:rsid w:val="009A0FEB"/>
    <w:rsid w:val="009A1BB4"/>
    <w:rsid w:val="009A2628"/>
    <w:rsid w:val="009A3200"/>
    <w:rsid w:val="009A5754"/>
    <w:rsid w:val="009A674C"/>
    <w:rsid w:val="009B0897"/>
    <w:rsid w:val="009B3DD9"/>
    <w:rsid w:val="009B7551"/>
    <w:rsid w:val="009B7BD9"/>
    <w:rsid w:val="009C0618"/>
    <w:rsid w:val="009C095F"/>
    <w:rsid w:val="009C6904"/>
    <w:rsid w:val="009C7DD5"/>
    <w:rsid w:val="009D2020"/>
    <w:rsid w:val="009D2FF6"/>
    <w:rsid w:val="009E0D98"/>
    <w:rsid w:val="009E17CA"/>
    <w:rsid w:val="009E1BF1"/>
    <w:rsid w:val="009E227D"/>
    <w:rsid w:val="009E3064"/>
    <w:rsid w:val="009E5019"/>
    <w:rsid w:val="009F01FC"/>
    <w:rsid w:val="009F3ACD"/>
    <w:rsid w:val="00A005C1"/>
    <w:rsid w:val="00A0143D"/>
    <w:rsid w:val="00A04F1B"/>
    <w:rsid w:val="00A0501B"/>
    <w:rsid w:val="00A07824"/>
    <w:rsid w:val="00A10FFC"/>
    <w:rsid w:val="00A125FF"/>
    <w:rsid w:val="00A14947"/>
    <w:rsid w:val="00A14EB8"/>
    <w:rsid w:val="00A15E24"/>
    <w:rsid w:val="00A163A9"/>
    <w:rsid w:val="00A2539F"/>
    <w:rsid w:val="00A25580"/>
    <w:rsid w:val="00A25BC2"/>
    <w:rsid w:val="00A31D64"/>
    <w:rsid w:val="00A32A83"/>
    <w:rsid w:val="00A3381B"/>
    <w:rsid w:val="00A368DB"/>
    <w:rsid w:val="00A41E13"/>
    <w:rsid w:val="00A423AA"/>
    <w:rsid w:val="00A470F7"/>
    <w:rsid w:val="00A53EC6"/>
    <w:rsid w:val="00A54ACB"/>
    <w:rsid w:val="00A55C0F"/>
    <w:rsid w:val="00A571D1"/>
    <w:rsid w:val="00A65DFA"/>
    <w:rsid w:val="00A67D58"/>
    <w:rsid w:val="00A70701"/>
    <w:rsid w:val="00A73497"/>
    <w:rsid w:val="00A73631"/>
    <w:rsid w:val="00A748A8"/>
    <w:rsid w:val="00A808D1"/>
    <w:rsid w:val="00A81D71"/>
    <w:rsid w:val="00A84B69"/>
    <w:rsid w:val="00A85859"/>
    <w:rsid w:val="00A8713F"/>
    <w:rsid w:val="00A90BA1"/>
    <w:rsid w:val="00A9320E"/>
    <w:rsid w:val="00A9458C"/>
    <w:rsid w:val="00A97A9A"/>
    <w:rsid w:val="00AA0671"/>
    <w:rsid w:val="00AA0C64"/>
    <w:rsid w:val="00AA1E6E"/>
    <w:rsid w:val="00AA2113"/>
    <w:rsid w:val="00AA21BF"/>
    <w:rsid w:val="00AA2531"/>
    <w:rsid w:val="00AA2D00"/>
    <w:rsid w:val="00AA2FE3"/>
    <w:rsid w:val="00AA3EAA"/>
    <w:rsid w:val="00AA6758"/>
    <w:rsid w:val="00AB1E09"/>
    <w:rsid w:val="00AB5330"/>
    <w:rsid w:val="00AB6E14"/>
    <w:rsid w:val="00AB7747"/>
    <w:rsid w:val="00AC14CE"/>
    <w:rsid w:val="00AC2142"/>
    <w:rsid w:val="00AC25A6"/>
    <w:rsid w:val="00AC2A56"/>
    <w:rsid w:val="00AC33AC"/>
    <w:rsid w:val="00AC6FC3"/>
    <w:rsid w:val="00AC7F37"/>
    <w:rsid w:val="00AD04AF"/>
    <w:rsid w:val="00AD051E"/>
    <w:rsid w:val="00AD055E"/>
    <w:rsid w:val="00AD14DC"/>
    <w:rsid w:val="00AD27A7"/>
    <w:rsid w:val="00AD3603"/>
    <w:rsid w:val="00AD47A7"/>
    <w:rsid w:val="00AE1A88"/>
    <w:rsid w:val="00AE51C4"/>
    <w:rsid w:val="00AE6246"/>
    <w:rsid w:val="00AF0633"/>
    <w:rsid w:val="00AF0CBF"/>
    <w:rsid w:val="00AF1721"/>
    <w:rsid w:val="00AF257F"/>
    <w:rsid w:val="00AF33CF"/>
    <w:rsid w:val="00AF38C9"/>
    <w:rsid w:val="00AF4D50"/>
    <w:rsid w:val="00AF6179"/>
    <w:rsid w:val="00AF630E"/>
    <w:rsid w:val="00AF786A"/>
    <w:rsid w:val="00B00662"/>
    <w:rsid w:val="00B01E8D"/>
    <w:rsid w:val="00B021CB"/>
    <w:rsid w:val="00B1295A"/>
    <w:rsid w:val="00B130C8"/>
    <w:rsid w:val="00B13820"/>
    <w:rsid w:val="00B156E5"/>
    <w:rsid w:val="00B20A45"/>
    <w:rsid w:val="00B22C5C"/>
    <w:rsid w:val="00B24F30"/>
    <w:rsid w:val="00B2599D"/>
    <w:rsid w:val="00B30C5C"/>
    <w:rsid w:val="00B31ABF"/>
    <w:rsid w:val="00B33BE3"/>
    <w:rsid w:val="00B34CF7"/>
    <w:rsid w:val="00B35C27"/>
    <w:rsid w:val="00B360C1"/>
    <w:rsid w:val="00B36B41"/>
    <w:rsid w:val="00B4048D"/>
    <w:rsid w:val="00B40E98"/>
    <w:rsid w:val="00B4121B"/>
    <w:rsid w:val="00B42875"/>
    <w:rsid w:val="00B430A5"/>
    <w:rsid w:val="00B44801"/>
    <w:rsid w:val="00B4480D"/>
    <w:rsid w:val="00B507C4"/>
    <w:rsid w:val="00B53B5D"/>
    <w:rsid w:val="00B55E70"/>
    <w:rsid w:val="00B6055E"/>
    <w:rsid w:val="00B623B1"/>
    <w:rsid w:val="00B6251A"/>
    <w:rsid w:val="00B6317D"/>
    <w:rsid w:val="00B63E41"/>
    <w:rsid w:val="00B75DB4"/>
    <w:rsid w:val="00B7723F"/>
    <w:rsid w:val="00B7757B"/>
    <w:rsid w:val="00B77899"/>
    <w:rsid w:val="00B80534"/>
    <w:rsid w:val="00B8054A"/>
    <w:rsid w:val="00B8433C"/>
    <w:rsid w:val="00B8537F"/>
    <w:rsid w:val="00B856DC"/>
    <w:rsid w:val="00B8608C"/>
    <w:rsid w:val="00B87491"/>
    <w:rsid w:val="00B87A8B"/>
    <w:rsid w:val="00B905C1"/>
    <w:rsid w:val="00B90B24"/>
    <w:rsid w:val="00BA021D"/>
    <w:rsid w:val="00BA29E9"/>
    <w:rsid w:val="00BA570C"/>
    <w:rsid w:val="00BA6F5E"/>
    <w:rsid w:val="00BA7142"/>
    <w:rsid w:val="00BA7F37"/>
    <w:rsid w:val="00BB1A9E"/>
    <w:rsid w:val="00BB237C"/>
    <w:rsid w:val="00BB41A3"/>
    <w:rsid w:val="00BB6D21"/>
    <w:rsid w:val="00BC07DC"/>
    <w:rsid w:val="00BC0CD8"/>
    <w:rsid w:val="00BC32DC"/>
    <w:rsid w:val="00BC35B6"/>
    <w:rsid w:val="00BC4C26"/>
    <w:rsid w:val="00BC747C"/>
    <w:rsid w:val="00BD0164"/>
    <w:rsid w:val="00BD1B51"/>
    <w:rsid w:val="00BD2A8D"/>
    <w:rsid w:val="00BD3F7F"/>
    <w:rsid w:val="00BD4596"/>
    <w:rsid w:val="00BD5688"/>
    <w:rsid w:val="00BD67E2"/>
    <w:rsid w:val="00BD7DF5"/>
    <w:rsid w:val="00BE1405"/>
    <w:rsid w:val="00BE1FF6"/>
    <w:rsid w:val="00BE2139"/>
    <w:rsid w:val="00BE312D"/>
    <w:rsid w:val="00BE4E07"/>
    <w:rsid w:val="00BE5D3E"/>
    <w:rsid w:val="00BF0114"/>
    <w:rsid w:val="00BF18F4"/>
    <w:rsid w:val="00BF1C20"/>
    <w:rsid w:val="00BF2FF5"/>
    <w:rsid w:val="00C04F14"/>
    <w:rsid w:val="00C10578"/>
    <w:rsid w:val="00C135BC"/>
    <w:rsid w:val="00C13F75"/>
    <w:rsid w:val="00C15BC9"/>
    <w:rsid w:val="00C15C95"/>
    <w:rsid w:val="00C15E55"/>
    <w:rsid w:val="00C16CB0"/>
    <w:rsid w:val="00C177B7"/>
    <w:rsid w:val="00C2596A"/>
    <w:rsid w:val="00C26212"/>
    <w:rsid w:val="00C272AB"/>
    <w:rsid w:val="00C27537"/>
    <w:rsid w:val="00C328FE"/>
    <w:rsid w:val="00C33507"/>
    <w:rsid w:val="00C34975"/>
    <w:rsid w:val="00C35563"/>
    <w:rsid w:val="00C43137"/>
    <w:rsid w:val="00C4409D"/>
    <w:rsid w:val="00C44E72"/>
    <w:rsid w:val="00C45A06"/>
    <w:rsid w:val="00C46BA6"/>
    <w:rsid w:val="00C47E5B"/>
    <w:rsid w:val="00C5000F"/>
    <w:rsid w:val="00C501D7"/>
    <w:rsid w:val="00C52168"/>
    <w:rsid w:val="00C56C53"/>
    <w:rsid w:val="00C57C4A"/>
    <w:rsid w:val="00C61673"/>
    <w:rsid w:val="00C61D63"/>
    <w:rsid w:val="00C61E4B"/>
    <w:rsid w:val="00C61F40"/>
    <w:rsid w:val="00C64BFF"/>
    <w:rsid w:val="00C64F07"/>
    <w:rsid w:val="00C65F87"/>
    <w:rsid w:val="00C704E9"/>
    <w:rsid w:val="00C70FDA"/>
    <w:rsid w:val="00C733A9"/>
    <w:rsid w:val="00C75217"/>
    <w:rsid w:val="00C752CF"/>
    <w:rsid w:val="00C75C9A"/>
    <w:rsid w:val="00C763C9"/>
    <w:rsid w:val="00C77A8D"/>
    <w:rsid w:val="00C80057"/>
    <w:rsid w:val="00C80636"/>
    <w:rsid w:val="00C80D0E"/>
    <w:rsid w:val="00C815D9"/>
    <w:rsid w:val="00C82232"/>
    <w:rsid w:val="00C823C4"/>
    <w:rsid w:val="00C82913"/>
    <w:rsid w:val="00C833E1"/>
    <w:rsid w:val="00C8393C"/>
    <w:rsid w:val="00C902E1"/>
    <w:rsid w:val="00C902ED"/>
    <w:rsid w:val="00C90431"/>
    <w:rsid w:val="00C94D8F"/>
    <w:rsid w:val="00C95979"/>
    <w:rsid w:val="00C972B1"/>
    <w:rsid w:val="00C978D9"/>
    <w:rsid w:val="00CA1ED8"/>
    <w:rsid w:val="00CA20C8"/>
    <w:rsid w:val="00CA2CCE"/>
    <w:rsid w:val="00CA43FD"/>
    <w:rsid w:val="00CA46FC"/>
    <w:rsid w:val="00CA5F38"/>
    <w:rsid w:val="00CA67C7"/>
    <w:rsid w:val="00CA75ED"/>
    <w:rsid w:val="00CA7EF8"/>
    <w:rsid w:val="00CB6046"/>
    <w:rsid w:val="00CB6867"/>
    <w:rsid w:val="00CC14D3"/>
    <w:rsid w:val="00CC2969"/>
    <w:rsid w:val="00CC37EC"/>
    <w:rsid w:val="00CC41B0"/>
    <w:rsid w:val="00CC489B"/>
    <w:rsid w:val="00CD0574"/>
    <w:rsid w:val="00CD17C8"/>
    <w:rsid w:val="00CD2BCD"/>
    <w:rsid w:val="00CD3A4C"/>
    <w:rsid w:val="00CD6300"/>
    <w:rsid w:val="00CD730B"/>
    <w:rsid w:val="00CD77E3"/>
    <w:rsid w:val="00CE10E9"/>
    <w:rsid w:val="00CE20C6"/>
    <w:rsid w:val="00CE2910"/>
    <w:rsid w:val="00CE5393"/>
    <w:rsid w:val="00CE655C"/>
    <w:rsid w:val="00CF2894"/>
    <w:rsid w:val="00CF344E"/>
    <w:rsid w:val="00CF36BE"/>
    <w:rsid w:val="00CF5500"/>
    <w:rsid w:val="00CF6000"/>
    <w:rsid w:val="00D003F3"/>
    <w:rsid w:val="00D03428"/>
    <w:rsid w:val="00D0364F"/>
    <w:rsid w:val="00D04D58"/>
    <w:rsid w:val="00D06834"/>
    <w:rsid w:val="00D16106"/>
    <w:rsid w:val="00D175E9"/>
    <w:rsid w:val="00D21B60"/>
    <w:rsid w:val="00D308ED"/>
    <w:rsid w:val="00D31078"/>
    <w:rsid w:val="00D32B9A"/>
    <w:rsid w:val="00D34E04"/>
    <w:rsid w:val="00D36D86"/>
    <w:rsid w:val="00D40C80"/>
    <w:rsid w:val="00D428AA"/>
    <w:rsid w:val="00D42F2C"/>
    <w:rsid w:val="00D4468B"/>
    <w:rsid w:val="00D47865"/>
    <w:rsid w:val="00D50A34"/>
    <w:rsid w:val="00D5106D"/>
    <w:rsid w:val="00D51480"/>
    <w:rsid w:val="00D53EFA"/>
    <w:rsid w:val="00D5704F"/>
    <w:rsid w:val="00D60397"/>
    <w:rsid w:val="00D60DCB"/>
    <w:rsid w:val="00D62EFF"/>
    <w:rsid w:val="00D63C8F"/>
    <w:rsid w:val="00D660DC"/>
    <w:rsid w:val="00D716A9"/>
    <w:rsid w:val="00D7290D"/>
    <w:rsid w:val="00D73B30"/>
    <w:rsid w:val="00D7781A"/>
    <w:rsid w:val="00D821B9"/>
    <w:rsid w:val="00D82A46"/>
    <w:rsid w:val="00D8485A"/>
    <w:rsid w:val="00D877A5"/>
    <w:rsid w:val="00D87BCB"/>
    <w:rsid w:val="00D90B7F"/>
    <w:rsid w:val="00D90E5E"/>
    <w:rsid w:val="00D94928"/>
    <w:rsid w:val="00D94A7C"/>
    <w:rsid w:val="00D95696"/>
    <w:rsid w:val="00D95896"/>
    <w:rsid w:val="00DA2679"/>
    <w:rsid w:val="00DA3344"/>
    <w:rsid w:val="00DA388B"/>
    <w:rsid w:val="00DA3D60"/>
    <w:rsid w:val="00DA6BAC"/>
    <w:rsid w:val="00DB0D93"/>
    <w:rsid w:val="00DB115C"/>
    <w:rsid w:val="00DB2983"/>
    <w:rsid w:val="00DB4962"/>
    <w:rsid w:val="00DB602A"/>
    <w:rsid w:val="00DB663C"/>
    <w:rsid w:val="00DB7652"/>
    <w:rsid w:val="00DC0110"/>
    <w:rsid w:val="00DC11D1"/>
    <w:rsid w:val="00DC1257"/>
    <w:rsid w:val="00DC1938"/>
    <w:rsid w:val="00DC257E"/>
    <w:rsid w:val="00DC316E"/>
    <w:rsid w:val="00DC3DC0"/>
    <w:rsid w:val="00DC5656"/>
    <w:rsid w:val="00DC5886"/>
    <w:rsid w:val="00DC5B2B"/>
    <w:rsid w:val="00DC6AA9"/>
    <w:rsid w:val="00DD0BEA"/>
    <w:rsid w:val="00DD318D"/>
    <w:rsid w:val="00DD60F0"/>
    <w:rsid w:val="00DE421D"/>
    <w:rsid w:val="00DE423D"/>
    <w:rsid w:val="00DE67B6"/>
    <w:rsid w:val="00DE67C3"/>
    <w:rsid w:val="00DE787C"/>
    <w:rsid w:val="00DE7B14"/>
    <w:rsid w:val="00DF0D02"/>
    <w:rsid w:val="00DF10D6"/>
    <w:rsid w:val="00DF2E12"/>
    <w:rsid w:val="00DF3695"/>
    <w:rsid w:val="00DF3AE0"/>
    <w:rsid w:val="00DF3E9A"/>
    <w:rsid w:val="00DF514A"/>
    <w:rsid w:val="00DF6228"/>
    <w:rsid w:val="00DF6690"/>
    <w:rsid w:val="00DF679D"/>
    <w:rsid w:val="00DF6804"/>
    <w:rsid w:val="00E013A8"/>
    <w:rsid w:val="00E01ACB"/>
    <w:rsid w:val="00E02FF6"/>
    <w:rsid w:val="00E0358D"/>
    <w:rsid w:val="00E042F4"/>
    <w:rsid w:val="00E04323"/>
    <w:rsid w:val="00E070A2"/>
    <w:rsid w:val="00E109BC"/>
    <w:rsid w:val="00E13512"/>
    <w:rsid w:val="00E13C43"/>
    <w:rsid w:val="00E13F2E"/>
    <w:rsid w:val="00E1613D"/>
    <w:rsid w:val="00E208F2"/>
    <w:rsid w:val="00E20EE7"/>
    <w:rsid w:val="00E20F29"/>
    <w:rsid w:val="00E231AA"/>
    <w:rsid w:val="00E25D95"/>
    <w:rsid w:val="00E2656A"/>
    <w:rsid w:val="00E27D00"/>
    <w:rsid w:val="00E31FFE"/>
    <w:rsid w:val="00E36254"/>
    <w:rsid w:val="00E36A37"/>
    <w:rsid w:val="00E36F52"/>
    <w:rsid w:val="00E37089"/>
    <w:rsid w:val="00E375C0"/>
    <w:rsid w:val="00E37803"/>
    <w:rsid w:val="00E40E7D"/>
    <w:rsid w:val="00E412D0"/>
    <w:rsid w:val="00E43B63"/>
    <w:rsid w:val="00E44FA1"/>
    <w:rsid w:val="00E45C56"/>
    <w:rsid w:val="00E46314"/>
    <w:rsid w:val="00E53FBF"/>
    <w:rsid w:val="00E5594C"/>
    <w:rsid w:val="00E56322"/>
    <w:rsid w:val="00E60982"/>
    <w:rsid w:val="00E60C1B"/>
    <w:rsid w:val="00E62C62"/>
    <w:rsid w:val="00E63575"/>
    <w:rsid w:val="00E654C1"/>
    <w:rsid w:val="00E65D97"/>
    <w:rsid w:val="00E66998"/>
    <w:rsid w:val="00E66B6C"/>
    <w:rsid w:val="00E679EB"/>
    <w:rsid w:val="00E708D7"/>
    <w:rsid w:val="00E712BC"/>
    <w:rsid w:val="00E72A5A"/>
    <w:rsid w:val="00E73354"/>
    <w:rsid w:val="00E74C3B"/>
    <w:rsid w:val="00E75C79"/>
    <w:rsid w:val="00E772E3"/>
    <w:rsid w:val="00E8144C"/>
    <w:rsid w:val="00E82E01"/>
    <w:rsid w:val="00E83DED"/>
    <w:rsid w:val="00E8499A"/>
    <w:rsid w:val="00E91E95"/>
    <w:rsid w:val="00E9242D"/>
    <w:rsid w:val="00E93050"/>
    <w:rsid w:val="00E96520"/>
    <w:rsid w:val="00E97207"/>
    <w:rsid w:val="00E974CA"/>
    <w:rsid w:val="00EA33EC"/>
    <w:rsid w:val="00EA6BA7"/>
    <w:rsid w:val="00EA7E9D"/>
    <w:rsid w:val="00EB1DC2"/>
    <w:rsid w:val="00EB2711"/>
    <w:rsid w:val="00EB47D2"/>
    <w:rsid w:val="00EB4938"/>
    <w:rsid w:val="00EB5255"/>
    <w:rsid w:val="00EB5C47"/>
    <w:rsid w:val="00EC117E"/>
    <w:rsid w:val="00ED0639"/>
    <w:rsid w:val="00ED06C5"/>
    <w:rsid w:val="00ED5D51"/>
    <w:rsid w:val="00ED62E2"/>
    <w:rsid w:val="00EE2206"/>
    <w:rsid w:val="00EE466B"/>
    <w:rsid w:val="00EE7D0E"/>
    <w:rsid w:val="00EF008A"/>
    <w:rsid w:val="00EF032F"/>
    <w:rsid w:val="00EF1124"/>
    <w:rsid w:val="00EF1E73"/>
    <w:rsid w:val="00EF2D4F"/>
    <w:rsid w:val="00EF43AE"/>
    <w:rsid w:val="00EF4755"/>
    <w:rsid w:val="00EF489B"/>
    <w:rsid w:val="00EF7135"/>
    <w:rsid w:val="00F016B7"/>
    <w:rsid w:val="00F025F7"/>
    <w:rsid w:val="00F027DB"/>
    <w:rsid w:val="00F02EC2"/>
    <w:rsid w:val="00F066BE"/>
    <w:rsid w:val="00F14A7A"/>
    <w:rsid w:val="00F220FA"/>
    <w:rsid w:val="00F222C6"/>
    <w:rsid w:val="00F22985"/>
    <w:rsid w:val="00F23EAB"/>
    <w:rsid w:val="00F245CC"/>
    <w:rsid w:val="00F25F32"/>
    <w:rsid w:val="00F3383E"/>
    <w:rsid w:val="00F34458"/>
    <w:rsid w:val="00F42B10"/>
    <w:rsid w:val="00F44ABE"/>
    <w:rsid w:val="00F465A7"/>
    <w:rsid w:val="00F50B7C"/>
    <w:rsid w:val="00F519B7"/>
    <w:rsid w:val="00F52098"/>
    <w:rsid w:val="00F525EE"/>
    <w:rsid w:val="00F52F37"/>
    <w:rsid w:val="00F5388B"/>
    <w:rsid w:val="00F550E6"/>
    <w:rsid w:val="00F5531C"/>
    <w:rsid w:val="00F56CF7"/>
    <w:rsid w:val="00F61B93"/>
    <w:rsid w:val="00F63CC4"/>
    <w:rsid w:val="00F7077E"/>
    <w:rsid w:val="00F71E5F"/>
    <w:rsid w:val="00F74345"/>
    <w:rsid w:val="00F743CD"/>
    <w:rsid w:val="00F7622F"/>
    <w:rsid w:val="00F777AB"/>
    <w:rsid w:val="00F80108"/>
    <w:rsid w:val="00F80A0A"/>
    <w:rsid w:val="00F82B19"/>
    <w:rsid w:val="00F84AC7"/>
    <w:rsid w:val="00F85E8C"/>
    <w:rsid w:val="00F86286"/>
    <w:rsid w:val="00F86F0F"/>
    <w:rsid w:val="00F8728F"/>
    <w:rsid w:val="00F90046"/>
    <w:rsid w:val="00F903F3"/>
    <w:rsid w:val="00F91A64"/>
    <w:rsid w:val="00F9212D"/>
    <w:rsid w:val="00F9424C"/>
    <w:rsid w:val="00F965DA"/>
    <w:rsid w:val="00FA068C"/>
    <w:rsid w:val="00FA1B20"/>
    <w:rsid w:val="00FA3843"/>
    <w:rsid w:val="00FA384A"/>
    <w:rsid w:val="00FA3B9C"/>
    <w:rsid w:val="00FA406A"/>
    <w:rsid w:val="00FA4868"/>
    <w:rsid w:val="00FA5FF4"/>
    <w:rsid w:val="00FA7841"/>
    <w:rsid w:val="00FB1CA0"/>
    <w:rsid w:val="00FB25C3"/>
    <w:rsid w:val="00FB3C4C"/>
    <w:rsid w:val="00FB4AA3"/>
    <w:rsid w:val="00FB503A"/>
    <w:rsid w:val="00FB516C"/>
    <w:rsid w:val="00FB7E99"/>
    <w:rsid w:val="00FC053A"/>
    <w:rsid w:val="00FD0236"/>
    <w:rsid w:val="00FD0A82"/>
    <w:rsid w:val="00FD104F"/>
    <w:rsid w:val="00FD18F4"/>
    <w:rsid w:val="00FD54DB"/>
    <w:rsid w:val="00FD619F"/>
    <w:rsid w:val="00FE1AAB"/>
    <w:rsid w:val="00FE292E"/>
    <w:rsid w:val="00FE4689"/>
    <w:rsid w:val="00FE46CC"/>
    <w:rsid w:val="00FE4940"/>
    <w:rsid w:val="00FF0F45"/>
    <w:rsid w:val="00FF3743"/>
    <w:rsid w:val="00FF3947"/>
    <w:rsid w:val="00FF4A2F"/>
    <w:rsid w:val="00FF5819"/>
    <w:rsid w:val="00FF617C"/>
    <w:rsid w:val="00FF79FE"/>
    <w:rsid w:val="01010971"/>
    <w:rsid w:val="01066BCF"/>
    <w:rsid w:val="010C77FA"/>
    <w:rsid w:val="01104ABD"/>
    <w:rsid w:val="0112116D"/>
    <w:rsid w:val="01126C05"/>
    <w:rsid w:val="01144273"/>
    <w:rsid w:val="01161100"/>
    <w:rsid w:val="011D2710"/>
    <w:rsid w:val="0123584C"/>
    <w:rsid w:val="01273BB1"/>
    <w:rsid w:val="01290F7E"/>
    <w:rsid w:val="012D313D"/>
    <w:rsid w:val="014061A0"/>
    <w:rsid w:val="01522475"/>
    <w:rsid w:val="015A2E23"/>
    <w:rsid w:val="015B6D94"/>
    <w:rsid w:val="015D1E09"/>
    <w:rsid w:val="015E2E3F"/>
    <w:rsid w:val="01624BF7"/>
    <w:rsid w:val="01637FFA"/>
    <w:rsid w:val="016536E6"/>
    <w:rsid w:val="01717EBC"/>
    <w:rsid w:val="0178291D"/>
    <w:rsid w:val="018A2791"/>
    <w:rsid w:val="018C5850"/>
    <w:rsid w:val="01913EA8"/>
    <w:rsid w:val="019D6832"/>
    <w:rsid w:val="019E1925"/>
    <w:rsid w:val="01AB3C12"/>
    <w:rsid w:val="01B11599"/>
    <w:rsid w:val="01B315B0"/>
    <w:rsid w:val="01BF5430"/>
    <w:rsid w:val="01C0412E"/>
    <w:rsid w:val="01C2321E"/>
    <w:rsid w:val="01CB7CE5"/>
    <w:rsid w:val="01CC6934"/>
    <w:rsid w:val="01CD595A"/>
    <w:rsid w:val="01D47284"/>
    <w:rsid w:val="01E142E2"/>
    <w:rsid w:val="01F340A4"/>
    <w:rsid w:val="01F52DC0"/>
    <w:rsid w:val="01F907C5"/>
    <w:rsid w:val="01FF3BC3"/>
    <w:rsid w:val="01FF4DCF"/>
    <w:rsid w:val="02011047"/>
    <w:rsid w:val="020254D7"/>
    <w:rsid w:val="02076F1C"/>
    <w:rsid w:val="02097A73"/>
    <w:rsid w:val="020C35A9"/>
    <w:rsid w:val="020D6F0C"/>
    <w:rsid w:val="02127C2B"/>
    <w:rsid w:val="02145195"/>
    <w:rsid w:val="02163A95"/>
    <w:rsid w:val="02182ED7"/>
    <w:rsid w:val="021C0BE1"/>
    <w:rsid w:val="022035A8"/>
    <w:rsid w:val="02274EC8"/>
    <w:rsid w:val="022B2AEE"/>
    <w:rsid w:val="022E6257"/>
    <w:rsid w:val="023264B4"/>
    <w:rsid w:val="02435828"/>
    <w:rsid w:val="02467EA5"/>
    <w:rsid w:val="02487385"/>
    <w:rsid w:val="02697903"/>
    <w:rsid w:val="026B3007"/>
    <w:rsid w:val="026E691B"/>
    <w:rsid w:val="02777BFD"/>
    <w:rsid w:val="027D2D3A"/>
    <w:rsid w:val="02810A7C"/>
    <w:rsid w:val="02862D10"/>
    <w:rsid w:val="028E4F47"/>
    <w:rsid w:val="02956606"/>
    <w:rsid w:val="029C4653"/>
    <w:rsid w:val="029F0882"/>
    <w:rsid w:val="02A10A0A"/>
    <w:rsid w:val="02AE555A"/>
    <w:rsid w:val="02B50121"/>
    <w:rsid w:val="02B93F4D"/>
    <w:rsid w:val="02BB1F00"/>
    <w:rsid w:val="02BD703C"/>
    <w:rsid w:val="02CB7033"/>
    <w:rsid w:val="02D55D2F"/>
    <w:rsid w:val="02DE5ECF"/>
    <w:rsid w:val="02F56D74"/>
    <w:rsid w:val="02F72AEC"/>
    <w:rsid w:val="02F860FF"/>
    <w:rsid w:val="02F96569"/>
    <w:rsid w:val="030505F3"/>
    <w:rsid w:val="030C2356"/>
    <w:rsid w:val="030C4863"/>
    <w:rsid w:val="030D2310"/>
    <w:rsid w:val="03102888"/>
    <w:rsid w:val="031513B3"/>
    <w:rsid w:val="031A0802"/>
    <w:rsid w:val="031F602B"/>
    <w:rsid w:val="03202D48"/>
    <w:rsid w:val="032226A1"/>
    <w:rsid w:val="03232CF9"/>
    <w:rsid w:val="03250B0A"/>
    <w:rsid w:val="032A03DC"/>
    <w:rsid w:val="032A66EF"/>
    <w:rsid w:val="032E5B67"/>
    <w:rsid w:val="03321C57"/>
    <w:rsid w:val="033D07BE"/>
    <w:rsid w:val="03404493"/>
    <w:rsid w:val="0341020B"/>
    <w:rsid w:val="0341645D"/>
    <w:rsid w:val="034554B0"/>
    <w:rsid w:val="03476116"/>
    <w:rsid w:val="03483348"/>
    <w:rsid w:val="034E6807"/>
    <w:rsid w:val="0356175A"/>
    <w:rsid w:val="035A128D"/>
    <w:rsid w:val="035D3D95"/>
    <w:rsid w:val="03617601"/>
    <w:rsid w:val="03677907"/>
    <w:rsid w:val="03697A39"/>
    <w:rsid w:val="038800C2"/>
    <w:rsid w:val="038B6C5D"/>
    <w:rsid w:val="03971679"/>
    <w:rsid w:val="03A04F32"/>
    <w:rsid w:val="03A70735"/>
    <w:rsid w:val="03A82039"/>
    <w:rsid w:val="03AC2AD9"/>
    <w:rsid w:val="03AD0D43"/>
    <w:rsid w:val="03B10EED"/>
    <w:rsid w:val="03C52DC8"/>
    <w:rsid w:val="03C76963"/>
    <w:rsid w:val="03D26D87"/>
    <w:rsid w:val="03E700BE"/>
    <w:rsid w:val="03E7758F"/>
    <w:rsid w:val="03E82390"/>
    <w:rsid w:val="03EA3C99"/>
    <w:rsid w:val="03EA7B21"/>
    <w:rsid w:val="03EC45E0"/>
    <w:rsid w:val="03EF0329"/>
    <w:rsid w:val="03FB2E23"/>
    <w:rsid w:val="04024C95"/>
    <w:rsid w:val="0402799B"/>
    <w:rsid w:val="0405748B"/>
    <w:rsid w:val="04077375"/>
    <w:rsid w:val="040D04C6"/>
    <w:rsid w:val="041B0996"/>
    <w:rsid w:val="04211186"/>
    <w:rsid w:val="042C0304"/>
    <w:rsid w:val="042D7414"/>
    <w:rsid w:val="043700D9"/>
    <w:rsid w:val="04403CF5"/>
    <w:rsid w:val="04406AFF"/>
    <w:rsid w:val="044121BD"/>
    <w:rsid w:val="04417874"/>
    <w:rsid w:val="044955CA"/>
    <w:rsid w:val="044D443C"/>
    <w:rsid w:val="044F6377"/>
    <w:rsid w:val="044F6426"/>
    <w:rsid w:val="04550316"/>
    <w:rsid w:val="04566C62"/>
    <w:rsid w:val="045A0055"/>
    <w:rsid w:val="04617CA4"/>
    <w:rsid w:val="04697A1A"/>
    <w:rsid w:val="047136A3"/>
    <w:rsid w:val="0474543F"/>
    <w:rsid w:val="047733BC"/>
    <w:rsid w:val="047D5088"/>
    <w:rsid w:val="048B618A"/>
    <w:rsid w:val="04931BC3"/>
    <w:rsid w:val="049A6DEF"/>
    <w:rsid w:val="04A012D1"/>
    <w:rsid w:val="04A171B4"/>
    <w:rsid w:val="04A336CB"/>
    <w:rsid w:val="04A652D6"/>
    <w:rsid w:val="04AE3E0C"/>
    <w:rsid w:val="04AE633E"/>
    <w:rsid w:val="04B9687D"/>
    <w:rsid w:val="04C42EA2"/>
    <w:rsid w:val="04CB540A"/>
    <w:rsid w:val="04CD61FB"/>
    <w:rsid w:val="04DA4E66"/>
    <w:rsid w:val="04DC4690"/>
    <w:rsid w:val="04E00664"/>
    <w:rsid w:val="04E161A8"/>
    <w:rsid w:val="04E17B93"/>
    <w:rsid w:val="04EC1561"/>
    <w:rsid w:val="04EC4193"/>
    <w:rsid w:val="04F22E59"/>
    <w:rsid w:val="04FA4E91"/>
    <w:rsid w:val="04FA7ECD"/>
    <w:rsid w:val="05030BEB"/>
    <w:rsid w:val="050877D1"/>
    <w:rsid w:val="050E6C48"/>
    <w:rsid w:val="05130784"/>
    <w:rsid w:val="051931EE"/>
    <w:rsid w:val="05193919"/>
    <w:rsid w:val="051E6A56"/>
    <w:rsid w:val="05246231"/>
    <w:rsid w:val="052A4ADC"/>
    <w:rsid w:val="0532600A"/>
    <w:rsid w:val="0534489A"/>
    <w:rsid w:val="053E2C54"/>
    <w:rsid w:val="05441E7E"/>
    <w:rsid w:val="054933A7"/>
    <w:rsid w:val="05512AE0"/>
    <w:rsid w:val="05532BAB"/>
    <w:rsid w:val="0556363A"/>
    <w:rsid w:val="05590C4F"/>
    <w:rsid w:val="05691E62"/>
    <w:rsid w:val="05740424"/>
    <w:rsid w:val="057448C8"/>
    <w:rsid w:val="057A73D1"/>
    <w:rsid w:val="057C1AD5"/>
    <w:rsid w:val="058076BC"/>
    <w:rsid w:val="05813B36"/>
    <w:rsid w:val="058152BF"/>
    <w:rsid w:val="058640B2"/>
    <w:rsid w:val="0588692A"/>
    <w:rsid w:val="058E0D57"/>
    <w:rsid w:val="0593602E"/>
    <w:rsid w:val="05952B9F"/>
    <w:rsid w:val="05962A91"/>
    <w:rsid w:val="05A76A4C"/>
    <w:rsid w:val="05AC5838"/>
    <w:rsid w:val="05B40180"/>
    <w:rsid w:val="05B42F0C"/>
    <w:rsid w:val="05B922DB"/>
    <w:rsid w:val="05BA3DDB"/>
    <w:rsid w:val="05C23886"/>
    <w:rsid w:val="05C3130B"/>
    <w:rsid w:val="05CC69B3"/>
    <w:rsid w:val="05D37841"/>
    <w:rsid w:val="05D47115"/>
    <w:rsid w:val="05E14091"/>
    <w:rsid w:val="05E271B9"/>
    <w:rsid w:val="05EC3247"/>
    <w:rsid w:val="05ED1C7A"/>
    <w:rsid w:val="05ED1DAD"/>
    <w:rsid w:val="05F455AB"/>
    <w:rsid w:val="05F83EAE"/>
    <w:rsid w:val="05FC55CD"/>
    <w:rsid w:val="05FD2B10"/>
    <w:rsid w:val="06021ED4"/>
    <w:rsid w:val="06077589"/>
    <w:rsid w:val="060A78C0"/>
    <w:rsid w:val="060E0381"/>
    <w:rsid w:val="061751AC"/>
    <w:rsid w:val="06213E65"/>
    <w:rsid w:val="062546E9"/>
    <w:rsid w:val="06255BC2"/>
    <w:rsid w:val="06304C93"/>
    <w:rsid w:val="06323F12"/>
    <w:rsid w:val="06384DA2"/>
    <w:rsid w:val="063E7D85"/>
    <w:rsid w:val="064D2DBE"/>
    <w:rsid w:val="06556FE0"/>
    <w:rsid w:val="0658243F"/>
    <w:rsid w:val="06605CCB"/>
    <w:rsid w:val="06636422"/>
    <w:rsid w:val="06666C42"/>
    <w:rsid w:val="0671566E"/>
    <w:rsid w:val="06734B80"/>
    <w:rsid w:val="06736366"/>
    <w:rsid w:val="067C7094"/>
    <w:rsid w:val="06813E13"/>
    <w:rsid w:val="068E6A92"/>
    <w:rsid w:val="06902672"/>
    <w:rsid w:val="0696086E"/>
    <w:rsid w:val="069B7C33"/>
    <w:rsid w:val="06A34A96"/>
    <w:rsid w:val="06A37BAC"/>
    <w:rsid w:val="06AB19D4"/>
    <w:rsid w:val="06AC2F7C"/>
    <w:rsid w:val="06AE08BF"/>
    <w:rsid w:val="06B0631C"/>
    <w:rsid w:val="06B14F4B"/>
    <w:rsid w:val="06B2558D"/>
    <w:rsid w:val="06BB6EFC"/>
    <w:rsid w:val="06C51C2E"/>
    <w:rsid w:val="06C8113A"/>
    <w:rsid w:val="06D72796"/>
    <w:rsid w:val="06D77152"/>
    <w:rsid w:val="06E55540"/>
    <w:rsid w:val="06E87121"/>
    <w:rsid w:val="06FB42F4"/>
    <w:rsid w:val="070515F1"/>
    <w:rsid w:val="070724A4"/>
    <w:rsid w:val="07080093"/>
    <w:rsid w:val="070D0427"/>
    <w:rsid w:val="07100621"/>
    <w:rsid w:val="07157D30"/>
    <w:rsid w:val="07174EC6"/>
    <w:rsid w:val="071970CB"/>
    <w:rsid w:val="071C5C88"/>
    <w:rsid w:val="071D23FC"/>
    <w:rsid w:val="071F2612"/>
    <w:rsid w:val="072036B4"/>
    <w:rsid w:val="07293586"/>
    <w:rsid w:val="07294568"/>
    <w:rsid w:val="07295285"/>
    <w:rsid w:val="072A4D4B"/>
    <w:rsid w:val="0730481F"/>
    <w:rsid w:val="073325CA"/>
    <w:rsid w:val="07357C95"/>
    <w:rsid w:val="073C0EB3"/>
    <w:rsid w:val="07433728"/>
    <w:rsid w:val="07481B68"/>
    <w:rsid w:val="074B2A19"/>
    <w:rsid w:val="074D3B65"/>
    <w:rsid w:val="07523055"/>
    <w:rsid w:val="0758646F"/>
    <w:rsid w:val="07636392"/>
    <w:rsid w:val="076E419F"/>
    <w:rsid w:val="077159E1"/>
    <w:rsid w:val="07727F9D"/>
    <w:rsid w:val="07770C56"/>
    <w:rsid w:val="077A4F53"/>
    <w:rsid w:val="077B3364"/>
    <w:rsid w:val="078723F4"/>
    <w:rsid w:val="07A00B3E"/>
    <w:rsid w:val="07A01A45"/>
    <w:rsid w:val="07A56FBB"/>
    <w:rsid w:val="07A67102"/>
    <w:rsid w:val="07AF4C69"/>
    <w:rsid w:val="07B062D9"/>
    <w:rsid w:val="07C20A62"/>
    <w:rsid w:val="07C5387F"/>
    <w:rsid w:val="07C833C4"/>
    <w:rsid w:val="07CA20FE"/>
    <w:rsid w:val="07CE18C5"/>
    <w:rsid w:val="07D21D7A"/>
    <w:rsid w:val="07D66961"/>
    <w:rsid w:val="07E8334B"/>
    <w:rsid w:val="07E85FE1"/>
    <w:rsid w:val="07F10452"/>
    <w:rsid w:val="080B5976"/>
    <w:rsid w:val="08117E20"/>
    <w:rsid w:val="0813553A"/>
    <w:rsid w:val="08224E9A"/>
    <w:rsid w:val="08253C58"/>
    <w:rsid w:val="0837398B"/>
    <w:rsid w:val="083835D6"/>
    <w:rsid w:val="084445BD"/>
    <w:rsid w:val="084677DA"/>
    <w:rsid w:val="084A1910"/>
    <w:rsid w:val="084D1513"/>
    <w:rsid w:val="084E5DED"/>
    <w:rsid w:val="08581DC5"/>
    <w:rsid w:val="08594298"/>
    <w:rsid w:val="08626C5A"/>
    <w:rsid w:val="0864470F"/>
    <w:rsid w:val="086E1342"/>
    <w:rsid w:val="0871684C"/>
    <w:rsid w:val="08763495"/>
    <w:rsid w:val="087A38BA"/>
    <w:rsid w:val="087B6CA5"/>
    <w:rsid w:val="087C45DA"/>
    <w:rsid w:val="087E057F"/>
    <w:rsid w:val="087F0656"/>
    <w:rsid w:val="08887C98"/>
    <w:rsid w:val="088E72D2"/>
    <w:rsid w:val="088F4648"/>
    <w:rsid w:val="089063C8"/>
    <w:rsid w:val="08946C1B"/>
    <w:rsid w:val="08964429"/>
    <w:rsid w:val="08996528"/>
    <w:rsid w:val="08A052C0"/>
    <w:rsid w:val="08A82588"/>
    <w:rsid w:val="08A93AD4"/>
    <w:rsid w:val="08AD556B"/>
    <w:rsid w:val="08BE4BE5"/>
    <w:rsid w:val="08C96CD9"/>
    <w:rsid w:val="08CD4030"/>
    <w:rsid w:val="08DD6040"/>
    <w:rsid w:val="08DE7BBE"/>
    <w:rsid w:val="08DF474E"/>
    <w:rsid w:val="08F13031"/>
    <w:rsid w:val="0900410E"/>
    <w:rsid w:val="090708A4"/>
    <w:rsid w:val="09151243"/>
    <w:rsid w:val="091A1C05"/>
    <w:rsid w:val="091A6685"/>
    <w:rsid w:val="091A7535"/>
    <w:rsid w:val="092217DD"/>
    <w:rsid w:val="09223C51"/>
    <w:rsid w:val="092B4DD5"/>
    <w:rsid w:val="09303E93"/>
    <w:rsid w:val="093A7294"/>
    <w:rsid w:val="093C1D16"/>
    <w:rsid w:val="09440A55"/>
    <w:rsid w:val="09492B2B"/>
    <w:rsid w:val="094A3D57"/>
    <w:rsid w:val="09511F94"/>
    <w:rsid w:val="09512920"/>
    <w:rsid w:val="095662C7"/>
    <w:rsid w:val="0957192A"/>
    <w:rsid w:val="095742E5"/>
    <w:rsid w:val="095B2AF6"/>
    <w:rsid w:val="095E7BDD"/>
    <w:rsid w:val="09603CD0"/>
    <w:rsid w:val="096128B0"/>
    <w:rsid w:val="096E614B"/>
    <w:rsid w:val="09720784"/>
    <w:rsid w:val="097243DA"/>
    <w:rsid w:val="097974A8"/>
    <w:rsid w:val="09797A35"/>
    <w:rsid w:val="097D1872"/>
    <w:rsid w:val="097F1E2A"/>
    <w:rsid w:val="09867EF2"/>
    <w:rsid w:val="09880942"/>
    <w:rsid w:val="098E3A7F"/>
    <w:rsid w:val="099066F6"/>
    <w:rsid w:val="09930459"/>
    <w:rsid w:val="09946F0C"/>
    <w:rsid w:val="0999176A"/>
    <w:rsid w:val="099E6B56"/>
    <w:rsid w:val="09A714E6"/>
    <w:rsid w:val="09A776DD"/>
    <w:rsid w:val="09A81FE9"/>
    <w:rsid w:val="09AF5188"/>
    <w:rsid w:val="09B36F96"/>
    <w:rsid w:val="09BE6EE6"/>
    <w:rsid w:val="09C3290E"/>
    <w:rsid w:val="09C35E1E"/>
    <w:rsid w:val="09C661BA"/>
    <w:rsid w:val="09C82CB5"/>
    <w:rsid w:val="09CA084E"/>
    <w:rsid w:val="09CD321D"/>
    <w:rsid w:val="09D022E6"/>
    <w:rsid w:val="09D35B98"/>
    <w:rsid w:val="09D76B07"/>
    <w:rsid w:val="09D8654B"/>
    <w:rsid w:val="09DB182A"/>
    <w:rsid w:val="09E3201C"/>
    <w:rsid w:val="09EC06FD"/>
    <w:rsid w:val="09EF276F"/>
    <w:rsid w:val="09F61F99"/>
    <w:rsid w:val="09F751C6"/>
    <w:rsid w:val="09F86821"/>
    <w:rsid w:val="0A0333CD"/>
    <w:rsid w:val="0A132D7C"/>
    <w:rsid w:val="0A1701B6"/>
    <w:rsid w:val="0A1812DE"/>
    <w:rsid w:val="0A1E7107"/>
    <w:rsid w:val="0A1F2AF0"/>
    <w:rsid w:val="0A263993"/>
    <w:rsid w:val="0A2C5D9B"/>
    <w:rsid w:val="0A2D3AC2"/>
    <w:rsid w:val="0A2F2B23"/>
    <w:rsid w:val="0A315CC1"/>
    <w:rsid w:val="0A375AC8"/>
    <w:rsid w:val="0A45155B"/>
    <w:rsid w:val="0A515450"/>
    <w:rsid w:val="0A5A4BA5"/>
    <w:rsid w:val="0A5D3853"/>
    <w:rsid w:val="0A621396"/>
    <w:rsid w:val="0A64315D"/>
    <w:rsid w:val="0A656ED5"/>
    <w:rsid w:val="0A666CC6"/>
    <w:rsid w:val="0A73573F"/>
    <w:rsid w:val="0A741EC5"/>
    <w:rsid w:val="0A7560ED"/>
    <w:rsid w:val="0A7A5C9D"/>
    <w:rsid w:val="0A7E421B"/>
    <w:rsid w:val="0A8A693C"/>
    <w:rsid w:val="0A8C49A0"/>
    <w:rsid w:val="0A973A6B"/>
    <w:rsid w:val="0A9C34D0"/>
    <w:rsid w:val="0AA43EEE"/>
    <w:rsid w:val="0AA755DF"/>
    <w:rsid w:val="0AB15C77"/>
    <w:rsid w:val="0AB47E10"/>
    <w:rsid w:val="0AB57B2B"/>
    <w:rsid w:val="0AB97E03"/>
    <w:rsid w:val="0ABA2D7D"/>
    <w:rsid w:val="0AC70723"/>
    <w:rsid w:val="0ACA0AE6"/>
    <w:rsid w:val="0ADD7F80"/>
    <w:rsid w:val="0ADF0A36"/>
    <w:rsid w:val="0AE40963"/>
    <w:rsid w:val="0AE93662"/>
    <w:rsid w:val="0AF02C43"/>
    <w:rsid w:val="0AF43524"/>
    <w:rsid w:val="0AFC46E7"/>
    <w:rsid w:val="0B120D44"/>
    <w:rsid w:val="0B1D7C8D"/>
    <w:rsid w:val="0B1F52D6"/>
    <w:rsid w:val="0B274735"/>
    <w:rsid w:val="0B293A5F"/>
    <w:rsid w:val="0B2D17C2"/>
    <w:rsid w:val="0B2E72C7"/>
    <w:rsid w:val="0B325753"/>
    <w:rsid w:val="0B352404"/>
    <w:rsid w:val="0B3B23A2"/>
    <w:rsid w:val="0B3E0AD5"/>
    <w:rsid w:val="0B493958"/>
    <w:rsid w:val="0B4A3F7D"/>
    <w:rsid w:val="0B4C3573"/>
    <w:rsid w:val="0B4D0264"/>
    <w:rsid w:val="0B557E09"/>
    <w:rsid w:val="0B664C30"/>
    <w:rsid w:val="0B68565E"/>
    <w:rsid w:val="0B76267A"/>
    <w:rsid w:val="0B772F9A"/>
    <w:rsid w:val="0B7A40D7"/>
    <w:rsid w:val="0B824A13"/>
    <w:rsid w:val="0B8415DD"/>
    <w:rsid w:val="0B886AD3"/>
    <w:rsid w:val="0B893197"/>
    <w:rsid w:val="0B8D40B4"/>
    <w:rsid w:val="0B9D6498"/>
    <w:rsid w:val="0B9F3D21"/>
    <w:rsid w:val="0BA23F0D"/>
    <w:rsid w:val="0BA32B53"/>
    <w:rsid w:val="0BA32C98"/>
    <w:rsid w:val="0BA453FF"/>
    <w:rsid w:val="0BAD28F8"/>
    <w:rsid w:val="0BB53545"/>
    <w:rsid w:val="0BB64B14"/>
    <w:rsid w:val="0BBE01FD"/>
    <w:rsid w:val="0BC1013B"/>
    <w:rsid w:val="0BC15C58"/>
    <w:rsid w:val="0BC41E59"/>
    <w:rsid w:val="0BD27BF6"/>
    <w:rsid w:val="0BD658F3"/>
    <w:rsid w:val="0BEE36CF"/>
    <w:rsid w:val="0BF82CEB"/>
    <w:rsid w:val="0BF91683"/>
    <w:rsid w:val="0BFE313E"/>
    <w:rsid w:val="0BFF3449"/>
    <w:rsid w:val="0C01506F"/>
    <w:rsid w:val="0C022E00"/>
    <w:rsid w:val="0C0E0ED3"/>
    <w:rsid w:val="0C0F6CB0"/>
    <w:rsid w:val="0C160487"/>
    <w:rsid w:val="0C247EB2"/>
    <w:rsid w:val="0C2E2E30"/>
    <w:rsid w:val="0C2F32F7"/>
    <w:rsid w:val="0C325230"/>
    <w:rsid w:val="0C3439E4"/>
    <w:rsid w:val="0C376F8C"/>
    <w:rsid w:val="0C3B3C7D"/>
    <w:rsid w:val="0C4009A3"/>
    <w:rsid w:val="0C427140"/>
    <w:rsid w:val="0C467275"/>
    <w:rsid w:val="0C4F2CD6"/>
    <w:rsid w:val="0C4F708E"/>
    <w:rsid w:val="0C561362"/>
    <w:rsid w:val="0C57284E"/>
    <w:rsid w:val="0C5E046C"/>
    <w:rsid w:val="0C610B15"/>
    <w:rsid w:val="0C637A86"/>
    <w:rsid w:val="0C6D1EB8"/>
    <w:rsid w:val="0C774FDC"/>
    <w:rsid w:val="0C7B29E0"/>
    <w:rsid w:val="0C825B1D"/>
    <w:rsid w:val="0C8C7153"/>
    <w:rsid w:val="0C967A01"/>
    <w:rsid w:val="0C9A7529"/>
    <w:rsid w:val="0C9D4705"/>
    <w:rsid w:val="0CA35A93"/>
    <w:rsid w:val="0CA65BAA"/>
    <w:rsid w:val="0CA833EB"/>
    <w:rsid w:val="0CAB2EAE"/>
    <w:rsid w:val="0CAD06C0"/>
    <w:rsid w:val="0CAD264B"/>
    <w:rsid w:val="0CBD1FA2"/>
    <w:rsid w:val="0CC27359"/>
    <w:rsid w:val="0CCF1A98"/>
    <w:rsid w:val="0CD345CA"/>
    <w:rsid w:val="0CD42D92"/>
    <w:rsid w:val="0CD45858"/>
    <w:rsid w:val="0CD64E0B"/>
    <w:rsid w:val="0CDD2001"/>
    <w:rsid w:val="0CE02197"/>
    <w:rsid w:val="0CEC743A"/>
    <w:rsid w:val="0CFD33F5"/>
    <w:rsid w:val="0D04561B"/>
    <w:rsid w:val="0D047417"/>
    <w:rsid w:val="0D064B32"/>
    <w:rsid w:val="0D0E54D2"/>
    <w:rsid w:val="0D1150F2"/>
    <w:rsid w:val="0D1159A0"/>
    <w:rsid w:val="0D23604C"/>
    <w:rsid w:val="0D275785"/>
    <w:rsid w:val="0D2C0954"/>
    <w:rsid w:val="0D3271FC"/>
    <w:rsid w:val="0D343C0C"/>
    <w:rsid w:val="0D3C58EC"/>
    <w:rsid w:val="0D4169F7"/>
    <w:rsid w:val="0D457C33"/>
    <w:rsid w:val="0D4D4D38"/>
    <w:rsid w:val="0D5A6340"/>
    <w:rsid w:val="0D5F5E5E"/>
    <w:rsid w:val="0D621C7D"/>
    <w:rsid w:val="0D6F4CF6"/>
    <w:rsid w:val="0D714E7C"/>
    <w:rsid w:val="0D7A491F"/>
    <w:rsid w:val="0D7D2581"/>
    <w:rsid w:val="0D8B6BF6"/>
    <w:rsid w:val="0D926A4A"/>
    <w:rsid w:val="0D931E3E"/>
    <w:rsid w:val="0D9A6371"/>
    <w:rsid w:val="0DAD6BC9"/>
    <w:rsid w:val="0DB21168"/>
    <w:rsid w:val="0DB22432"/>
    <w:rsid w:val="0DB31D06"/>
    <w:rsid w:val="0DB563F1"/>
    <w:rsid w:val="0DC9704D"/>
    <w:rsid w:val="0DCD2DC7"/>
    <w:rsid w:val="0DD35320"/>
    <w:rsid w:val="0DD84FC2"/>
    <w:rsid w:val="0DDC1F2E"/>
    <w:rsid w:val="0DDC6F4B"/>
    <w:rsid w:val="0DE0368F"/>
    <w:rsid w:val="0DFC545B"/>
    <w:rsid w:val="0E032E0C"/>
    <w:rsid w:val="0E111420"/>
    <w:rsid w:val="0E127C3D"/>
    <w:rsid w:val="0E152353"/>
    <w:rsid w:val="0E2D4B31"/>
    <w:rsid w:val="0E2F4015"/>
    <w:rsid w:val="0E2F75DE"/>
    <w:rsid w:val="0E301B74"/>
    <w:rsid w:val="0E341099"/>
    <w:rsid w:val="0E3678AD"/>
    <w:rsid w:val="0E417FB0"/>
    <w:rsid w:val="0E4456DF"/>
    <w:rsid w:val="0E504A80"/>
    <w:rsid w:val="0E5E7485"/>
    <w:rsid w:val="0E5F629E"/>
    <w:rsid w:val="0E6059EA"/>
    <w:rsid w:val="0E653000"/>
    <w:rsid w:val="0E6954CC"/>
    <w:rsid w:val="0E6C0832"/>
    <w:rsid w:val="0E6D321F"/>
    <w:rsid w:val="0E73034D"/>
    <w:rsid w:val="0E805C8B"/>
    <w:rsid w:val="0E8361DA"/>
    <w:rsid w:val="0E8F41E7"/>
    <w:rsid w:val="0E901C03"/>
    <w:rsid w:val="0E963B01"/>
    <w:rsid w:val="0E9D7D05"/>
    <w:rsid w:val="0EA10147"/>
    <w:rsid w:val="0EA93573"/>
    <w:rsid w:val="0EAA3109"/>
    <w:rsid w:val="0EB15ECE"/>
    <w:rsid w:val="0EB43F87"/>
    <w:rsid w:val="0EB86496"/>
    <w:rsid w:val="0EBC4BEA"/>
    <w:rsid w:val="0EC03B43"/>
    <w:rsid w:val="0ED23EEC"/>
    <w:rsid w:val="0ED67375"/>
    <w:rsid w:val="0ED73E5A"/>
    <w:rsid w:val="0ED85903"/>
    <w:rsid w:val="0EE6308A"/>
    <w:rsid w:val="0EE720DB"/>
    <w:rsid w:val="0EE77605"/>
    <w:rsid w:val="0EF31635"/>
    <w:rsid w:val="0F072309"/>
    <w:rsid w:val="0F093DB1"/>
    <w:rsid w:val="0F0A2587"/>
    <w:rsid w:val="0F0C0363"/>
    <w:rsid w:val="0F0C791F"/>
    <w:rsid w:val="0F0D1FB0"/>
    <w:rsid w:val="0F1374AE"/>
    <w:rsid w:val="0F13775A"/>
    <w:rsid w:val="0F155428"/>
    <w:rsid w:val="0F1715D8"/>
    <w:rsid w:val="0F2044B8"/>
    <w:rsid w:val="0F220671"/>
    <w:rsid w:val="0F276507"/>
    <w:rsid w:val="0F2A41C6"/>
    <w:rsid w:val="0F2C4566"/>
    <w:rsid w:val="0F315141"/>
    <w:rsid w:val="0F397263"/>
    <w:rsid w:val="0F3B1FB3"/>
    <w:rsid w:val="0F3D5B01"/>
    <w:rsid w:val="0F3D6C20"/>
    <w:rsid w:val="0F485732"/>
    <w:rsid w:val="0F522C33"/>
    <w:rsid w:val="0F551602"/>
    <w:rsid w:val="0F560CAB"/>
    <w:rsid w:val="0F58735D"/>
    <w:rsid w:val="0F5F45FE"/>
    <w:rsid w:val="0F6B2287"/>
    <w:rsid w:val="0F732C2B"/>
    <w:rsid w:val="0F7336FA"/>
    <w:rsid w:val="0F737498"/>
    <w:rsid w:val="0F825E34"/>
    <w:rsid w:val="0F88102E"/>
    <w:rsid w:val="0F8C280E"/>
    <w:rsid w:val="0F8D495C"/>
    <w:rsid w:val="0F916077"/>
    <w:rsid w:val="0F917E25"/>
    <w:rsid w:val="0F976527"/>
    <w:rsid w:val="0F994788"/>
    <w:rsid w:val="0F9A112B"/>
    <w:rsid w:val="0F9E06C3"/>
    <w:rsid w:val="0FA37C36"/>
    <w:rsid w:val="0FA6792B"/>
    <w:rsid w:val="0FA77F54"/>
    <w:rsid w:val="0FA84471"/>
    <w:rsid w:val="0FAE0BB2"/>
    <w:rsid w:val="0FAE6C29"/>
    <w:rsid w:val="0FB12275"/>
    <w:rsid w:val="0FC226D4"/>
    <w:rsid w:val="0FC31646"/>
    <w:rsid w:val="0FC40ED0"/>
    <w:rsid w:val="0FCE7F21"/>
    <w:rsid w:val="0FCF7FFE"/>
    <w:rsid w:val="0FD51D8B"/>
    <w:rsid w:val="0FDF5034"/>
    <w:rsid w:val="0FE0016D"/>
    <w:rsid w:val="0FE24D6B"/>
    <w:rsid w:val="0FE4264A"/>
    <w:rsid w:val="0FEA268E"/>
    <w:rsid w:val="0FEF3EE0"/>
    <w:rsid w:val="0FF24D67"/>
    <w:rsid w:val="0FFA00C0"/>
    <w:rsid w:val="10042CED"/>
    <w:rsid w:val="10046849"/>
    <w:rsid w:val="10066189"/>
    <w:rsid w:val="100A3726"/>
    <w:rsid w:val="10101691"/>
    <w:rsid w:val="10121024"/>
    <w:rsid w:val="10172994"/>
    <w:rsid w:val="10196798"/>
    <w:rsid w:val="101C7C0B"/>
    <w:rsid w:val="101E0C87"/>
    <w:rsid w:val="10240C99"/>
    <w:rsid w:val="10246EEB"/>
    <w:rsid w:val="102D2243"/>
    <w:rsid w:val="10326F5D"/>
    <w:rsid w:val="103A3BDA"/>
    <w:rsid w:val="103D460F"/>
    <w:rsid w:val="104850C0"/>
    <w:rsid w:val="104A0A84"/>
    <w:rsid w:val="105021CD"/>
    <w:rsid w:val="1052579D"/>
    <w:rsid w:val="105535D4"/>
    <w:rsid w:val="10561781"/>
    <w:rsid w:val="105627FE"/>
    <w:rsid w:val="10610580"/>
    <w:rsid w:val="106D0892"/>
    <w:rsid w:val="106D2F64"/>
    <w:rsid w:val="107514F4"/>
    <w:rsid w:val="10757746"/>
    <w:rsid w:val="10792801"/>
    <w:rsid w:val="107E484D"/>
    <w:rsid w:val="10833C11"/>
    <w:rsid w:val="10893249"/>
    <w:rsid w:val="108A7143"/>
    <w:rsid w:val="108F7413"/>
    <w:rsid w:val="10A142E3"/>
    <w:rsid w:val="10A51DDA"/>
    <w:rsid w:val="10B04CC5"/>
    <w:rsid w:val="10B2297D"/>
    <w:rsid w:val="10B522F3"/>
    <w:rsid w:val="10B63710"/>
    <w:rsid w:val="10B96B13"/>
    <w:rsid w:val="10BF6655"/>
    <w:rsid w:val="10C5422A"/>
    <w:rsid w:val="10CC559A"/>
    <w:rsid w:val="10CF3F1B"/>
    <w:rsid w:val="10D54AC3"/>
    <w:rsid w:val="10D814A5"/>
    <w:rsid w:val="10DC6B08"/>
    <w:rsid w:val="10DD481D"/>
    <w:rsid w:val="10E37684"/>
    <w:rsid w:val="10E76E35"/>
    <w:rsid w:val="10F10820"/>
    <w:rsid w:val="10F649F3"/>
    <w:rsid w:val="10FB6B46"/>
    <w:rsid w:val="10FE598E"/>
    <w:rsid w:val="11052878"/>
    <w:rsid w:val="1109325D"/>
    <w:rsid w:val="110C501E"/>
    <w:rsid w:val="11102DA3"/>
    <w:rsid w:val="111156C1"/>
    <w:rsid w:val="1117086B"/>
    <w:rsid w:val="111C2F7A"/>
    <w:rsid w:val="112B52E9"/>
    <w:rsid w:val="112D4D3E"/>
    <w:rsid w:val="112E6912"/>
    <w:rsid w:val="113C40A4"/>
    <w:rsid w:val="114321E4"/>
    <w:rsid w:val="114801B9"/>
    <w:rsid w:val="114857C3"/>
    <w:rsid w:val="114E421F"/>
    <w:rsid w:val="1158343F"/>
    <w:rsid w:val="115D5282"/>
    <w:rsid w:val="11665CA1"/>
    <w:rsid w:val="11677E7A"/>
    <w:rsid w:val="116D6B49"/>
    <w:rsid w:val="116F2521"/>
    <w:rsid w:val="11744B2C"/>
    <w:rsid w:val="117533D2"/>
    <w:rsid w:val="118447F4"/>
    <w:rsid w:val="11850D9D"/>
    <w:rsid w:val="11875507"/>
    <w:rsid w:val="118B7FB5"/>
    <w:rsid w:val="11954F90"/>
    <w:rsid w:val="1198193E"/>
    <w:rsid w:val="11A618DD"/>
    <w:rsid w:val="11AD0DED"/>
    <w:rsid w:val="11B23646"/>
    <w:rsid w:val="11BD77FC"/>
    <w:rsid w:val="11C444E1"/>
    <w:rsid w:val="11C74BAF"/>
    <w:rsid w:val="11C7582B"/>
    <w:rsid w:val="11CA6938"/>
    <w:rsid w:val="11CE2F90"/>
    <w:rsid w:val="11D44ADF"/>
    <w:rsid w:val="11DA1F57"/>
    <w:rsid w:val="11E903EC"/>
    <w:rsid w:val="11EA5152"/>
    <w:rsid w:val="11F254F3"/>
    <w:rsid w:val="11F42DB6"/>
    <w:rsid w:val="11FE416C"/>
    <w:rsid w:val="1209283C"/>
    <w:rsid w:val="121D3CFD"/>
    <w:rsid w:val="1221190D"/>
    <w:rsid w:val="122907E8"/>
    <w:rsid w:val="122B472C"/>
    <w:rsid w:val="123A047A"/>
    <w:rsid w:val="123C31EC"/>
    <w:rsid w:val="123F1738"/>
    <w:rsid w:val="124145AC"/>
    <w:rsid w:val="1243163F"/>
    <w:rsid w:val="124509EB"/>
    <w:rsid w:val="12472E2C"/>
    <w:rsid w:val="124C49AD"/>
    <w:rsid w:val="125563D1"/>
    <w:rsid w:val="12592272"/>
    <w:rsid w:val="125D0350"/>
    <w:rsid w:val="125E4B0E"/>
    <w:rsid w:val="126B2BAF"/>
    <w:rsid w:val="126E51C9"/>
    <w:rsid w:val="12727ADD"/>
    <w:rsid w:val="12731A33"/>
    <w:rsid w:val="1277621D"/>
    <w:rsid w:val="12865C3B"/>
    <w:rsid w:val="12875174"/>
    <w:rsid w:val="12893B13"/>
    <w:rsid w:val="128A1376"/>
    <w:rsid w:val="128E689D"/>
    <w:rsid w:val="12993BC0"/>
    <w:rsid w:val="12A16FFF"/>
    <w:rsid w:val="12A26BF7"/>
    <w:rsid w:val="12AD31C8"/>
    <w:rsid w:val="12AD71D4"/>
    <w:rsid w:val="12B227E8"/>
    <w:rsid w:val="12B6732D"/>
    <w:rsid w:val="12B802FD"/>
    <w:rsid w:val="12B937DE"/>
    <w:rsid w:val="12B97FE8"/>
    <w:rsid w:val="12BA7692"/>
    <w:rsid w:val="12C30C3D"/>
    <w:rsid w:val="12C513AB"/>
    <w:rsid w:val="12C911D6"/>
    <w:rsid w:val="12D116C5"/>
    <w:rsid w:val="12DD05D2"/>
    <w:rsid w:val="12E4798B"/>
    <w:rsid w:val="12E749E4"/>
    <w:rsid w:val="12EC0194"/>
    <w:rsid w:val="12EC24B0"/>
    <w:rsid w:val="12F76ACD"/>
    <w:rsid w:val="12FE3A23"/>
    <w:rsid w:val="12FE6A03"/>
    <w:rsid w:val="13050CDE"/>
    <w:rsid w:val="130C7E87"/>
    <w:rsid w:val="1313163A"/>
    <w:rsid w:val="13157CDC"/>
    <w:rsid w:val="1325625F"/>
    <w:rsid w:val="13271B5C"/>
    <w:rsid w:val="13273CB1"/>
    <w:rsid w:val="13320680"/>
    <w:rsid w:val="13357DBD"/>
    <w:rsid w:val="13394A5B"/>
    <w:rsid w:val="1343436F"/>
    <w:rsid w:val="134F24D1"/>
    <w:rsid w:val="1353405C"/>
    <w:rsid w:val="135B64D0"/>
    <w:rsid w:val="136753BB"/>
    <w:rsid w:val="13677AFC"/>
    <w:rsid w:val="136B4516"/>
    <w:rsid w:val="136E1102"/>
    <w:rsid w:val="13716245"/>
    <w:rsid w:val="137651C6"/>
    <w:rsid w:val="137D7E64"/>
    <w:rsid w:val="137F4B39"/>
    <w:rsid w:val="13896391"/>
    <w:rsid w:val="139252E8"/>
    <w:rsid w:val="13951726"/>
    <w:rsid w:val="139F1E83"/>
    <w:rsid w:val="13B10A95"/>
    <w:rsid w:val="13BE389F"/>
    <w:rsid w:val="13BF2454"/>
    <w:rsid w:val="13C22CA3"/>
    <w:rsid w:val="13C7650B"/>
    <w:rsid w:val="13CC1D73"/>
    <w:rsid w:val="13CE4985"/>
    <w:rsid w:val="13D21FCB"/>
    <w:rsid w:val="13D35BD5"/>
    <w:rsid w:val="13EE1920"/>
    <w:rsid w:val="13EE4301"/>
    <w:rsid w:val="13F144B2"/>
    <w:rsid w:val="13F83074"/>
    <w:rsid w:val="13F90275"/>
    <w:rsid w:val="14067033"/>
    <w:rsid w:val="140870E9"/>
    <w:rsid w:val="14087FD8"/>
    <w:rsid w:val="140D6614"/>
    <w:rsid w:val="14135983"/>
    <w:rsid w:val="141369DE"/>
    <w:rsid w:val="14157BDD"/>
    <w:rsid w:val="141825E5"/>
    <w:rsid w:val="141F1EA3"/>
    <w:rsid w:val="142179C9"/>
    <w:rsid w:val="14236357"/>
    <w:rsid w:val="14297D18"/>
    <w:rsid w:val="1437286B"/>
    <w:rsid w:val="143846F9"/>
    <w:rsid w:val="14396509"/>
    <w:rsid w:val="143C2A55"/>
    <w:rsid w:val="143D0535"/>
    <w:rsid w:val="143E22D4"/>
    <w:rsid w:val="143E6061"/>
    <w:rsid w:val="14524026"/>
    <w:rsid w:val="14553B17"/>
    <w:rsid w:val="145B45E1"/>
    <w:rsid w:val="14634486"/>
    <w:rsid w:val="14670743"/>
    <w:rsid w:val="146D11D1"/>
    <w:rsid w:val="147100CF"/>
    <w:rsid w:val="147A2F0D"/>
    <w:rsid w:val="14854E30"/>
    <w:rsid w:val="14896D79"/>
    <w:rsid w:val="149A777C"/>
    <w:rsid w:val="149F46DF"/>
    <w:rsid w:val="14A20B39"/>
    <w:rsid w:val="14A371C5"/>
    <w:rsid w:val="14A64372"/>
    <w:rsid w:val="14A979BF"/>
    <w:rsid w:val="14B01E52"/>
    <w:rsid w:val="14B77948"/>
    <w:rsid w:val="14BC404C"/>
    <w:rsid w:val="14C60571"/>
    <w:rsid w:val="14CF3A41"/>
    <w:rsid w:val="14D507B4"/>
    <w:rsid w:val="14D5389E"/>
    <w:rsid w:val="14D73E9E"/>
    <w:rsid w:val="14DD2C3C"/>
    <w:rsid w:val="14DF37B1"/>
    <w:rsid w:val="14E81FD2"/>
    <w:rsid w:val="14EC1306"/>
    <w:rsid w:val="14FC3CEB"/>
    <w:rsid w:val="14FF410B"/>
    <w:rsid w:val="15070492"/>
    <w:rsid w:val="1510485B"/>
    <w:rsid w:val="15143EA7"/>
    <w:rsid w:val="151635C4"/>
    <w:rsid w:val="15177F3A"/>
    <w:rsid w:val="151B1CB5"/>
    <w:rsid w:val="152C2AC9"/>
    <w:rsid w:val="152D6842"/>
    <w:rsid w:val="153100E0"/>
    <w:rsid w:val="15333E2B"/>
    <w:rsid w:val="15381149"/>
    <w:rsid w:val="153F4DAC"/>
    <w:rsid w:val="15422F4C"/>
    <w:rsid w:val="15466EC7"/>
    <w:rsid w:val="15482EBC"/>
    <w:rsid w:val="1548367B"/>
    <w:rsid w:val="154878EA"/>
    <w:rsid w:val="154E5E6F"/>
    <w:rsid w:val="156601F3"/>
    <w:rsid w:val="157157FF"/>
    <w:rsid w:val="1572238D"/>
    <w:rsid w:val="15724781"/>
    <w:rsid w:val="157A2432"/>
    <w:rsid w:val="158C5EDB"/>
    <w:rsid w:val="15986698"/>
    <w:rsid w:val="15A07D67"/>
    <w:rsid w:val="15A9411A"/>
    <w:rsid w:val="15AC3C0A"/>
    <w:rsid w:val="15AF4FFA"/>
    <w:rsid w:val="15B523C9"/>
    <w:rsid w:val="15B64A89"/>
    <w:rsid w:val="15B66837"/>
    <w:rsid w:val="15BB5BFB"/>
    <w:rsid w:val="15C90418"/>
    <w:rsid w:val="15C96C5C"/>
    <w:rsid w:val="15CD507F"/>
    <w:rsid w:val="15D24F7F"/>
    <w:rsid w:val="15D25215"/>
    <w:rsid w:val="15D51837"/>
    <w:rsid w:val="15D905C6"/>
    <w:rsid w:val="15D936DF"/>
    <w:rsid w:val="15DD3CC5"/>
    <w:rsid w:val="15EA2F61"/>
    <w:rsid w:val="15EB4733"/>
    <w:rsid w:val="16087E1D"/>
    <w:rsid w:val="1609105D"/>
    <w:rsid w:val="16171CEA"/>
    <w:rsid w:val="16241E46"/>
    <w:rsid w:val="16291193"/>
    <w:rsid w:val="162D0574"/>
    <w:rsid w:val="162E314E"/>
    <w:rsid w:val="16353C00"/>
    <w:rsid w:val="16377978"/>
    <w:rsid w:val="163855EA"/>
    <w:rsid w:val="163B16C3"/>
    <w:rsid w:val="16404D77"/>
    <w:rsid w:val="164D5DC6"/>
    <w:rsid w:val="16544F29"/>
    <w:rsid w:val="16545A9F"/>
    <w:rsid w:val="165841FB"/>
    <w:rsid w:val="16594096"/>
    <w:rsid w:val="165C1C83"/>
    <w:rsid w:val="166F5729"/>
    <w:rsid w:val="16837C9D"/>
    <w:rsid w:val="16866209"/>
    <w:rsid w:val="168B3820"/>
    <w:rsid w:val="16903752"/>
    <w:rsid w:val="169052DA"/>
    <w:rsid w:val="16935A9B"/>
    <w:rsid w:val="16970417"/>
    <w:rsid w:val="16973420"/>
    <w:rsid w:val="16A82624"/>
    <w:rsid w:val="16B56AEF"/>
    <w:rsid w:val="16C16D95"/>
    <w:rsid w:val="16C35B6B"/>
    <w:rsid w:val="16C41A34"/>
    <w:rsid w:val="16CB650D"/>
    <w:rsid w:val="16CD5B16"/>
    <w:rsid w:val="16D06DDD"/>
    <w:rsid w:val="16D5392B"/>
    <w:rsid w:val="16DA02A8"/>
    <w:rsid w:val="16DA1C2B"/>
    <w:rsid w:val="16DE0A26"/>
    <w:rsid w:val="16DE1BD0"/>
    <w:rsid w:val="16E6314C"/>
    <w:rsid w:val="16E73A61"/>
    <w:rsid w:val="16ED63A6"/>
    <w:rsid w:val="16EF2001"/>
    <w:rsid w:val="16F13FCB"/>
    <w:rsid w:val="16F23DFD"/>
    <w:rsid w:val="16F85567"/>
    <w:rsid w:val="16F87BE6"/>
    <w:rsid w:val="170257AD"/>
    <w:rsid w:val="170440FC"/>
    <w:rsid w:val="17063316"/>
    <w:rsid w:val="17164820"/>
    <w:rsid w:val="17207C40"/>
    <w:rsid w:val="17215593"/>
    <w:rsid w:val="172F68A1"/>
    <w:rsid w:val="1738121D"/>
    <w:rsid w:val="173C091E"/>
    <w:rsid w:val="173E76FF"/>
    <w:rsid w:val="17421C72"/>
    <w:rsid w:val="17435273"/>
    <w:rsid w:val="1744517E"/>
    <w:rsid w:val="174D31CB"/>
    <w:rsid w:val="17506C4B"/>
    <w:rsid w:val="17511E09"/>
    <w:rsid w:val="17542DA9"/>
    <w:rsid w:val="175F7195"/>
    <w:rsid w:val="1762700E"/>
    <w:rsid w:val="176559A2"/>
    <w:rsid w:val="17690784"/>
    <w:rsid w:val="176B635F"/>
    <w:rsid w:val="176E67C0"/>
    <w:rsid w:val="17701D14"/>
    <w:rsid w:val="17712A16"/>
    <w:rsid w:val="17735226"/>
    <w:rsid w:val="17793FC0"/>
    <w:rsid w:val="17795D6E"/>
    <w:rsid w:val="177C5BEA"/>
    <w:rsid w:val="177D3FFD"/>
    <w:rsid w:val="178502B5"/>
    <w:rsid w:val="17865A01"/>
    <w:rsid w:val="17946704"/>
    <w:rsid w:val="179B6F5A"/>
    <w:rsid w:val="17A23766"/>
    <w:rsid w:val="17AC08C2"/>
    <w:rsid w:val="17B80644"/>
    <w:rsid w:val="17C70029"/>
    <w:rsid w:val="17DD366C"/>
    <w:rsid w:val="17DD62FD"/>
    <w:rsid w:val="17DE138E"/>
    <w:rsid w:val="17E63F61"/>
    <w:rsid w:val="17E86A50"/>
    <w:rsid w:val="17F025E2"/>
    <w:rsid w:val="17F605D9"/>
    <w:rsid w:val="17F6116D"/>
    <w:rsid w:val="17FB49D5"/>
    <w:rsid w:val="18001AC2"/>
    <w:rsid w:val="180950F8"/>
    <w:rsid w:val="18095344"/>
    <w:rsid w:val="180C0521"/>
    <w:rsid w:val="181A5674"/>
    <w:rsid w:val="181A568A"/>
    <w:rsid w:val="183925B7"/>
    <w:rsid w:val="18394A9B"/>
    <w:rsid w:val="183D4BB3"/>
    <w:rsid w:val="184A0112"/>
    <w:rsid w:val="185C5859"/>
    <w:rsid w:val="185D743E"/>
    <w:rsid w:val="18616F2E"/>
    <w:rsid w:val="18641CF4"/>
    <w:rsid w:val="1866111B"/>
    <w:rsid w:val="186C7D00"/>
    <w:rsid w:val="187D188E"/>
    <w:rsid w:val="187D53EA"/>
    <w:rsid w:val="18826019"/>
    <w:rsid w:val="188E7AB5"/>
    <w:rsid w:val="18955A02"/>
    <w:rsid w:val="1899586E"/>
    <w:rsid w:val="189F624C"/>
    <w:rsid w:val="18A80012"/>
    <w:rsid w:val="18B41C07"/>
    <w:rsid w:val="18BC1B84"/>
    <w:rsid w:val="18C179CD"/>
    <w:rsid w:val="18C205AA"/>
    <w:rsid w:val="18CA7868"/>
    <w:rsid w:val="18CB084B"/>
    <w:rsid w:val="18CD0120"/>
    <w:rsid w:val="18D771F0"/>
    <w:rsid w:val="18D91696"/>
    <w:rsid w:val="18DF35D3"/>
    <w:rsid w:val="18E50049"/>
    <w:rsid w:val="18E50883"/>
    <w:rsid w:val="18E5190D"/>
    <w:rsid w:val="18EE3791"/>
    <w:rsid w:val="18F36966"/>
    <w:rsid w:val="18F97167"/>
    <w:rsid w:val="19006677"/>
    <w:rsid w:val="19080C81"/>
    <w:rsid w:val="190B5CC0"/>
    <w:rsid w:val="19130410"/>
    <w:rsid w:val="191903A4"/>
    <w:rsid w:val="191E50F8"/>
    <w:rsid w:val="19201CDC"/>
    <w:rsid w:val="19243F4A"/>
    <w:rsid w:val="192D0782"/>
    <w:rsid w:val="192E6911"/>
    <w:rsid w:val="193A7BAD"/>
    <w:rsid w:val="194128BC"/>
    <w:rsid w:val="194C6234"/>
    <w:rsid w:val="19586BEC"/>
    <w:rsid w:val="196024F0"/>
    <w:rsid w:val="19670979"/>
    <w:rsid w:val="1967648C"/>
    <w:rsid w:val="196E56A6"/>
    <w:rsid w:val="197B5DCD"/>
    <w:rsid w:val="19856C4C"/>
    <w:rsid w:val="1987683E"/>
    <w:rsid w:val="198823C7"/>
    <w:rsid w:val="198A5E93"/>
    <w:rsid w:val="198F3627"/>
    <w:rsid w:val="19997436"/>
    <w:rsid w:val="19A45EA5"/>
    <w:rsid w:val="19A76C83"/>
    <w:rsid w:val="19A96994"/>
    <w:rsid w:val="19AC79A3"/>
    <w:rsid w:val="19B95FB5"/>
    <w:rsid w:val="19BC7DDD"/>
    <w:rsid w:val="19C052A4"/>
    <w:rsid w:val="19C827D2"/>
    <w:rsid w:val="19CA465F"/>
    <w:rsid w:val="19CF6119"/>
    <w:rsid w:val="19D84200"/>
    <w:rsid w:val="19DB1B78"/>
    <w:rsid w:val="19DB5056"/>
    <w:rsid w:val="19EC6CCB"/>
    <w:rsid w:val="19EF6A61"/>
    <w:rsid w:val="19F17E3E"/>
    <w:rsid w:val="19F41335"/>
    <w:rsid w:val="1A0A7151"/>
    <w:rsid w:val="1A0E07B9"/>
    <w:rsid w:val="1A1678A4"/>
    <w:rsid w:val="1A1A02C9"/>
    <w:rsid w:val="1A1B097B"/>
    <w:rsid w:val="1A1C66C0"/>
    <w:rsid w:val="1A271D12"/>
    <w:rsid w:val="1A286823"/>
    <w:rsid w:val="1A2975D8"/>
    <w:rsid w:val="1A2B4857"/>
    <w:rsid w:val="1A2D5842"/>
    <w:rsid w:val="1A340E0C"/>
    <w:rsid w:val="1A356BED"/>
    <w:rsid w:val="1A3B2C54"/>
    <w:rsid w:val="1A3D312A"/>
    <w:rsid w:val="1A40719B"/>
    <w:rsid w:val="1A416FA0"/>
    <w:rsid w:val="1A420699"/>
    <w:rsid w:val="1A42393B"/>
    <w:rsid w:val="1A5A5072"/>
    <w:rsid w:val="1A5F2F86"/>
    <w:rsid w:val="1A613215"/>
    <w:rsid w:val="1A6523A2"/>
    <w:rsid w:val="1A680BD7"/>
    <w:rsid w:val="1A6A275A"/>
    <w:rsid w:val="1A6E09E3"/>
    <w:rsid w:val="1A6E5932"/>
    <w:rsid w:val="1A7073C8"/>
    <w:rsid w:val="1A732F49"/>
    <w:rsid w:val="1A78230D"/>
    <w:rsid w:val="1A7C7E04"/>
    <w:rsid w:val="1A7F0894"/>
    <w:rsid w:val="1A832FC0"/>
    <w:rsid w:val="1A8F5147"/>
    <w:rsid w:val="1A90440A"/>
    <w:rsid w:val="1AA7769F"/>
    <w:rsid w:val="1AAC4C0B"/>
    <w:rsid w:val="1AAC4E15"/>
    <w:rsid w:val="1AAD45DE"/>
    <w:rsid w:val="1AAE000D"/>
    <w:rsid w:val="1AAF1A69"/>
    <w:rsid w:val="1ABB3621"/>
    <w:rsid w:val="1ABC044C"/>
    <w:rsid w:val="1AC33924"/>
    <w:rsid w:val="1AC6751C"/>
    <w:rsid w:val="1AC90DBB"/>
    <w:rsid w:val="1ACE573C"/>
    <w:rsid w:val="1AE26406"/>
    <w:rsid w:val="1AE37956"/>
    <w:rsid w:val="1AEC4640"/>
    <w:rsid w:val="1AF20311"/>
    <w:rsid w:val="1AF4236A"/>
    <w:rsid w:val="1AF478A3"/>
    <w:rsid w:val="1AFB6E22"/>
    <w:rsid w:val="1AFD0B32"/>
    <w:rsid w:val="1B046F80"/>
    <w:rsid w:val="1B0B0921"/>
    <w:rsid w:val="1B0B4734"/>
    <w:rsid w:val="1B177252"/>
    <w:rsid w:val="1B195CB1"/>
    <w:rsid w:val="1B2304CB"/>
    <w:rsid w:val="1B2338EB"/>
    <w:rsid w:val="1B285561"/>
    <w:rsid w:val="1B28788F"/>
    <w:rsid w:val="1B2D6F98"/>
    <w:rsid w:val="1B2E5B8D"/>
    <w:rsid w:val="1B311B4A"/>
    <w:rsid w:val="1B3267B5"/>
    <w:rsid w:val="1B34714F"/>
    <w:rsid w:val="1B3B1B1A"/>
    <w:rsid w:val="1B3B2E4A"/>
    <w:rsid w:val="1B3F44BB"/>
    <w:rsid w:val="1B40161D"/>
    <w:rsid w:val="1B430B6D"/>
    <w:rsid w:val="1B441859"/>
    <w:rsid w:val="1B46240B"/>
    <w:rsid w:val="1B487F31"/>
    <w:rsid w:val="1B4D60C4"/>
    <w:rsid w:val="1B581188"/>
    <w:rsid w:val="1B58337E"/>
    <w:rsid w:val="1B6606B1"/>
    <w:rsid w:val="1B6805D3"/>
    <w:rsid w:val="1B6978F5"/>
    <w:rsid w:val="1B7539B8"/>
    <w:rsid w:val="1B8A3D22"/>
    <w:rsid w:val="1B8E64F0"/>
    <w:rsid w:val="1B906420"/>
    <w:rsid w:val="1B942767"/>
    <w:rsid w:val="1B95576F"/>
    <w:rsid w:val="1B973096"/>
    <w:rsid w:val="1B9A1530"/>
    <w:rsid w:val="1BA01B1B"/>
    <w:rsid w:val="1BA07C43"/>
    <w:rsid w:val="1BA8139B"/>
    <w:rsid w:val="1BAF627C"/>
    <w:rsid w:val="1BB202B1"/>
    <w:rsid w:val="1BB43819"/>
    <w:rsid w:val="1BB455C7"/>
    <w:rsid w:val="1BB92199"/>
    <w:rsid w:val="1BCA29EA"/>
    <w:rsid w:val="1BCF2401"/>
    <w:rsid w:val="1BD85033"/>
    <w:rsid w:val="1BDB6FF7"/>
    <w:rsid w:val="1BE33E6B"/>
    <w:rsid w:val="1BE91714"/>
    <w:rsid w:val="1BEB084C"/>
    <w:rsid w:val="1BF86D47"/>
    <w:rsid w:val="1BFB237A"/>
    <w:rsid w:val="1BFF77E8"/>
    <w:rsid w:val="1C017D1B"/>
    <w:rsid w:val="1C027006"/>
    <w:rsid w:val="1C085539"/>
    <w:rsid w:val="1C0D4F0E"/>
    <w:rsid w:val="1C1567AC"/>
    <w:rsid w:val="1C244174"/>
    <w:rsid w:val="1C2A5889"/>
    <w:rsid w:val="1C3618E0"/>
    <w:rsid w:val="1C387246"/>
    <w:rsid w:val="1C3D62DB"/>
    <w:rsid w:val="1C3E298A"/>
    <w:rsid w:val="1C4701E9"/>
    <w:rsid w:val="1C4F1099"/>
    <w:rsid w:val="1C553017"/>
    <w:rsid w:val="1C5E7925"/>
    <w:rsid w:val="1C69685B"/>
    <w:rsid w:val="1C6A23C5"/>
    <w:rsid w:val="1C746B04"/>
    <w:rsid w:val="1C7C596A"/>
    <w:rsid w:val="1C8036FB"/>
    <w:rsid w:val="1C891396"/>
    <w:rsid w:val="1C907CCB"/>
    <w:rsid w:val="1C93290D"/>
    <w:rsid w:val="1C986960"/>
    <w:rsid w:val="1C9E073D"/>
    <w:rsid w:val="1CA13ABD"/>
    <w:rsid w:val="1CB86F5D"/>
    <w:rsid w:val="1CBC702C"/>
    <w:rsid w:val="1CC01D49"/>
    <w:rsid w:val="1CC950A2"/>
    <w:rsid w:val="1CCA7F60"/>
    <w:rsid w:val="1CCB2BC8"/>
    <w:rsid w:val="1CCD083A"/>
    <w:rsid w:val="1CD72D00"/>
    <w:rsid w:val="1CE134A1"/>
    <w:rsid w:val="1CE249B0"/>
    <w:rsid w:val="1CE4012E"/>
    <w:rsid w:val="1CE7397B"/>
    <w:rsid w:val="1CF12B01"/>
    <w:rsid w:val="1CF82381"/>
    <w:rsid w:val="1CFD070F"/>
    <w:rsid w:val="1D013B8D"/>
    <w:rsid w:val="1D015934"/>
    <w:rsid w:val="1D0D31E0"/>
    <w:rsid w:val="1D165881"/>
    <w:rsid w:val="1D176ED8"/>
    <w:rsid w:val="1D1D2CEE"/>
    <w:rsid w:val="1D1D5605"/>
    <w:rsid w:val="1D200D93"/>
    <w:rsid w:val="1D2176C9"/>
    <w:rsid w:val="1D224B81"/>
    <w:rsid w:val="1D240F8A"/>
    <w:rsid w:val="1D242378"/>
    <w:rsid w:val="1D293D92"/>
    <w:rsid w:val="1D392EE9"/>
    <w:rsid w:val="1D395A62"/>
    <w:rsid w:val="1D3E7793"/>
    <w:rsid w:val="1D426954"/>
    <w:rsid w:val="1D4A76E4"/>
    <w:rsid w:val="1D4B092D"/>
    <w:rsid w:val="1D4F600B"/>
    <w:rsid w:val="1D574E4F"/>
    <w:rsid w:val="1D5C6FD7"/>
    <w:rsid w:val="1D5F6196"/>
    <w:rsid w:val="1D6132A5"/>
    <w:rsid w:val="1D7A5DBE"/>
    <w:rsid w:val="1D7D4E3E"/>
    <w:rsid w:val="1D7E1102"/>
    <w:rsid w:val="1D840FC9"/>
    <w:rsid w:val="1D873420"/>
    <w:rsid w:val="1D8C5EF8"/>
    <w:rsid w:val="1D8E56D5"/>
    <w:rsid w:val="1D9B4C90"/>
    <w:rsid w:val="1DA164B8"/>
    <w:rsid w:val="1DA5166B"/>
    <w:rsid w:val="1DA833BC"/>
    <w:rsid w:val="1DAD0520"/>
    <w:rsid w:val="1DB131F6"/>
    <w:rsid w:val="1DB418AE"/>
    <w:rsid w:val="1DB42FB2"/>
    <w:rsid w:val="1DB4365C"/>
    <w:rsid w:val="1DB500D1"/>
    <w:rsid w:val="1DBB26B6"/>
    <w:rsid w:val="1DC51D0D"/>
    <w:rsid w:val="1DCD4104"/>
    <w:rsid w:val="1DD0678C"/>
    <w:rsid w:val="1DD41F50"/>
    <w:rsid w:val="1DD75FFA"/>
    <w:rsid w:val="1DDB7F1F"/>
    <w:rsid w:val="1DDC4E69"/>
    <w:rsid w:val="1DDF501C"/>
    <w:rsid w:val="1DE026A3"/>
    <w:rsid w:val="1DE55C5A"/>
    <w:rsid w:val="1DEA6983"/>
    <w:rsid w:val="1DED1C27"/>
    <w:rsid w:val="1DFE521F"/>
    <w:rsid w:val="1E010CC6"/>
    <w:rsid w:val="1E074431"/>
    <w:rsid w:val="1E0A614C"/>
    <w:rsid w:val="1E0C312E"/>
    <w:rsid w:val="1E145AE8"/>
    <w:rsid w:val="1E1B5D56"/>
    <w:rsid w:val="1E1F6282"/>
    <w:rsid w:val="1E2E25B8"/>
    <w:rsid w:val="1E2F1DFF"/>
    <w:rsid w:val="1E3B0EAD"/>
    <w:rsid w:val="1E3D4F3E"/>
    <w:rsid w:val="1E45419C"/>
    <w:rsid w:val="1E490E8A"/>
    <w:rsid w:val="1E4911B0"/>
    <w:rsid w:val="1E4B1AFB"/>
    <w:rsid w:val="1E4C0D55"/>
    <w:rsid w:val="1E503BC5"/>
    <w:rsid w:val="1E52406B"/>
    <w:rsid w:val="1E622D62"/>
    <w:rsid w:val="1E6C5F31"/>
    <w:rsid w:val="1E7A43DA"/>
    <w:rsid w:val="1E8219AC"/>
    <w:rsid w:val="1E881701"/>
    <w:rsid w:val="1E904A7F"/>
    <w:rsid w:val="1E9120F1"/>
    <w:rsid w:val="1E9B582D"/>
    <w:rsid w:val="1EA86447"/>
    <w:rsid w:val="1EAC07D7"/>
    <w:rsid w:val="1EB2529D"/>
    <w:rsid w:val="1EC85F06"/>
    <w:rsid w:val="1ECA3253"/>
    <w:rsid w:val="1ECE2E43"/>
    <w:rsid w:val="1ED146E2"/>
    <w:rsid w:val="1ED3423C"/>
    <w:rsid w:val="1EDD6BD2"/>
    <w:rsid w:val="1EE241F9"/>
    <w:rsid w:val="1EE47F71"/>
    <w:rsid w:val="1EFE3169"/>
    <w:rsid w:val="1F020A21"/>
    <w:rsid w:val="1F085BC2"/>
    <w:rsid w:val="1F2E0D54"/>
    <w:rsid w:val="1F3016DC"/>
    <w:rsid w:val="1F311BFF"/>
    <w:rsid w:val="1F39006C"/>
    <w:rsid w:val="1F4F0D6E"/>
    <w:rsid w:val="1F557570"/>
    <w:rsid w:val="1F58794B"/>
    <w:rsid w:val="1F6410B2"/>
    <w:rsid w:val="1F65294C"/>
    <w:rsid w:val="1F660C61"/>
    <w:rsid w:val="1F6A1E76"/>
    <w:rsid w:val="1F6E7612"/>
    <w:rsid w:val="1F7319C7"/>
    <w:rsid w:val="1F735D1F"/>
    <w:rsid w:val="1F7A7DC9"/>
    <w:rsid w:val="1F7D7C2A"/>
    <w:rsid w:val="1F890B18"/>
    <w:rsid w:val="1F8A7BC6"/>
    <w:rsid w:val="1F8C28BE"/>
    <w:rsid w:val="1F8D18C1"/>
    <w:rsid w:val="1F8F7A4E"/>
    <w:rsid w:val="1F951924"/>
    <w:rsid w:val="1F9A79C4"/>
    <w:rsid w:val="1FB06622"/>
    <w:rsid w:val="1FB262C1"/>
    <w:rsid w:val="1FB40951"/>
    <w:rsid w:val="1FB738D7"/>
    <w:rsid w:val="1FB913FE"/>
    <w:rsid w:val="1FBF4B2F"/>
    <w:rsid w:val="1FC424B8"/>
    <w:rsid w:val="1FCD5906"/>
    <w:rsid w:val="1FD34294"/>
    <w:rsid w:val="1FD83DA3"/>
    <w:rsid w:val="1FE336FD"/>
    <w:rsid w:val="1FE45DC9"/>
    <w:rsid w:val="1FE7539E"/>
    <w:rsid w:val="1FF23AB1"/>
    <w:rsid w:val="1FF36BE4"/>
    <w:rsid w:val="1FFA39FD"/>
    <w:rsid w:val="1FFE320F"/>
    <w:rsid w:val="200630FC"/>
    <w:rsid w:val="201145E1"/>
    <w:rsid w:val="201218BD"/>
    <w:rsid w:val="20126D60"/>
    <w:rsid w:val="20145261"/>
    <w:rsid w:val="201F312E"/>
    <w:rsid w:val="202465D6"/>
    <w:rsid w:val="202C0BC5"/>
    <w:rsid w:val="202E0A44"/>
    <w:rsid w:val="20305EFE"/>
    <w:rsid w:val="203141A8"/>
    <w:rsid w:val="20362A4E"/>
    <w:rsid w:val="203A01F9"/>
    <w:rsid w:val="203B6C76"/>
    <w:rsid w:val="203C0854"/>
    <w:rsid w:val="203C2AF2"/>
    <w:rsid w:val="204038CD"/>
    <w:rsid w:val="2055663F"/>
    <w:rsid w:val="20571B67"/>
    <w:rsid w:val="20575A67"/>
    <w:rsid w:val="205B1434"/>
    <w:rsid w:val="206027BC"/>
    <w:rsid w:val="20610C51"/>
    <w:rsid w:val="20630ABB"/>
    <w:rsid w:val="206329A4"/>
    <w:rsid w:val="2066133F"/>
    <w:rsid w:val="20671BE0"/>
    <w:rsid w:val="206A3014"/>
    <w:rsid w:val="206C021E"/>
    <w:rsid w:val="208F0026"/>
    <w:rsid w:val="20943C19"/>
    <w:rsid w:val="20957FF9"/>
    <w:rsid w:val="20963CB8"/>
    <w:rsid w:val="20980D1F"/>
    <w:rsid w:val="20992FDD"/>
    <w:rsid w:val="209B4FA7"/>
    <w:rsid w:val="209B75A5"/>
    <w:rsid w:val="20A81A1B"/>
    <w:rsid w:val="20B07FB6"/>
    <w:rsid w:val="20B31366"/>
    <w:rsid w:val="20B3409F"/>
    <w:rsid w:val="20B64181"/>
    <w:rsid w:val="20B646FB"/>
    <w:rsid w:val="20C0380D"/>
    <w:rsid w:val="20D34741"/>
    <w:rsid w:val="20D61B56"/>
    <w:rsid w:val="20D76E04"/>
    <w:rsid w:val="20DA06E7"/>
    <w:rsid w:val="20DB35F6"/>
    <w:rsid w:val="20E029BA"/>
    <w:rsid w:val="20E6692E"/>
    <w:rsid w:val="20E73D48"/>
    <w:rsid w:val="20E74AD9"/>
    <w:rsid w:val="20ED0BEE"/>
    <w:rsid w:val="20F868AB"/>
    <w:rsid w:val="20FF72E4"/>
    <w:rsid w:val="21026E44"/>
    <w:rsid w:val="21092836"/>
    <w:rsid w:val="210963B5"/>
    <w:rsid w:val="210A10FD"/>
    <w:rsid w:val="21156B08"/>
    <w:rsid w:val="211F5003"/>
    <w:rsid w:val="211F5A12"/>
    <w:rsid w:val="21257C1C"/>
    <w:rsid w:val="212674CF"/>
    <w:rsid w:val="2129610F"/>
    <w:rsid w:val="212A0153"/>
    <w:rsid w:val="212B42B6"/>
    <w:rsid w:val="212B5F86"/>
    <w:rsid w:val="213211B2"/>
    <w:rsid w:val="21322057"/>
    <w:rsid w:val="213760C2"/>
    <w:rsid w:val="213845A4"/>
    <w:rsid w:val="213B74B1"/>
    <w:rsid w:val="21401371"/>
    <w:rsid w:val="214E5B76"/>
    <w:rsid w:val="21506F55"/>
    <w:rsid w:val="215238B8"/>
    <w:rsid w:val="2157022D"/>
    <w:rsid w:val="215840E5"/>
    <w:rsid w:val="215869F4"/>
    <w:rsid w:val="215A2310"/>
    <w:rsid w:val="215D324B"/>
    <w:rsid w:val="21600B9F"/>
    <w:rsid w:val="2164585C"/>
    <w:rsid w:val="21667C5A"/>
    <w:rsid w:val="21672238"/>
    <w:rsid w:val="21690C01"/>
    <w:rsid w:val="216D75A7"/>
    <w:rsid w:val="2174438E"/>
    <w:rsid w:val="21762DE7"/>
    <w:rsid w:val="21880AC7"/>
    <w:rsid w:val="218F18FD"/>
    <w:rsid w:val="21912C77"/>
    <w:rsid w:val="21922907"/>
    <w:rsid w:val="219807BD"/>
    <w:rsid w:val="21AF1962"/>
    <w:rsid w:val="21B07007"/>
    <w:rsid w:val="21B55BF5"/>
    <w:rsid w:val="21B85B1A"/>
    <w:rsid w:val="21C170DC"/>
    <w:rsid w:val="21CF40FC"/>
    <w:rsid w:val="21DC37D4"/>
    <w:rsid w:val="21DE318A"/>
    <w:rsid w:val="21E464DA"/>
    <w:rsid w:val="21E67457"/>
    <w:rsid w:val="21EF5B80"/>
    <w:rsid w:val="21F26E49"/>
    <w:rsid w:val="21F80652"/>
    <w:rsid w:val="22014364"/>
    <w:rsid w:val="221B26FB"/>
    <w:rsid w:val="221C1A9C"/>
    <w:rsid w:val="22271B3B"/>
    <w:rsid w:val="22342557"/>
    <w:rsid w:val="223530A9"/>
    <w:rsid w:val="223757F4"/>
    <w:rsid w:val="22384C79"/>
    <w:rsid w:val="22391C11"/>
    <w:rsid w:val="223C1907"/>
    <w:rsid w:val="2245341D"/>
    <w:rsid w:val="2247367C"/>
    <w:rsid w:val="22484CBB"/>
    <w:rsid w:val="225122EC"/>
    <w:rsid w:val="22576990"/>
    <w:rsid w:val="225B1185"/>
    <w:rsid w:val="225F4DA8"/>
    <w:rsid w:val="22600256"/>
    <w:rsid w:val="22711995"/>
    <w:rsid w:val="22731946"/>
    <w:rsid w:val="2276513C"/>
    <w:rsid w:val="22837AA1"/>
    <w:rsid w:val="22907EAF"/>
    <w:rsid w:val="229D76CF"/>
    <w:rsid w:val="22A16A26"/>
    <w:rsid w:val="22AE0D9A"/>
    <w:rsid w:val="22AE23A3"/>
    <w:rsid w:val="22B14D91"/>
    <w:rsid w:val="22BB723B"/>
    <w:rsid w:val="22BD7457"/>
    <w:rsid w:val="22BE4F7D"/>
    <w:rsid w:val="22C146E6"/>
    <w:rsid w:val="22C55983"/>
    <w:rsid w:val="22CD087D"/>
    <w:rsid w:val="22D4705E"/>
    <w:rsid w:val="22E03145"/>
    <w:rsid w:val="22E03577"/>
    <w:rsid w:val="22E140DF"/>
    <w:rsid w:val="22E27E1A"/>
    <w:rsid w:val="22ED394A"/>
    <w:rsid w:val="22EF6F3D"/>
    <w:rsid w:val="22F06CBD"/>
    <w:rsid w:val="22F17100"/>
    <w:rsid w:val="22F47480"/>
    <w:rsid w:val="22F5313C"/>
    <w:rsid w:val="22F60431"/>
    <w:rsid w:val="22F95E5A"/>
    <w:rsid w:val="22F95FB5"/>
    <w:rsid w:val="22FA000D"/>
    <w:rsid w:val="22FA4207"/>
    <w:rsid w:val="22FD7D70"/>
    <w:rsid w:val="22FF539A"/>
    <w:rsid w:val="230445C6"/>
    <w:rsid w:val="230B7F08"/>
    <w:rsid w:val="230E2253"/>
    <w:rsid w:val="231F3448"/>
    <w:rsid w:val="23264FFC"/>
    <w:rsid w:val="2327575A"/>
    <w:rsid w:val="23332CA9"/>
    <w:rsid w:val="23374378"/>
    <w:rsid w:val="233D40F4"/>
    <w:rsid w:val="234372A2"/>
    <w:rsid w:val="234A68AD"/>
    <w:rsid w:val="234E4430"/>
    <w:rsid w:val="2354704C"/>
    <w:rsid w:val="23557FF7"/>
    <w:rsid w:val="235D02F2"/>
    <w:rsid w:val="23614555"/>
    <w:rsid w:val="237327CB"/>
    <w:rsid w:val="23745719"/>
    <w:rsid w:val="23766BE2"/>
    <w:rsid w:val="237B4DD4"/>
    <w:rsid w:val="2383244E"/>
    <w:rsid w:val="23861122"/>
    <w:rsid w:val="238B6072"/>
    <w:rsid w:val="239749CE"/>
    <w:rsid w:val="23A67EEB"/>
    <w:rsid w:val="23AA7C68"/>
    <w:rsid w:val="23AB62D5"/>
    <w:rsid w:val="23BF270A"/>
    <w:rsid w:val="23BF47C0"/>
    <w:rsid w:val="23C245F9"/>
    <w:rsid w:val="23C5066F"/>
    <w:rsid w:val="23C50DBD"/>
    <w:rsid w:val="23C93DBF"/>
    <w:rsid w:val="23CC1925"/>
    <w:rsid w:val="23CC24B1"/>
    <w:rsid w:val="23CE2F54"/>
    <w:rsid w:val="23D22A8E"/>
    <w:rsid w:val="23D410A3"/>
    <w:rsid w:val="23D448DB"/>
    <w:rsid w:val="23DC27A5"/>
    <w:rsid w:val="23DE1C48"/>
    <w:rsid w:val="23E34C9B"/>
    <w:rsid w:val="23E4139E"/>
    <w:rsid w:val="23E655C6"/>
    <w:rsid w:val="23EC2834"/>
    <w:rsid w:val="23F445E5"/>
    <w:rsid w:val="23FD3261"/>
    <w:rsid w:val="24003A9F"/>
    <w:rsid w:val="24013925"/>
    <w:rsid w:val="24014B3E"/>
    <w:rsid w:val="240210CD"/>
    <w:rsid w:val="24154E65"/>
    <w:rsid w:val="2417474E"/>
    <w:rsid w:val="2418246B"/>
    <w:rsid w:val="241D3F64"/>
    <w:rsid w:val="241E5CD3"/>
    <w:rsid w:val="242435C6"/>
    <w:rsid w:val="24247931"/>
    <w:rsid w:val="242F49E0"/>
    <w:rsid w:val="244A6AC8"/>
    <w:rsid w:val="24561911"/>
    <w:rsid w:val="245C4A4D"/>
    <w:rsid w:val="24656E8D"/>
    <w:rsid w:val="246A0F18"/>
    <w:rsid w:val="246D1F9D"/>
    <w:rsid w:val="247B696B"/>
    <w:rsid w:val="24823B0C"/>
    <w:rsid w:val="24852341"/>
    <w:rsid w:val="24875324"/>
    <w:rsid w:val="248B428B"/>
    <w:rsid w:val="24A267F8"/>
    <w:rsid w:val="24A3267C"/>
    <w:rsid w:val="24A46663"/>
    <w:rsid w:val="24AC3F40"/>
    <w:rsid w:val="24B341B7"/>
    <w:rsid w:val="24B37C49"/>
    <w:rsid w:val="24B93C4E"/>
    <w:rsid w:val="24BC709D"/>
    <w:rsid w:val="24BF09F7"/>
    <w:rsid w:val="24C90335"/>
    <w:rsid w:val="24D109B1"/>
    <w:rsid w:val="24D62AFF"/>
    <w:rsid w:val="24DB5972"/>
    <w:rsid w:val="24E57ADC"/>
    <w:rsid w:val="24E63832"/>
    <w:rsid w:val="24E65CB8"/>
    <w:rsid w:val="24EB140F"/>
    <w:rsid w:val="24EC4023"/>
    <w:rsid w:val="24EC7478"/>
    <w:rsid w:val="24F564F2"/>
    <w:rsid w:val="24F63A5D"/>
    <w:rsid w:val="24FD1D8D"/>
    <w:rsid w:val="24FF1818"/>
    <w:rsid w:val="25135D2E"/>
    <w:rsid w:val="251554AE"/>
    <w:rsid w:val="251C627C"/>
    <w:rsid w:val="25207829"/>
    <w:rsid w:val="252612F0"/>
    <w:rsid w:val="252860C7"/>
    <w:rsid w:val="252D3885"/>
    <w:rsid w:val="252D53FE"/>
    <w:rsid w:val="25507F5E"/>
    <w:rsid w:val="25533831"/>
    <w:rsid w:val="255417E7"/>
    <w:rsid w:val="25592D3B"/>
    <w:rsid w:val="255B5A58"/>
    <w:rsid w:val="25600F79"/>
    <w:rsid w:val="256D083C"/>
    <w:rsid w:val="256D156A"/>
    <w:rsid w:val="256F255E"/>
    <w:rsid w:val="25781413"/>
    <w:rsid w:val="257B0268"/>
    <w:rsid w:val="257C35F5"/>
    <w:rsid w:val="258401AA"/>
    <w:rsid w:val="258A03BF"/>
    <w:rsid w:val="258E6E89"/>
    <w:rsid w:val="258F2250"/>
    <w:rsid w:val="25922C5F"/>
    <w:rsid w:val="25936F7D"/>
    <w:rsid w:val="2595558D"/>
    <w:rsid w:val="25A2022A"/>
    <w:rsid w:val="25B67607"/>
    <w:rsid w:val="25B85CB3"/>
    <w:rsid w:val="25BF4D9E"/>
    <w:rsid w:val="25CB441A"/>
    <w:rsid w:val="25D2706E"/>
    <w:rsid w:val="25D46F85"/>
    <w:rsid w:val="25DA0320"/>
    <w:rsid w:val="25DA4CB7"/>
    <w:rsid w:val="25DA599B"/>
    <w:rsid w:val="25DC4FAE"/>
    <w:rsid w:val="25E22D30"/>
    <w:rsid w:val="25E72643"/>
    <w:rsid w:val="25E9094C"/>
    <w:rsid w:val="25EB79C5"/>
    <w:rsid w:val="25EC2D81"/>
    <w:rsid w:val="25F0544D"/>
    <w:rsid w:val="25F63857"/>
    <w:rsid w:val="25FE400E"/>
    <w:rsid w:val="260F0C21"/>
    <w:rsid w:val="26106D8A"/>
    <w:rsid w:val="261455E0"/>
    <w:rsid w:val="261868BD"/>
    <w:rsid w:val="26284BE7"/>
    <w:rsid w:val="26286CA3"/>
    <w:rsid w:val="262B46D7"/>
    <w:rsid w:val="26321F0A"/>
    <w:rsid w:val="26333636"/>
    <w:rsid w:val="263C5D64"/>
    <w:rsid w:val="263E3982"/>
    <w:rsid w:val="26412040"/>
    <w:rsid w:val="26415CA9"/>
    <w:rsid w:val="26484C80"/>
    <w:rsid w:val="264A2E12"/>
    <w:rsid w:val="26551933"/>
    <w:rsid w:val="2659347F"/>
    <w:rsid w:val="26597496"/>
    <w:rsid w:val="265C2AE3"/>
    <w:rsid w:val="2671601B"/>
    <w:rsid w:val="267E60FE"/>
    <w:rsid w:val="268838D8"/>
    <w:rsid w:val="268F2EB8"/>
    <w:rsid w:val="26954CBC"/>
    <w:rsid w:val="269668C9"/>
    <w:rsid w:val="26997893"/>
    <w:rsid w:val="269D000F"/>
    <w:rsid w:val="269E30FB"/>
    <w:rsid w:val="269E6F9F"/>
    <w:rsid w:val="26A51520"/>
    <w:rsid w:val="26A51C87"/>
    <w:rsid w:val="26A52BB1"/>
    <w:rsid w:val="26A54FDA"/>
    <w:rsid w:val="26AC5A3F"/>
    <w:rsid w:val="26B0315B"/>
    <w:rsid w:val="26B07A73"/>
    <w:rsid w:val="26B46A7E"/>
    <w:rsid w:val="26B556D9"/>
    <w:rsid w:val="26B566FC"/>
    <w:rsid w:val="26C861F2"/>
    <w:rsid w:val="26CD2B19"/>
    <w:rsid w:val="26CF1195"/>
    <w:rsid w:val="26CF7759"/>
    <w:rsid w:val="26E3179A"/>
    <w:rsid w:val="26EC2227"/>
    <w:rsid w:val="26EF6E5F"/>
    <w:rsid w:val="26F45853"/>
    <w:rsid w:val="26F50464"/>
    <w:rsid w:val="26F64CE5"/>
    <w:rsid w:val="26FD7866"/>
    <w:rsid w:val="27062280"/>
    <w:rsid w:val="270D2049"/>
    <w:rsid w:val="27155488"/>
    <w:rsid w:val="2715566D"/>
    <w:rsid w:val="27174C5C"/>
    <w:rsid w:val="271A196A"/>
    <w:rsid w:val="271F4DE6"/>
    <w:rsid w:val="27213BF9"/>
    <w:rsid w:val="27346CA7"/>
    <w:rsid w:val="27351CB2"/>
    <w:rsid w:val="27387112"/>
    <w:rsid w:val="274243CE"/>
    <w:rsid w:val="274C301E"/>
    <w:rsid w:val="27535CCB"/>
    <w:rsid w:val="27565784"/>
    <w:rsid w:val="275B2D9A"/>
    <w:rsid w:val="275D6B12"/>
    <w:rsid w:val="275E288B"/>
    <w:rsid w:val="27602AA7"/>
    <w:rsid w:val="27635C0F"/>
    <w:rsid w:val="276A122F"/>
    <w:rsid w:val="277057A2"/>
    <w:rsid w:val="277214C4"/>
    <w:rsid w:val="27745F6A"/>
    <w:rsid w:val="27795EE3"/>
    <w:rsid w:val="277A2226"/>
    <w:rsid w:val="277A5916"/>
    <w:rsid w:val="278D7C08"/>
    <w:rsid w:val="27911FF1"/>
    <w:rsid w:val="27962DAF"/>
    <w:rsid w:val="279B763B"/>
    <w:rsid w:val="279D33B3"/>
    <w:rsid w:val="279F537D"/>
    <w:rsid w:val="27A361F0"/>
    <w:rsid w:val="27A3627F"/>
    <w:rsid w:val="27A84F15"/>
    <w:rsid w:val="27A86AA0"/>
    <w:rsid w:val="27AB59CD"/>
    <w:rsid w:val="27AF2273"/>
    <w:rsid w:val="27B8643F"/>
    <w:rsid w:val="27BB435A"/>
    <w:rsid w:val="27BF6244"/>
    <w:rsid w:val="27C22E19"/>
    <w:rsid w:val="27C744F6"/>
    <w:rsid w:val="27D17F9A"/>
    <w:rsid w:val="27D75D8F"/>
    <w:rsid w:val="27D81040"/>
    <w:rsid w:val="27E87576"/>
    <w:rsid w:val="27ED433A"/>
    <w:rsid w:val="27ED6BF9"/>
    <w:rsid w:val="27EF52BF"/>
    <w:rsid w:val="27F26592"/>
    <w:rsid w:val="27F31354"/>
    <w:rsid w:val="27FA30C3"/>
    <w:rsid w:val="2802590C"/>
    <w:rsid w:val="2808468C"/>
    <w:rsid w:val="28117A15"/>
    <w:rsid w:val="28210C32"/>
    <w:rsid w:val="2824061B"/>
    <w:rsid w:val="282633A8"/>
    <w:rsid w:val="282868CD"/>
    <w:rsid w:val="282E6701"/>
    <w:rsid w:val="282F60DE"/>
    <w:rsid w:val="28345680"/>
    <w:rsid w:val="28482B4A"/>
    <w:rsid w:val="284952E9"/>
    <w:rsid w:val="284B2515"/>
    <w:rsid w:val="284E2D31"/>
    <w:rsid w:val="285C5D2C"/>
    <w:rsid w:val="28613874"/>
    <w:rsid w:val="286931C6"/>
    <w:rsid w:val="28722A91"/>
    <w:rsid w:val="287A77B8"/>
    <w:rsid w:val="28817BE4"/>
    <w:rsid w:val="28885A9A"/>
    <w:rsid w:val="28996270"/>
    <w:rsid w:val="289A29B6"/>
    <w:rsid w:val="289A78F2"/>
    <w:rsid w:val="289E31C0"/>
    <w:rsid w:val="28B52A63"/>
    <w:rsid w:val="28B60BD0"/>
    <w:rsid w:val="28C01AD3"/>
    <w:rsid w:val="28C037FD"/>
    <w:rsid w:val="28C258C6"/>
    <w:rsid w:val="28C526DA"/>
    <w:rsid w:val="28C76B60"/>
    <w:rsid w:val="28C93D98"/>
    <w:rsid w:val="28CC7A6D"/>
    <w:rsid w:val="28CE4E44"/>
    <w:rsid w:val="28CF1C92"/>
    <w:rsid w:val="28EC6074"/>
    <w:rsid w:val="28EF3107"/>
    <w:rsid w:val="28F567C0"/>
    <w:rsid w:val="28FC70D7"/>
    <w:rsid w:val="29015BC3"/>
    <w:rsid w:val="29021A48"/>
    <w:rsid w:val="290A5FBD"/>
    <w:rsid w:val="29131495"/>
    <w:rsid w:val="291661B8"/>
    <w:rsid w:val="29177195"/>
    <w:rsid w:val="291825E3"/>
    <w:rsid w:val="29206EB8"/>
    <w:rsid w:val="29260218"/>
    <w:rsid w:val="29273F7B"/>
    <w:rsid w:val="292766AC"/>
    <w:rsid w:val="292C2C40"/>
    <w:rsid w:val="292D0766"/>
    <w:rsid w:val="292E45DB"/>
    <w:rsid w:val="29353AE8"/>
    <w:rsid w:val="29363DE4"/>
    <w:rsid w:val="293A3626"/>
    <w:rsid w:val="293D09B1"/>
    <w:rsid w:val="2946095E"/>
    <w:rsid w:val="294A57BC"/>
    <w:rsid w:val="294C791C"/>
    <w:rsid w:val="295108F9"/>
    <w:rsid w:val="295403E9"/>
    <w:rsid w:val="2958146F"/>
    <w:rsid w:val="29595666"/>
    <w:rsid w:val="295D104C"/>
    <w:rsid w:val="296630CE"/>
    <w:rsid w:val="296754A9"/>
    <w:rsid w:val="296A4312"/>
    <w:rsid w:val="29754FD3"/>
    <w:rsid w:val="297906C6"/>
    <w:rsid w:val="298455D5"/>
    <w:rsid w:val="2986797B"/>
    <w:rsid w:val="29874881"/>
    <w:rsid w:val="298F2687"/>
    <w:rsid w:val="299A1C95"/>
    <w:rsid w:val="299B7DC6"/>
    <w:rsid w:val="29A153FC"/>
    <w:rsid w:val="29A76497"/>
    <w:rsid w:val="29AC7826"/>
    <w:rsid w:val="29B7744D"/>
    <w:rsid w:val="29BD7ACF"/>
    <w:rsid w:val="29BF5862"/>
    <w:rsid w:val="29C343F5"/>
    <w:rsid w:val="29C5147D"/>
    <w:rsid w:val="29C67F11"/>
    <w:rsid w:val="29C77857"/>
    <w:rsid w:val="29C87862"/>
    <w:rsid w:val="29C9048F"/>
    <w:rsid w:val="29C90FD2"/>
    <w:rsid w:val="29CA59E3"/>
    <w:rsid w:val="29CE3CF8"/>
    <w:rsid w:val="29CE5CD0"/>
    <w:rsid w:val="29D74A0E"/>
    <w:rsid w:val="29D972D3"/>
    <w:rsid w:val="29DA269C"/>
    <w:rsid w:val="29DA5A8A"/>
    <w:rsid w:val="29DA6B40"/>
    <w:rsid w:val="29DC33B7"/>
    <w:rsid w:val="29E03413"/>
    <w:rsid w:val="29E277A3"/>
    <w:rsid w:val="29E31A75"/>
    <w:rsid w:val="29E325E0"/>
    <w:rsid w:val="29EB1B1C"/>
    <w:rsid w:val="29ED3601"/>
    <w:rsid w:val="29EE2466"/>
    <w:rsid w:val="29F23E8A"/>
    <w:rsid w:val="29FA4969"/>
    <w:rsid w:val="2A110088"/>
    <w:rsid w:val="2A1F1E7D"/>
    <w:rsid w:val="2A23116D"/>
    <w:rsid w:val="2A2411D9"/>
    <w:rsid w:val="2A36189D"/>
    <w:rsid w:val="2A375D41"/>
    <w:rsid w:val="2A3A0DC5"/>
    <w:rsid w:val="2A3E6349"/>
    <w:rsid w:val="2A4144C9"/>
    <w:rsid w:val="2A434677"/>
    <w:rsid w:val="2A452503"/>
    <w:rsid w:val="2A4915D0"/>
    <w:rsid w:val="2A495221"/>
    <w:rsid w:val="2A49724E"/>
    <w:rsid w:val="2A4D10C0"/>
    <w:rsid w:val="2A4E3DC4"/>
    <w:rsid w:val="2A5D0A55"/>
    <w:rsid w:val="2A5F7C93"/>
    <w:rsid w:val="2A6428AE"/>
    <w:rsid w:val="2A651FF4"/>
    <w:rsid w:val="2A736A5B"/>
    <w:rsid w:val="2A767725"/>
    <w:rsid w:val="2A79759D"/>
    <w:rsid w:val="2A7D73CB"/>
    <w:rsid w:val="2A8F7845"/>
    <w:rsid w:val="2A937B99"/>
    <w:rsid w:val="2A9A1E86"/>
    <w:rsid w:val="2A9E17E3"/>
    <w:rsid w:val="2A9E5867"/>
    <w:rsid w:val="2AB0164F"/>
    <w:rsid w:val="2ABF7AE4"/>
    <w:rsid w:val="2AC9022F"/>
    <w:rsid w:val="2AE00186"/>
    <w:rsid w:val="2AEB3048"/>
    <w:rsid w:val="2AF14DBB"/>
    <w:rsid w:val="2AF21C68"/>
    <w:rsid w:val="2AF43C32"/>
    <w:rsid w:val="2AF53506"/>
    <w:rsid w:val="2AF552B4"/>
    <w:rsid w:val="2AF94DA4"/>
    <w:rsid w:val="2AFA26F0"/>
    <w:rsid w:val="2B001316"/>
    <w:rsid w:val="2B072463"/>
    <w:rsid w:val="2B0C5B0A"/>
    <w:rsid w:val="2B0F78F2"/>
    <w:rsid w:val="2B235C9F"/>
    <w:rsid w:val="2B25203D"/>
    <w:rsid w:val="2B252A75"/>
    <w:rsid w:val="2B2F5B8A"/>
    <w:rsid w:val="2B3B300F"/>
    <w:rsid w:val="2B436066"/>
    <w:rsid w:val="2B461926"/>
    <w:rsid w:val="2B463C20"/>
    <w:rsid w:val="2B4E1792"/>
    <w:rsid w:val="2B5727CE"/>
    <w:rsid w:val="2B580A70"/>
    <w:rsid w:val="2B614135"/>
    <w:rsid w:val="2B656863"/>
    <w:rsid w:val="2B656AA6"/>
    <w:rsid w:val="2B6D4D9E"/>
    <w:rsid w:val="2B700659"/>
    <w:rsid w:val="2B71332A"/>
    <w:rsid w:val="2B727377"/>
    <w:rsid w:val="2B74115A"/>
    <w:rsid w:val="2B786611"/>
    <w:rsid w:val="2B7D07AF"/>
    <w:rsid w:val="2B907F10"/>
    <w:rsid w:val="2B917F64"/>
    <w:rsid w:val="2B9F1FCE"/>
    <w:rsid w:val="2BA6305A"/>
    <w:rsid w:val="2BA936A8"/>
    <w:rsid w:val="2BB84AF6"/>
    <w:rsid w:val="2BC051AF"/>
    <w:rsid w:val="2BC5737C"/>
    <w:rsid w:val="2BDD2F1A"/>
    <w:rsid w:val="2BE21CDC"/>
    <w:rsid w:val="2BE40C92"/>
    <w:rsid w:val="2BE920FB"/>
    <w:rsid w:val="2BED6A56"/>
    <w:rsid w:val="2BFA72A0"/>
    <w:rsid w:val="2BFF2131"/>
    <w:rsid w:val="2BFF288E"/>
    <w:rsid w:val="2C022A42"/>
    <w:rsid w:val="2C072EB0"/>
    <w:rsid w:val="2C11436F"/>
    <w:rsid w:val="2C123D8E"/>
    <w:rsid w:val="2C131E96"/>
    <w:rsid w:val="2C1469F5"/>
    <w:rsid w:val="2C190BF9"/>
    <w:rsid w:val="2C2A71DF"/>
    <w:rsid w:val="2C2D6CEC"/>
    <w:rsid w:val="2C315A5A"/>
    <w:rsid w:val="2C365B84"/>
    <w:rsid w:val="2C385DA0"/>
    <w:rsid w:val="2C44322E"/>
    <w:rsid w:val="2C484235"/>
    <w:rsid w:val="2C4B1C25"/>
    <w:rsid w:val="2C596AA1"/>
    <w:rsid w:val="2C5A1872"/>
    <w:rsid w:val="2C7F5B27"/>
    <w:rsid w:val="2C842D2D"/>
    <w:rsid w:val="2C873CC6"/>
    <w:rsid w:val="2C9006C9"/>
    <w:rsid w:val="2C923702"/>
    <w:rsid w:val="2C9254B0"/>
    <w:rsid w:val="2C937AFA"/>
    <w:rsid w:val="2CA26EF3"/>
    <w:rsid w:val="2CA90A4C"/>
    <w:rsid w:val="2CB531A0"/>
    <w:rsid w:val="2CB71B2D"/>
    <w:rsid w:val="2CBD7F0D"/>
    <w:rsid w:val="2CC22456"/>
    <w:rsid w:val="2CC31B0E"/>
    <w:rsid w:val="2CCC5E19"/>
    <w:rsid w:val="2CCE7AE1"/>
    <w:rsid w:val="2CD36DF7"/>
    <w:rsid w:val="2CDB5284"/>
    <w:rsid w:val="2CDB79D3"/>
    <w:rsid w:val="2CDD4252"/>
    <w:rsid w:val="2CDF2442"/>
    <w:rsid w:val="2CE0661E"/>
    <w:rsid w:val="2CE30036"/>
    <w:rsid w:val="2CF04D7C"/>
    <w:rsid w:val="2CF14624"/>
    <w:rsid w:val="2CF8430B"/>
    <w:rsid w:val="2CFA5B57"/>
    <w:rsid w:val="2CFC455C"/>
    <w:rsid w:val="2CFD0AEF"/>
    <w:rsid w:val="2CFD27B0"/>
    <w:rsid w:val="2D022E39"/>
    <w:rsid w:val="2D0B2762"/>
    <w:rsid w:val="2D0C7368"/>
    <w:rsid w:val="2D0E7B29"/>
    <w:rsid w:val="2D150EB4"/>
    <w:rsid w:val="2D25704F"/>
    <w:rsid w:val="2D2D4762"/>
    <w:rsid w:val="2D475E89"/>
    <w:rsid w:val="2D4D1BF9"/>
    <w:rsid w:val="2D522E91"/>
    <w:rsid w:val="2D5269EE"/>
    <w:rsid w:val="2D5A73F9"/>
    <w:rsid w:val="2D5F4CC2"/>
    <w:rsid w:val="2D5F5748"/>
    <w:rsid w:val="2D632428"/>
    <w:rsid w:val="2D64477B"/>
    <w:rsid w:val="2D6F134E"/>
    <w:rsid w:val="2D7566C9"/>
    <w:rsid w:val="2D8004C8"/>
    <w:rsid w:val="2D88276B"/>
    <w:rsid w:val="2D8B6E41"/>
    <w:rsid w:val="2D962D7E"/>
    <w:rsid w:val="2D9729EC"/>
    <w:rsid w:val="2D9A01B4"/>
    <w:rsid w:val="2D9E56F5"/>
    <w:rsid w:val="2DA61FA1"/>
    <w:rsid w:val="2DB1627D"/>
    <w:rsid w:val="2DB564F6"/>
    <w:rsid w:val="2DB671D0"/>
    <w:rsid w:val="2DBB5DA2"/>
    <w:rsid w:val="2DC10366"/>
    <w:rsid w:val="2DC378EB"/>
    <w:rsid w:val="2DCD482F"/>
    <w:rsid w:val="2DCF003E"/>
    <w:rsid w:val="2DCF44E2"/>
    <w:rsid w:val="2DD544F1"/>
    <w:rsid w:val="2DD613CD"/>
    <w:rsid w:val="2DD64AEF"/>
    <w:rsid w:val="2DD80C21"/>
    <w:rsid w:val="2E0164AE"/>
    <w:rsid w:val="2E027D1E"/>
    <w:rsid w:val="2E0668B0"/>
    <w:rsid w:val="2E1528BF"/>
    <w:rsid w:val="2E1E4F65"/>
    <w:rsid w:val="2E1F2A03"/>
    <w:rsid w:val="2E2C36E3"/>
    <w:rsid w:val="2E345243"/>
    <w:rsid w:val="2E3A7BAD"/>
    <w:rsid w:val="2E4037AE"/>
    <w:rsid w:val="2E494294"/>
    <w:rsid w:val="2E4E5407"/>
    <w:rsid w:val="2E5B5049"/>
    <w:rsid w:val="2E5C2585"/>
    <w:rsid w:val="2E667F96"/>
    <w:rsid w:val="2E676DFF"/>
    <w:rsid w:val="2E7512B1"/>
    <w:rsid w:val="2E765AFE"/>
    <w:rsid w:val="2E7A6F77"/>
    <w:rsid w:val="2E7D155E"/>
    <w:rsid w:val="2E8226AB"/>
    <w:rsid w:val="2E825C96"/>
    <w:rsid w:val="2E8928E3"/>
    <w:rsid w:val="2E8B5D59"/>
    <w:rsid w:val="2E902065"/>
    <w:rsid w:val="2E93499A"/>
    <w:rsid w:val="2EA94D33"/>
    <w:rsid w:val="2EB84F76"/>
    <w:rsid w:val="2EB85803"/>
    <w:rsid w:val="2EC126B7"/>
    <w:rsid w:val="2EC664DB"/>
    <w:rsid w:val="2ECD19ED"/>
    <w:rsid w:val="2ECF46D2"/>
    <w:rsid w:val="2ED2428A"/>
    <w:rsid w:val="2ED32935"/>
    <w:rsid w:val="2ED6303C"/>
    <w:rsid w:val="2EDC6EB7"/>
    <w:rsid w:val="2EEC417F"/>
    <w:rsid w:val="2EEE59C9"/>
    <w:rsid w:val="2EEE7485"/>
    <w:rsid w:val="2EF26E71"/>
    <w:rsid w:val="2F01703E"/>
    <w:rsid w:val="2F084D15"/>
    <w:rsid w:val="2F1575BE"/>
    <w:rsid w:val="2F171013"/>
    <w:rsid w:val="2F1B1366"/>
    <w:rsid w:val="2F2B5748"/>
    <w:rsid w:val="2F2C30E8"/>
    <w:rsid w:val="2F2E5FE3"/>
    <w:rsid w:val="2F325933"/>
    <w:rsid w:val="2F362005"/>
    <w:rsid w:val="2F364819"/>
    <w:rsid w:val="2F3960B7"/>
    <w:rsid w:val="2F3D0B6A"/>
    <w:rsid w:val="2F3F57E0"/>
    <w:rsid w:val="2F50269F"/>
    <w:rsid w:val="2F510491"/>
    <w:rsid w:val="2F5B0B8A"/>
    <w:rsid w:val="2F5F616B"/>
    <w:rsid w:val="2F6058CE"/>
    <w:rsid w:val="2F631386"/>
    <w:rsid w:val="2F644D0B"/>
    <w:rsid w:val="2F6A001E"/>
    <w:rsid w:val="2F6D4DC1"/>
    <w:rsid w:val="2F795AC8"/>
    <w:rsid w:val="2F7C0CC1"/>
    <w:rsid w:val="2F7D7D6E"/>
    <w:rsid w:val="2F880204"/>
    <w:rsid w:val="2F8D2841"/>
    <w:rsid w:val="2F8D3FA1"/>
    <w:rsid w:val="2F8E22C2"/>
    <w:rsid w:val="2F914C6D"/>
    <w:rsid w:val="2F973DAE"/>
    <w:rsid w:val="2FA06013"/>
    <w:rsid w:val="2FA77F0B"/>
    <w:rsid w:val="2FA96899"/>
    <w:rsid w:val="2FBA34E7"/>
    <w:rsid w:val="2FBB38A9"/>
    <w:rsid w:val="2FC4760C"/>
    <w:rsid w:val="2FCA35CA"/>
    <w:rsid w:val="2FCA429B"/>
    <w:rsid w:val="2FCD031E"/>
    <w:rsid w:val="2FD065E6"/>
    <w:rsid w:val="2FD83005"/>
    <w:rsid w:val="2FD96870"/>
    <w:rsid w:val="2FDC36CA"/>
    <w:rsid w:val="2FE90D34"/>
    <w:rsid w:val="2FFF10AF"/>
    <w:rsid w:val="30032D1E"/>
    <w:rsid w:val="30091E11"/>
    <w:rsid w:val="3011196B"/>
    <w:rsid w:val="30183213"/>
    <w:rsid w:val="30187880"/>
    <w:rsid w:val="301D58DA"/>
    <w:rsid w:val="30205CF8"/>
    <w:rsid w:val="30362946"/>
    <w:rsid w:val="30395E85"/>
    <w:rsid w:val="303F66E2"/>
    <w:rsid w:val="305409AF"/>
    <w:rsid w:val="30580BC9"/>
    <w:rsid w:val="305A7872"/>
    <w:rsid w:val="305D46A9"/>
    <w:rsid w:val="30670A02"/>
    <w:rsid w:val="306B0BCC"/>
    <w:rsid w:val="30760604"/>
    <w:rsid w:val="30772BF2"/>
    <w:rsid w:val="307B5036"/>
    <w:rsid w:val="308642BA"/>
    <w:rsid w:val="3091203C"/>
    <w:rsid w:val="309A6FD0"/>
    <w:rsid w:val="309F1F4A"/>
    <w:rsid w:val="30A401CB"/>
    <w:rsid w:val="30A97AC8"/>
    <w:rsid w:val="30AA331F"/>
    <w:rsid w:val="30AE1272"/>
    <w:rsid w:val="30B9756B"/>
    <w:rsid w:val="30C419B0"/>
    <w:rsid w:val="30C809BA"/>
    <w:rsid w:val="30CE3766"/>
    <w:rsid w:val="30D047F9"/>
    <w:rsid w:val="30D2231F"/>
    <w:rsid w:val="30D93E08"/>
    <w:rsid w:val="30DB728A"/>
    <w:rsid w:val="30E31097"/>
    <w:rsid w:val="30E53630"/>
    <w:rsid w:val="30EB1633"/>
    <w:rsid w:val="30F03669"/>
    <w:rsid w:val="30F63F86"/>
    <w:rsid w:val="30FC70F6"/>
    <w:rsid w:val="30FE7A91"/>
    <w:rsid w:val="31017B1F"/>
    <w:rsid w:val="3103697D"/>
    <w:rsid w:val="310D6C3C"/>
    <w:rsid w:val="310E426C"/>
    <w:rsid w:val="311346E6"/>
    <w:rsid w:val="311A0DC3"/>
    <w:rsid w:val="311D0813"/>
    <w:rsid w:val="311E2ED7"/>
    <w:rsid w:val="31341352"/>
    <w:rsid w:val="31352B82"/>
    <w:rsid w:val="31356ABC"/>
    <w:rsid w:val="313C4FBD"/>
    <w:rsid w:val="313F372D"/>
    <w:rsid w:val="31407C1D"/>
    <w:rsid w:val="31470365"/>
    <w:rsid w:val="31481F95"/>
    <w:rsid w:val="3148438F"/>
    <w:rsid w:val="314C0C43"/>
    <w:rsid w:val="314E3655"/>
    <w:rsid w:val="31526472"/>
    <w:rsid w:val="315619EE"/>
    <w:rsid w:val="31564A69"/>
    <w:rsid w:val="31570B0C"/>
    <w:rsid w:val="315B0955"/>
    <w:rsid w:val="315C449C"/>
    <w:rsid w:val="31611467"/>
    <w:rsid w:val="3163566D"/>
    <w:rsid w:val="31654E9F"/>
    <w:rsid w:val="317B30F5"/>
    <w:rsid w:val="317C3452"/>
    <w:rsid w:val="317F1D7B"/>
    <w:rsid w:val="317F3B29"/>
    <w:rsid w:val="31806C14"/>
    <w:rsid w:val="31837ABD"/>
    <w:rsid w:val="31914D13"/>
    <w:rsid w:val="319A72B7"/>
    <w:rsid w:val="319B1D2A"/>
    <w:rsid w:val="319F2734"/>
    <w:rsid w:val="31A41A00"/>
    <w:rsid w:val="31A53E21"/>
    <w:rsid w:val="31A61F35"/>
    <w:rsid w:val="31A710FA"/>
    <w:rsid w:val="31A767A3"/>
    <w:rsid w:val="31AD0696"/>
    <w:rsid w:val="31AF2C6E"/>
    <w:rsid w:val="31B15B58"/>
    <w:rsid w:val="31B516C2"/>
    <w:rsid w:val="31B82709"/>
    <w:rsid w:val="31BD304A"/>
    <w:rsid w:val="31C61DFB"/>
    <w:rsid w:val="31C67AAB"/>
    <w:rsid w:val="31C854D0"/>
    <w:rsid w:val="31C9702F"/>
    <w:rsid w:val="31CA60F3"/>
    <w:rsid w:val="31CF4347"/>
    <w:rsid w:val="31D05482"/>
    <w:rsid w:val="31D11B94"/>
    <w:rsid w:val="31D123C6"/>
    <w:rsid w:val="31D33C7A"/>
    <w:rsid w:val="31D75BF7"/>
    <w:rsid w:val="31E2000E"/>
    <w:rsid w:val="31E24767"/>
    <w:rsid w:val="31E365B8"/>
    <w:rsid w:val="31E450AB"/>
    <w:rsid w:val="31E56082"/>
    <w:rsid w:val="31EE3BE3"/>
    <w:rsid w:val="31EF618E"/>
    <w:rsid w:val="320B66E3"/>
    <w:rsid w:val="320D4C8B"/>
    <w:rsid w:val="322860F2"/>
    <w:rsid w:val="323A75AF"/>
    <w:rsid w:val="323F1C36"/>
    <w:rsid w:val="32400B34"/>
    <w:rsid w:val="3249545A"/>
    <w:rsid w:val="324A05DB"/>
    <w:rsid w:val="324B12DD"/>
    <w:rsid w:val="325439CC"/>
    <w:rsid w:val="32562ADC"/>
    <w:rsid w:val="32675C94"/>
    <w:rsid w:val="32741004"/>
    <w:rsid w:val="327862B2"/>
    <w:rsid w:val="327C286F"/>
    <w:rsid w:val="328D64C4"/>
    <w:rsid w:val="32976B4F"/>
    <w:rsid w:val="329E6876"/>
    <w:rsid w:val="32A42FEE"/>
    <w:rsid w:val="32A67374"/>
    <w:rsid w:val="32A76BEB"/>
    <w:rsid w:val="32BD580C"/>
    <w:rsid w:val="32C87AD6"/>
    <w:rsid w:val="32C9272A"/>
    <w:rsid w:val="32C959A4"/>
    <w:rsid w:val="32CD0AA3"/>
    <w:rsid w:val="32CD1308"/>
    <w:rsid w:val="32CE1FA0"/>
    <w:rsid w:val="32D76427"/>
    <w:rsid w:val="32D95AFA"/>
    <w:rsid w:val="32E26A66"/>
    <w:rsid w:val="32E91BA2"/>
    <w:rsid w:val="32FA39E9"/>
    <w:rsid w:val="32FB3683"/>
    <w:rsid w:val="33033B16"/>
    <w:rsid w:val="330576C5"/>
    <w:rsid w:val="3308295F"/>
    <w:rsid w:val="330A4598"/>
    <w:rsid w:val="33113808"/>
    <w:rsid w:val="33172D3A"/>
    <w:rsid w:val="331C1F78"/>
    <w:rsid w:val="33253F74"/>
    <w:rsid w:val="332901F1"/>
    <w:rsid w:val="333015F2"/>
    <w:rsid w:val="33313D21"/>
    <w:rsid w:val="33361EE9"/>
    <w:rsid w:val="333F7A14"/>
    <w:rsid w:val="334421AC"/>
    <w:rsid w:val="334424D1"/>
    <w:rsid w:val="33480529"/>
    <w:rsid w:val="33484B1B"/>
    <w:rsid w:val="334B6320"/>
    <w:rsid w:val="334E2354"/>
    <w:rsid w:val="335028FE"/>
    <w:rsid w:val="335A2AA0"/>
    <w:rsid w:val="335F3C12"/>
    <w:rsid w:val="3361454C"/>
    <w:rsid w:val="336851BD"/>
    <w:rsid w:val="336B394D"/>
    <w:rsid w:val="336B6A5B"/>
    <w:rsid w:val="33770A97"/>
    <w:rsid w:val="337D19C8"/>
    <w:rsid w:val="337F7E84"/>
    <w:rsid w:val="33835B53"/>
    <w:rsid w:val="33883169"/>
    <w:rsid w:val="338A4DD3"/>
    <w:rsid w:val="338E1470"/>
    <w:rsid w:val="338F6F5E"/>
    <w:rsid w:val="33913895"/>
    <w:rsid w:val="33AA7583"/>
    <w:rsid w:val="33AD6FCF"/>
    <w:rsid w:val="33B47C4F"/>
    <w:rsid w:val="33B613E2"/>
    <w:rsid w:val="33B67B26"/>
    <w:rsid w:val="33BC4F0D"/>
    <w:rsid w:val="33BC5886"/>
    <w:rsid w:val="33C077CD"/>
    <w:rsid w:val="33C759BC"/>
    <w:rsid w:val="33C85C5B"/>
    <w:rsid w:val="33CE1A98"/>
    <w:rsid w:val="33D934D4"/>
    <w:rsid w:val="33D95773"/>
    <w:rsid w:val="33DA6982"/>
    <w:rsid w:val="33E365F1"/>
    <w:rsid w:val="33E500B5"/>
    <w:rsid w:val="33E7174E"/>
    <w:rsid w:val="33EA50E8"/>
    <w:rsid w:val="33F24E97"/>
    <w:rsid w:val="33F56325"/>
    <w:rsid w:val="33FA232F"/>
    <w:rsid w:val="33FE2F6A"/>
    <w:rsid w:val="33FF23A7"/>
    <w:rsid w:val="340824FC"/>
    <w:rsid w:val="340D6E72"/>
    <w:rsid w:val="340D7C9F"/>
    <w:rsid w:val="340E07E5"/>
    <w:rsid w:val="34185BC6"/>
    <w:rsid w:val="341B0B22"/>
    <w:rsid w:val="341D3BD8"/>
    <w:rsid w:val="342310E4"/>
    <w:rsid w:val="34235BF7"/>
    <w:rsid w:val="34275F10"/>
    <w:rsid w:val="342A2472"/>
    <w:rsid w:val="343D21A6"/>
    <w:rsid w:val="34424D05"/>
    <w:rsid w:val="34474BE6"/>
    <w:rsid w:val="345564FE"/>
    <w:rsid w:val="345A332E"/>
    <w:rsid w:val="345D2F82"/>
    <w:rsid w:val="347831DE"/>
    <w:rsid w:val="34801360"/>
    <w:rsid w:val="34831DCB"/>
    <w:rsid w:val="348576A9"/>
    <w:rsid w:val="349255C1"/>
    <w:rsid w:val="34930017"/>
    <w:rsid w:val="34951957"/>
    <w:rsid w:val="34A246FE"/>
    <w:rsid w:val="34A55F9D"/>
    <w:rsid w:val="34B73D80"/>
    <w:rsid w:val="34B8284C"/>
    <w:rsid w:val="34BA161A"/>
    <w:rsid w:val="34C71A6F"/>
    <w:rsid w:val="34C84D8D"/>
    <w:rsid w:val="34C9405F"/>
    <w:rsid w:val="34C957E7"/>
    <w:rsid w:val="34DC7624"/>
    <w:rsid w:val="34DD74E5"/>
    <w:rsid w:val="34E7163C"/>
    <w:rsid w:val="34EA4CEC"/>
    <w:rsid w:val="34EC65F3"/>
    <w:rsid w:val="34F11CC9"/>
    <w:rsid w:val="34F6663B"/>
    <w:rsid w:val="34F7159F"/>
    <w:rsid w:val="34FB796B"/>
    <w:rsid w:val="350A41FF"/>
    <w:rsid w:val="350A730B"/>
    <w:rsid w:val="350B5E00"/>
    <w:rsid w:val="350C69DB"/>
    <w:rsid w:val="35131158"/>
    <w:rsid w:val="35140747"/>
    <w:rsid w:val="352C63F3"/>
    <w:rsid w:val="352F4B12"/>
    <w:rsid w:val="353318E4"/>
    <w:rsid w:val="353B650D"/>
    <w:rsid w:val="353E2488"/>
    <w:rsid w:val="35561B18"/>
    <w:rsid w:val="355A1631"/>
    <w:rsid w:val="355B7D15"/>
    <w:rsid w:val="355D696A"/>
    <w:rsid w:val="35655F19"/>
    <w:rsid w:val="356C74B2"/>
    <w:rsid w:val="357065AB"/>
    <w:rsid w:val="357878AF"/>
    <w:rsid w:val="357F5FC5"/>
    <w:rsid w:val="358C5FA8"/>
    <w:rsid w:val="358F7648"/>
    <w:rsid w:val="35904F00"/>
    <w:rsid w:val="359C6770"/>
    <w:rsid w:val="359D0C4F"/>
    <w:rsid w:val="35A00430"/>
    <w:rsid w:val="35A61FCC"/>
    <w:rsid w:val="35A95619"/>
    <w:rsid w:val="35AD5109"/>
    <w:rsid w:val="35B556F2"/>
    <w:rsid w:val="35B838D0"/>
    <w:rsid w:val="35B917FD"/>
    <w:rsid w:val="35BE5455"/>
    <w:rsid w:val="35C15DF1"/>
    <w:rsid w:val="35C52207"/>
    <w:rsid w:val="35CA5C8E"/>
    <w:rsid w:val="35CB407B"/>
    <w:rsid w:val="35D121D3"/>
    <w:rsid w:val="35D64779"/>
    <w:rsid w:val="35D72186"/>
    <w:rsid w:val="35D95EFE"/>
    <w:rsid w:val="35E25E22"/>
    <w:rsid w:val="35ED754F"/>
    <w:rsid w:val="35F34BBB"/>
    <w:rsid w:val="36071768"/>
    <w:rsid w:val="36074A7F"/>
    <w:rsid w:val="361371FF"/>
    <w:rsid w:val="3619279E"/>
    <w:rsid w:val="361C0574"/>
    <w:rsid w:val="361C403D"/>
    <w:rsid w:val="3622657F"/>
    <w:rsid w:val="36252EF1"/>
    <w:rsid w:val="3627254C"/>
    <w:rsid w:val="3628478F"/>
    <w:rsid w:val="362C6D48"/>
    <w:rsid w:val="36470C98"/>
    <w:rsid w:val="365537C4"/>
    <w:rsid w:val="3655404E"/>
    <w:rsid w:val="365B60C2"/>
    <w:rsid w:val="365C578E"/>
    <w:rsid w:val="366213E2"/>
    <w:rsid w:val="3664334F"/>
    <w:rsid w:val="366D5A96"/>
    <w:rsid w:val="366E5BDF"/>
    <w:rsid w:val="36730100"/>
    <w:rsid w:val="367774C5"/>
    <w:rsid w:val="367B7254"/>
    <w:rsid w:val="36806FED"/>
    <w:rsid w:val="368A6E0C"/>
    <w:rsid w:val="369104C3"/>
    <w:rsid w:val="36923549"/>
    <w:rsid w:val="36927E20"/>
    <w:rsid w:val="369D23B3"/>
    <w:rsid w:val="369D47CD"/>
    <w:rsid w:val="36A416E8"/>
    <w:rsid w:val="36A75E84"/>
    <w:rsid w:val="36A858D0"/>
    <w:rsid w:val="36AB46AD"/>
    <w:rsid w:val="36B154F6"/>
    <w:rsid w:val="36B222AC"/>
    <w:rsid w:val="36B75FBF"/>
    <w:rsid w:val="36BC1409"/>
    <w:rsid w:val="36BD0C45"/>
    <w:rsid w:val="36BD77BD"/>
    <w:rsid w:val="36CC15BF"/>
    <w:rsid w:val="36D177B0"/>
    <w:rsid w:val="36D5676A"/>
    <w:rsid w:val="36DF5796"/>
    <w:rsid w:val="36E073FA"/>
    <w:rsid w:val="36E26BBE"/>
    <w:rsid w:val="36E31698"/>
    <w:rsid w:val="36EA554C"/>
    <w:rsid w:val="36EB2629"/>
    <w:rsid w:val="36F02134"/>
    <w:rsid w:val="36F330D6"/>
    <w:rsid w:val="36F52A3C"/>
    <w:rsid w:val="36FE6869"/>
    <w:rsid w:val="371145C5"/>
    <w:rsid w:val="371277C4"/>
    <w:rsid w:val="372D1C56"/>
    <w:rsid w:val="373158C6"/>
    <w:rsid w:val="37353608"/>
    <w:rsid w:val="373830F8"/>
    <w:rsid w:val="373D070E"/>
    <w:rsid w:val="374865CF"/>
    <w:rsid w:val="374C4F41"/>
    <w:rsid w:val="374E433A"/>
    <w:rsid w:val="37523EA3"/>
    <w:rsid w:val="37560FD1"/>
    <w:rsid w:val="37623183"/>
    <w:rsid w:val="37630E8D"/>
    <w:rsid w:val="376573F0"/>
    <w:rsid w:val="377D54CA"/>
    <w:rsid w:val="377E16A1"/>
    <w:rsid w:val="37851E4F"/>
    <w:rsid w:val="378651CF"/>
    <w:rsid w:val="378906B0"/>
    <w:rsid w:val="378B147A"/>
    <w:rsid w:val="37995FF9"/>
    <w:rsid w:val="37A23CF5"/>
    <w:rsid w:val="37AA371A"/>
    <w:rsid w:val="37B274F9"/>
    <w:rsid w:val="37B54749"/>
    <w:rsid w:val="37B835C4"/>
    <w:rsid w:val="37BA13F7"/>
    <w:rsid w:val="37C22172"/>
    <w:rsid w:val="37C27D1E"/>
    <w:rsid w:val="37C31689"/>
    <w:rsid w:val="37C40B36"/>
    <w:rsid w:val="37C62277"/>
    <w:rsid w:val="37CF580A"/>
    <w:rsid w:val="37CF7E4E"/>
    <w:rsid w:val="37D30AA3"/>
    <w:rsid w:val="37D316B5"/>
    <w:rsid w:val="37D3697D"/>
    <w:rsid w:val="37D61804"/>
    <w:rsid w:val="37DD77A1"/>
    <w:rsid w:val="37DE77FC"/>
    <w:rsid w:val="37E00298"/>
    <w:rsid w:val="37EC0328"/>
    <w:rsid w:val="37F426D8"/>
    <w:rsid w:val="37F74639"/>
    <w:rsid w:val="37F85656"/>
    <w:rsid w:val="38020B1E"/>
    <w:rsid w:val="38081FCB"/>
    <w:rsid w:val="38137537"/>
    <w:rsid w:val="38144C16"/>
    <w:rsid w:val="38186BFF"/>
    <w:rsid w:val="381E409C"/>
    <w:rsid w:val="38325D99"/>
    <w:rsid w:val="38373449"/>
    <w:rsid w:val="38401054"/>
    <w:rsid w:val="38481119"/>
    <w:rsid w:val="38497299"/>
    <w:rsid w:val="38521F98"/>
    <w:rsid w:val="38615AF8"/>
    <w:rsid w:val="387243E8"/>
    <w:rsid w:val="38871C41"/>
    <w:rsid w:val="388A177A"/>
    <w:rsid w:val="38954119"/>
    <w:rsid w:val="389A30CC"/>
    <w:rsid w:val="389B2ADD"/>
    <w:rsid w:val="389B616C"/>
    <w:rsid w:val="38A30A45"/>
    <w:rsid w:val="38A63509"/>
    <w:rsid w:val="38B13162"/>
    <w:rsid w:val="38B16CBE"/>
    <w:rsid w:val="38B302F9"/>
    <w:rsid w:val="38C67318"/>
    <w:rsid w:val="38CF514E"/>
    <w:rsid w:val="38CF5396"/>
    <w:rsid w:val="38D436F7"/>
    <w:rsid w:val="38DD535E"/>
    <w:rsid w:val="38E23B0E"/>
    <w:rsid w:val="38E279D0"/>
    <w:rsid w:val="38E469F5"/>
    <w:rsid w:val="38E9671A"/>
    <w:rsid w:val="38EB33AC"/>
    <w:rsid w:val="38F12CD3"/>
    <w:rsid w:val="38F253B3"/>
    <w:rsid w:val="38F35F31"/>
    <w:rsid w:val="38F52EE9"/>
    <w:rsid w:val="38F70F79"/>
    <w:rsid w:val="38F848ED"/>
    <w:rsid w:val="38F94775"/>
    <w:rsid w:val="38FD0EBA"/>
    <w:rsid w:val="38FD63A7"/>
    <w:rsid w:val="39012DA3"/>
    <w:rsid w:val="3905136C"/>
    <w:rsid w:val="390D1BDC"/>
    <w:rsid w:val="390F7E89"/>
    <w:rsid w:val="391F199B"/>
    <w:rsid w:val="39293733"/>
    <w:rsid w:val="392971ED"/>
    <w:rsid w:val="392A2712"/>
    <w:rsid w:val="393040BD"/>
    <w:rsid w:val="39325651"/>
    <w:rsid w:val="39357F86"/>
    <w:rsid w:val="39380804"/>
    <w:rsid w:val="393A21F1"/>
    <w:rsid w:val="393B6E8F"/>
    <w:rsid w:val="393D4317"/>
    <w:rsid w:val="394025EC"/>
    <w:rsid w:val="39437C06"/>
    <w:rsid w:val="394418E0"/>
    <w:rsid w:val="394B309E"/>
    <w:rsid w:val="394E275F"/>
    <w:rsid w:val="394F385D"/>
    <w:rsid w:val="395D4DC4"/>
    <w:rsid w:val="395F3115"/>
    <w:rsid w:val="3967795C"/>
    <w:rsid w:val="396B40CD"/>
    <w:rsid w:val="397559C9"/>
    <w:rsid w:val="39766450"/>
    <w:rsid w:val="397951B0"/>
    <w:rsid w:val="399875C6"/>
    <w:rsid w:val="399B1D9D"/>
    <w:rsid w:val="39A16E1B"/>
    <w:rsid w:val="39A818B8"/>
    <w:rsid w:val="39A924F4"/>
    <w:rsid w:val="39AB009B"/>
    <w:rsid w:val="39AD3929"/>
    <w:rsid w:val="39B10C12"/>
    <w:rsid w:val="39BD11EE"/>
    <w:rsid w:val="39BE4E97"/>
    <w:rsid w:val="39C1107B"/>
    <w:rsid w:val="39CA43D5"/>
    <w:rsid w:val="39DE1D35"/>
    <w:rsid w:val="39E6508D"/>
    <w:rsid w:val="39E726D9"/>
    <w:rsid w:val="39E906DA"/>
    <w:rsid w:val="39EB43FB"/>
    <w:rsid w:val="39F13922"/>
    <w:rsid w:val="39F453B2"/>
    <w:rsid w:val="39FA6443"/>
    <w:rsid w:val="3A053765"/>
    <w:rsid w:val="3A071AD2"/>
    <w:rsid w:val="3A136E26"/>
    <w:rsid w:val="3A1F6E14"/>
    <w:rsid w:val="3A214C83"/>
    <w:rsid w:val="3A2643A8"/>
    <w:rsid w:val="3A26548A"/>
    <w:rsid w:val="3A2668B3"/>
    <w:rsid w:val="3A267238"/>
    <w:rsid w:val="3A3005D4"/>
    <w:rsid w:val="3A312B6A"/>
    <w:rsid w:val="3A3D7EB7"/>
    <w:rsid w:val="3A414CE4"/>
    <w:rsid w:val="3A43454E"/>
    <w:rsid w:val="3A4B6C9E"/>
    <w:rsid w:val="3A4D2160"/>
    <w:rsid w:val="3A4F2FF6"/>
    <w:rsid w:val="3A540249"/>
    <w:rsid w:val="3A57630A"/>
    <w:rsid w:val="3A5D4BFE"/>
    <w:rsid w:val="3A5F7F65"/>
    <w:rsid w:val="3A6A181A"/>
    <w:rsid w:val="3A6F5083"/>
    <w:rsid w:val="3A6F6C0B"/>
    <w:rsid w:val="3A712BA9"/>
    <w:rsid w:val="3A872856"/>
    <w:rsid w:val="3A8B6359"/>
    <w:rsid w:val="3A8D72A0"/>
    <w:rsid w:val="3A8D75FB"/>
    <w:rsid w:val="3A9A3AC8"/>
    <w:rsid w:val="3AAA0582"/>
    <w:rsid w:val="3AB71973"/>
    <w:rsid w:val="3AB844F0"/>
    <w:rsid w:val="3AB932F1"/>
    <w:rsid w:val="3ACA050B"/>
    <w:rsid w:val="3AE46157"/>
    <w:rsid w:val="3AEF376B"/>
    <w:rsid w:val="3AF406F9"/>
    <w:rsid w:val="3AF64E5C"/>
    <w:rsid w:val="3AFC01E0"/>
    <w:rsid w:val="3AFC4897"/>
    <w:rsid w:val="3B030DCC"/>
    <w:rsid w:val="3B03379A"/>
    <w:rsid w:val="3B0A59CD"/>
    <w:rsid w:val="3B0B1725"/>
    <w:rsid w:val="3B0D5E89"/>
    <w:rsid w:val="3B1566C5"/>
    <w:rsid w:val="3B170F84"/>
    <w:rsid w:val="3B190B4B"/>
    <w:rsid w:val="3B2319C9"/>
    <w:rsid w:val="3B3224BA"/>
    <w:rsid w:val="3B344D21"/>
    <w:rsid w:val="3B3763D1"/>
    <w:rsid w:val="3B39238D"/>
    <w:rsid w:val="3B3B59BC"/>
    <w:rsid w:val="3B3D36E5"/>
    <w:rsid w:val="3B3F4403"/>
    <w:rsid w:val="3B44717B"/>
    <w:rsid w:val="3B496ED2"/>
    <w:rsid w:val="3B4A33FA"/>
    <w:rsid w:val="3B513DB8"/>
    <w:rsid w:val="3B5E509E"/>
    <w:rsid w:val="3B676118"/>
    <w:rsid w:val="3B6A0197"/>
    <w:rsid w:val="3B6C4510"/>
    <w:rsid w:val="3B7C5A62"/>
    <w:rsid w:val="3B85425A"/>
    <w:rsid w:val="3B876465"/>
    <w:rsid w:val="3B8D58EB"/>
    <w:rsid w:val="3B977FD2"/>
    <w:rsid w:val="3B9A5C80"/>
    <w:rsid w:val="3BA90120"/>
    <w:rsid w:val="3BAA4C74"/>
    <w:rsid w:val="3BB134AE"/>
    <w:rsid w:val="3BB14951"/>
    <w:rsid w:val="3BB427CA"/>
    <w:rsid w:val="3BBA69BD"/>
    <w:rsid w:val="3BC13519"/>
    <w:rsid w:val="3BC91EF6"/>
    <w:rsid w:val="3BCB62E9"/>
    <w:rsid w:val="3BCC56A6"/>
    <w:rsid w:val="3BD038FF"/>
    <w:rsid w:val="3BD148F7"/>
    <w:rsid w:val="3BD877D3"/>
    <w:rsid w:val="3BDA29D0"/>
    <w:rsid w:val="3BDE00B4"/>
    <w:rsid w:val="3BE124C3"/>
    <w:rsid w:val="3BE23632"/>
    <w:rsid w:val="3BE30694"/>
    <w:rsid w:val="3BE33E21"/>
    <w:rsid w:val="3BE97564"/>
    <w:rsid w:val="3BF01EF4"/>
    <w:rsid w:val="3BFA4E20"/>
    <w:rsid w:val="3C0277A7"/>
    <w:rsid w:val="3C0B3BAC"/>
    <w:rsid w:val="3C131A3E"/>
    <w:rsid w:val="3C141A89"/>
    <w:rsid w:val="3C147A6B"/>
    <w:rsid w:val="3C17184B"/>
    <w:rsid w:val="3C1A20F4"/>
    <w:rsid w:val="3C2459F9"/>
    <w:rsid w:val="3C266223"/>
    <w:rsid w:val="3C291261"/>
    <w:rsid w:val="3C2F6E1E"/>
    <w:rsid w:val="3C326368"/>
    <w:rsid w:val="3C351BA9"/>
    <w:rsid w:val="3C357C06"/>
    <w:rsid w:val="3C3B1C44"/>
    <w:rsid w:val="3C406CD7"/>
    <w:rsid w:val="3C463BC1"/>
    <w:rsid w:val="3C49590D"/>
    <w:rsid w:val="3C4F64BA"/>
    <w:rsid w:val="3C553B4D"/>
    <w:rsid w:val="3C584836"/>
    <w:rsid w:val="3C5B0735"/>
    <w:rsid w:val="3C757E1F"/>
    <w:rsid w:val="3C7A0F6E"/>
    <w:rsid w:val="3C8565ED"/>
    <w:rsid w:val="3C8F37BA"/>
    <w:rsid w:val="3C9424C2"/>
    <w:rsid w:val="3C990195"/>
    <w:rsid w:val="3C9B3F0D"/>
    <w:rsid w:val="3CA25539"/>
    <w:rsid w:val="3CA70DDA"/>
    <w:rsid w:val="3CAB3899"/>
    <w:rsid w:val="3CB626E5"/>
    <w:rsid w:val="3CB63B18"/>
    <w:rsid w:val="3CB660A4"/>
    <w:rsid w:val="3CC47B4E"/>
    <w:rsid w:val="3CCA73AE"/>
    <w:rsid w:val="3CCD570F"/>
    <w:rsid w:val="3CCF1E09"/>
    <w:rsid w:val="3CDA245A"/>
    <w:rsid w:val="3CE1212F"/>
    <w:rsid w:val="3CE764CA"/>
    <w:rsid w:val="3CEA615B"/>
    <w:rsid w:val="3CEA72BE"/>
    <w:rsid w:val="3CEF384F"/>
    <w:rsid w:val="3CF11C3A"/>
    <w:rsid w:val="3D0126B3"/>
    <w:rsid w:val="3D071837"/>
    <w:rsid w:val="3D0A7413"/>
    <w:rsid w:val="3D1153C9"/>
    <w:rsid w:val="3D145A6E"/>
    <w:rsid w:val="3D1B0088"/>
    <w:rsid w:val="3D1B090A"/>
    <w:rsid w:val="3D1B2745"/>
    <w:rsid w:val="3D1E06B7"/>
    <w:rsid w:val="3D281FDF"/>
    <w:rsid w:val="3D2A0F53"/>
    <w:rsid w:val="3D357DF0"/>
    <w:rsid w:val="3D3757C1"/>
    <w:rsid w:val="3D3779F1"/>
    <w:rsid w:val="3D3B25CA"/>
    <w:rsid w:val="3D3F26A2"/>
    <w:rsid w:val="3D4F6AA6"/>
    <w:rsid w:val="3D616F36"/>
    <w:rsid w:val="3D6318F7"/>
    <w:rsid w:val="3D6764E5"/>
    <w:rsid w:val="3D6E21B4"/>
    <w:rsid w:val="3D6F5C2E"/>
    <w:rsid w:val="3D736A6C"/>
    <w:rsid w:val="3D7829F6"/>
    <w:rsid w:val="3D7B789B"/>
    <w:rsid w:val="3D7E57BE"/>
    <w:rsid w:val="3D8B7A2A"/>
    <w:rsid w:val="3D9B462A"/>
    <w:rsid w:val="3D9F5C7F"/>
    <w:rsid w:val="3DA9265A"/>
    <w:rsid w:val="3DAD1DAB"/>
    <w:rsid w:val="3DB967AE"/>
    <w:rsid w:val="3DB974EE"/>
    <w:rsid w:val="3DBF3C2B"/>
    <w:rsid w:val="3DC0241E"/>
    <w:rsid w:val="3DD930B1"/>
    <w:rsid w:val="3DDB185A"/>
    <w:rsid w:val="3DDF3677"/>
    <w:rsid w:val="3DDF5D4B"/>
    <w:rsid w:val="3DDF7E2A"/>
    <w:rsid w:val="3DE43692"/>
    <w:rsid w:val="3DE443F4"/>
    <w:rsid w:val="3DEE4511"/>
    <w:rsid w:val="3DF54AFC"/>
    <w:rsid w:val="3E05174B"/>
    <w:rsid w:val="3E0C7637"/>
    <w:rsid w:val="3E1A5907"/>
    <w:rsid w:val="3E1C107E"/>
    <w:rsid w:val="3E1F0B6E"/>
    <w:rsid w:val="3E2833DF"/>
    <w:rsid w:val="3E295134"/>
    <w:rsid w:val="3E29643B"/>
    <w:rsid w:val="3E396437"/>
    <w:rsid w:val="3E4203B8"/>
    <w:rsid w:val="3E42660A"/>
    <w:rsid w:val="3E431A46"/>
    <w:rsid w:val="3E46023E"/>
    <w:rsid w:val="3E4615C8"/>
    <w:rsid w:val="3E4A7A59"/>
    <w:rsid w:val="3E4F5F4D"/>
    <w:rsid w:val="3E551650"/>
    <w:rsid w:val="3E5E366E"/>
    <w:rsid w:val="3E62700F"/>
    <w:rsid w:val="3E693B97"/>
    <w:rsid w:val="3E697EA4"/>
    <w:rsid w:val="3E6D1023"/>
    <w:rsid w:val="3E724B3A"/>
    <w:rsid w:val="3E843C96"/>
    <w:rsid w:val="3E8525CF"/>
    <w:rsid w:val="3E8B4A20"/>
    <w:rsid w:val="3E8D3D29"/>
    <w:rsid w:val="3E8D62BB"/>
    <w:rsid w:val="3E9042AA"/>
    <w:rsid w:val="3E970704"/>
    <w:rsid w:val="3E9A01F4"/>
    <w:rsid w:val="3EA1433B"/>
    <w:rsid w:val="3EA148B3"/>
    <w:rsid w:val="3EA72ECC"/>
    <w:rsid w:val="3EA77E39"/>
    <w:rsid w:val="3EA867EA"/>
    <w:rsid w:val="3EAC2FE7"/>
    <w:rsid w:val="3EC32CF9"/>
    <w:rsid w:val="3EC52A9C"/>
    <w:rsid w:val="3EC77626"/>
    <w:rsid w:val="3ECA71EC"/>
    <w:rsid w:val="3ECD65C2"/>
    <w:rsid w:val="3ED100BA"/>
    <w:rsid w:val="3EDA0523"/>
    <w:rsid w:val="3EDC61EF"/>
    <w:rsid w:val="3EE469D8"/>
    <w:rsid w:val="3EE6168C"/>
    <w:rsid w:val="3EE871B2"/>
    <w:rsid w:val="3EF24506"/>
    <w:rsid w:val="3EFF17D5"/>
    <w:rsid w:val="3EFF7584"/>
    <w:rsid w:val="3F0264C5"/>
    <w:rsid w:val="3F051A9E"/>
    <w:rsid w:val="3F0D6C18"/>
    <w:rsid w:val="3F10346B"/>
    <w:rsid w:val="3F16297F"/>
    <w:rsid w:val="3F1C2D8B"/>
    <w:rsid w:val="3F264D72"/>
    <w:rsid w:val="3F302A1C"/>
    <w:rsid w:val="3F324A1E"/>
    <w:rsid w:val="3F3B48FE"/>
    <w:rsid w:val="3F3B5FBB"/>
    <w:rsid w:val="3F4B16D8"/>
    <w:rsid w:val="3F4C23A1"/>
    <w:rsid w:val="3F5033B0"/>
    <w:rsid w:val="3F5509F1"/>
    <w:rsid w:val="3F5675F7"/>
    <w:rsid w:val="3F594FBA"/>
    <w:rsid w:val="3F5D16E2"/>
    <w:rsid w:val="3F690F10"/>
    <w:rsid w:val="3F6B235E"/>
    <w:rsid w:val="3F6E5909"/>
    <w:rsid w:val="3F7D1D0C"/>
    <w:rsid w:val="3F817A20"/>
    <w:rsid w:val="3F865323"/>
    <w:rsid w:val="3F926548"/>
    <w:rsid w:val="3F9E1743"/>
    <w:rsid w:val="3FA043B9"/>
    <w:rsid w:val="3FAA6B41"/>
    <w:rsid w:val="3FB156B7"/>
    <w:rsid w:val="3FB6105E"/>
    <w:rsid w:val="3FBB32C3"/>
    <w:rsid w:val="3FC74EC7"/>
    <w:rsid w:val="3FCC5DF6"/>
    <w:rsid w:val="3FD00372"/>
    <w:rsid w:val="3FD32EC4"/>
    <w:rsid w:val="3FE152F1"/>
    <w:rsid w:val="3FEF771F"/>
    <w:rsid w:val="3FF5110B"/>
    <w:rsid w:val="3FF522EF"/>
    <w:rsid w:val="3FFC4B13"/>
    <w:rsid w:val="3FFC7930"/>
    <w:rsid w:val="40117577"/>
    <w:rsid w:val="40152228"/>
    <w:rsid w:val="401A060A"/>
    <w:rsid w:val="401A211B"/>
    <w:rsid w:val="402113BA"/>
    <w:rsid w:val="40344BEC"/>
    <w:rsid w:val="40354B3F"/>
    <w:rsid w:val="40356427"/>
    <w:rsid w:val="403D6729"/>
    <w:rsid w:val="403E4687"/>
    <w:rsid w:val="40415103"/>
    <w:rsid w:val="404922D2"/>
    <w:rsid w:val="40495EF1"/>
    <w:rsid w:val="404B1DD5"/>
    <w:rsid w:val="404F315E"/>
    <w:rsid w:val="40514C69"/>
    <w:rsid w:val="405C55AD"/>
    <w:rsid w:val="405D6B7B"/>
    <w:rsid w:val="405D772B"/>
    <w:rsid w:val="405E502D"/>
    <w:rsid w:val="40616D98"/>
    <w:rsid w:val="40667CFB"/>
    <w:rsid w:val="40692574"/>
    <w:rsid w:val="406F1ED6"/>
    <w:rsid w:val="40766079"/>
    <w:rsid w:val="40777CB6"/>
    <w:rsid w:val="407956C3"/>
    <w:rsid w:val="407A6407"/>
    <w:rsid w:val="40823C32"/>
    <w:rsid w:val="40860A30"/>
    <w:rsid w:val="409B43BF"/>
    <w:rsid w:val="40A47108"/>
    <w:rsid w:val="40AC610C"/>
    <w:rsid w:val="40AE6CEA"/>
    <w:rsid w:val="40AE6F8D"/>
    <w:rsid w:val="40AF442B"/>
    <w:rsid w:val="40B4567C"/>
    <w:rsid w:val="40C340C6"/>
    <w:rsid w:val="40D4199E"/>
    <w:rsid w:val="40D55F3B"/>
    <w:rsid w:val="40D62FA6"/>
    <w:rsid w:val="40D94361"/>
    <w:rsid w:val="40D97653"/>
    <w:rsid w:val="40E045E4"/>
    <w:rsid w:val="40E57E4D"/>
    <w:rsid w:val="40EA25C4"/>
    <w:rsid w:val="40EB4EB8"/>
    <w:rsid w:val="40F11FF2"/>
    <w:rsid w:val="40F14704"/>
    <w:rsid w:val="40F6063A"/>
    <w:rsid w:val="40FB247D"/>
    <w:rsid w:val="410127AD"/>
    <w:rsid w:val="4106252D"/>
    <w:rsid w:val="410A0DD3"/>
    <w:rsid w:val="410B4E42"/>
    <w:rsid w:val="410B53D9"/>
    <w:rsid w:val="410D2D85"/>
    <w:rsid w:val="4111285C"/>
    <w:rsid w:val="41151DB4"/>
    <w:rsid w:val="41164303"/>
    <w:rsid w:val="4117544D"/>
    <w:rsid w:val="411C7C91"/>
    <w:rsid w:val="41271873"/>
    <w:rsid w:val="413B181B"/>
    <w:rsid w:val="413B4941"/>
    <w:rsid w:val="413B797F"/>
    <w:rsid w:val="41422238"/>
    <w:rsid w:val="41476614"/>
    <w:rsid w:val="4148218A"/>
    <w:rsid w:val="41577346"/>
    <w:rsid w:val="41593EF4"/>
    <w:rsid w:val="415B2523"/>
    <w:rsid w:val="4164444B"/>
    <w:rsid w:val="417255CF"/>
    <w:rsid w:val="41801BCC"/>
    <w:rsid w:val="4186141C"/>
    <w:rsid w:val="41887A05"/>
    <w:rsid w:val="41913B31"/>
    <w:rsid w:val="41970A1B"/>
    <w:rsid w:val="41990C37"/>
    <w:rsid w:val="419B0788"/>
    <w:rsid w:val="419D0A96"/>
    <w:rsid w:val="419D3163"/>
    <w:rsid w:val="419E7FFC"/>
    <w:rsid w:val="41AF3FB7"/>
    <w:rsid w:val="41B23EC9"/>
    <w:rsid w:val="41B34B7F"/>
    <w:rsid w:val="41BC0943"/>
    <w:rsid w:val="41C07AE7"/>
    <w:rsid w:val="41C55588"/>
    <w:rsid w:val="41C56873"/>
    <w:rsid w:val="41C81A16"/>
    <w:rsid w:val="41CA5B23"/>
    <w:rsid w:val="41CC3178"/>
    <w:rsid w:val="41D118CA"/>
    <w:rsid w:val="41D122D2"/>
    <w:rsid w:val="41D23AD4"/>
    <w:rsid w:val="41D50D59"/>
    <w:rsid w:val="41D75434"/>
    <w:rsid w:val="41E719A3"/>
    <w:rsid w:val="41E938A4"/>
    <w:rsid w:val="41FB5908"/>
    <w:rsid w:val="4200449D"/>
    <w:rsid w:val="42047A10"/>
    <w:rsid w:val="420631BD"/>
    <w:rsid w:val="421F4F76"/>
    <w:rsid w:val="42214916"/>
    <w:rsid w:val="423546E2"/>
    <w:rsid w:val="423A3BCC"/>
    <w:rsid w:val="423D15C3"/>
    <w:rsid w:val="423E661A"/>
    <w:rsid w:val="42437547"/>
    <w:rsid w:val="424E57D2"/>
    <w:rsid w:val="42506A95"/>
    <w:rsid w:val="42510C71"/>
    <w:rsid w:val="42531029"/>
    <w:rsid w:val="425A017F"/>
    <w:rsid w:val="42641644"/>
    <w:rsid w:val="426A216F"/>
    <w:rsid w:val="426E5C20"/>
    <w:rsid w:val="42721C3C"/>
    <w:rsid w:val="42730A78"/>
    <w:rsid w:val="427D40B5"/>
    <w:rsid w:val="4281050D"/>
    <w:rsid w:val="42880A33"/>
    <w:rsid w:val="42995053"/>
    <w:rsid w:val="429B1A32"/>
    <w:rsid w:val="429D65B3"/>
    <w:rsid w:val="42A077C8"/>
    <w:rsid w:val="42A15CF0"/>
    <w:rsid w:val="42A45AE6"/>
    <w:rsid w:val="42AF31C1"/>
    <w:rsid w:val="42B26C49"/>
    <w:rsid w:val="42C16B1A"/>
    <w:rsid w:val="42C24C04"/>
    <w:rsid w:val="42C43A92"/>
    <w:rsid w:val="42C47F35"/>
    <w:rsid w:val="42C60866"/>
    <w:rsid w:val="42CF1256"/>
    <w:rsid w:val="42D02437"/>
    <w:rsid w:val="42D70F51"/>
    <w:rsid w:val="42DC702D"/>
    <w:rsid w:val="42E2479D"/>
    <w:rsid w:val="42E43A78"/>
    <w:rsid w:val="42F81AAA"/>
    <w:rsid w:val="42FF2D1C"/>
    <w:rsid w:val="42FF63AF"/>
    <w:rsid w:val="43042E51"/>
    <w:rsid w:val="43090296"/>
    <w:rsid w:val="430949C2"/>
    <w:rsid w:val="43112BF4"/>
    <w:rsid w:val="431D6D9F"/>
    <w:rsid w:val="432052D8"/>
    <w:rsid w:val="432851D1"/>
    <w:rsid w:val="433636F6"/>
    <w:rsid w:val="43370BFC"/>
    <w:rsid w:val="433A6FE6"/>
    <w:rsid w:val="43480868"/>
    <w:rsid w:val="434D7F2B"/>
    <w:rsid w:val="4350713C"/>
    <w:rsid w:val="43522E47"/>
    <w:rsid w:val="43545B98"/>
    <w:rsid w:val="4354654F"/>
    <w:rsid w:val="435724EB"/>
    <w:rsid w:val="435C48DA"/>
    <w:rsid w:val="435C4EC8"/>
    <w:rsid w:val="43605713"/>
    <w:rsid w:val="436444B0"/>
    <w:rsid w:val="43655D09"/>
    <w:rsid w:val="436653E0"/>
    <w:rsid w:val="436822FE"/>
    <w:rsid w:val="437234EE"/>
    <w:rsid w:val="43765FE9"/>
    <w:rsid w:val="438316A7"/>
    <w:rsid w:val="43880D41"/>
    <w:rsid w:val="43880F63"/>
    <w:rsid w:val="438A3408"/>
    <w:rsid w:val="438B0844"/>
    <w:rsid w:val="438C32BB"/>
    <w:rsid w:val="438E724F"/>
    <w:rsid w:val="439C46C4"/>
    <w:rsid w:val="439E42E3"/>
    <w:rsid w:val="439F367D"/>
    <w:rsid w:val="439F6131"/>
    <w:rsid w:val="43A01E09"/>
    <w:rsid w:val="43A649F6"/>
    <w:rsid w:val="43AB019B"/>
    <w:rsid w:val="43AC2EA4"/>
    <w:rsid w:val="43B1255A"/>
    <w:rsid w:val="43B42A47"/>
    <w:rsid w:val="43B6317F"/>
    <w:rsid w:val="43B65E6B"/>
    <w:rsid w:val="43B66B2B"/>
    <w:rsid w:val="43C4431A"/>
    <w:rsid w:val="43C547DA"/>
    <w:rsid w:val="43C82C0A"/>
    <w:rsid w:val="43D46490"/>
    <w:rsid w:val="43D536EE"/>
    <w:rsid w:val="43DE2931"/>
    <w:rsid w:val="43E85FE3"/>
    <w:rsid w:val="43EC32A0"/>
    <w:rsid w:val="43EF2D90"/>
    <w:rsid w:val="43F522A1"/>
    <w:rsid w:val="43FC36AC"/>
    <w:rsid w:val="43FF1315"/>
    <w:rsid w:val="440305EA"/>
    <w:rsid w:val="440839CA"/>
    <w:rsid w:val="44094977"/>
    <w:rsid w:val="440F448D"/>
    <w:rsid w:val="440F671E"/>
    <w:rsid w:val="441236D8"/>
    <w:rsid w:val="4413634F"/>
    <w:rsid w:val="441C2A57"/>
    <w:rsid w:val="441C33DA"/>
    <w:rsid w:val="44200438"/>
    <w:rsid w:val="44202502"/>
    <w:rsid w:val="442C035A"/>
    <w:rsid w:val="442E6C46"/>
    <w:rsid w:val="44313472"/>
    <w:rsid w:val="443548A2"/>
    <w:rsid w:val="443A2ECE"/>
    <w:rsid w:val="444E4CDA"/>
    <w:rsid w:val="44521863"/>
    <w:rsid w:val="4455661B"/>
    <w:rsid w:val="445B301F"/>
    <w:rsid w:val="445D6175"/>
    <w:rsid w:val="44697F28"/>
    <w:rsid w:val="44701105"/>
    <w:rsid w:val="44703ED1"/>
    <w:rsid w:val="4473372D"/>
    <w:rsid w:val="447F1294"/>
    <w:rsid w:val="44854936"/>
    <w:rsid w:val="448C0D8A"/>
    <w:rsid w:val="44933AA9"/>
    <w:rsid w:val="4494067F"/>
    <w:rsid w:val="449420E1"/>
    <w:rsid w:val="44983428"/>
    <w:rsid w:val="449D4AE3"/>
    <w:rsid w:val="44A025FE"/>
    <w:rsid w:val="44A16740"/>
    <w:rsid w:val="44A17D52"/>
    <w:rsid w:val="44A4069C"/>
    <w:rsid w:val="44A75419"/>
    <w:rsid w:val="44A91191"/>
    <w:rsid w:val="44A973E3"/>
    <w:rsid w:val="44B6157B"/>
    <w:rsid w:val="44B62C45"/>
    <w:rsid w:val="44B951CC"/>
    <w:rsid w:val="44C573B6"/>
    <w:rsid w:val="44CD14E0"/>
    <w:rsid w:val="44CF23CF"/>
    <w:rsid w:val="44D60C12"/>
    <w:rsid w:val="44D928EC"/>
    <w:rsid w:val="44E57685"/>
    <w:rsid w:val="44E65F41"/>
    <w:rsid w:val="44EC2DBF"/>
    <w:rsid w:val="44EC4531"/>
    <w:rsid w:val="44F02B77"/>
    <w:rsid w:val="44F20B0B"/>
    <w:rsid w:val="44F91D32"/>
    <w:rsid w:val="44F97887"/>
    <w:rsid w:val="44FC0068"/>
    <w:rsid w:val="450828EC"/>
    <w:rsid w:val="45086A21"/>
    <w:rsid w:val="450E5498"/>
    <w:rsid w:val="451508BD"/>
    <w:rsid w:val="451A0E52"/>
    <w:rsid w:val="451E038D"/>
    <w:rsid w:val="452A22D2"/>
    <w:rsid w:val="452C5A49"/>
    <w:rsid w:val="452E1696"/>
    <w:rsid w:val="452E5F4C"/>
    <w:rsid w:val="45363A87"/>
    <w:rsid w:val="45422C9B"/>
    <w:rsid w:val="4543182E"/>
    <w:rsid w:val="454328B5"/>
    <w:rsid w:val="45462E84"/>
    <w:rsid w:val="454A4722"/>
    <w:rsid w:val="4552383D"/>
    <w:rsid w:val="45553C3D"/>
    <w:rsid w:val="45581E4B"/>
    <w:rsid w:val="45612018"/>
    <w:rsid w:val="45635EE9"/>
    <w:rsid w:val="456450B8"/>
    <w:rsid w:val="456F1FC2"/>
    <w:rsid w:val="456F23DB"/>
    <w:rsid w:val="457111F2"/>
    <w:rsid w:val="4574142D"/>
    <w:rsid w:val="457E261E"/>
    <w:rsid w:val="458946E9"/>
    <w:rsid w:val="458F0932"/>
    <w:rsid w:val="4590777A"/>
    <w:rsid w:val="45940503"/>
    <w:rsid w:val="45992FB4"/>
    <w:rsid w:val="459E05CA"/>
    <w:rsid w:val="45A007E6"/>
    <w:rsid w:val="45A47C0E"/>
    <w:rsid w:val="45A870D7"/>
    <w:rsid w:val="45A94648"/>
    <w:rsid w:val="45B21913"/>
    <w:rsid w:val="45B222C8"/>
    <w:rsid w:val="45C502A1"/>
    <w:rsid w:val="45C81D2D"/>
    <w:rsid w:val="45CC7359"/>
    <w:rsid w:val="45DC10F2"/>
    <w:rsid w:val="45DF4918"/>
    <w:rsid w:val="45E13863"/>
    <w:rsid w:val="45E83F3B"/>
    <w:rsid w:val="45EF63DD"/>
    <w:rsid w:val="46030808"/>
    <w:rsid w:val="460C3285"/>
    <w:rsid w:val="461D098F"/>
    <w:rsid w:val="461D1E37"/>
    <w:rsid w:val="461D5993"/>
    <w:rsid w:val="46200FBD"/>
    <w:rsid w:val="46206575"/>
    <w:rsid w:val="46250CEB"/>
    <w:rsid w:val="462D12C1"/>
    <w:rsid w:val="46313BA0"/>
    <w:rsid w:val="463351B6"/>
    <w:rsid w:val="4634365D"/>
    <w:rsid w:val="46386C71"/>
    <w:rsid w:val="463B20CB"/>
    <w:rsid w:val="463B406B"/>
    <w:rsid w:val="464A0752"/>
    <w:rsid w:val="464C0737"/>
    <w:rsid w:val="46511AE0"/>
    <w:rsid w:val="46555E19"/>
    <w:rsid w:val="46577FD6"/>
    <w:rsid w:val="46593427"/>
    <w:rsid w:val="465C4F43"/>
    <w:rsid w:val="465E592E"/>
    <w:rsid w:val="46623651"/>
    <w:rsid w:val="46623CEE"/>
    <w:rsid w:val="4662784A"/>
    <w:rsid w:val="4669507C"/>
    <w:rsid w:val="466B0C86"/>
    <w:rsid w:val="466B478B"/>
    <w:rsid w:val="46704FD2"/>
    <w:rsid w:val="46737DE1"/>
    <w:rsid w:val="467A1F0B"/>
    <w:rsid w:val="467D5DA6"/>
    <w:rsid w:val="46877AB8"/>
    <w:rsid w:val="468F6460"/>
    <w:rsid w:val="46A8737E"/>
    <w:rsid w:val="46A9646E"/>
    <w:rsid w:val="46AA028E"/>
    <w:rsid w:val="46AF65B4"/>
    <w:rsid w:val="46B15579"/>
    <w:rsid w:val="46BA1434"/>
    <w:rsid w:val="46BD1EED"/>
    <w:rsid w:val="46D955A7"/>
    <w:rsid w:val="46DB3E98"/>
    <w:rsid w:val="46DF533E"/>
    <w:rsid w:val="46DF5F78"/>
    <w:rsid w:val="46EB106C"/>
    <w:rsid w:val="46EE47EA"/>
    <w:rsid w:val="46EF6ABE"/>
    <w:rsid w:val="46F82969"/>
    <w:rsid w:val="4700220D"/>
    <w:rsid w:val="47017513"/>
    <w:rsid w:val="4703211D"/>
    <w:rsid w:val="47032546"/>
    <w:rsid w:val="47087853"/>
    <w:rsid w:val="470E4C34"/>
    <w:rsid w:val="470E79D1"/>
    <w:rsid w:val="471171C7"/>
    <w:rsid w:val="47133957"/>
    <w:rsid w:val="47134FE8"/>
    <w:rsid w:val="47211BA0"/>
    <w:rsid w:val="4724251D"/>
    <w:rsid w:val="47275A5D"/>
    <w:rsid w:val="472D7266"/>
    <w:rsid w:val="472F1E22"/>
    <w:rsid w:val="473614B6"/>
    <w:rsid w:val="47373ABA"/>
    <w:rsid w:val="47376F28"/>
    <w:rsid w:val="4738617F"/>
    <w:rsid w:val="473E2065"/>
    <w:rsid w:val="47411913"/>
    <w:rsid w:val="47422AD1"/>
    <w:rsid w:val="4748011B"/>
    <w:rsid w:val="47526AA6"/>
    <w:rsid w:val="47533695"/>
    <w:rsid w:val="47570AD9"/>
    <w:rsid w:val="4757706A"/>
    <w:rsid w:val="47664F1C"/>
    <w:rsid w:val="47774857"/>
    <w:rsid w:val="4778083C"/>
    <w:rsid w:val="477851A4"/>
    <w:rsid w:val="477E5A0D"/>
    <w:rsid w:val="477E5D3B"/>
    <w:rsid w:val="47841A42"/>
    <w:rsid w:val="478B23DE"/>
    <w:rsid w:val="47947ED7"/>
    <w:rsid w:val="47977F99"/>
    <w:rsid w:val="4799781B"/>
    <w:rsid w:val="479F77AE"/>
    <w:rsid w:val="47A07E0C"/>
    <w:rsid w:val="47A72344"/>
    <w:rsid w:val="47AB54F0"/>
    <w:rsid w:val="47C353C3"/>
    <w:rsid w:val="47CF339A"/>
    <w:rsid w:val="47D02FB4"/>
    <w:rsid w:val="47D97FDF"/>
    <w:rsid w:val="47DA2F34"/>
    <w:rsid w:val="47DD44D1"/>
    <w:rsid w:val="47E4435F"/>
    <w:rsid w:val="47E5100D"/>
    <w:rsid w:val="47E65384"/>
    <w:rsid w:val="47EC1D01"/>
    <w:rsid w:val="47F05F6A"/>
    <w:rsid w:val="47FA0C9E"/>
    <w:rsid w:val="47FB7F56"/>
    <w:rsid w:val="47FE35A2"/>
    <w:rsid w:val="48006E83"/>
    <w:rsid w:val="480225ED"/>
    <w:rsid w:val="480F0D85"/>
    <w:rsid w:val="48164D90"/>
    <w:rsid w:val="48197BCA"/>
    <w:rsid w:val="481E1E96"/>
    <w:rsid w:val="482458FC"/>
    <w:rsid w:val="482C6361"/>
    <w:rsid w:val="482D7338"/>
    <w:rsid w:val="482E032B"/>
    <w:rsid w:val="48435459"/>
    <w:rsid w:val="484F1305"/>
    <w:rsid w:val="485052AE"/>
    <w:rsid w:val="485338EE"/>
    <w:rsid w:val="48590782"/>
    <w:rsid w:val="485C0410"/>
    <w:rsid w:val="486E45C4"/>
    <w:rsid w:val="4870272E"/>
    <w:rsid w:val="487A4C53"/>
    <w:rsid w:val="48874506"/>
    <w:rsid w:val="48893532"/>
    <w:rsid w:val="489109A7"/>
    <w:rsid w:val="48A3720D"/>
    <w:rsid w:val="48A51F83"/>
    <w:rsid w:val="48A57EC2"/>
    <w:rsid w:val="48A979B2"/>
    <w:rsid w:val="48AB464E"/>
    <w:rsid w:val="48BE4914"/>
    <w:rsid w:val="48C12F4D"/>
    <w:rsid w:val="48C55C29"/>
    <w:rsid w:val="48D11FAA"/>
    <w:rsid w:val="48D915E8"/>
    <w:rsid w:val="48E72288"/>
    <w:rsid w:val="48E916E9"/>
    <w:rsid w:val="48EA3DC4"/>
    <w:rsid w:val="48F74BC1"/>
    <w:rsid w:val="490050F8"/>
    <w:rsid w:val="49012CE1"/>
    <w:rsid w:val="4907292A"/>
    <w:rsid w:val="49086FE6"/>
    <w:rsid w:val="490966A2"/>
    <w:rsid w:val="49172B6D"/>
    <w:rsid w:val="492019B5"/>
    <w:rsid w:val="4921356B"/>
    <w:rsid w:val="49276A1D"/>
    <w:rsid w:val="492E6109"/>
    <w:rsid w:val="492F2E15"/>
    <w:rsid w:val="49323B97"/>
    <w:rsid w:val="49362A5E"/>
    <w:rsid w:val="4949469F"/>
    <w:rsid w:val="494F67AB"/>
    <w:rsid w:val="49507E46"/>
    <w:rsid w:val="49552025"/>
    <w:rsid w:val="4957691F"/>
    <w:rsid w:val="49617148"/>
    <w:rsid w:val="496338C1"/>
    <w:rsid w:val="49640164"/>
    <w:rsid w:val="49730777"/>
    <w:rsid w:val="49782504"/>
    <w:rsid w:val="49855392"/>
    <w:rsid w:val="498701CE"/>
    <w:rsid w:val="498C77DF"/>
    <w:rsid w:val="498D1D8D"/>
    <w:rsid w:val="499B6CB4"/>
    <w:rsid w:val="49A131D2"/>
    <w:rsid w:val="49A308A5"/>
    <w:rsid w:val="49AA39E1"/>
    <w:rsid w:val="49B22896"/>
    <w:rsid w:val="49B47147"/>
    <w:rsid w:val="49B50549"/>
    <w:rsid w:val="49B52386"/>
    <w:rsid w:val="49BD07A3"/>
    <w:rsid w:val="49C50680"/>
    <w:rsid w:val="49C73E01"/>
    <w:rsid w:val="49C8030C"/>
    <w:rsid w:val="49C825AC"/>
    <w:rsid w:val="49C857D0"/>
    <w:rsid w:val="49CB336D"/>
    <w:rsid w:val="49CB6D11"/>
    <w:rsid w:val="49CE10C5"/>
    <w:rsid w:val="49CE7686"/>
    <w:rsid w:val="49D7016C"/>
    <w:rsid w:val="49DB49DA"/>
    <w:rsid w:val="49DC7715"/>
    <w:rsid w:val="49DD1A3F"/>
    <w:rsid w:val="49DE510E"/>
    <w:rsid w:val="49DF11B1"/>
    <w:rsid w:val="49E46351"/>
    <w:rsid w:val="49E8355F"/>
    <w:rsid w:val="49EB1F92"/>
    <w:rsid w:val="49EF748D"/>
    <w:rsid w:val="49F23EEB"/>
    <w:rsid w:val="49F35390"/>
    <w:rsid w:val="49F9169C"/>
    <w:rsid w:val="49F96717"/>
    <w:rsid w:val="49FB248F"/>
    <w:rsid w:val="49FF318B"/>
    <w:rsid w:val="4A023139"/>
    <w:rsid w:val="4A031344"/>
    <w:rsid w:val="4A0350A7"/>
    <w:rsid w:val="4A061299"/>
    <w:rsid w:val="4A0B78CC"/>
    <w:rsid w:val="4A0D5D1E"/>
    <w:rsid w:val="4A0F7CE8"/>
    <w:rsid w:val="4A111CB3"/>
    <w:rsid w:val="4A180EEE"/>
    <w:rsid w:val="4A1832F4"/>
    <w:rsid w:val="4A1D5FC4"/>
    <w:rsid w:val="4A272834"/>
    <w:rsid w:val="4A275968"/>
    <w:rsid w:val="4A2977F2"/>
    <w:rsid w:val="4A2A68D0"/>
    <w:rsid w:val="4A2B1588"/>
    <w:rsid w:val="4A2F3EE7"/>
    <w:rsid w:val="4A352241"/>
    <w:rsid w:val="4A396B13"/>
    <w:rsid w:val="4A3A7F71"/>
    <w:rsid w:val="4A3D2AA8"/>
    <w:rsid w:val="4A4221ED"/>
    <w:rsid w:val="4A461D43"/>
    <w:rsid w:val="4A4B61BB"/>
    <w:rsid w:val="4A4C02A6"/>
    <w:rsid w:val="4A4E6A63"/>
    <w:rsid w:val="4A511C92"/>
    <w:rsid w:val="4A52737E"/>
    <w:rsid w:val="4A680C2A"/>
    <w:rsid w:val="4A722025"/>
    <w:rsid w:val="4A7B576F"/>
    <w:rsid w:val="4A914380"/>
    <w:rsid w:val="4A985F30"/>
    <w:rsid w:val="4A9D453A"/>
    <w:rsid w:val="4A9D7AFB"/>
    <w:rsid w:val="4A9F106C"/>
    <w:rsid w:val="4AB96B3E"/>
    <w:rsid w:val="4ABB39CC"/>
    <w:rsid w:val="4AC27530"/>
    <w:rsid w:val="4AC60B3E"/>
    <w:rsid w:val="4AC7114E"/>
    <w:rsid w:val="4AC7411F"/>
    <w:rsid w:val="4ACF6446"/>
    <w:rsid w:val="4AD37A76"/>
    <w:rsid w:val="4AD44459"/>
    <w:rsid w:val="4ADA0A37"/>
    <w:rsid w:val="4AE07FC5"/>
    <w:rsid w:val="4AF22DE6"/>
    <w:rsid w:val="4AF307A8"/>
    <w:rsid w:val="4AF561A9"/>
    <w:rsid w:val="4AF71A7A"/>
    <w:rsid w:val="4AFC0B89"/>
    <w:rsid w:val="4AFD3015"/>
    <w:rsid w:val="4AFF5FAF"/>
    <w:rsid w:val="4B014447"/>
    <w:rsid w:val="4B016D6B"/>
    <w:rsid w:val="4B1437BE"/>
    <w:rsid w:val="4B1E2548"/>
    <w:rsid w:val="4B277D53"/>
    <w:rsid w:val="4B28581B"/>
    <w:rsid w:val="4B2F2D92"/>
    <w:rsid w:val="4B342BB8"/>
    <w:rsid w:val="4B3C2864"/>
    <w:rsid w:val="4B3F61A6"/>
    <w:rsid w:val="4B453473"/>
    <w:rsid w:val="4B4E5D5E"/>
    <w:rsid w:val="4B4E6AF2"/>
    <w:rsid w:val="4B502367"/>
    <w:rsid w:val="4B525424"/>
    <w:rsid w:val="4B531E57"/>
    <w:rsid w:val="4B580AC3"/>
    <w:rsid w:val="4B652037"/>
    <w:rsid w:val="4B667A4F"/>
    <w:rsid w:val="4B6E61CE"/>
    <w:rsid w:val="4B701AE5"/>
    <w:rsid w:val="4B736055"/>
    <w:rsid w:val="4B786581"/>
    <w:rsid w:val="4B7B4139"/>
    <w:rsid w:val="4B7C7600"/>
    <w:rsid w:val="4B8006FE"/>
    <w:rsid w:val="4B814C16"/>
    <w:rsid w:val="4B866C9A"/>
    <w:rsid w:val="4B9E6FFB"/>
    <w:rsid w:val="4BAF792D"/>
    <w:rsid w:val="4BB026F2"/>
    <w:rsid w:val="4BB71BAD"/>
    <w:rsid w:val="4BB72EA9"/>
    <w:rsid w:val="4BB83F82"/>
    <w:rsid w:val="4BB870CF"/>
    <w:rsid w:val="4BC40B96"/>
    <w:rsid w:val="4BCC050A"/>
    <w:rsid w:val="4BCD1D9E"/>
    <w:rsid w:val="4BD161E2"/>
    <w:rsid w:val="4BD443A8"/>
    <w:rsid w:val="4BD81AAA"/>
    <w:rsid w:val="4BDB2578"/>
    <w:rsid w:val="4BDC71CD"/>
    <w:rsid w:val="4BE86A43"/>
    <w:rsid w:val="4BF37A2C"/>
    <w:rsid w:val="4BFB6DBC"/>
    <w:rsid w:val="4BFD34A2"/>
    <w:rsid w:val="4C072617"/>
    <w:rsid w:val="4C0A4C0B"/>
    <w:rsid w:val="4C0F50C6"/>
    <w:rsid w:val="4C135EE6"/>
    <w:rsid w:val="4C1A1D8D"/>
    <w:rsid w:val="4C1B6558"/>
    <w:rsid w:val="4C1E29CF"/>
    <w:rsid w:val="4C1F7F47"/>
    <w:rsid w:val="4C26558F"/>
    <w:rsid w:val="4C37194B"/>
    <w:rsid w:val="4C3D7E1F"/>
    <w:rsid w:val="4C480922"/>
    <w:rsid w:val="4C486B77"/>
    <w:rsid w:val="4C4A0649"/>
    <w:rsid w:val="4C4E630A"/>
    <w:rsid w:val="4C5365B2"/>
    <w:rsid w:val="4C59349D"/>
    <w:rsid w:val="4C5F3EFB"/>
    <w:rsid w:val="4C645F76"/>
    <w:rsid w:val="4C681799"/>
    <w:rsid w:val="4C6B4F7E"/>
    <w:rsid w:val="4C6D519A"/>
    <w:rsid w:val="4C6E07A5"/>
    <w:rsid w:val="4C71626B"/>
    <w:rsid w:val="4C75199E"/>
    <w:rsid w:val="4C7D212F"/>
    <w:rsid w:val="4C7E5ECA"/>
    <w:rsid w:val="4C813FDB"/>
    <w:rsid w:val="4C876AA5"/>
    <w:rsid w:val="4C885B30"/>
    <w:rsid w:val="4C945C42"/>
    <w:rsid w:val="4C963BEC"/>
    <w:rsid w:val="4C9D782D"/>
    <w:rsid w:val="4CA53F74"/>
    <w:rsid w:val="4CB4194E"/>
    <w:rsid w:val="4CB51E97"/>
    <w:rsid w:val="4CBA5628"/>
    <w:rsid w:val="4CBC68A2"/>
    <w:rsid w:val="4CBD26A5"/>
    <w:rsid w:val="4CC2715F"/>
    <w:rsid w:val="4CC92EED"/>
    <w:rsid w:val="4CDF18C0"/>
    <w:rsid w:val="4CE21AD4"/>
    <w:rsid w:val="4CEC4D57"/>
    <w:rsid w:val="4CF907DC"/>
    <w:rsid w:val="4CFA4C80"/>
    <w:rsid w:val="4CFC5627"/>
    <w:rsid w:val="4CFC748C"/>
    <w:rsid w:val="4D034085"/>
    <w:rsid w:val="4D0843B5"/>
    <w:rsid w:val="4D0E00FB"/>
    <w:rsid w:val="4D176606"/>
    <w:rsid w:val="4D197E75"/>
    <w:rsid w:val="4D1D271C"/>
    <w:rsid w:val="4D1E4B11"/>
    <w:rsid w:val="4D1F6557"/>
    <w:rsid w:val="4D216CE8"/>
    <w:rsid w:val="4D2F71E7"/>
    <w:rsid w:val="4D3A7EC5"/>
    <w:rsid w:val="4D3B2BA3"/>
    <w:rsid w:val="4D3C435D"/>
    <w:rsid w:val="4D3D7270"/>
    <w:rsid w:val="4D425AF0"/>
    <w:rsid w:val="4D43247E"/>
    <w:rsid w:val="4D444572"/>
    <w:rsid w:val="4D447C6F"/>
    <w:rsid w:val="4D455D8B"/>
    <w:rsid w:val="4D471D72"/>
    <w:rsid w:val="4D4A4D92"/>
    <w:rsid w:val="4D4F4767"/>
    <w:rsid w:val="4D5122F9"/>
    <w:rsid w:val="4D54239D"/>
    <w:rsid w:val="4D5525D0"/>
    <w:rsid w:val="4D5716EC"/>
    <w:rsid w:val="4D582A6D"/>
    <w:rsid w:val="4D5D6734"/>
    <w:rsid w:val="4D603EAE"/>
    <w:rsid w:val="4D610A86"/>
    <w:rsid w:val="4D64659D"/>
    <w:rsid w:val="4D7D3E59"/>
    <w:rsid w:val="4D805135"/>
    <w:rsid w:val="4D892D0F"/>
    <w:rsid w:val="4D8F1577"/>
    <w:rsid w:val="4DA248D1"/>
    <w:rsid w:val="4DA44BEC"/>
    <w:rsid w:val="4DA644C0"/>
    <w:rsid w:val="4DB900DD"/>
    <w:rsid w:val="4DB9034C"/>
    <w:rsid w:val="4DBA440F"/>
    <w:rsid w:val="4DBC0FDF"/>
    <w:rsid w:val="4DC137C3"/>
    <w:rsid w:val="4DC92CD7"/>
    <w:rsid w:val="4DD020B0"/>
    <w:rsid w:val="4DD54DA5"/>
    <w:rsid w:val="4DE3533E"/>
    <w:rsid w:val="4DE35AB5"/>
    <w:rsid w:val="4DE65421"/>
    <w:rsid w:val="4DE7312E"/>
    <w:rsid w:val="4DE85B26"/>
    <w:rsid w:val="4DE97778"/>
    <w:rsid w:val="4DEC4FB0"/>
    <w:rsid w:val="4DFA3796"/>
    <w:rsid w:val="4E054D44"/>
    <w:rsid w:val="4E075D8A"/>
    <w:rsid w:val="4E0F7C93"/>
    <w:rsid w:val="4E156D83"/>
    <w:rsid w:val="4E170FBF"/>
    <w:rsid w:val="4E2E45F5"/>
    <w:rsid w:val="4E344512"/>
    <w:rsid w:val="4E375A60"/>
    <w:rsid w:val="4E3C1F00"/>
    <w:rsid w:val="4E451AC7"/>
    <w:rsid w:val="4E451F2B"/>
    <w:rsid w:val="4E606D65"/>
    <w:rsid w:val="4E61189A"/>
    <w:rsid w:val="4E685C19"/>
    <w:rsid w:val="4E7F41F5"/>
    <w:rsid w:val="4E832A53"/>
    <w:rsid w:val="4E846B43"/>
    <w:rsid w:val="4E8F13F8"/>
    <w:rsid w:val="4E934EB6"/>
    <w:rsid w:val="4EA50FCD"/>
    <w:rsid w:val="4EA60C26"/>
    <w:rsid w:val="4EB41866"/>
    <w:rsid w:val="4EC00FAD"/>
    <w:rsid w:val="4ECC7F56"/>
    <w:rsid w:val="4ECF7A46"/>
    <w:rsid w:val="4ED46299"/>
    <w:rsid w:val="4ED86D5A"/>
    <w:rsid w:val="4EDB3B5F"/>
    <w:rsid w:val="4EDD0492"/>
    <w:rsid w:val="4EEA1AEB"/>
    <w:rsid w:val="4EEC05F8"/>
    <w:rsid w:val="4F096C72"/>
    <w:rsid w:val="4F0F39C4"/>
    <w:rsid w:val="4F0F406E"/>
    <w:rsid w:val="4F122F7D"/>
    <w:rsid w:val="4F1366B0"/>
    <w:rsid w:val="4F155DA1"/>
    <w:rsid w:val="4F1C556F"/>
    <w:rsid w:val="4F2204BE"/>
    <w:rsid w:val="4F3059B6"/>
    <w:rsid w:val="4F36326B"/>
    <w:rsid w:val="4F430E07"/>
    <w:rsid w:val="4F45114D"/>
    <w:rsid w:val="4F482299"/>
    <w:rsid w:val="4F4A3571"/>
    <w:rsid w:val="4F512B51"/>
    <w:rsid w:val="4F585C8E"/>
    <w:rsid w:val="4F5D5052"/>
    <w:rsid w:val="4F6D08ED"/>
    <w:rsid w:val="4F6D543E"/>
    <w:rsid w:val="4F6E54B1"/>
    <w:rsid w:val="4F757208"/>
    <w:rsid w:val="4F7A3845"/>
    <w:rsid w:val="4F7B372A"/>
    <w:rsid w:val="4F7F3F85"/>
    <w:rsid w:val="4F814DA5"/>
    <w:rsid w:val="4F8703A9"/>
    <w:rsid w:val="4F914FFB"/>
    <w:rsid w:val="4F950B0E"/>
    <w:rsid w:val="4F980780"/>
    <w:rsid w:val="4F9843DC"/>
    <w:rsid w:val="4F9B70FB"/>
    <w:rsid w:val="4F9E4A0E"/>
    <w:rsid w:val="4FA9473B"/>
    <w:rsid w:val="4FAC20D6"/>
    <w:rsid w:val="4FB059D7"/>
    <w:rsid w:val="4FB34950"/>
    <w:rsid w:val="4FB56C3C"/>
    <w:rsid w:val="4FB61066"/>
    <w:rsid w:val="4FBA06F6"/>
    <w:rsid w:val="4FBB2958"/>
    <w:rsid w:val="4FBB5330"/>
    <w:rsid w:val="4FBF626F"/>
    <w:rsid w:val="4FC23829"/>
    <w:rsid w:val="4FC62A8C"/>
    <w:rsid w:val="4FC74BC1"/>
    <w:rsid w:val="4FCB2904"/>
    <w:rsid w:val="4FDD0C1A"/>
    <w:rsid w:val="4FE04075"/>
    <w:rsid w:val="4FE20F0D"/>
    <w:rsid w:val="4FE51552"/>
    <w:rsid w:val="4FEC2623"/>
    <w:rsid w:val="4FEE54DC"/>
    <w:rsid w:val="4FF97471"/>
    <w:rsid w:val="50000D7C"/>
    <w:rsid w:val="50036373"/>
    <w:rsid w:val="50050665"/>
    <w:rsid w:val="50083210"/>
    <w:rsid w:val="50102193"/>
    <w:rsid w:val="50113443"/>
    <w:rsid w:val="501758B8"/>
    <w:rsid w:val="502D46E8"/>
    <w:rsid w:val="503A5BF0"/>
    <w:rsid w:val="50407F60"/>
    <w:rsid w:val="50486963"/>
    <w:rsid w:val="50504C4B"/>
    <w:rsid w:val="50610B72"/>
    <w:rsid w:val="5065064A"/>
    <w:rsid w:val="506748D8"/>
    <w:rsid w:val="506901BC"/>
    <w:rsid w:val="506A6C36"/>
    <w:rsid w:val="506F146D"/>
    <w:rsid w:val="50713669"/>
    <w:rsid w:val="5072229B"/>
    <w:rsid w:val="5079269B"/>
    <w:rsid w:val="5087628A"/>
    <w:rsid w:val="508807F5"/>
    <w:rsid w:val="509B3642"/>
    <w:rsid w:val="509C6E7C"/>
    <w:rsid w:val="509F5B37"/>
    <w:rsid w:val="50B91D35"/>
    <w:rsid w:val="50B937AC"/>
    <w:rsid w:val="50BB4726"/>
    <w:rsid w:val="50BD214C"/>
    <w:rsid w:val="50BD38C3"/>
    <w:rsid w:val="50BD6410"/>
    <w:rsid w:val="50C01707"/>
    <w:rsid w:val="50C55616"/>
    <w:rsid w:val="50C730CB"/>
    <w:rsid w:val="50D57252"/>
    <w:rsid w:val="50D604D9"/>
    <w:rsid w:val="50DE7E54"/>
    <w:rsid w:val="50E04A13"/>
    <w:rsid w:val="50E72459"/>
    <w:rsid w:val="50E812DD"/>
    <w:rsid w:val="50E84758"/>
    <w:rsid w:val="50EA13CB"/>
    <w:rsid w:val="50EB6E99"/>
    <w:rsid w:val="50EC6093"/>
    <w:rsid w:val="50F25151"/>
    <w:rsid w:val="50FA4E39"/>
    <w:rsid w:val="50FA5A0E"/>
    <w:rsid w:val="510D2ABC"/>
    <w:rsid w:val="510F13CA"/>
    <w:rsid w:val="5110722B"/>
    <w:rsid w:val="51284136"/>
    <w:rsid w:val="512A5408"/>
    <w:rsid w:val="512D2241"/>
    <w:rsid w:val="512F6EC2"/>
    <w:rsid w:val="513277ED"/>
    <w:rsid w:val="51333EA4"/>
    <w:rsid w:val="51385E3B"/>
    <w:rsid w:val="51390C40"/>
    <w:rsid w:val="514C2B88"/>
    <w:rsid w:val="51520A53"/>
    <w:rsid w:val="51544054"/>
    <w:rsid w:val="51547416"/>
    <w:rsid w:val="51557B61"/>
    <w:rsid w:val="515A1CDD"/>
    <w:rsid w:val="515A3EE3"/>
    <w:rsid w:val="51602E4A"/>
    <w:rsid w:val="5162104E"/>
    <w:rsid w:val="516743E0"/>
    <w:rsid w:val="51692F0C"/>
    <w:rsid w:val="516B1C47"/>
    <w:rsid w:val="5172070E"/>
    <w:rsid w:val="517A31F8"/>
    <w:rsid w:val="517C5B13"/>
    <w:rsid w:val="517F613A"/>
    <w:rsid w:val="517F6EA4"/>
    <w:rsid w:val="518212FF"/>
    <w:rsid w:val="518965D2"/>
    <w:rsid w:val="518A5DC7"/>
    <w:rsid w:val="518D6BCD"/>
    <w:rsid w:val="518E7897"/>
    <w:rsid w:val="519022FD"/>
    <w:rsid w:val="519311E6"/>
    <w:rsid w:val="519558F0"/>
    <w:rsid w:val="519803CC"/>
    <w:rsid w:val="519846C7"/>
    <w:rsid w:val="51986FD8"/>
    <w:rsid w:val="519B6306"/>
    <w:rsid w:val="519C6183"/>
    <w:rsid w:val="51A303AA"/>
    <w:rsid w:val="51AE7DE7"/>
    <w:rsid w:val="51B1799A"/>
    <w:rsid w:val="51B37244"/>
    <w:rsid w:val="51B61C99"/>
    <w:rsid w:val="51B86EB8"/>
    <w:rsid w:val="51CD5349"/>
    <w:rsid w:val="51ED1C87"/>
    <w:rsid w:val="51F11789"/>
    <w:rsid w:val="51F603D3"/>
    <w:rsid w:val="52003278"/>
    <w:rsid w:val="5204560E"/>
    <w:rsid w:val="520519D8"/>
    <w:rsid w:val="52065E75"/>
    <w:rsid w:val="52171E30"/>
    <w:rsid w:val="521E5E5F"/>
    <w:rsid w:val="52293911"/>
    <w:rsid w:val="522D34DA"/>
    <w:rsid w:val="5234392B"/>
    <w:rsid w:val="523A5B1F"/>
    <w:rsid w:val="52403A5F"/>
    <w:rsid w:val="524B1ADA"/>
    <w:rsid w:val="524C34B2"/>
    <w:rsid w:val="524D2553"/>
    <w:rsid w:val="52570CB9"/>
    <w:rsid w:val="525835BD"/>
    <w:rsid w:val="525E2C35"/>
    <w:rsid w:val="52626E2A"/>
    <w:rsid w:val="527B72D6"/>
    <w:rsid w:val="528D3EA0"/>
    <w:rsid w:val="528E2A1A"/>
    <w:rsid w:val="529175F8"/>
    <w:rsid w:val="52953EDE"/>
    <w:rsid w:val="52974808"/>
    <w:rsid w:val="52A31F39"/>
    <w:rsid w:val="52A44405"/>
    <w:rsid w:val="52A763DE"/>
    <w:rsid w:val="52A94646"/>
    <w:rsid w:val="52B70F1D"/>
    <w:rsid w:val="52B710FA"/>
    <w:rsid w:val="52B9118F"/>
    <w:rsid w:val="52BF7522"/>
    <w:rsid w:val="52C30EE5"/>
    <w:rsid w:val="52C5188C"/>
    <w:rsid w:val="52CF74ED"/>
    <w:rsid w:val="52D37DFE"/>
    <w:rsid w:val="52E014E9"/>
    <w:rsid w:val="52E564A3"/>
    <w:rsid w:val="52E628B2"/>
    <w:rsid w:val="52EF6909"/>
    <w:rsid w:val="52F14922"/>
    <w:rsid w:val="52F32E25"/>
    <w:rsid w:val="52F61A46"/>
    <w:rsid w:val="52F921CB"/>
    <w:rsid w:val="52F97788"/>
    <w:rsid w:val="52FA7468"/>
    <w:rsid w:val="53070AC1"/>
    <w:rsid w:val="53167C62"/>
    <w:rsid w:val="531A7B91"/>
    <w:rsid w:val="531B308B"/>
    <w:rsid w:val="531C45F2"/>
    <w:rsid w:val="531C7ECA"/>
    <w:rsid w:val="53234805"/>
    <w:rsid w:val="5325232B"/>
    <w:rsid w:val="533D23FD"/>
    <w:rsid w:val="53420DCF"/>
    <w:rsid w:val="534327B1"/>
    <w:rsid w:val="53482A8F"/>
    <w:rsid w:val="53530C46"/>
    <w:rsid w:val="53540C24"/>
    <w:rsid w:val="535F3A8F"/>
    <w:rsid w:val="53614FC0"/>
    <w:rsid w:val="536343E4"/>
    <w:rsid w:val="536B1667"/>
    <w:rsid w:val="537149E2"/>
    <w:rsid w:val="53742101"/>
    <w:rsid w:val="5384318A"/>
    <w:rsid w:val="53852DC9"/>
    <w:rsid w:val="538543C3"/>
    <w:rsid w:val="53875695"/>
    <w:rsid w:val="538821F4"/>
    <w:rsid w:val="539138A0"/>
    <w:rsid w:val="539B68E6"/>
    <w:rsid w:val="53A039CC"/>
    <w:rsid w:val="53A1505A"/>
    <w:rsid w:val="53A64547"/>
    <w:rsid w:val="53AB2B29"/>
    <w:rsid w:val="53AD7605"/>
    <w:rsid w:val="53AE40CE"/>
    <w:rsid w:val="53BA0481"/>
    <w:rsid w:val="53C004A6"/>
    <w:rsid w:val="53C22532"/>
    <w:rsid w:val="53C423F1"/>
    <w:rsid w:val="53D306D6"/>
    <w:rsid w:val="53D87451"/>
    <w:rsid w:val="53DD284B"/>
    <w:rsid w:val="53EA158E"/>
    <w:rsid w:val="53F53B77"/>
    <w:rsid w:val="53F87799"/>
    <w:rsid w:val="54026AE9"/>
    <w:rsid w:val="54041CA1"/>
    <w:rsid w:val="54063E08"/>
    <w:rsid w:val="54080B72"/>
    <w:rsid w:val="54095339"/>
    <w:rsid w:val="540F56CB"/>
    <w:rsid w:val="54200DD9"/>
    <w:rsid w:val="54261154"/>
    <w:rsid w:val="542C63D3"/>
    <w:rsid w:val="542E1471"/>
    <w:rsid w:val="543437E8"/>
    <w:rsid w:val="5435659E"/>
    <w:rsid w:val="54372DFC"/>
    <w:rsid w:val="5439325B"/>
    <w:rsid w:val="54497EBD"/>
    <w:rsid w:val="54515DE3"/>
    <w:rsid w:val="5455279C"/>
    <w:rsid w:val="545B6D16"/>
    <w:rsid w:val="545F5B35"/>
    <w:rsid w:val="546A5F72"/>
    <w:rsid w:val="546B1280"/>
    <w:rsid w:val="546E0BCF"/>
    <w:rsid w:val="54785A20"/>
    <w:rsid w:val="54816A6B"/>
    <w:rsid w:val="5484281F"/>
    <w:rsid w:val="548748D1"/>
    <w:rsid w:val="548C0371"/>
    <w:rsid w:val="548D0F33"/>
    <w:rsid w:val="54950C65"/>
    <w:rsid w:val="549B4952"/>
    <w:rsid w:val="54BE2A37"/>
    <w:rsid w:val="54C05A6E"/>
    <w:rsid w:val="54D648A1"/>
    <w:rsid w:val="54D85C85"/>
    <w:rsid w:val="54E51D72"/>
    <w:rsid w:val="54E65AEA"/>
    <w:rsid w:val="54ED0148"/>
    <w:rsid w:val="54F356FA"/>
    <w:rsid w:val="54F552EB"/>
    <w:rsid w:val="54F73313"/>
    <w:rsid w:val="54F80955"/>
    <w:rsid w:val="5509628E"/>
    <w:rsid w:val="550E7B69"/>
    <w:rsid w:val="551B75C5"/>
    <w:rsid w:val="55270529"/>
    <w:rsid w:val="553C2084"/>
    <w:rsid w:val="555170A7"/>
    <w:rsid w:val="55565974"/>
    <w:rsid w:val="5558425F"/>
    <w:rsid w:val="555A3C53"/>
    <w:rsid w:val="5561442F"/>
    <w:rsid w:val="55614691"/>
    <w:rsid w:val="55645FC3"/>
    <w:rsid w:val="55674E7D"/>
    <w:rsid w:val="556D1D67"/>
    <w:rsid w:val="556E620B"/>
    <w:rsid w:val="557356F5"/>
    <w:rsid w:val="557D0725"/>
    <w:rsid w:val="557E75A3"/>
    <w:rsid w:val="557F772C"/>
    <w:rsid w:val="5587107B"/>
    <w:rsid w:val="5587536D"/>
    <w:rsid w:val="558768F8"/>
    <w:rsid w:val="559307F3"/>
    <w:rsid w:val="55934A26"/>
    <w:rsid w:val="55961E7F"/>
    <w:rsid w:val="55963EF8"/>
    <w:rsid w:val="559B174B"/>
    <w:rsid w:val="559F4A1F"/>
    <w:rsid w:val="55A15447"/>
    <w:rsid w:val="55A462CF"/>
    <w:rsid w:val="55A559A5"/>
    <w:rsid w:val="55AA2FBB"/>
    <w:rsid w:val="55AB37EA"/>
    <w:rsid w:val="55B30ED9"/>
    <w:rsid w:val="55B66D97"/>
    <w:rsid w:val="55BB40D8"/>
    <w:rsid w:val="55BC3C9D"/>
    <w:rsid w:val="55C45E2B"/>
    <w:rsid w:val="55C5661D"/>
    <w:rsid w:val="55CE0CF4"/>
    <w:rsid w:val="55D13C4F"/>
    <w:rsid w:val="55DB4F23"/>
    <w:rsid w:val="55DF4A13"/>
    <w:rsid w:val="55E01E0F"/>
    <w:rsid w:val="55E9250B"/>
    <w:rsid w:val="55EC44CE"/>
    <w:rsid w:val="55F1173D"/>
    <w:rsid w:val="55F2673B"/>
    <w:rsid w:val="55FD758F"/>
    <w:rsid w:val="55FF1D1A"/>
    <w:rsid w:val="56060652"/>
    <w:rsid w:val="560B4834"/>
    <w:rsid w:val="56101815"/>
    <w:rsid w:val="56101D09"/>
    <w:rsid w:val="561323C1"/>
    <w:rsid w:val="56171238"/>
    <w:rsid w:val="56171DD2"/>
    <w:rsid w:val="561D378D"/>
    <w:rsid w:val="56283E63"/>
    <w:rsid w:val="562E7748"/>
    <w:rsid w:val="56303300"/>
    <w:rsid w:val="56392851"/>
    <w:rsid w:val="564707DB"/>
    <w:rsid w:val="5647381E"/>
    <w:rsid w:val="564D39B3"/>
    <w:rsid w:val="56521689"/>
    <w:rsid w:val="56543C6F"/>
    <w:rsid w:val="56586573"/>
    <w:rsid w:val="565C4AA8"/>
    <w:rsid w:val="566B0C68"/>
    <w:rsid w:val="56743603"/>
    <w:rsid w:val="56833B7E"/>
    <w:rsid w:val="568A1759"/>
    <w:rsid w:val="56905E67"/>
    <w:rsid w:val="5697353F"/>
    <w:rsid w:val="569849E4"/>
    <w:rsid w:val="569B1FBF"/>
    <w:rsid w:val="569E2C7A"/>
    <w:rsid w:val="56A12478"/>
    <w:rsid w:val="56A1279C"/>
    <w:rsid w:val="56B22A9C"/>
    <w:rsid w:val="56C41E5B"/>
    <w:rsid w:val="56CE5EE3"/>
    <w:rsid w:val="56DF0A43"/>
    <w:rsid w:val="56E17F19"/>
    <w:rsid w:val="56E85B49"/>
    <w:rsid w:val="56EA413E"/>
    <w:rsid w:val="56ED4736"/>
    <w:rsid w:val="56F3657C"/>
    <w:rsid w:val="56F8780F"/>
    <w:rsid w:val="570109B9"/>
    <w:rsid w:val="57044DDE"/>
    <w:rsid w:val="57062B99"/>
    <w:rsid w:val="57102AC7"/>
    <w:rsid w:val="571B7CCD"/>
    <w:rsid w:val="57361328"/>
    <w:rsid w:val="5737087F"/>
    <w:rsid w:val="573C6640"/>
    <w:rsid w:val="573D73E7"/>
    <w:rsid w:val="573F1363"/>
    <w:rsid w:val="5748004A"/>
    <w:rsid w:val="574B6BBD"/>
    <w:rsid w:val="574D1C90"/>
    <w:rsid w:val="5753390A"/>
    <w:rsid w:val="575D6941"/>
    <w:rsid w:val="575E412E"/>
    <w:rsid w:val="57671533"/>
    <w:rsid w:val="5774783B"/>
    <w:rsid w:val="577613A7"/>
    <w:rsid w:val="577830F9"/>
    <w:rsid w:val="57802FFC"/>
    <w:rsid w:val="5781413E"/>
    <w:rsid w:val="5785229F"/>
    <w:rsid w:val="5788678F"/>
    <w:rsid w:val="578D049F"/>
    <w:rsid w:val="57914433"/>
    <w:rsid w:val="57917E07"/>
    <w:rsid w:val="57A464A1"/>
    <w:rsid w:val="57AC527C"/>
    <w:rsid w:val="57B04EF5"/>
    <w:rsid w:val="57B7137C"/>
    <w:rsid w:val="57B72A76"/>
    <w:rsid w:val="57BB6E0C"/>
    <w:rsid w:val="57BD2062"/>
    <w:rsid w:val="57C3426C"/>
    <w:rsid w:val="57C40364"/>
    <w:rsid w:val="57CE1F93"/>
    <w:rsid w:val="57D165DD"/>
    <w:rsid w:val="57DA71EA"/>
    <w:rsid w:val="57DB5068"/>
    <w:rsid w:val="57DF6437"/>
    <w:rsid w:val="57E6452B"/>
    <w:rsid w:val="57E83665"/>
    <w:rsid w:val="57EF2F07"/>
    <w:rsid w:val="57F37A9D"/>
    <w:rsid w:val="57F743AB"/>
    <w:rsid w:val="57F870D9"/>
    <w:rsid w:val="57FA3D86"/>
    <w:rsid w:val="57FD7170"/>
    <w:rsid w:val="57FE5E77"/>
    <w:rsid w:val="58055C4A"/>
    <w:rsid w:val="58064856"/>
    <w:rsid w:val="58083D7C"/>
    <w:rsid w:val="5808512A"/>
    <w:rsid w:val="580F331A"/>
    <w:rsid w:val="582726A1"/>
    <w:rsid w:val="5827468E"/>
    <w:rsid w:val="58310C72"/>
    <w:rsid w:val="58353010"/>
    <w:rsid w:val="58372323"/>
    <w:rsid w:val="584274DB"/>
    <w:rsid w:val="58440F0E"/>
    <w:rsid w:val="58442AB7"/>
    <w:rsid w:val="58460DDA"/>
    <w:rsid w:val="58476D1B"/>
    <w:rsid w:val="584F0183"/>
    <w:rsid w:val="585119A0"/>
    <w:rsid w:val="58537370"/>
    <w:rsid w:val="58537AF7"/>
    <w:rsid w:val="58542F01"/>
    <w:rsid w:val="585E5D01"/>
    <w:rsid w:val="585F363B"/>
    <w:rsid w:val="586503D5"/>
    <w:rsid w:val="586B1ACF"/>
    <w:rsid w:val="58825B29"/>
    <w:rsid w:val="58862492"/>
    <w:rsid w:val="588743D1"/>
    <w:rsid w:val="5887701A"/>
    <w:rsid w:val="58880E01"/>
    <w:rsid w:val="588E389E"/>
    <w:rsid w:val="588F6515"/>
    <w:rsid w:val="58910AA0"/>
    <w:rsid w:val="5891493F"/>
    <w:rsid w:val="5892676B"/>
    <w:rsid w:val="5894149F"/>
    <w:rsid w:val="5898041F"/>
    <w:rsid w:val="58A0439D"/>
    <w:rsid w:val="58A310D0"/>
    <w:rsid w:val="58A43CF2"/>
    <w:rsid w:val="58AA6674"/>
    <w:rsid w:val="58B56106"/>
    <w:rsid w:val="58B73E7A"/>
    <w:rsid w:val="58D0221D"/>
    <w:rsid w:val="58D02E43"/>
    <w:rsid w:val="58D5034F"/>
    <w:rsid w:val="58D93361"/>
    <w:rsid w:val="58EF1411"/>
    <w:rsid w:val="58EF444D"/>
    <w:rsid w:val="58F4327E"/>
    <w:rsid w:val="58F60266"/>
    <w:rsid w:val="58F85DEC"/>
    <w:rsid w:val="58FD5888"/>
    <w:rsid w:val="590B1FC3"/>
    <w:rsid w:val="590D0510"/>
    <w:rsid w:val="59101C65"/>
    <w:rsid w:val="59231ECA"/>
    <w:rsid w:val="592F3F03"/>
    <w:rsid w:val="5931666F"/>
    <w:rsid w:val="593A085E"/>
    <w:rsid w:val="593D2262"/>
    <w:rsid w:val="59466DD2"/>
    <w:rsid w:val="5947135C"/>
    <w:rsid w:val="59486432"/>
    <w:rsid w:val="594A4899"/>
    <w:rsid w:val="59552A2D"/>
    <w:rsid w:val="595869A2"/>
    <w:rsid w:val="5963138A"/>
    <w:rsid w:val="596551E9"/>
    <w:rsid w:val="59677AF7"/>
    <w:rsid w:val="59695E10"/>
    <w:rsid w:val="59697595"/>
    <w:rsid w:val="59713324"/>
    <w:rsid w:val="597B55AD"/>
    <w:rsid w:val="597C6A1D"/>
    <w:rsid w:val="597D679B"/>
    <w:rsid w:val="59812ACC"/>
    <w:rsid w:val="59934C48"/>
    <w:rsid w:val="59A37620"/>
    <w:rsid w:val="59A72662"/>
    <w:rsid w:val="59A815C0"/>
    <w:rsid w:val="59AA17DC"/>
    <w:rsid w:val="59AE1E33"/>
    <w:rsid w:val="59AE7B20"/>
    <w:rsid w:val="59AF353F"/>
    <w:rsid w:val="59B22615"/>
    <w:rsid w:val="59B46EE2"/>
    <w:rsid w:val="59B922A4"/>
    <w:rsid w:val="59BA7EB2"/>
    <w:rsid w:val="59C0439F"/>
    <w:rsid w:val="59C04B5B"/>
    <w:rsid w:val="59C346F1"/>
    <w:rsid w:val="59D05081"/>
    <w:rsid w:val="59D33AF5"/>
    <w:rsid w:val="59D51A4A"/>
    <w:rsid w:val="59D70FAC"/>
    <w:rsid w:val="59D80DBD"/>
    <w:rsid w:val="59DA22DC"/>
    <w:rsid w:val="59E36A9C"/>
    <w:rsid w:val="59EE07F0"/>
    <w:rsid w:val="59F90EA3"/>
    <w:rsid w:val="59FB22EC"/>
    <w:rsid w:val="5A115E1B"/>
    <w:rsid w:val="5A134BEF"/>
    <w:rsid w:val="5A1530F9"/>
    <w:rsid w:val="5A17016A"/>
    <w:rsid w:val="5A1A26FE"/>
    <w:rsid w:val="5A1A276A"/>
    <w:rsid w:val="5A1C2158"/>
    <w:rsid w:val="5A203456"/>
    <w:rsid w:val="5A2055FA"/>
    <w:rsid w:val="5A2E7D17"/>
    <w:rsid w:val="5A311054"/>
    <w:rsid w:val="5A3317D1"/>
    <w:rsid w:val="5A346A04"/>
    <w:rsid w:val="5A3E1D2C"/>
    <w:rsid w:val="5A464C5F"/>
    <w:rsid w:val="5A504621"/>
    <w:rsid w:val="5A517EA9"/>
    <w:rsid w:val="5A56726E"/>
    <w:rsid w:val="5A587B93"/>
    <w:rsid w:val="5A5B6CF9"/>
    <w:rsid w:val="5A5E40F1"/>
    <w:rsid w:val="5A656A98"/>
    <w:rsid w:val="5A692118"/>
    <w:rsid w:val="5A696463"/>
    <w:rsid w:val="5A6C4CE3"/>
    <w:rsid w:val="5A720D92"/>
    <w:rsid w:val="5A7233A5"/>
    <w:rsid w:val="5A733D9F"/>
    <w:rsid w:val="5A755946"/>
    <w:rsid w:val="5A79183D"/>
    <w:rsid w:val="5A7D1249"/>
    <w:rsid w:val="5A7F3E5E"/>
    <w:rsid w:val="5A80527F"/>
    <w:rsid w:val="5A897643"/>
    <w:rsid w:val="5A910455"/>
    <w:rsid w:val="5A955FE8"/>
    <w:rsid w:val="5AA72C26"/>
    <w:rsid w:val="5AA7343E"/>
    <w:rsid w:val="5AB31E91"/>
    <w:rsid w:val="5AB71B1E"/>
    <w:rsid w:val="5AB92244"/>
    <w:rsid w:val="5AB9617F"/>
    <w:rsid w:val="5ABE2233"/>
    <w:rsid w:val="5AC329A4"/>
    <w:rsid w:val="5AC62645"/>
    <w:rsid w:val="5AC90CD9"/>
    <w:rsid w:val="5ACA3C8D"/>
    <w:rsid w:val="5ACC741C"/>
    <w:rsid w:val="5ADD173D"/>
    <w:rsid w:val="5ADE719E"/>
    <w:rsid w:val="5AE36AFF"/>
    <w:rsid w:val="5AE52718"/>
    <w:rsid w:val="5AE851B2"/>
    <w:rsid w:val="5AE91F9F"/>
    <w:rsid w:val="5AED1980"/>
    <w:rsid w:val="5AEE6ED6"/>
    <w:rsid w:val="5AF254A3"/>
    <w:rsid w:val="5AF411C1"/>
    <w:rsid w:val="5AF4605C"/>
    <w:rsid w:val="5AF63124"/>
    <w:rsid w:val="5AFA6F68"/>
    <w:rsid w:val="5B022F52"/>
    <w:rsid w:val="5B0F24DD"/>
    <w:rsid w:val="5B135E20"/>
    <w:rsid w:val="5B157129"/>
    <w:rsid w:val="5B2308F9"/>
    <w:rsid w:val="5B2F1F99"/>
    <w:rsid w:val="5B312664"/>
    <w:rsid w:val="5B3422A2"/>
    <w:rsid w:val="5B346FAD"/>
    <w:rsid w:val="5B3C4689"/>
    <w:rsid w:val="5B4041A6"/>
    <w:rsid w:val="5B456855"/>
    <w:rsid w:val="5B4A52D3"/>
    <w:rsid w:val="5B4D0F8C"/>
    <w:rsid w:val="5B4E1F26"/>
    <w:rsid w:val="5B5A2D8E"/>
    <w:rsid w:val="5B5B4DF1"/>
    <w:rsid w:val="5B6C1377"/>
    <w:rsid w:val="5B6F6839"/>
    <w:rsid w:val="5B737120"/>
    <w:rsid w:val="5B74034D"/>
    <w:rsid w:val="5B834092"/>
    <w:rsid w:val="5B903E6F"/>
    <w:rsid w:val="5B914CB9"/>
    <w:rsid w:val="5B995488"/>
    <w:rsid w:val="5B9A7362"/>
    <w:rsid w:val="5BA4601B"/>
    <w:rsid w:val="5BAD110F"/>
    <w:rsid w:val="5BB10BFF"/>
    <w:rsid w:val="5BB11AFE"/>
    <w:rsid w:val="5BB14675"/>
    <w:rsid w:val="5BB909FA"/>
    <w:rsid w:val="5BBB15C4"/>
    <w:rsid w:val="5BBF4D0E"/>
    <w:rsid w:val="5BC54DF4"/>
    <w:rsid w:val="5BCD608A"/>
    <w:rsid w:val="5BD27C0A"/>
    <w:rsid w:val="5BDA0D77"/>
    <w:rsid w:val="5BDF5D95"/>
    <w:rsid w:val="5BE578CD"/>
    <w:rsid w:val="5BE76C6E"/>
    <w:rsid w:val="5BE97CAE"/>
    <w:rsid w:val="5BEC1C38"/>
    <w:rsid w:val="5BED775E"/>
    <w:rsid w:val="5BEE4E5E"/>
    <w:rsid w:val="5BFC13EE"/>
    <w:rsid w:val="5BFE7528"/>
    <w:rsid w:val="5C014971"/>
    <w:rsid w:val="5C042999"/>
    <w:rsid w:val="5C0623F9"/>
    <w:rsid w:val="5C100807"/>
    <w:rsid w:val="5C123C82"/>
    <w:rsid w:val="5C1C0D87"/>
    <w:rsid w:val="5C1D6295"/>
    <w:rsid w:val="5C207E3A"/>
    <w:rsid w:val="5C216065"/>
    <w:rsid w:val="5C2313D1"/>
    <w:rsid w:val="5C24397E"/>
    <w:rsid w:val="5C290C97"/>
    <w:rsid w:val="5C2A07AC"/>
    <w:rsid w:val="5C303D44"/>
    <w:rsid w:val="5C3844DC"/>
    <w:rsid w:val="5C3A1938"/>
    <w:rsid w:val="5C401F83"/>
    <w:rsid w:val="5C4607C1"/>
    <w:rsid w:val="5C465CE6"/>
    <w:rsid w:val="5C475EAA"/>
    <w:rsid w:val="5C4A09A7"/>
    <w:rsid w:val="5C4A5D4C"/>
    <w:rsid w:val="5C4C6B7A"/>
    <w:rsid w:val="5C4D49C6"/>
    <w:rsid w:val="5C4E4D8B"/>
    <w:rsid w:val="5C4E7DC1"/>
    <w:rsid w:val="5C583771"/>
    <w:rsid w:val="5C593045"/>
    <w:rsid w:val="5C5B1E2C"/>
    <w:rsid w:val="5C611514"/>
    <w:rsid w:val="5C6475AA"/>
    <w:rsid w:val="5C6743AA"/>
    <w:rsid w:val="5C715DA6"/>
    <w:rsid w:val="5C725A03"/>
    <w:rsid w:val="5C7E485A"/>
    <w:rsid w:val="5CA16EBA"/>
    <w:rsid w:val="5CA45B49"/>
    <w:rsid w:val="5CA91236"/>
    <w:rsid w:val="5CAF2287"/>
    <w:rsid w:val="5CB0535B"/>
    <w:rsid w:val="5CBA0D0D"/>
    <w:rsid w:val="5CC53886"/>
    <w:rsid w:val="5CC65B7A"/>
    <w:rsid w:val="5CCF4B36"/>
    <w:rsid w:val="5CD57027"/>
    <w:rsid w:val="5CD70B8F"/>
    <w:rsid w:val="5CD735C1"/>
    <w:rsid w:val="5CD741D3"/>
    <w:rsid w:val="5CDD64C9"/>
    <w:rsid w:val="5CE052BF"/>
    <w:rsid w:val="5CE774F4"/>
    <w:rsid w:val="5CEB4A45"/>
    <w:rsid w:val="5CEE4ACE"/>
    <w:rsid w:val="5CF34971"/>
    <w:rsid w:val="5CF8460C"/>
    <w:rsid w:val="5CFA1A9B"/>
    <w:rsid w:val="5D06275B"/>
    <w:rsid w:val="5D0C1829"/>
    <w:rsid w:val="5D0D0501"/>
    <w:rsid w:val="5D0D6CB1"/>
    <w:rsid w:val="5D17287F"/>
    <w:rsid w:val="5D1911FE"/>
    <w:rsid w:val="5D1E4725"/>
    <w:rsid w:val="5D235E60"/>
    <w:rsid w:val="5D270118"/>
    <w:rsid w:val="5D3F1A0D"/>
    <w:rsid w:val="5D3F79B0"/>
    <w:rsid w:val="5D445AA3"/>
    <w:rsid w:val="5D4A1CA3"/>
    <w:rsid w:val="5D4B5084"/>
    <w:rsid w:val="5D4B7F9F"/>
    <w:rsid w:val="5D4C62D7"/>
    <w:rsid w:val="5D4E0742"/>
    <w:rsid w:val="5D4F162C"/>
    <w:rsid w:val="5D555E04"/>
    <w:rsid w:val="5D5C7BC9"/>
    <w:rsid w:val="5D71136B"/>
    <w:rsid w:val="5D71776B"/>
    <w:rsid w:val="5D7B58EC"/>
    <w:rsid w:val="5D7E321E"/>
    <w:rsid w:val="5D8113B9"/>
    <w:rsid w:val="5D925596"/>
    <w:rsid w:val="5D9541A2"/>
    <w:rsid w:val="5D9603BA"/>
    <w:rsid w:val="5D97701D"/>
    <w:rsid w:val="5D9A7EF9"/>
    <w:rsid w:val="5D9B6B7C"/>
    <w:rsid w:val="5D9D6FC5"/>
    <w:rsid w:val="5DA74DA3"/>
    <w:rsid w:val="5DAA60AF"/>
    <w:rsid w:val="5DB46BFD"/>
    <w:rsid w:val="5DB54C2C"/>
    <w:rsid w:val="5DBE3658"/>
    <w:rsid w:val="5DC664B8"/>
    <w:rsid w:val="5DC818BB"/>
    <w:rsid w:val="5DCE7B0B"/>
    <w:rsid w:val="5DD55085"/>
    <w:rsid w:val="5DD90485"/>
    <w:rsid w:val="5DDC5CDC"/>
    <w:rsid w:val="5DDE3B57"/>
    <w:rsid w:val="5DDE64A3"/>
    <w:rsid w:val="5DDF6561"/>
    <w:rsid w:val="5DFE6FEF"/>
    <w:rsid w:val="5E037100"/>
    <w:rsid w:val="5E1130B1"/>
    <w:rsid w:val="5E145476"/>
    <w:rsid w:val="5E174F66"/>
    <w:rsid w:val="5E1E4546"/>
    <w:rsid w:val="5E2467F1"/>
    <w:rsid w:val="5E2D4605"/>
    <w:rsid w:val="5E31797C"/>
    <w:rsid w:val="5E343D6A"/>
    <w:rsid w:val="5E375D2D"/>
    <w:rsid w:val="5E3B2A02"/>
    <w:rsid w:val="5E3F64CF"/>
    <w:rsid w:val="5E402DCE"/>
    <w:rsid w:val="5E420198"/>
    <w:rsid w:val="5E4C1DF4"/>
    <w:rsid w:val="5E4F66D3"/>
    <w:rsid w:val="5E5341F0"/>
    <w:rsid w:val="5E542090"/>
    <w:rsid w:val="5E5600F7"/>
    <w:rsid w:val="5E596405"/>
    <w:rsid w:val="5E5D506F"/>
    <w:rsid w:val="5E5E337D"/>
    <w:rsid w:val="5E667E6A"/>
    <w:rsid w:val="5E693A13"/>
    <w:rsid w:val="5E785A05"/>
    <w:rsid w:val="5E791B8F"/>
    <w:rsid w:val="5E8805EB"/>
    <w:rsid w:val="5E8B37F3"/>
    <w:rsid w:val="5EA11ABC"/>
    <w:rsid w:val="5EAA7148"/>
    <w:rsid w:val="5EB60261"/>
    <w:rsid w:val="5EBA15E6"/>
    <w:rsid w:val="5EBA426F"/>
    <w:rsid w:val="5EBC55EC"/>
    <w:rsid w:val="5EC16F01"/>
    <w:rsid w:val="5EC724E8"/>
    <w:rsid w:val="5ECF04DE"/>
    <w:rsid w:val="5ECF75EF"/>
    <w:rsid w:val="5ED45FB3"/>
    <w:rsid w:val="5EDD61AF"/>
    <w:rsid w:val="5EDF528B"/>
    <w:rsid w:val="5EE07E04"/>
    <w:rsid w:val="5EE24701"/>
    <w:rsid w:val="5EEA4F1C"/>
    <w:rsid w:val="5EEB48B7"/>
    <w:rsid w:val="5EF01A3F"/>
    <w:rsid w:val="5EF13A09"/>
    <w:rsid w:val="5EFA0450"/>
    <w:rsid w:val="5EFA0B0F"/>
    <w:rsid w:val="5F043D60"/>
    <w:rsid w:val="5F062D3D"/>
    <w:rsid w:val="5F0D68E3"/>
    <w:rsid w:val="5F0F2BAA"/>
    <w:rsid w:val="5F1A2B43"/>
    <w:rsid w:val="5F2027C6"/>
    <w:rsid w:val="5F225970"/>
    <w:rsid w:val="5F26484A"/>
    <w:rsid w:val="5F2662BC"/>
    <w:rsid w:val="5F2B03F9"/>
    <w:rsid w:val="5F2C2DD7"/>
    <w:rsid w:val="5F2C38D6"/>
    <w:rsid w:val="5F3223FF"/>
    <w:rsid w:val="5F327ACC"/>
    <w:rsid w:val="5F335DCF"/>
    <w:rsid w:val="5F3B0A76"/>
    <w:rsid w:val="5F3C1128"/>
    <w:rsid w:val="5F434264"/>
    <w:rsid w:val="5F493603"/>
    <w:rsid w:val="5F515A95"/>
    <w:rsid w:val="5F522027"/>
    <w:rsid w:val="5F5521EA"/>
    <w:rsid w:val="5F552A60"/>
    <w:rsid w:val="5F5A15AE"/>
    <w:rsid w:val="5F5B4C59"/>
    <w:rsid w:val="5F5F0972"/>
    <w:rsid w:val="5F5F3116"/>
    <w:rsid w:val="5F657792"/>
    <w:rsid w:val="5F6E7756"/>
    <w:rsid w:val="5F77522D"/>
    <w:rsid w:val="5F776EB5"/>
    <w:rsid w:val="5F796DB8"/>
    <w:rsid w:val="5F7B63BC"/>
    <w:rsid w:val="5F880203"/>
    <w:rsid w:val="5F8C6C68"/>
    <w:rsid w:val="5F8F74AA"/>
    <w:rsid w:val="5F9543D0"/>
    <w:rsid w:val="5F961D31"/>
    <w:rsid w:val="5F973ABD"/>
    <w:rsid w:val="5F9E4B14"/>
    <w:rsid w:val="5F9F63E4"/>
    <w:rsid w:val="5FA32F55"/>
    <w:rsid w:val="5FAE5C6F"/>
    <w:rsid w:val="5FB34B23"/>
    <w:rsid w:val="5FB837BB"/>
    <w:rsid w:val="5FB85ADB"/>
    <w:rsid w:val="5FBC5DC5"/>
    <w:rsid w:val="5FC04E02"/>
    <w:rsid w:val="5FC8231E"/>
    <w:rsid w:val="5FCA3AC6"/>
    <w:rsid w:val="5FCB425A"/>
    <w:rsid w:val="5FCE3C74"/>
    <w:rsid w:val="5FD47752"/>
    <w:rsid w:val="5FD9013C"/>
    <w:rsid w:val="5FE01C28"/>
    <w:rsid w:val="5FE10C81"/>
    <w:rsid w:val="5FE570CA"/>
    <w:rsid w:val="5FEA3FF3"/>
    <w:rsid w:val="5FED7E96"/>
    <w:rsid w:val="60024CAB"/>
    <w:rsid w:val="600960D7"/>
    <w:rsid w:val="600A5DD1"/>
    <w:rsid w:val="601427ED"/>
    <w:rsid w:val="60171DAE"/>
    <w:rsid w:val="601D06BB"/>
    <w:rsid w:val="60243EFE"/>
    <w:rsid w:val="602A71D2"/>
    <w:rsid w:val="602C0934"/>
    <w:rsid w:val="6038303C"/>
    <w:rsid w:val="604A517F"/>
    <w:rsid w:val="604F62BE"/>
    <w:rsid w:val="605024B2"/>
    <w:rsid w:val="60567FC7"/>
    <w:rsid w:val="60581792"/>
    <w:rsid w:val="60590FB1"/>
    <w:rsid w:val="605D0A48"/>
    <w:rsid w:val="605F4CDA"/>
    <w:rsid w:val="605F5AB2"/>
    <w:rsid w:val="60603BC1"/>
    <w:rsid w:val="6062696C"/>
    <w:rsid w:val="60661E16"/>
    <w:rsid w:val="60737233"/>
    <w:rsid w:val="607873E9"/>
    <w:rsid w:val="607C7302"/>
    <w:rsid w:val="6098413C"/>
    <w:rsid w:val="609B59DA"/>
    <w:rsid w:val="609D79A4"/>
    <w:rsid w:val="60A26D69"/>
    <w:rsid w:val="60AB78C8"/>
    <w:rsid w:val="60AC29E3"/>
    <w:rsid w:val="60AC7BE7"/>
    <w:rsid w:val="60BF4BE6"/>
    <w:rsid w:val="60C07CAD"/>
    <w:rsid w:val="60CB656A"/>
    <w:rsid w:val="60CC405A"/>
    <w:rsid w:val="60D158A0"/>
    <w:rsid w:val="60DB1624"/>
    <w:rsid w:val="60E70ABE"/>
    <w:rsid w:val="60E94998"/>
    <w:rsid w:val="61020F83"/>
    <w:rsid w:val="610C68D8"/>
    <w:rsid w:val="61244377"/>
    <w:rsid w:val="613610E3"/>
    <w:rsid w:val="61362161"/>
    <w:rsid w:val="613E3AF2"/>
    <w:rsid w:val="615D7134"/>
    <w:rsid w:val="61657A2D"/>
    <w:rsid w:val="616B3C58"/>
    <w:rsid w:val="616F7A26"/>
    <w:rsid w:val="617821BF"/>
    <w:rsid w:val="617F0EF3"/>
    <w:rsid w:val="617F2763"/>
    <w:rsid w:val="618344E7"/>
    <w:rsid w:val="61930DA7"/>
    <w:rsid w:val="61946FF9"/>
    <w:rsid w:val="61966C46"/>
    <w:rsid w:val="619D0CA0"/>
    <w:rsid w:val="619E3096"/>
    <w:rsid w:val="619F599E"/>
    <w:rsid w:val="61A2418B"/>
    <w:rsid w:val="61A32E4B"/>
    <w:rsid w:val="61AB7E9F"/>
    <w:rsid w:val="61B4195B"/>
    <w:rsid w:val="61B52ACC"/>
    <w:rsid w:val="61BF497D"/>
    <w:rsid w:val="61D4389A"/>
    <w:rsid w:val="61D51B4B"/>
    <w:rsid w:val="61D71D47"/>
    <w:rsid w:val="61DE366B"/>
    <w:rsid w:val="61E155AC"/>
    <w:rsid w:val="61E215D8"/>
    <w:rsid w:val="61E52235"/>
    <w:rsid w:val="61E82EA1"/>
    <w:rsid w:val="61ED4A28"/>
    <w:rsid w:val="61FA5EE6"/>
    <w:rsid w:val="61FD6BEB"/>
    <w:rsid w:val="61FE66A4"/>
    <w:rsid w:val="620317D3"/>
    <w:rsid w:val="62041A2D"/>
    <w:rsid w:val="62070849"/>
    <w:rsid w:val="620718E4"/>
    <w:rsid w:val="620720D0"/>
    <w:rsid w:val="6210563F"/>
    <w:rsid w:val="621719D8"/>
    <w:rsid w:val="621B3775"/>
    <w:rsid w:val="621B6573"/>
    <w:rsid w:val="621F30AE"/>
    <w:rsid w:val="621F3113"/>
    <w:rsid w:val="6221122B"/>
    <w:rsid w:val="622E41BA"/>
    <w:rsid w:val="622F299E"/>
    <w:rsid w:val="622F6D22"/>
    <w:rsid w:val="62364782"/>
    <w:rsid w:val="62396E5F"/>
    <w:rsid w:val="62400F9F"/>
    <w:rsid w:val="624E3552"/>
    <w:rsid w:val="62506772"/>
    <w:rsid w:val="625607BF"/>
    <w:rsid w:val="6259554E"/>
    <w:rsid w:val="625E5A11"/>
    <w:rsid w:val="625E65D6"/>
    <w:rsid w:val="62613C17"/>
    <w:rsid w:val="6263241F"/>
    <w:rsid w:val="62667C95"/>
    <w:rsid w:val="62721757"/>
    <w:rsid w:val="627525E5"/>
    <w:rsid w:val="627F1C57"/>
    <w:rsid w:val="629069CA"/>
    <w:rsid w:val="6298419F"/>
    <w:rsid w:val="6299063F"/>
    <w:rsid w:val="62A0765A"/>
    <w:rsid w:val="62A414BE"/>
    <w:rsid w:val="62A92273"/>
    <w:rsid w:val="62B30852"/>
    <w:rsid w:val="62B44030"/>
    <w:rsid w:val="62B47629"/>
    <w:rsid w:val="62B9483E"/>
    <w:rsid w:val="62C029B4"/>
    <w:rsid w:val="62D13935"/>
    <w:rsid w:val="62DB4BA9"/>
    <w:rsid w:val="62DF7B45"/>
    <w:rsid w:val="62E05EC7"/>
    <w:rsid w:val="62E278F0"/>
    <w:rsid w:val="62E40F6C"/>
    <w:rsid w:val="62E53885"/>
    <w:rsid w:val="62E623AE"/>
    <w:rsid w:val="62EB0A72"/>
    <w:rsid w:val="62EC076F"/>
    <w:rsid w:val="62ED02ED"/>
    <w:rsid w:val="62EE40B5"/>
    <w:rsid w:val="62F17B37"/>
    <w:rsid w:val="62FA1B60"/>
    <w:rsid w:val="62FD0BCE"/>
    <w:rsid w:val="62FF7D60"/>
    <w:rsid w:val="63001FEB"/>
    <w:rsid w:val="630F0D8A"/>
    <w:rsid w:val="631524FE"/>
    <w:rsid w:val="63176805"/>
    <w:rsid w:val="63193E10"/>
    <w:rsid w:val="631B156D"/>
    <w:rsid w:val="631C13E1"/>
    <w:rsid w:val="63220B4B"/>
    <w:rsid w:val="632443AD"/>
    <w:rsid w:val="63291EC9"/>
    <w:rsid w:val="632E5E74"/>
    <w:rsid w:val="63304B00"/>
    <w:rsid w:val="63327586"/>
    <w:rsid w:val="63333DE5"/>
    <w:rsid w:val="633A597E"/>
    <w:rsid w:val="633B1BC3"/>
    <w:rsid w:val="633F2F95"/>
    <w:rsid w:val="63422A85"/>
    <w:rsid w:val="634712D9"/>
    <w:rsid w:val="63471E49"/>
    <w:rsid w:val="634F4E9E"/>
    <w:rsid w:val="635307EE"/>
    <w:rsid w:val="63546F6A"/>
    <w:rsid w:val="6356367E"/>
    <w:rsid w:val="63594103"/>
    <w:rsid w:val="635E50AA"/>
    <w:rsid w:val="6368042B"/>
    <w:rsid w:val="636B513E"/>
    <w:rsid w:val="63735A12"/>
    <w:rsid w:val="6378111F"/>
    <w:rsid w:val="637B2EDF"/>
    <w:rsid w:val="637D5CA1"/>
    <w:rsid w:val="638157A9"/>
    <w:rsid w:val="63844E4C"/>
    <w:rsid w:val="63880E5E"/>
    <w:rsid w:val="6394356A"/>
    <w:rsid w:val="639B0958"/>
    <w:rsid w:val="63A27AA9"/>
    <w:rsid w:val="63AD2A2F"/>
    <w:rsid w:val="63B55005"/>
    <w:rsid w:val="63C33BC6"/>
    <w:rsid w:val="63C61B2C"/>
    <w:rsid w:val="63D25045"/>
    <w:rsid w:val="63D40BE9"/>
    <w:rsid w:val="63E06ADF"/>
    <w:rsid w:val="63E30AB6"/>
    <w:rsid w:val="63E31B72"/>
    <w:rsid w:val="63E37DC4"/>
    <w:rsid w:val="63E82410"/>
    <w:rsid w:val="63EF08D9"/>
    <w:rsid w:val="63F549A4"/>
    <w:rsid w:val="63F95A6F"/>
    <w:rsid w:val="640A22B8"/>
    <w:rsid w:val="640F1003"/>
    <w:rsid w:val="64100F23"/>
    <w:rsid w:val="64102431"/>
    <w:rsid w:val="641E6741"/>
    <w:rsid w:val="642F125B"/>
    <w:rsid w:val="64326BA0"/>
    <w:rsid w:val="643D5C89"/>
    <w:rsid w:val="643F475C"/>
    <w:rsid w:val="644A7E43"/>
    <w:rsid w:val="644B5334"/>
    <w:rsid w:val="645D57B6"/>
    <w:rsid w:val="64711BEB"/>
    <w:rsid w:val="647D7D7E"/>
    <w:rsid w:val="648770A3"/>
    <w:rsid w:val="648A5905"/>
    <w:rsid w:val="648F3AA8"/>
    <w:rsid w:val="64A2346D"/>
    <w:rsid w:val="64A5243A"/>
    <w:rsid w:val="64A713F4"/>
    <w:rsid w:val="64AD6C40"/>
    <w:rsid w:val="64B47E26"/>
    <w:rsid w:val="64B654D9"/>
    <w:rsid w:val="64B92BF6"/>
    <w:rsid w:val="64C532B8"/>
    <w:rsid w:val="64CA4AE0"/>
    <w:rsid w:val="64CC62FF"/>
    <w:rsid w:val="64CE0D28"/>
    <w:rsid w:val="64CE3286"/>
    <w:rsid w:val="64DE0538"/>
    <w:rsid w:val="64DF4A2F"/>
    <w:rsid w:val="64E33DF4"/>
    <w:rsid w:val="64F016F5"/>
    <w:rsid w:val="64F531DE"/>
    <w:rsid w:val="65077C3D"/>
    <w:rsid w:val="650B6C80"/>
    <w:rsid w:val="650E1412"/>
    <w:rsid w:val="650F7DA0"/>
    <w:rsid w:val="651A1EAC"/>
    <w:rsid w:val="65265AA2"/>
    <w:rsid w:val="652B0B12"/>
    <w:rsid w:val="652F7039"/>
    <w:rsid w:val="65322E16"/>
    <w:rsid w:val="65373578"/>
    <w:rsid w:val="653D21B0"/>
    <w:rsid w:val="653F727C"/>
    <w:rsid w:val="65493C57"/>
    <w:rsid w:val="654F4E0C"/>
    <w:rsid w:val="65511C7D"/>
    <w:rsid w:val="65544C7D"/>
    <w:rsid w:val="65586590"/>
    <w:rsid w:val="656703E2"/>
    <w:rsid w:val="65711400"/>
    <w:rsid w:val="657A5522"/>
    <w:rsid w:val="657A6506"/>
    <w:rsid w:val="657B7181"/>
    <w:rsid w:val="657D381B"/>
    <w:rsid w:val="657F1C49"/>
    <w:rsid w:val="6582360D"/>
    <w:rsid w:val="658379F1"/>
    <w:rsid w:val="6584343C"/>
    <w:rsid w:val="65867617"/>
    <w:rsid w:val="658A16B9"/>
    <w:rsid w:val="6595596B"/>
    <w:rsid w:val="659F41BF"/>
    <w:rsid w:val="65A07692"/>
    <w:rsid w:val="65A417D5"/>
    <w:rsid w:val="65A54254"/>
    <w:rsid w:val="65A73073"/>
    <w:rsid w:val="65A90B99"/>
    <w:rsid w:val="65AF1289"/>
    <w:rsid w:val="65CE525C"/>
    <w:rsid w:val="65CF7EB5"/>
    <w:rsid w:val="65D638E0"/>
    <w:rsid w:val="65DF1E7D"/>
    <w:rsid w:val="65E65247"/>
    <w:rsid w:val="65EC0855"/>
    <w:rsid w:val="65EE0471"/>
    <w:rsid w:val="65F13DA4"/>
    <w:rsid w:val="660D425B"/>
    <w:rsid w:val="6616148A"/>
    <w:rsid w:val="66171FA7"/>
    <w:rsid w:val="66180732"/>
    <w:rsid w:val="661A55F3"/>
    <w:rsid w:val="66215F90"/>
    <w:rsid w:val="662A34CA"/>
    <w:rsid w:val="6630396D"/>
    <w:rsid w:val="66374BDA"/>
    <w:rsid w:val="663E65EC"/>
    <w:rsid w:val="663E7534"/>
    <w:rsid w:val="663F505A"/>
    <w:rsid w:val="66417024"/>
    <w:rsid w:val="66544FA9"/>
    <w:rsid w:val="665A00E6"/>
    <w:rsid w:val="665B2255"/>
    <w:rsid w:val="665B6338"/>
    <w:rsid w:val="665F5F74"/>
    <w:rsid w:val="66611474"/>
    <w:rsid w:val="66650F64"/>
    <w:rsid w:val="666A657B"/>
    <w:rsid w:val="666E52D8"/>
    <w:rsid w:val="666E7A9D"/>
    <w:rsid w:val="666F41AD"/>
    <w:rsid w:val="666F593F"/>
    <w:rsid w:val="667642A9"/>
    <w:rsid w:val="66772F7A"/>
    <w:rsid w:val="66780B66"/>
    <w:rsid w:val="667F326C"/>
    <w:rsid w:val="66812ECD"/>
    <w:rsid w:val="6686111C"/>
    <w:rsid w:val="66990C0E"/>
    <w:rsid w:val="6699548E"/>
    <w:rsid w:val="669B2BD8"/>
    <w:rsid w:val="669D40E2"/>
    <w:rsid w:val="66A044A9"/>
    <w:rsid w:val="66AC1B17"/>
    <w:rsid w:val="66B41B81"/>
    <w:rsid w:val="66BA4536"/>
    <w:rsid w:val="66BA7C9F"/>
    <w:rsid w:val="66C60DE4"/>
    <w:rsid w:val="66C82E78"/>
    <w:rsid w:val="66CC2D91"/>
    <w:rsid w:val="66CC5946"/>
    <w:rsid w:val="66D751B5"/>
    <w:rsid w:val="66DC2EB3"/>
    <w:rsid w:val="66DD449A"/>
    <w:rsid w:val="66E55C01"/>
    <w:rsid w:val="66F14651"/>
    <w:rsid w:val="66F72553"/>
    <w:rsid w:val="66F77EAB"/>
    <w:rsid w:val="66FE0A44"/>
    <w:rsid w:val="67013CE1"/>
    <w:rsid w:val="67023330"/>
    <w:rsid w:val="6702498F"/>
    <w:rsid w:val="670A38BA"/>
    <w:rsid w:val="670B26B5"/>
    <w:rsid w:val="670F79FA"/>
    <w:rsid w:val="67126DA3"/>
    <w:rsid w:val="67136C12"/>
    <w:rsid w:val="67193896"/>
    <w:rsid w:val="671F124A"/>
    <w:rsid w:val="671F2706"/>
    <w:rsid w:val="671F3873"/>
    <w:rsid w:val="67224D5F"/>
    <w:rsid w:val="67230F95"/>
    <w:rsid w:val="672A1360"/>
    <w:rsid w:val="672A1521"/>
    <w:rsid w:val="672C3250"/>
    <w:rsid w:val="672E2927"/>
    <w:rsid w:val="673058C6"/>
    <w:rsid w:val="673A5A9F"/>
    <w:rsid w:val="6745285C"/>
    <w:rsid w:val="674A1F08"/>
    <w:rsid w:val="674C5E3B"/>
    <w:rsid w:val="674F144E"/>
    <w:rsid w:val="675473DA"/>
    <w:rsid w:val="675911AB"/>
    <w:rsid w:val="67627252"/>
    <w:rsid w:val="67662ACB"/>
    <w:rsid w:val="67682A88"/>
    <w:rsid w:val="676832EE"/>
    <w:rsid w:val="67696289"/>
    <w:rsid w:val="676C52F4"/>
    <w:rsid w:val="67703603"/>
    <w:rsid w:val="677A33C6"/>
    <w:rsid w:val="677B7B84"/>
    <w:rsid w:val="679C5B0A"/>
    <w:rsid w:val="67A2687C"/>
    <w:rsid w:val="67B57A09"/>
    <w:rsid w:val="67B64C01"/>
    <w:rsid w:val="67B83316"/>
    <w:rsid w:val="67BE143B"/>
    <w:rsid w:val="67BF181D"/>
    <w:rsid w:val="67C516FE"/>
    <w:rsid w:val="67C972D1"/>
    <w:rsid w:val="67CB3049"/>
    <w:rsid w:val="67DA20F1"/>
    <w:rsid w:val="67DB6498"/>
    <w:rsid w:val="67DE7C36"/>
    <w:rsid w:val="67DF4D46"/>
    <w:rsid w:val="67E40B1A"/>
    <w:rsid w:val="67E64DCA"/>
    <w:rsid w:val="67EB30ED"/>
    <w:rsid w:val="67EE1666"/>
    <w:rsid w:val="67EE4F89"/>
    <w:rsid w:val="67F83ABD"/>
    <w:rsid w:val="67F97AD9"/>
    <w:rsid w:val="67FA2D0A"/>
    <w:rsid w:val="67FB002E"/>
    <w:rsid w:val="67FE576B"/>
    <w:rsid w:val="680824B8"/>
    <w:rsid w:val="68111632"/>
    <w:rsid w:val="68112A26"/>
    <w:rsid w:val="681F15E7"/>
    <w:rsid w:val="681F6961"/>
    <w:rsid w:val="68250E60"/>
    <w:rsid w:val="682D5AB2"/>
    <w:rsid w:val="68316D28"/>
    <w:rsid w:val="68464DC5"/>
    <w:rsid w:val="684A4454"/>
    <w:rsid w:val="685E3EBD"/>
    <w:rsid w:val="686076C4"/>
    <w:rsid w:val="68610A2F"/>
    <w:rsid w:val="686771F9"/>
    <w:rsid w:val="686D3D08"/>
    <w:rsid w:val="68801EDA"/>
    <w:rsid w:val="68805514"/>
    <w:rsid w:val="688109F7"/>
    <w:rsid w:val="688151A6"/>
    <w:rsid w:val="688E0885"/>
    <w:rsid w:val="688F623A"/>
    <w:rsid w:val="689701CE"/>
    <w:rsid w:val="68A90724"/>
    <w:rsid w:val="68AD61A1"/>
    <w:rsid w:val="68B1189A"/>
    <w:rsid w:val="68B37F7B"/>
    <w:rsid w:val="68B41D2F"/>
    <w:rsid w:val="68B80636"/>
    <w:rsid w:val="68BB5441"/>
    <w:rsid w:val="68C06101"/>
    <w:rsid w:val="68CA77A4"/>
    <w:rsid w:val="68DE20DD"/>
    <w:rsid w:val="68E11F79"/>
    <w:rsid w:val="68E24AEE"/>
    <w:rsid w:val="68E51EE8"/>
    <w:rsid w:val="68E5454A"/>
    <w:rsid w:val="68E87C2B"/>
    <w:rsid w:val="68EF2D67"/>
    <w:rsid w:val="68F33F8B"/>
    <w:rsid w:val="68F4269F"/>
    <w:rsid w:val="68F42D75"/>
    <w:rsid w:val="68F4457C"/>
    <w:rsid w:val="690029E7"/>
    <w:rsid w:val="690207DE"/>
    <w:rsid w:val="691725DD"/>
    <w:rsid w:val="691B58D9"/>
    <w:rsid w:val="691E3221"/>
    <w:rsid w:val="69222494"/>
    <w:rsid w:val="69231358"/>
    <w:rsid w:val="69316BBB"/>
    <w:rsid w:val="69316E2F"/>
    <w:rsid w:val="69386A23"/>
    <w:rsid w:val="693D1D24"/>
    <w:rsid w:val="694E2071"/>
    <w:rsid w:val="6954706E"/>
    <w:rsid w:val="696077C1"/>
    <w:rsid w:val="69610C0B"/>
    <w:rsid w:val="69660B38"/>
    <w:rsid w:val="696866A8"/>
    <w:rsid w:val="696B4C40"/>
    <w:rsid w:val="69744EB2"/>
    <w:rsid w:val="69766163"/>
    <w:rsid w:val="69792F70"/>
    <w:rsid w:val="697A3B33"/>
    <w:rsid w:val="697D3F0C"/>
    <w:rsid w:val="69820094"/>
    <w:rsid w:val="6989120F"/>
    <w:rsid w:val="698B4E5C"/>
    <w:rsid w:val="69A41DA4"/>
    <w:rsid w:val="69AC0C58"/>
    <w:rsid w:val="69AE7A85"/>
    <w:rsid w:val="69C53789"/>
    <w:rsid w:val="69C543FF"/>
    <w:rsid w:val="69CC12FA"/>
    <w:rsid w:val="69CC6B46"/>
    <w:rsid w:val="69D44760"/>
    <w:rsid w:val="69DD4DCA"/>
    <w:rsid w:val="69E0538F"/>
    <w:rsid w:val="69E4743C"/>
    <w:rsid w:val="69F043E5"/>
    <w:rsid w:val="69F87E3A"/>
    <w:rsid w:val="6A002AFF"/>
    <w:rsid w:val="6A002D52"/>
    <w:rsid w:val="6A0171F6"/>
    <w:rsid w:val="6A1370E4"/>
    <w:rsid w:val="6A293B5F"/>
    <w:rsid w:val="6A38073E"/>
    <w:rsid w:val="6A3D63C5"/>
    <w:rsid w:val="6A3D6D1A"/>
    <w:rsid w:val="6A42336B"/>
    <w:rsid w:val="6A464C09"/>
    <w:rsid w:val="6A4A0059"/>
    <w:rsid w:val="6A4A44C2"/>
    <w:rsid w:val="6A505B30"/>
    <w:rsid w:val="6A520EC7"/>
    <w:rsid w:val="6A5365EF"/>
    <w:rsid w:val="6A5A2F49"/>
    <w:rsid w:val="6A5F516B"/>
    <w:rsid w:val="6A635A56"/>
    <w:rsid w:val="6A6713F1"/>
    <w:rsid w:val="6A6D03E7"/>
    <w:rsid w:val="6A815135"/>
    <w:rsid w:val="6A821001"/>
    <w:rsid w:val="6A831A08"/>
    <w:rsid w:val="6A854511"/>
    <w:rsid w:val="6A8B6AC0"/>
    <w:rsid w:val="6A8F1230"/>
    <w:rsid w:val="6A955B90"/>
    <w:rsid w:val="6AA675F4"/>
    <w:rsid w:val="6AA82B72"/>
    <w:rsid w:val="6AB26742"/>
    <w:rsid w:val="6AB53B3C"/>
    <w:rsid w:val="6ABE50E7"/>
    <w:rsid w:val="6AC20357"/>
    <w:rsid w:val="6AC42AC8"/>
    <w:rsid w:val="6ACB3360"/>
    <w:rsid w:val="6AD060A4"/>
    <w:rsid w:val="6ADB61EC"/>
    <w:rsid w:val="6AE342D7"/>
    <w:rsid w:val="6AED32D6"/>
    <w:rsid w:val="6AF51572"/>
    <w:rsid w:val="6AF60B5D"/>
    <w:rsid w:val="6AF87E20"/>
    <w:rsid w:val="6AF91C7B"/>
    <w:rsid w:val="6B032AFA"/>
    <w:rsid w:val="6B0A032C"/>
    <w:rsid w:val="6B0A5C6F"/>
    <w:rsid w:val="6B0B0CBA"/>
    <w:rsid w:val="6B0C71AC"/>
    <w:rsid w:val="6B146AB5"/>
    <w:rsid w:val="6B152326"/>
    <w:rsid w:val="6B1C1E0E"/>
    <w:rsid w:val="6B1C459A"/>
    <w:rsid w:val="6B1F47E9"/>
    <w:rsid w:val="6B230079"/>
    <w:rsid w:val="6B245E78"/>
    <w:rsid w:val="6B2B1AA0"/>
    <w:rsid w:val="6B322639"/>
    <w:rsid w:val="6B364202"/>
    <w:rsid w:val="6B3E1D84"/>
    <w:rsid w:val="6B417365"/>
    <w:rsid w:val="6B462A33"/>
    <w:rsid w:val="6B4D1AC1"/>
    <w:rsid w:val="6B5001A9"/>
    <w:rsid w:val="6B50456D"/>
    <w:rsid w:val="6B5578A2"/>
    <w:rsid w:val="6B5908AC"/>
    <w:rsid w:val="6B5A42EE"/>
    <w:rsid w:val="6B5B3B53"/>
    <w:rsid w:val="6B5E5F82"/>
    <w:rsid w:val="6B600D5D"/>
    <w:rsid w:val="6B627B44"/>
    <w:rsid w:val="6B6C2F83"/>
    <w:rsid w:val="6B797F1B"/>
    <w:rsid w:val="6B7D0AFE"/>
    <w:rsid w:val="6B827FE1"/>
    <w:rsid w:val="6B8F25DF"/>
    <w:rsid w:val="6B930322"/>
    <w:rsid w:val="6B977660"/>
    <w:rsid w:val="6B990069"/>
    <w:rsid w:val="6B9D11E6"/>
    <w:rsid w:val="6BA51DA3"/>
    <w:rsid w:val="6BA93342"/>
    <w:rsid w:val="6BAA55ED"/>
    <w:rsid w:val="6BAB3B2D"/>
    <w:rsid w:val="6BB12556"/>
    <w:rsid w:val="6BB169FA"/>
    <w:rsid w:val="6BB174E6"/>
    <w:rsid w:val="6BB34520"/>
    <w:rsid w:val="6BB67692"/>
    <w:rsid w:val="6BBB1626"/>
    <w:rsid w:val="6BC232A1"/>
    <w:rsid w:val="6BD239CF"/>
    <w:rsid w:val="6BD3322C"/>
    <w:rsid w:val="6BD350CE"/>
    <w:rsid w:val="6BD44496"/>
    <w:rsid w:val="6BD86A6C"/>
    <w:rsid w:val="6BE966F2"/>
    <w:rsid w:val="6BF0181F"/>
    <w:rsid w:val="6BF377C7"/>
    <w:rsid w:val="6BFD2FD9"/>
    <w:rsid w:val="6BFD3618"/>
    <w:rsid w:val="6C0532B1"/>
    <w:rsid w:val="6C0B61E7"/>
    <w:rsid w:val="6C0C4239"/>
    <w:rsid w:val="6C155F65"/>
    <w:rsid w:val="6C280A8C"/>
    <w:rsid w:val="6C29005D"/>
    <w:rsid w:val="6C2A4B84"/>
    <w:rsid w:val="6C2C53CF"/>
    <w:rsid w:val="6C2D5504"/>
    <w:rsid w:val="6C3F709E"/>
    <w:rsid w:val="6C467142"/>
    <w:rsid w:val="6C4A6831"/>
    <w:rsid w:val="6C4E2B8B"/>
    <w:rsid w:val="6C5B75B1"/>
    <w:rsid w:val="6C636C38"/>
    <w:rsid w:val="6C6628BD"/>
    <w:rsid w:val="6C691001"/>
    <w:rsid w:val="6C6C7807"/>
    <w:rsid w:val="6C6E6699"/>
    <w:rsid w:val="6C703EF9"/>
    <w:rsid w:val="6C757348"/>
    <w:rsid w:val="6C7B0AA5"/>
    <w:rsid w:val="6C7D7FD2"/>
    <w:rsid w:val="6C823D70"/>
    <w:rsid w:val="6C860260"/>
    <w:rsid w:val="6C8E1383"/>
    <w:rsid w:val="6C9110BB"/>
    <w:rsid w:val="6C922A82"/>
    <w:rsid w:val="6C947250"/>
    <w:rsid w:val="6C9F26C9"/>
    <w:rsid w:val="6CA43A39"/>
    <w:rsid w:val="6CBD5E76"/>
    <w:rsid w:val="6CBD6D37"/>
    <w:rsid w:val="6CC25E91"/>
    <w:rsid w:val="6CC43DE8"/>
    <w:rsid w:val="6CC50F4A"/>
    <w:rsid w:val="6CD7423E"/>
    <w:rsid w:val="6CE539B7"/>
    <w:rsid w:val="6CF44DF0"/>
    <w:rsid w:val="6CFC2298"/>
    <w:rsid w:val="6D0163AF"/>
    <w:rsid w:val="6D020337"/>
    <w:rsid w:val="6D036DE1"/>
    <w:rsid w:val="6D06067F"/>
    <w:rsid w:val="6D06071E"/>
    <w:rsid w:val="6D085B10"/>
    <w:rsid w:val="6D1014FE"/>
    <w:rsid w:val="6D1504AB"/>
    <w:rsid w:val="6D17149A"/>
    <w:rsid w:val="6D1D180E"/>
    <w:rsid w:val="6D227C85"/>
    <w:rsid w:val="6D2A25C0"/>
    <w:rsid w:val="6D2A5418"/>
    <w:rsid w:val="6D2D6865"/>
    <w:rsid w:val="6D2F407A"/>
    <w:rsid w:val="6D3431D1"/>
    <w:rsid w:val="6D372F2F"/>
    <w:rsid w:val="6D3821A2"/>
    <w:rsid w:val="6D3D6435"/>
    <w:rsid w:val="6D3E2CF3"/>
    <w:rsid w:val="6D415B41"/>
    <w:rsid w:val="6D4F08D0"/>
    <w:rsid w:val="6D5B3752"/>
    <w:rsid w:val="6D5C3508"/>
    <w:rsid w:val="6D5D2876"/>
    <w:rsid w:val="6D674333"/>
    <w:rsid w:val="6D6E56B8"/>
    <w:rsid w:val="6D702A7D"/>
    <w:rsid w:val="6D736E0F"/>
    <w:rsid w:val="6D7647B3"/>
    <w:rsid w:val="6D782D75"/>
    <w:rsid w:val="6D817557"/>
    <w:rsid w:val="6D821E3B"/>
    <w:rsid w:val="6D890FF5"/>
    <w:rsid w:val="6D8F7E69"/>
    <w:rsid w:val="6DA30E69"/>
    <w:rsid w:val="6DA6368F"/>
    <w:rsid w:val="6DAC1227"/>
    <w:rsid w:val="6DB34098"/>
    <w:rsid w:val="6DB353D5"/>
    <w:rsid w:val="6DB545B6"/>
    <w:rsid w:val="6DC17B39"/>
    <w:rsid w:val="6DC67763"/>
    <w:rsid w:val="6DCD2CD4"/>
    <w:rsid w:val="6DCE26CE"/>
    <w:rsid w:val="6DD33FC3"/>
    <w:rsid w:val="6DD84A0A"/>
    <w:rsid w:val="6DDF5493"/>
    <w:rsid w:val="6DE02FB4"/>
    <w:rsid w:val="6DE611E8"/>
    <w:rsid w:val="6E002423"/>
    <w:rsid w:val="6E054DDB"/>
    <w:rsid w:val="6E0C170B"/>
    <w:rsid w:val="6E104CE8"/>
    <w:rsid w:val="6E1128E7"/>
    <w:rsid w:val="6E115094"/>
    <w:rsid w:val="6E1B39E0"/>
    <w:rsid w:val="6E211A07"/>
    <w:rsid w:val="6E22598D"/>
    <w:rsid w:val="6E245EB2"/>
    <w:rsid w:val="6E2551EB"/>
    <w:rsid w:val="6E2F55C6"/>
    <w:rsid w:val="6E3253D7"/>
    <w:rsid w:val="6E325925"/>
    <w:rsid w:val="6E357B39"/>
    <w:rsid w:val="6E380D0C"/>
    <w:rsid w:val="6E3A7F52"/>
    <w:rsid w:val="6E3D27C7"/>
    <w:rsid w:val="6E3D33F0"/>
    <w:rsid w:val="6E3F3BA1"/>
    <w:rsid w:val="6E4266A1"/>
    <w:rsid w:val="6E446416"/>
    <w:rsid w:val="6E4678CD"/>
    <w:rsid w:val="6E4868B3"/>
    <w:rsid w:val="6E4A371F"/>
    <w:rsid w:val="6E500775"/>
    <w:rsid w:val="6E514CED"/>
    <w:rsid w:val="6E5A3B6D"/>
    <w:rsid w:val="6E5A6A6D"/>
    <w:rsid w:val="6E5B4EFA"/>
    <w:rsid w:val="6E5D25E8"/>
    <w:rsid w:val="6E601C3D"/>
    <w:rsid w:val="6E640F6D"/>
    <w:rsid w:val="6E646B5E"/>
    <w:rsid w:val="6E6A3F37"/>
    <w:rsid w:val="6E761593"/>
    <w:rsid w:val="6E7E7CA1"/>
    <w:rsid w:val="6E804E08"/>
    <w:rsid w:val="6E860357"/>
    <w:rsid w:val="6E87439F"/>
    <w:rsid w:val="6E891169"/>
    <w:rsid w:val="6E947E46"/>
    <w:rsid w:val="6E964EF7"/>
    <w:rsid w:val="6EA47AC0"/>
    <w:rsid w:val="6EA52BA2"/>
    <w:rsid w:val="6EAF7543"/>
    <w:rsid w:val="6EB02F99"/>
    <w:rsid w:val="6EB32A89"/>
    <w:rsid w:val="6EB41174"/>
    <w:rsid w:val="6EB563D5"/>
    <w:rsid w:val="6EB968C8"/>
    <w:rsid w:val="6EBE3907"/>
    <w:rsid w:val="6EC24A7A"/>
    <w:rsid w:val="6EC80EA7"/>
    <w:rsid w:val="6ECB7463"/>
    <w:rsid w:val="6ECC6B03"/>
    <w:rsid w:val="6ECE2D4F"/>
    <w:rsid w:val="6ECF3C5C"/>
    <w:rsid w:val="6ED70525"/>
    <w:rsid w:val="6ED722D3"/>
    <w:rsid w:val="6ED77B28"/>
    <w:rsid w:val="6ED87935"/>
    <w:rsid w:val="6ED92677"/>
    <w:rsid w:val="6EDB6678"/>
    <w:rsid w:val="6EE02EAE"/>
    <w:rsid w:val="6EE175F6"/>
    <w:rsid w:val="6EE45BEE"/>
    <w:rsid w:val="6EF8049C"/>
    <w:rsid w:val="6EFC3CD8"/>
    <w:rsid w:val="6F044770"/>
    <w:rsid w:val="6F103A37"/>
    <w:rsid w:val="6F176B74"/>
    <w:rsid w:val="6F1C1FDC"/>
    <w:rsid w:val="6F1C7499"/>
    <w:rsid w:val="6F1D1E36"/>
    <w:rsid w:val="6F1D79C8"/>
    <w:rsid w:val="6F225983"/>
    <w:rsid w:val="6F250B0B"/>
    <w:rsid w:val="6F262B32"/>
    <w:rsid w:val="6F2C6CEF"/>
    <w:rsid w:val="6F521B01"/>
    <w:rsid w:val="6F6231AE"/>
    <w:rsid w:val="6F6561FB"/>
    <w:rsid w:val="6F660B27"/>
    <w:rsid w:val="6F6E4190"/>
    <w:rsid w:val="6F72024E"/>
    <w:rsid w:val="6F741C1C"/>
    <w:rsid w:val="6F79567C"/>
    <w:rsid w:val="6F7D1B88"/>
    <w:rsid w:val="6F955AE3"/>
    <w:rsid w:val="6F957109"/>
    <w:rsid w:val="6F967FDD"/>
    <w:rsid w:val="6FA059FB"/>
    <w:rsid w:val="6FA104FB"/>
    <w:rsid w:val="6FA711B6"/>
    <w:rsid w:val="6FA926F7"/>
    <w:rsid w:val="6FAC39ED"/>
    <w:rsid w:val="6FB07482"/>
    <w:rsid w:val="6FB42615"/>
    <w:rsid w:val="6FB46AB9"/>
    <w:rsid w:val="6FC67295"/>
    <w:rsid w:val="6FCA008A"/>
    <w:rsid w:val="6FCB5B0A"/>
    <w:rsid w:val="6FD1780F"/>
    <w:rsid w:val="6FD27877"/>
    <w:rsid w:val="6FEC1DAE"/>
    <w:rsid w:val="6FEF4E3B"/>
    <w:rsid w:val="6FF0585F"/>
    <w:rsid w:val="6FF761F7"/>
    <w:rsid w:val="6FFC5590"/>
    <w:rsid w:val="70001CFE"/>
    <w:rsid w:val="70010967"/>
    <w:rsid w:val="70051BAB"/>
    <w:rsid w:val="700F0193"/>
    <w:rsid w:val="70113C31"/>
    <w:rsid w:val="701C7E23"/>
    <w:rsid w:val="701D28B0"/>
    <w:rsid w:val="701E6613"/>
    <w:rsid w:val="702B1403"/>
    <w:rsid w:val="70366FEF"/>
    <w:rsid w:val="703F3146"/>
    <w:rsid w:val="70402F96"/>
    <w:rsid w:val="70457015"/>
    <w:rsid w:val="70487E36"/>
    <w:rsid w:val="704A4DD1"/>
    <w:rsid w:val="704C43D3"/>
    <w:rsid w:val="704F1613"/>
    <w:rsid w:val="7050603E"/>
    <w:rsid w:val="70591269"/>
    <w:rsid w:val="70596D82"/>
    <w:rsid w:val="705A7115"/>
    <w:rsid w:val="705D4A5A"/>
    <w:rsid w:val="70614B2D"/>
    <w:rsid w:val="70626515"/>
    <w:rsid w:val="706461C9"/>
    <w:rsid w:val="706D1DD0"/>
    <w:rsid w:val="707B59DB"/>
    <w:rsid w:val="707C31C8"/>
    <w:rsid w:val="707D5372"/>
    <w:rsid w:val="7080699B"/>
    <w:rsid w:val="70844A10"/>
    <w:rsid w:val="70856B87"/>
    <w:rsid w:val="708B7892"/>
    <w:rsid w:val="708C71DE"/>
    <w:rsid w:val="70952446"/>
    <w:rsid w:val="709541F4"/>
    <w:rsid w:val="70A80670"/>
    <w:rsid w:val="70A9331A"/>
    <w:rsid w:val="70AC7790"/>
    <w:rsid w:val="70AE1FCB"/>
    <w:rsid w:val="70AF0D7E"/>
    <w:rsid w:val="70B25A9A"/>
    <w:rsid w:val="70BE28AC"/>
    <w:rsid w:val="70D02CF9"/>
    <w:rsid w:val="70D527EE"/>
    <w:rsid w:val="70D641BB"/>
    <w:rsid w:val="70D705C8"/>
    <w:rsid w:val="70D76E01"/>
    <w:rsid w:val="70DD1184"/>
    <w:rsid w:val="70E269F8"/>
    <w:rsid w:val="70E61857"/>
    <w:rsid w:val="70F203AC"/>
    <w:rsid w:val="70F51137"/>
    <w:rsid w:val="710634BE"/>
    <w:rsid w:val="71067F0D"/>
    <w:rsid w:val="710B4808"/>
    <w:rsid w:val="710B7F20"/>
    <w:rsid w:val="711E44E7"/>
    <w:rsid w:val="71223A73"/>
    <w:rsid w:val="71254302"/>
    <w:rsid w:val="712911D5"/>
    <w:rsid w:val="71436346"/>
    <w:rsid w:val="71494FDF"/>
    <w:rsid w:val="71500A63"/>
    <w:rsid w:val="715045BF"/>
    <w:rsid w:val="71505F27"/>
    <w:rsid w:val="7156374D"/>
    <w:rsid w:val="715722E5"/>
    <w:rsid w:val="715A4798"/>
    <w:rsid w:val="715B5300"/>
    <w:rsid w:val="715E4353"/>
    <w:rsid w:val="716B13F9"/>
    <w:rsid w:val="71714110"/>
    <w:rsid w:val="717577BF"/>
    <w:rsid w:val="717C3606"/>
    <w:rsid w:val="718304F0"/>
    <w:rsid w:val="718F158B"/>
    <w:rsid w:val="71914188"/>
    <w:rsid w:val="719313BB"/>
    <w:rsid w:val="719C372A"/>
    <w:rsid w:val="71A62B86"/>
    <w:rsid w:val="71B44B4E"/>
    <w:rsid w:val="71C307FC"/>
    <w:rsid w:val="71C815FF"/>
    <w:rsid w:val="71CA30A8"/>
    <w:rsid w:val="71D27F8A"/>
    <w:rsid w:val="71D64AC4"/>
    <w:rsid w:val="71DB657E"/>
    <w:rsid w:val="71DF7053"/>
    <w:rsid w:val="71E074FF"/>
    <w:rsid w:val="71E24EDD"/>
    <w:rsid w:val="71E55CDB"/>
    <w:rsid w:val="71E975D0"/>
    <w:rsid w:val="71EC2F0F"/>
    <w:rsid w:val="71ED5A6A"/>
    <w:rsid w:val="71ED7581"/>
    <w:rsid w:val="71F12BDE"/>
    <w:rsid w:val="71FF3707"/>
    <w:rsid w:val="72005FE5"/>
    <w:rsid w:val="720D7FBB"/>
    <w:rsid w:val="721C17CC"/>
    <w:rsid w:val="721E6107"/>
    <w:rsid w:val="72207836"/>
    <w:rsid w:val="72261FA8"/>
    <w:rsid w:val="722B48A7"/>
    <w:rsid w:val="72366EF7"/>
    <w:rsid w:val="723B04D8"/>
    <w:rsid w:val="723E08BB"/>
    <w:rsid w:val="7242215A"/>
    <w:rsid w:val="724B7271"/>
    <w:rsid w:val="72553024"/>
    <w:rsid w:val="72613417"/>
    <w:rsid w:val="727C14DD"/>
    <w:rsid w:val="728F2DFD"/>
    <w:rsid w:val="72935C35"/>
    <w:rsid w:val="72B73936"/>
    <w:rsid w:val="72C4106B"/>
    <w:rsid w:val="72C82FB9"/>
    <w:rsid w:val="72CC1F5C"/>
    <w:rsid w:val="72CC2B2E"/>
    <w:rsid w:val="72D670AF"/>
    <w:rsid w:val="72DA1EE8"/>
    <w:rsid w:val="72DE39B3"/>
    <w:rsid w:val="72DE55FF"/>
    <w:rsid w:val="72DF5BFA"/>
    <w:rsid w:val="72E208FB"/>
    <w:rsid w:val="72E334FD"/>
    <w:rsid w:val="72E8347E"/>
    <w:rsid w:val="72FB3AAF"/>
    <w:rsid w:val="73060E0F"/>
    <w:rsid w:val="730C3354"/>
    <w:rsid w:val="73100899"/>
    <w:rsid w:val="73122968"/>
    <w:rsid w:val="731253C6"/>
    <w:rsid w:val="731C6E4F"/>
    <w:rsid w:val="731F5D5E"/>
    <w:rsid w:val="732A69DB"/>
    <w:rsid w:val="73331484"/>
    <w:rsid w:val="73351B15"/>
    <w:rsid w:val="73366C23"/>
    <w:rsid w:val="73383726"/>
    <w:rsid w:val="733D59B1"/>
    <w:rsid w:val="7340774D"/>
    <w:rsid w:val="73412411"/>
    <w:rsid w:val="7344657D"/>
    <w:rsid w:val="734B5353"/>
    <w:rsid w:val="734C372D"/>
    <w:rsid w:val="734D2E95"/>
    <w:rsid w:val="735A1C79"/>
    <w:rsid w:val="73644352"/>
    <w:rsid w:val="73651F63"/>
    <w:rsid w:val="73680895"/>
    <w:rsid w:val="736B748E"/>
    <w:rsid w:val="736C4032"/>
    <w:rsid w:val="7370719A"/>
    <w:rsid w:val="73723496"/>
    <w:rsid w:val="73751BAB"/>
    <w:rsid w:val="737D11FC"/>
    <w:rsid w:val="738242B7"/>
    <w:rsid w:val="738467A2"/>
    <w:rsid w:val="73862CFA"/>
    <w:rsid w:val="738B03F5"/>
    <w:rsid w:val="73905147"/>
    <w:rsid w:val="739469F5"/>
    <w:rsid w:val="7396585D"/>
    <w:rsid w:val="739778BD"/>
    <w:rsid w:val="739B291F"/>
    <w:rsid w:val="739C23F3"/>
    <w:rsid w:val="739E3FFD"/>
    <w:rsid w:val="73A40BF2"/>
    <w:rsid w:val="73A6496A"/>
    <w:rsid w:val="73AB03FF"/>
    <w:rsid w:val="73AC6585"/>
    <w:rsid w:val="73B272DC"/>
    <w:rsid w:val="73B83462"/>
    <w:rsid w:val="73BC5F3C"/>
    <w:rsid w:val="73BF77DA"/>
    <w:rsid w:val="73C51AD5"/>
    <w:rsid w:val="73CA0B9B"/>
    <w:rsid w:val="73CA21DF"/>
    <w:rsid w:val="73CB51CD"/>
    <w:rsid w:val="73DB2B08"/>
    <w:rsid w:val="73DD7CA5"/>
    <w:rsid w:val="73E24D05"/>
    <w:rsid w:val="73E5502A"/>
    <w:rsid w:val="73E9224C"/>
    <w:rsid w:val="73EA4C33"/>
    <w:rsid w:val="73F14BE1"/>
    <w:rsid w:val="73F27127"/>
    <w:rsid w:val="73F85278"/>
    <w:rsid w:val="73FB4238"/>
    <w:rsid w:val="740A0C92"/>
    <w:rsid w:val="740D2C3B"/>
    <w:rsid w:val="74163E96"/>
    <w:rsid w:val="741E793C"/>
    <w:rsid w:val="7423694A"/>
    <w:rsid w:val="74393846"/>
    <w:rsid w:val="743E46A4"/>
    <w:rsid w:val="74534AF2"/>
    <w:rsid w:val="74553554"/>
    <w:rsid w:val="745E3944"/>
    <w:rsid w:val="745F4337"/>
    <w:rsid w:val="74620ED1"/>
    <w:rsid w:val="747E1633"/>
    <w:rsid w:val="747E1BAA"/>
    <w:rsid w:val="748051BB"/>
    <w:rsid w:val="748A68CD"/>
    <w:rsid w:val="748B7602"/>
    <w:rsid w:val="748D77C3"/>
    <w:rsid w:val="748E30F9"/>
    <w:rsid w:val="7492049D"/>
    <w:rsid w:val="749D2695"/>
    <w:rsid w:val="749D2A88"/>
    <w:rsid w:val="74A971C5"/>
    <w:rsid w:val="74B62D1C"/>
    <w:rsid w:val="74BC7D56"/>
    <w:rsid w:val="74C25794"/>
    <w:rsid w:val="74C40A81"/>
    <w:rsid w:val="74C42E5D"/>
    <w:rsid w:val="74C63A9A"/>
    <w:rsid w:val="74D340AD"/>
    <w:rsid w:val="74D472B5"/>
    <w:rsid w:val="74D635AE"/>
    <w:rsid w:val="74D83BF4"/>
    <w:rsid w:val="74DC3103"/>
    <w:rsid w:val="74E13C6E"/>
    <w:rsid w:val="74E43B55"/>
    <w:rsid w:val="74E6027A"/>
    <w:rsid w:val="74EB06B8"/>
    <w:rsid w:val="74EC7E2D"/>
    <w:rsid w:val="74F07093"/>
    <w:rsid w:val="74F4125F"/>
    <w:rsid w:val="74FA4F6E"/>
    <w:rsid w:val="74FC053B"/>
    <w:rsid w:val="7507726C"/>
    <w:rsid w:val="750A24AA"/>
    <w:rsid w:val="75125A45"/>
    <w:rsid w:val="75165853"/>
    <w:rsid w:val="75175B20"/>
    <w:rsid w:val="751A2E98"/>
    <w:rsid w:val="751B4EE4"/>
    <w:rsid w:val="751F5EC7"/>
    <w:rsid w:val="75235758"/>
    <w:rsid w:val="752358AA"/>
    <w:rsid w:val="752A4AE5"/>
    <w:rsid w:val="752B15CB"/>
    <w:rsid w:val="752E6EA6"/>
    <w:rsid w:val="753240FC"/>
    <w:rsid w:val="75367F1E"/>
    <w:rsid w:val="753961D2"/>
    <w:rsid w:val="7549760A"/>
    <w:rsid w:val="754E6641"/>
    <w:rsid w:val="75542A11"/>
    <w:rsid w:val="75596138"/>
    <w:rsid w:val="756306CE"/>
    <w:rsid w:val="75641AF4"/>
    <w:rsid w:val="75762032"/>
    <w:rsid w:val="757F2E02"/>
    <w:rsid w:val="75811EE1"/>
    <w:rsid w:val="758D470B"/>
    <w:rsid w:val="75945561"/>
    <w:rsid w:val="759477CF"/>
    <w:rsid w:val="75B81A9A"/>
    <w:rsid w:val="75BA734C"/>
    <w:rsid w:val="75C37A55"/>
    <w:rsid w:val="75C53271"/>
    <w:rsid w:val="75C87BAE"/>
    <w:rsid w:val="75CC3A34"/>
    <w:rsid w:val="75D06498"/>
    <w:rsid w:val="75D30FE8"/>
    <w:rsid w:val="75DB4DA2"/>
    <w:rsid w:val="75E4177A"/>
    <w:rsid w:val="75EE71F0"/>
    <w:rsid w:val="75F43C68"/>
    <w:rsid w:val="75F63B43"/>
    <w:rsid w:val="75F76367"/>
    <w:rsid w:val="75FA0295"/>
    <w:rsid w:val="75FC0792"/>
    <w:rsid w:val="75FF5700"/>
    <w:rsid w:val="760B6B14"/>
    <w:rsid w:val="760E4A86"/>
    <w:rsid w:val="761356BA"/>
    <w:rsid w:val="76243FBC"/>
    <w:rsid w:val="7625375C"/>
    <w:rsid w:val="762B640E"/>
    <w:rsid w:val="763224E5"/>
    <w:rsid w:val="7635099D"/>
    <w:rsid w:val="76395EC7"/>
    <w:rsid w:val="763E597F"/>
    <w:rsid w:val="764542F9"/>
    <w:rsid w:val="76491243"/>
    <w:rsid w:val="764B312E"/>
    <w:rsid w:val="76562678"/>
    <w:rsid w:val="76564426"/>
    <w:rsid w:val="76607443"/>
    <w:rsid w:val="766233FA"/>
    <w:rsid w:val="76686A89"/>
    <w:rsid w:val="76734614"/>
    <w:rsid w:val="768253D3"/>
    <w:rsid w:val="768744F8"/>
    <w:rsid w:val="768953BE"/>
    <w:rsid w:val="76915192"/>
    <w:rsid w:val="76975B35"/>
    <w:rsid w:val="769F7746"/>
    <w:rsid w:val="76AB3079"/>
    <w:rsid w:val="76B53F73"/>
    <w:rsid w:val="76C027A1"/>
    <w:rsid w:val="76C03B0F"/>
    <w:rsid w:val="76C165CC"/>
    <w:rsid w:val="76C818C0"/>
    <w:rsid w:val="76D4722D"/>
    <w:rsid w:val="76D812DE"/>
    <w:rsid w:val="76E11C10"/>
    <w:rsid w:val="76E175C3"/>
    <w:rsid w:val="76E40AD6"/>
    <w:rsid w:val="76E44CFC"/>
    <w:rsid w:val="76E626B5"/>
    <w:rsid w:val="76EA2457"/>
    <w:rsid w:val="76ED6663"/>
    <w:rsid w:val="76F14976"/>
    <w:rsid w:val="76F5244C"/>
    <w:rsid w:val="76F57A12"/>
    <w:rsid w:val="76F65C09"/>
    <w:rsid w:val="76FF686B"/>
    <w:rsid w:val="77067270"/>
    <w:rsid w:val="77145C59"/>
    <w:rsid w:val="77171153"/>
    <w:rsid w:val="77187289"/>
    <w:rsid w:val="771E0C52"/>
    <w:rsid w:val="771F047F"/>
    <w:rsid w:val="77243CA6"/>
    <w:rsid w:val="772938E8"/>
    <w:rsid w:val="772A5749"/>
    <w:rsid w:val="773249C2"/>
    <w:rsid w:val="77364257"/>
    <w:rsid w:val="7737274D"/>
    <w:rsid w:val="773751B7"/>
    <w:rsid w:val="773D3837"/>
    <w:rsid w:val="774622C7"/>
    <w:rsid w:val="77476464"/>
    <w:rsid w:val="774B0FD3"/>
    <w:rsid w:val="775A322D"/>
    <w:rsid w:val="775B60FB"/>
    <w:rsid w:val="775D5D94"/>
    <w:rsid w:val="775F3271"/>
    <w:rsid w:val="77664B3C"/>
    <w:rsid w:val="777232A7"/>
    <w:rsid w:val="77762421"/>
    <w:rsid w:val="778154D2"/>
    <w:rsid w:val="7782124A"/>
    <w:rsid w:val="7786326C"/>
    <w:rsid w:val="778A36AA"/>
    <w:rsid w:val="778E7F1C"/>
    <w:rsid w:val="77901BB9"/>
    <w:rsid w:val="779274AC"/>
    <w:rsid w:val="779A2A38"/>
    <w:rsid w:val="779C3250"/>
    <w:rsid w:val="779D7E32"/>
    <w:rsid w:val="77A85155"/>
    <w:rsid w:val="77AF7C75"/>
    <w:rsid w:val="77B20097"/>
    <w:rsid w:val="77B316C5"/>
    <w:rsid w:val="77B43AFA"/>
    <w:rsid w:val="77B56B1F"/>
    <w:rsid w:val="77B75398"/>
    <w:rsid w:val="77BC106D"/>
    <w:rsid w:val="77C41E54"/>
    <w:rsid w:val="77C63DCA"/>
    <w:rsid w:val="77C71351"/>
    <w:rsid w:val="77D05932"/>
    <w:rsid w:val="77D667C3"/>
    <w:rsid w:val="77E5004A"/>
    <w:rsid w:val="77EB59DA"/>
    <w:rsid w:val="77EC0C58"/>
    <w:rsid w:val="77EE5675"/>
    <w:rsid w:val="77F2017E"/>
    <w:rsid w:val="77F74C86"/>
    <w:rsid w:val="78016507"/>
    <w:rsid w:val="78016613"/>
    <w:rsid w:val="780F09F4"/>
    <w:rsid w:val="78176B71"/>
    <w:rsid w:val="781C22A1"/>
    <w:rsid w:val="782645D1"/>
    <w:rsid w:val="78281DF2"/>
    <w:rsid w:val="782A631A"/>
    <w:rsid w:val="782F4942"/>
    <w:rsid w:val="78346ABB"/>
    <w:rsid w:val="78374CF1"/>
    <w:rsid w:val="783F52AF"/>
    <w:rsid w:val="7840771E"/>
    <w:rsid w:val="78484242"/>
    <w:rsid w:val="784C3D32"/>
    <w:rsid w:val="785904E4"/>
    <w:rsid w:val="785D5F3F"/>
    <w:rsid w:val="785F1189"/>
    <w:rsid w:val="7861702E"/>
    <w:rsid w:val="786332DA"/>
    <w:rsid w:val="78676FE0"/>
    <w:rsid w:val="786F60A6"/>
    <w:rsid w:val="78751D5C"/>
    <w:rsid w:val="7879264D"/>
    <w:rsid w:val="788334CC"/>
    <w:rsid w:val="78852DA0"/>
    <w:rsid w:val="788A6B34"/>
    <w:rsid w:val="788E4B09"/>
    <w:rsid w:val="7892522B"/>
    <w:rsid w:val="789B1DDF"/>
    <w:rsid w:val="789F65F4"/>
    <w:rsid w:val="78A3591C"/>
    <w:rsid w:val="78A551F0"/>
    <w:rsid w:val="78A6311C"/>
    <w:rsid w:val="78A7034B"/>
    <w:rsid w:val="78A84CE1"/>
    <w:rsid w:val="78A90480"/>
    <w:rsid w:val="78C364A3"/>
    <w:rsid w:val="78C70B90"/>
    <w:rsid w:val="78C74FCC"/>
    <w:rsid w:val="78CC2FE3"/>
    <w:rsid w:val="78CC48CA"/>
    <w:rsid w:val="78D12489"/>
    <w:rsid w:val="78D134C5"/>
    <w:rsid w:val="78D71CD7"/>
    <w:rsid w:val="78D87374"/>
    <w:rsid w:val="78D91281"/>
    <w:rsid w:val="78DA7437"/>
    <w:rsid w:val="78E13720"/>
    <w:rsid w:val="78E73A5B"/>
    <w:rsid w:val="78F148D9"/>
    <w:rsid w:val="78F2590C"/>
    <w:rsid w:val="78F637DD"/>
    <w:rsid w:val="790603C5"/>
    <w:rsid w:val="79064249"/>
    <w:rsid w:val="79070334"/>
    <w:rsid w:val="79107A90"/>
    <w:rsid w:val="79153E83"/>
    <w:rsid w:val="792A1B99"/>
    <w:rsid w:val="792F0F5E"/>
    <w:rsid w:val="79392C41"/>
    <w:rsid w:val="793A583C"/>
    <w:rsid w:val="793B3DA7"/>
    <w:rsid w:val="794F1862"/>
    <w:rsid w:val="79500B7C"/>
    <w:rsid w:val="79532E9E"/>
    <w:rsid w:val="7955205A"/>
    <w:rsid w:val="7956297A"/>
    <w:rsid w:val="795F1EF5"/>
    <w:rsid w:val="796055BB"/>
    <w:rsid w:val="7965278D"/>
    <w:rsid w:val="79662597"/>
    <w:rsid w:val="797E075C"/>
    <w:rsid w:val="797E7C8C"/>
    <w:rsid w:val="79955265"/>
    <w:rsid w:val="7997462D"/>
    <w:rsid w:val="799A645F"/>
    <w:rsid w:val="79A3098A"/>
    <w:rsid w:val="79A74FA7"/>
    <w:rsid w:val="79A85041"/>
    <w:rsid w:val="79AA4F40"/>
    <w:rsid w:val="79B261B5"/>
    <w:rsid w:val="79B3393D"/>
    <w:rsid w:val="79B672FA"/>
    <w:rsid w:val="79B866BA"/>
    <w:rsid w:val="79C15A08"/>
    <w:rsid w:val="79C97604"/>
    <w:rsid w:val="79C97C38"/>
    <w:rsid w:val="79CF7DC2"/>
    <w:rsid w:val="79D0663B"/>
    <w:rsid w:val="79D701CC"/>
    <w:rsid w:val="79DE0D09"/>
    <w:rsid w:val="79E7016D"/>
    <w:rsid w:val="79E8176D"/>
    <w:rsid w:val="79E96470"/>
    <w:rsid w:val="79EB37FE"/>
    <w:rsid w:val="79F027BD"/>
    <w:rsid w:val="79FE7354"/>
    <w:rsid w:val="7A0353FB"/>
    <w:rsid w:val="7A0526F6"/>
    <w:rsid w:val="7A097A01"/>
    <w:rsid w:val="7A0A1B8A"/>
    <w:rsid w:val="7A0E67F8"/>
    <w:rsid w:val="7A0F5E7D"/>
    <w:rsid w:val="7A1B0C4A"/>
    <w:rsid w:val="7A32718B"/>
    <w:rsid w:val="7A364017"/>
    <w:rsid w:val="7A391CE2"/>
    <w:rsid w:val="7A3E515A"/>
    <w:rsid w:val="7A43300F"/>
    <w:rsid w:val="7A454482"/>
    <w:rsid w:val="7A486953"/>
    <w:rsid w:val="7A532901"/>
    <w:rsid w:val="7A547432"/>
    <w:rsid w:val="7A5F5873"/>
    <w:rsid w:val="7A813FB4"/>
    <w:rsid w:val="7A8265E1"/>
    <w:rsid w:val="7A8F418F"/>
    <w:rsid w:val="7A93523B"/>
    <w:rsid w:val="7A98296C"/>
    <w:rsid w:val="7AA32925"/>
    <w:rsid w:val="7AA5597C"/>
    <w:rsid w:val="7AA97E2B"/>
    <w:rsid w:val="7AAF4FE3"/>
    <w:rsid w:val="7AB005CB"/>
    <w:rsid w:val="7AB719B7"/>
    <w:rsid w:val="7AB80792"/>
    <w:rsid w:val="7AB94F83"/>
    <w:rsid w:val="7ABB0CFB"/>
    <w:rsid w:val="7ABF19FF"/>
    <w:rsid w:val="7AC2243C"/>
    <w:rsid w:val="7AC45189"/>
    <w:rsid w:val="7ACF79AA"/>
    <w:rsid w:val="7AD32690"/>
    <w:rsid w:val="7ADB429A"/>
    <w:rsid w:val="7ADC532B"/>
    <w:rsid w:val="7AE23C5E"/>
    <w:rsid w:val="7AE30BBE"/>
    <w:rsid w:val="7AE446F6"/>
    <w:rsid w:val="7AEF309B"/>
    <w:rsid w:val="7AF20D94"/>
    <w:rsid w:val="7AF67F85"/>
    <w:rsid w:val="7AF74078"/>
    <w:rsid w:val="7AFA2F14"/>
    <w:rsid w:val="7B020D35"/>
    <w:rsid w:val="7B065E07"/>
    <w:rsid w:val="7B0D2D09"/>
    <w:rsid w:val="7B114E5F"/>
    <w:rsid w:val="7B154562"/>
    <w:rsid w:val="7B1554BA"/>
    <w:rsid w:val="7B1E74DC"/>
    <w:rsid w:val="7B22780F"/>
    <w:rsid w:val="7B252480"/>
    <w:rsid w:val="7B2A6E60"/>
    <w:rsid w:val="7B32428B"/>
    <w:rsid w:val="7B3F5DCD"/>
    <w:rsid w:val="7B3F6A8D"/>
    <w:rsid w:val="7B4C4049"/>
    <w:rsid w:val="7B4F28E1"/>
    <w:rsid w:val="7B535148"/>
    <w:rsid w:val="7B545B4C"/>
    <w:rsid w:val="7B5A1E4E"/>
    <w:rsid w:val="7B5B5CC6"/>
    <w:rsid w:val="7B67097E"/>
    <w:rsid w:val="7B670E83"/>
    <w:rsid w:val="7B671185"/>
    <w:rsid w:val="7B686D42"/>
    <w:rsid w:val="7B6B5D99"/>
    <w:rsid w:val="7B6C0F1B"/>
    <w:rsid w:val="7B6C68B5"/>
    <w:rsid w:val="7B7353E1"/>
    <w:rsid w:val="7B827A6B"/>
    <w:rsid w:val="7B840C12"/>
    <w:rsid w:val="7B841746"/>
    <w:rsid w:val="7BA94FF8"/>
    <w:rsid w:val="7BAB5B05"/>
    <w:rsid w:val="7BB92998"/>
    <w:rsid w:val="7BBB6917"/>
    <w:rsid w:val="7BBF0CBF"/>
    <w:rsid w:val="7BC33662"/>
    <w:rsid w:val="7BC82D80"/>
    <w:rsid w:val="7BC906DA"/>
    <w:rsid w:val="7BCF083C"/>
    <w:rsid w:val="7BE40725"/>
    <w:rsid w:val="7BF10231"/>
    <w:rsid w:val="7BF15087"/>
    <w:rsid w:val="7BF17E37"/>
    <w:rsid w:val="7BF5648F"/>
    <w:rsid w:val="7C011B0F"/>
    <w:rsid w:val="7C051ADF"/>
    <w:rsid w:val="7C1022A4"/>
    <w:rsid w:val="7C1032C9"/>
    <w:rsid w:val="7C127041"/>
    <w:rsid w:val="7C19210A"/>
    <w:rsid w:val="7C1F7E93"/>
    <w:rsid w:val="7C2E2432"/>
    <w:rsid w:val="7C445629"/>
    <w:rsid w:val="7C4D776D"/>
    <w:rsid w:val="7C4E4095"/>
    <w:rsid w:val="7C575699"/>
    <w:rsid w:val="7C5C3201"/>
    <w:rsid w:val="7C6333F8"/>
    <w:rsid w:val="7C647FAF"/>
    <w:rsid w:val="7C681A55"/>
    <w:rsid w:val="7C686F07"/>
    <w:rsid w:val="7C6947E9"/>
    <w:rsid w:val="7C6C5AC7"/>
    <w:rsid w:val="7C6D6D57"/>
    <w:rsid w:val="7C6F1D63"/>
    <w:rsid w:val="7C75312C"/>
    <w:rsid w:val="7C765821"/>
    <w:rsid w:val="7C7C1A0E"/>
    <w:rsid w:val="7C7E46D6"/>
    <w:rsid w:val="7C7F6D9F"/>
    <w:rsid w:val="7C857813"/>
    <w:rsid w:val="7C8C0651"/>
    <w:rsid w:val="7C956644"/>
    <w:rsid w:val="7C9C7A44"/>
    <w:rsid w:val="7CBC030C"/>
    <w:rsid w:val="7CBD6955"/>
    <w:rsid w:val="7CC16371"/>
    <w:rsid w:val="7CC36118"/>
    <w:rsid w:val="7CC6544B"/>
    <w:rsid w:val="7CC82897"/>
    <w:rsid w:val="7CD00BD1"/>
    <w:rsid w:val="7CD842FE"/>
    <w:rsid w:val="7CDD019B"/>
    <w:rsid w:val="7CF36E72"/>
    <w:rsid w:val="7CF37AE5"/>
    <w:rsid w:val="7CF67165"/>
    <w:rsid w:val="7CF76C5A"/>
    <w:rsid w:val="7CFB45DB"/>
    <w:rsid w:val="7CFD7E62"/>
    <w:rsid w:val="7D002776"/>
    <w:rsid w:val="7D0239FF"/>
    <w:rsid w:val="7D110B7F"/>
    <w:rsid w:val="7D126BCC"/>
    <w:rsid w:val="7D1369F5"/>
    <w:rsid w:val="7D142945"/>
    <w:rsid w:val="7D1F7C61"/>
    <w:rsid w:val="7D20753B"/>
    <w:rsid w:val="7D21346A"/>
    <w:rsid w:val="7D455D8A"/>
    <w:rsid w:val="7D474AC8"/>
    <w:rsid w:val="7D494CE4"/>
    <w:rsid w:val="7D4B5851"/>
    <w:rsid w:val="7D4D71D7"/>
    <w:rsid w:val="7D513B99"/>
    <w:rsid w:val="7D5351B4"/>
    <w:rsid w:val="7D5733E3"/>
    <w:rsid w:val="7D575C62"/>
    <w:rsid w:val="7D580BCB"/>
    <w:rsid w:val="7D5E40CD"/>
    <w:rsid w:val="7D605B8A"/>
    <w:rsid w:val="7D6944A7"/>
    <w:rsid w:val="7D6F5B7E"/>
    <w:rsid w:val="7D7013AD"/>
    <w:rsid w:val="7D725B6B"/>
    <w:rsid w:val="7D754E12"/>
    <w:rsid w:val="7D7A4E9D"/>
    <w:rsid w:val="7D7D2DCC"/>
    <w:rsid w:val="7D871368"/>
    <w:rsid w:val="7D8958D5"/>
    <w:rsid w:val="7D8B3E13"/>
    <w:rsid w:val="7D8B4764"/>
    <w:rsid w:val="7D8C2E23"/>
    <w:rsid w:val="7D950052"/>
    <w:rsid w:val="7D962E0D"/>
    <w:rsid w:val="7D9817C8"/>
    <w:rsid w:val="7D9828E7"/>
    <w:rsid w:val="7D9E1E2F"/>
    <w:rsid w:val="7DA051DD"/>
    <w:rsid w:val="7DA136E4"/>
    <w:rsid w:val="7DA764B0"/>
    <w:rsid w:val="7DA876C2"/>
    <w:rsid w:val="7DAA32A9"/>
    <w:rsid w:val="7DB22AB0"/>
    <w:rsid w:val="7DC266CD"/>
    <w:rsid w:val="7DC94583"/>
    <w:rsid w:val="7DCD56F2"/>
    <w:rsid w:val="7DE14E65"/>
    <w:rsid w:val="7DE56200"/>
    <w:rsid w:val="7DE93D62"/>
    <w:rsid w:val="7DF05160"/>
    <w:rsid w:val="7E0458B3"/>
    <w:rsid w:val="7E0E0A34"/>
    <w:rsid w:val="7E0E55E6"/>
    <w:rsid w:val="7E150545"/>
    <w:rsid w:val="7E162E27"/>
    <w:rsid w:val="7E391B77"/>
    <w:rsid w:val="7E3C7639"/>
    <w:rsid w:val="7E423B67"/>
    <w:rsid w:val="7E434F5D"/>
    <w:rsid w:val="7E436875"/>
    <w:rsid w:val="7E4F3F2E"/>
    <w:rsid w:val="7E5141FF"/>
    <w:rsid w:val="7E525E1A"/>
    <w:rsid w:val="7E5460BF"/>
    <w:rsid w:val="7E546ADB"/>
    <w:rsid w:val="7E560734"/>
    <w:rsid w:val="7E564A2F"/>
    <w:rsid w:val="7E654979"/>
    <w:rsid w:val="7E6B54C2"/>
    <w:rsid w:val="7E781E3C"/>
    <w:rsid w:val="7E801972"/>
    <w:rsid w:val="7E886C95"/>
    <w:rsid w:val="7E8B65F9"/>
    <w:rsid w:val="7E8D6C7A"/>
    <w:rsid w:val="7E9365F5"/>
    <w:rsid w:val="7E940D94"/>
    <w:rsid w:val="7E961689"/>
    <w:rsid w:val="7EA877E8"/>
    <w:rsid w:val="7EB03276"/>
    <w:rsid w:val="7EB20667"/>
    <w:rsid w:val="7EC46972"/>
    <w:rsid w:val="7EC91CB4"/>
    <w:rsid w:val="7ED3325D"/>
    <w:rsid w:val="7ED54355"/>
    <w:rsid w:val="7EDE76AE"/>
    <w:rsid w:val="7EDF7D0C"/>
    <w:rsid w:val="7EE54599"/>
    <w:rsid w:val="7EE75A89"/>
    <w:rsid w:val="7EF40F5B"/>
    <w:rsid w:val="7EF92D98"/>
    <w:rsid w:val="7EFF6A05"/>
    <w:rsid w:val="7F001CE7"/>
    <w:rsid w:val="7F097B6C"/>
    <w:rsid w:val="7F155991"/>
    <w:rsid w:val="7F1A1C14"/>
    <w:rsid w:val="7F201A75"/>
    <w:rsid w:val="7F315A30"/>
    <w:rsid w:val="7F3217A8"/>
    <w:rsid w:val="7F363B49"/>
    <w:rsid w:val="7F3948E4"/>
    <w:rsid w:val="7F3A24B2"/>
    <w:rsid w:val="7F3C76FF"/>
    <w:rsid w:val="7F416A5F"/>
    <w:rsid w:val="7F430B04"/>
    <w:rsid w:val="7F454099"/>
    <w:rsid w:val="7F460DAF"/>
    <w:rsid w:val="7F495A42"/>
    <w:rsid w:val="7F511A6A"/>
    <w:rsid w:val="7F511C2E"/>
    <w:rsid w:val="7F5620FE"/>
    <w:rsid w:val="7F58497E"/>
    <w:rsid w:val="7F5A6881"/>
    <w:rsid w:val="7F5B0CFF"/>
    <w:rsid w:val="7F5E259D"/>
    <w:rsid w:val="7F6043E3"/>
    <w:rsid w:val="7F625BE9"/>
    <w:rsid w:val="7F662528"/>
    <w:rsid w:val="7F686108"/>
    <w:rsid w:val="7F6D01FB"/>
    <w:rsid w:val="7F716982"/>
    <w:rsid w:val="7F7C6419"/>
    <w:rsid w:val="7F7D0C75"/>
    <w:rsid w:val="7F9F7867"/>
    <w:rsid w:val="7FA02BB5"/>
    <w:rsid w:val="7FA17D82"/>
    <w:rsid w:val="7FAF4BA7"/>
    <w:rsid w:val="7FB20BCE"/>
    <w:rsid w:val="7FB41C3B"/>
    <w:rsid w:val="7FB67D2C"/>
    <w:rsid w:val="7FB82C42"/>
    <w:rsid w:val="7FBD2D20"/>
    <w:rsid w:val="7FBD77BF"/>
    <w:rsid w:val="7FC55840"/>
    <w:rsid w:val="7FC74939"/>
    <w:rsid w:val="7FD856E1"/>
    <w:rsid w:val="7FD92575"/>
    <w:rsid w:val="7FDB3BED"/>
    <w:rsid w:val="7FDD1714"/>
    <w:rsid w:val="7FE42DDA"/>
    <w:rsid w:val="7FE43F3D"/>
    <w:rsid w:val="7FE47E50"/>
    <w:rsid w:val="7FE543F4"/>
    <w:rsid w:val="7FEA3FF3"/>
    <w:rsid w:val="7FF3244D"/>
    <w:rsid w:val="7FF476D1"/>
    <w:rsid w:val="7FF90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6"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99" w:semiHidden="0" w:name="annotation text"/>
    <w:lsdException w:qFormat="1" w:unhideWhenUsed="0" w:uiPriority="0" w:semiHidden="0" w:name="header"/>
    <w:lsdException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99" w:semiHidden="0" w:name="annotation reference"/>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qFormat="1" w:uiPriority="99"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qFormat="1" w:uiPriority="99"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qFormat="1" w:unhideWhenUsed="0" w:uiPriority="0" w:semiHidden="0" w:name="HTML Definition" w:locked="1"/>
    <w:lsdException w:qFormat="1"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name="Balloon Text"/>
    <w:lsdException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6"/>
    <w:pPr>
      <w:keepNext/>
      <w:widowControl/>
      <w:spacing w:line="360" w:lineRule="auto"/>
      <w:jc w:val="left"/>
      <w:outlineLvl w:val="1"/>
    </w:pPr>
    <w:rPr>
      <w:b/>
      <w:kern w:val="0"/>
      <w:sz w:val="30"/>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te Heading"/>
    <w:basedOn w:val="1"/>
    <w:next w:val="1"/>
    <w:unhideWhenUsed/>
    <w:qFormat/>
    <w:locked/>
    <w:uiPriority w:val="99"/>
    <w:pPr>
      <w:spacing w:line="460" w:lineRule="exact"/>
      <w:ind w:firstLine="763" w:firstLineChars="200"/>
    </w:pPr>
    <w:rPr>
      <w:b/>
      <w:sz w:val="24"/>
      <w:szCs w:val="20"/>
    </w:rPr>
  </w:style>
  <w:style w:type="paragraph" w:styleId="5">
    <w:name w:val="Normal Indent"/>
    <w:basedOn w:val="1"/>
    <w:next w:val="1"/>
    <w:link w:val="34"/>
    <w:qFormat/>
    <w:locked/>
    <w:uiPriority w:val="0"/>
    <w:rPr>
      <w:sz w:val="28"/>
      <w:szCs w:val="20"/>
    </w:rPr>
  </w:style>
  <w:style w:type="paragraph" w:styleId="6">
    <w:name w:val="Document Map"/>
    <w:basedOn w:val="1"/>
    <w:semiHidden/>
    <w:qFormat/>
    <w:locked/>
    <w:uiPriority w:val="0"/>
    <w:pPr>
      <w:shd w:val="clear" w:color="auto" w:fill="000080"/>
    </w:pPr>
  </w:style>
  <w:style w:type="paragraph" w:styleId="7">
    <w:name w:val="annotation text"/>
    <w:basedOn w:val="1"/>
    <w:link w:val="35"/>
    <w:qFormat/>
    <w:uiPriority w:val="99"/>
    <w:pPr>
      <w:jc w:val="left"/>
    </w:pPr>
    <w:rPr>
      <w:kern w:val="0"/>
      <w:sz w:val="24"/>
      <w:szCs w:val="20"/>
    </w:rPr>
  </w:style>
  <w:style w:type="paragraph" w:styleId="8">
    <w:name w:val="Body Text 3"/>
    <w:basedOn w:val="1"/>
    <w:link w:val="36"/>
    <w:locked/>
    <w:uiPriority w:val="0"/>
    <w:pPr>
      <w:spacing w:after="120"/>
    </w:pPr>
    <w:rPr>
      <w:sz w:val="16"/>
      <w:szCs w:val="16"/>
    </w:rPr>
  </w:style>
  <w:style w:type="paragraph" w:styleId="9">
    <w:name w:val="Body Text"/>
    <w:basedOn w:val="1"/>
    <w:link w:val="37"/>
    <w:uiPriority w:val="0"/>
    <w:pPr>
      <w:widowControl/>
      <w:snapToGrid w:val="0"/>
      <w:spacing w:before="60" w:after="160" w:line="259" w:lineRule="auto"/>
      <w:ind w:right="113"/>
    </w:pPr>
    <w:rPr>
      <w:kern w:val="0"/>
      <w:sz w:val="18"/>
      <w:szCs w:val="20"/>
    </w:rPr>
  </w:style>
  <w:style w:type="paragraph" w:styleId="10">
    <w:name w:val="Body Text Indent"/>
    <w:basedOn w:val="1"/>
    <w:link w:val="38"/>
    <w:uiPriority w:val="0"/>
    <w:pPr>
      <w:spacing w:after="120"/>
      <w:ind w:left="420" w:leftChars="200"/>
    </w:pPr>
    <w:rPr>
      <w:kern w:val="0"/>
      <w:sz w:val="24"/>
      <w:szCs w:val="20"/>
    </w:rPr>
  </w:style>
  <w:style w:type="paragraph" w:styleId="11">
    <w:name w:val="Block Text"/>
    <w:basedOn w:val="1"/>
    <w:next w:val="1"/>
    <w:qFormat/>
    <w:locked/>
    <w:uiPriority w:val="0"/>
    <w:pPr>
      <w:snapToGrid w:val="0"/>
      <w:ind w:left="-108" w:right="-30"/>
      <w:jc w:val="center"/>
    </w:pPr>
    <w:rPr>
      <w:rFonts w:hint="eastAsia" w:ascii="宋体"/>
      <w:sz w:val="24"/>
      <w:szCs w:val="20"/>
    </w:rPr>
  </w:style>
  <w:style w:type="paragraph" w:styleId="12">
    <w:name w:val="Plain Text"/>
    <w:basedOn w:val="1"/>
    <w:link w:val="39"/>
    <w:qFormat/>
    <w:locked/>
    <w:uiPriority w:val="99"/>
    <w:rPr>
      <w:rFonts w:ascii="宋体" w:hAnsi="Courier New"/>
      <w:sz w:val="28"/>
      <w:szCs w:val="20"/>
    </w:rPr>
  </w:style>
  <w:style w:type="paragraph" w:styleId="13">
    <w:name w:val="Date"/>
    <w:basedOn w:val="1"/>
    <w:next w:val="1"/>
    <w:link w:val="40"/>
    <w:qFormat/>
    <w:uiPriority w:val="0"/>
    <w:pPr>
      <w:ind w:left="100" w:leftChars="2500"/>
    </w:pPr>
    <w:rPr>
      <w:kern w:val="0"/>
      <w:sz w:val="24"/>
      <w:szCs w:val="20"/>
    </w:rPr>
  </w:style>
  <w:style w:type="paragraph" w:styleId="14">
    <w:name w:val="Balloon Text"/>
    <w:basedOn w:val="1"/>
    <w:link w:val="41"/>
    <w:semiHidden/>
    <w:uiPriority w:val="0"/>
    <w:rPr>
      <w:kern w:val="0"/>
      <w:sz w:val="18"/>
      <w:szCs w:val="20"/>
    </w:rPr>
  </w:style>
  <w:style w:type="paragraph" w:styleId="15">
    <w:name w:val="footer"/>
    <w:basedOn w:val="1"/>
    <w:link w:val="42"/>
    <w:uiPriority w:val="99"/>
    <w:pPr>
      <w:tabs>
        <w:tab w:val="center" w:pos="4153"/>
        <w:tab w:val="right" w:pos="8306"/>
      </w:tabs>
      <w:snapToGrid w:val="0"/>
      <w:jc w:val="left"/>
    </w:pPr>
    <w:rPr>
      <w:kern w:val="0"/>
      <w:sz w:val="18"/>
      <w:szCs w:val="20"/>
    </w:rPr>
  </w:style>
  <w:style w:type="paragraph" w:styleId="16">
    <w:name w:val="header"/>
    <w:basedOn w:val="1"/>
    <w:link w:val="43"/>
    <w:qFormat/>
    <w:uiPriority w:val="0"/>
    <w:pPr>
      <w:pBdr>
        <w:bottom w:val="single" w:color="auto" w:sz="6" w:space="1"/>
      </w:pBdr>
      <w:tabs>
        <w:tab w:val="center" w:pos="4153"/>
        <w:tab w:val="right" w:pos="8306"/>
      </w:tabs>
      <w:snapToGrid w:val="0"/>
      <w:jc w:val="center"/>
    </w:pPr>
    <w:rPr>
      <w:kern w:val="0"/>
      <w:sz w:val="18"/>
      <w:szCs w:val="20"/>
    </w:rPr>
  </w:style>
  <w:style w:type="paragraph" w:styleId="17">
    <w:name w:val="footnote text"/>
    <w:basedOn w:val="1"/>
    <w:next w:val="9"/>
    <w:qFormat/>
    <w:locked/>
    <w:uiPriority w:val="0"/>
    <w:pPr>
      <w:snapToGrid w:val="0"/>
      <w:jc w:val="left"/>
    </w:pPr>
    <w:rPr>
      <w:rFonts w:eastAsia="等线"/>
      <w:sz w:val="32"/>
    </w:rPr>
  </w:style>
  <w:style w:type="paragraph" w:styleId="18">
    <w:name w:val="Body Text Indent 3"/>
    <w:basedOn w:val="1"/>
    <w:unhideWhenUsed/>
    <w:qFormat/>
    <w:locked/>
    <w:uiPriority w:val="99"/>
    <w:pPr>
      <w:spacing w:after="120"/>
      <w:ind w:left="420" w:leftChars="200"/>
    </w:pPr>
    <w:rPr>
      <w:sz w:val="16"/>
      <w:szCs w:val="16"/>
    </w:rPr>
  </w:style>
  <w:style w:type="paragraph" w:styleId="19">
    <w:name w:val="Normal (Web)"/>
    <w:basedOn w:val="1"/>
    <w:link w:val="44"/>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7"/>
    <w:next w:val="7"/>
    <w:link w:val="45"/>
    <w:semiHidden/>
    <w:uiPriority w:val="0"/>
    <w:rPr>
      <w:b/>
      <w:kern w:val="2"/>
    </w:rPr>
  </w:style>
  <w:style w:type="paragraph" w:styleId="21">
    <w:name w:val="Body Text First Indent 2"/>
    <w:basedOn w:val="10"/>
    <w:next w:val="1"/>
    <w:qFormat/>
    <w:locked/>
    <w:uiPriority w:val="0"/>
    <w:pPr>
      <w:widowControl/>
      <w:ind w:firstLine="420" w:firstLineChars="200"/>
    </w:pPr>
    <w:rPr>
      <w:rFonts w:eastAsia="Times New Roman"/>
      <w:sz w:val="21"/>
      <w:szCs w:val="24"/>
    </w:rPr>
  </w:style>
  <w:style w:type="table" w:styleId="23">
    <w:name w:val="Table Grid"/>
    <w:basedOn w:val="2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locked/>
    <w:uiPriority w:val="0"/>
    <w:rPr>
      <w:b/>
    </w:rPr>
  </w:style>
  <w:style w:type="character" w:styleId="26">
    <w:name w:val="page number"/>
    <w:basedOn w:val="24"/>
    <w:locked/>
    <w:uiPriority w:val="0"/>
  </w:style>
  <w:style w:type="character" w:styleId="27">
    <w:name w:val="FollowedHyperlink"/>
    <w:basedOn w:val="24"/>
    <w:qFormat/>
    <w:locked/>
    <w:uiPriority w:val="0"/>
    <w:rPr>
      <w:color w:val="428BCA"/>
      <w:u w:val="none"/>
    </w:rPr>
  </w:style>
  <w:style w:type="character" w:styleId="28">
    <w:name w:val="HTML Definition"/>
    <w:basedOn w:val="24"/>
    <w:qFormat/>
    <w:locked/>
    <w:uiPriority w:val="0"/>
    <w:rPr>
      <w:i/>
    </w:rPr>
  </w:style>
  <w:style w:type="character" w:styleId="29">
    <w:name w:val="Hyperlink"/>
    <w:basedOn w:val="24"/>
    <w:qFormat/>
    <w:locked/>
    <w:uiPriority w:val="0"/>
    <w:rPr>
      <w:color w:val="428BCA"/>
      <w:u w:val="none"/>
    </w:rPr>
  </w:style>
  <w:style w:type="character" w:styleId="30">
    <w:name w:val="HTML Code"/>
    <w:basedOn w:val="24"/>
    <w:locked/>
    <w:uiPriority w:val="0"/>
    <w:rPr>
      <w:rFonts w:hint="default" w:ascii="Consolas" w:hAnsi="Consolas" w:eastAsia="Consolas" w:cs="Consolas"/>
      <w:color w:val="C7254E"/>
      <w:sz w:val="21"/>
      <w:szCs w:val="21"/>
      <w:shd w:val="clear" w:color="auto" w:fill="F9F2F4"/>
    </w:rPr>
  </w:style>
  <w:style w:type="character" w:styleId="31">
    <w:name w:val="annotation reference"/>
    <w:uiPriority w:val="99"/>
    <w:rPr>
      <w:sz w:val="21"/>
    </w:rPr>
  </w:style>
  <w:style w:type="character" w:styleId="32">
    <w:name w:val="HTML Keyboard"/>
    <w:basedOn w:val="24"/>
    <w:qFormat/>
    <w:locked/>
    <w:uiPriority w:val="0"/>
    <w:rPr>
      <w:rFonts w:ascii="Consolas" w:hAnsi="Consolas" w:eastAsia="Consolas" w:cs="Consolas"/>
      <w:color w:val="FFFFFF"/>
      <w:sz w:val="21"/>
      <w:szCs w:val="21"/>
      <w:shd w:val="clear" w:color="auto" w:fill="333333"/>
    </w:rPr>
  </w:style>
  <w:style w:type="character" w:styleId="33">
    <w:name w:val="HTML Sample"/>
    <w:basedOn w:val="24"/>
    <w:locked/>
    <w:uiPriority w:val="0"/>
    <w:rPr>
      <w:rFonts w:hint="default" w:ascii="Consolas" w:hAnsi="Consolas" w:eastAsia="Consolas" w:cs="Consolas"/>
      <w:sz w:val="21"/>
      <w:szCs w:val="21"/>
    </w:rPr>
  </w:style>
  <w:style w:type="character" w:customStyle="1" w:styleId="34">
    <w:name w:val="正文缩进 Char"/>
    <w:link w:val="5"/>
    <w:qFormat/>
    <w:locked/>
    <w:uiPriority w:val="0"/>
    <w:rPr>
      <w:kern w:val="2"/>
      <w:sz w:val="28"/>
    </w:rPr>
  </w:style>
  <w:style w:type="character" w:customStyle="1" w:styleId="35">
    <w:name w:val="批注文字 Char"/>
    <w:link w:val="7"/>
    <w:locked/>
    <w:uiPriority w:val="99"/>
    <w:rPr>
      <w:rFonts w:ascii="Times New Roman" w:hAnsi="Times New Roman" w:eastAsia="宋体"/>
      <w:sz w:val="24"/>
    </w:rPr>
  </w:style>
  <w:style w:type="character" w:customStyle="1" w:styleId="36">
    <w:name w:val="正文文本 3 Char"/>
    <w:link w:val="8"/>
    <w:qFormat/>
    <w:uiPriority w:val="0"/>
    <w:rPr>
      <w:kern w:val="2"/>
      <w:sz w:val="16"/>
      <w:szCs w:val="16"/>
    </w:rPr>
  </w:style>
  <w:style w:type="character" w:customStyle="1" w:styleId="37">
    <w:name w:val="正文文本 Char"/>
    <w:link w:val="9"/>
    <w:qFormat/>
    <w:locked/>
    <w:uiPriority w:val="0"/>
    <w:rPr>
      <w:sz w:val="18"/>
    </w:rPr>
  </w:style>
  <w:style w:type="character" w:customStyle="1" w:styleId="38">
    <w:name w:val="正文文本缩进 Char"/>
    <w:link w:val="10"/>
    <w:semiHidden/>
    <w:qFormat/>
    <w:locked/>
    <w:uiPriority w:val="0"/>
    <w:rPr>
      <w:rFonts w:ascii="Times New Roman" w:hAnsi="Times New Roman" w:eastAsia="宋体"/>
      <w:sz w:val="24"/>
    </w:rPr>
  </w:style>
  <w:style w:type="character" w:customStyle="1" w:styleId="39">
    <w:name w:val="纯文本 Char"/>
    <w:link w:val="12"/>
    <w:qFormat/>
    <w:uiPriority w:val="99"/>
    <w:rPr>
      <w:rFonts w:ascii="宋体" w:hAnsi="Courier New"/>
      <w:kern w:val="2"/>
      <w:sz w:val="28"/>
    </w:rPr>
  </w:style>
  <w:style w:type="character" w:customStyle="1" w:styleId="40">
    <w:name w:val="日期 Char"/>
    <w:link w:val="13"/>
    <w:locked/>
    <w:uiPriority w:val="0"/>
    <w:rPr>
      <w:rFonts w:ascii="Times New Roman" w:hAnsi="Times New Roman" w:eastAsia="宋体"/>
      <w:sz w:val="24"/>
    </w:rPr>
  </w:style>
  <w:style w:type="character" w:customStyle="1" w:styleId="41">
    <w:name w:val="批注框文本 Char"/>
    <w:link w:val="14"/>
    <w:semiHidden/>
    <w:qFormat/>
    <w:locked/>
    <w:uiPriority w:val="0"/>
    <w:rPr>
      <w:rFonts w:ascii="Times New Roman" w:hAnsi="Times New Roman" w:eastAsia="宋体"/>
      <w:sz w:val="18"/>
    </w:rPr>
  </w:style>
  <w:style w:type="character" w:customStyle="1" w:styleId="42">
    <w:name w:val="页脚 Char"/>
    <w:link w:val="15"/>
    <w:locked/>
    <w:uiPriority w:val="99"/>
    <w:rPr>
      <w:sz w:val="18"/>
    </w:rPr>
  </w:style>
  <w:style w:type="character" w:customStyle="1" w:styleId="43">
    <w:name w:val="页眉 Char"/>
    <w:link w:val="16"/>
    <w:qFormat/>
    <w:locked/>
    <w:uiPriority w:val="0"/>
    <w:rPr>
      <w:sz w:val="18"/>
    </w:rPr>
  </w:style>
  <w:style w:type="character" w:customStyle="1" w:styleId="44">
    <w:name w:val="普通(网站) Char"/>
    <w:link w:val="19"/>
    <w:locked/>
    <w:uiPriority w:val="0"/>
    <w:rPr>
      <w:rFonts w:ascii="宋体" w:hAnsi="宋体" w:eastAsia="宋体"/>
      <w:sz w:val="24"/>
    </w:rPr>
  </w:style>
  <w:style w:type="character" w:customStyle="1" w:styleId="45">
    <w:name w:val="批注主题 Char"/>
    <w:link w:val="20"/>
    <w:semiHidden/>
    <w:locked/>
    <w:uiPriority w:val="0"/>
    <w:rPr>
      <w:rFonts w:ascii="Times New Roman" w:hAnsi="Times New Roman" w:eastAsia="宋体"/>
      <w:b/>
      <w:kern w:val="2"/>
      <w:sz w:val="24"/>
    </w:rPr>
  </w:style>
  <w:style w:type="character" w:customStyle="1" w:styleId="46">
    <w:name w:val="hover14"/>
    <w:basedOn w:val="24"/>
    <w:uiPriority w:val="0"/>
    <w:rPr>
      <w:color w:val="000000"/>
    </w:rPr>
  </w:style>
  <w:style w:type="character" w:customStyle="1" w:styleId="47">
    <w:name w:val="05表头 Char"/>
    <w:link w:val="48"/>
    <w:qFormat/>
    <w:uiPriority w:val="0"/>
    <w:rPr>
      <w:rFonts w:eastAsia="黑体"/>
      <w:kern w:val="2"/>
      <w:sz w:val="24"/>
      <w:szCs w:val="24"/>
    </w:rPr>
  </w:style>
  <w:style w:type="paragraph" w:customStyle="1" w:styleId="48">
    <w:name w:val="05表头"/>
    <w:basedOn w:val="11"/>
    <w:next w:val="1"/>
    <w:link w:val="47"/>
    <w:qFormat/>
    <w:uiPriority w:val="0"/>
    <w:pPr>
      <w:pageBreakBefore/>
      <w:spacing w:line="520" w:lineRule="exact"/>
      <w:ind w:left="0" w:right="0" w:firstLine="200" w:firstLineChars="200"/>
      <w:jc w:val="left"/>
    </w:pPr>
    <w:rPr>
      <w:rFonts w:hint="default" w:ascii="Times New Roman" w:eastAsia="黑体"/>
      <w:szCs w:val="24"/>
    </w:rPr>
  </w:style>
  <w:style w:type="character" w:customStyle="1" w:styleId="49">
    <w:name w:val="表格 Char Char"/>
    <w:qFormat/>
    <w:uiPriority w:val="0"/>
    <w:rPr>
      <w:rFonts w:ascii="宋体"/>
      <w:kern w:val="2"/>
      <w:sz w:val="21"/>
    </w:rPr>
  </w:style>
  <w:style w:type="character" w:customStyle="1" w:styleId="50">
    <w:name w:val="5正文 Char"/>
    <w:link w:val="51"/>
    <w:qFormat/>
    <w:uiPriority w:val="0"/>
    <w:rPr>
      <w:kern w:val="2"/>
      <w:sz w:val="24"/>
      <w:szCs w:val="24"/>
      <w:lang w:val="en-US" w:eastAsia="zh-CN" w:bidi="ar-SA"/>
    </w:rPr>
  </w:style>
  <w:style w:type="paragraph" w:customStyle="1" w:styleId="51">
    <w:name w:val="5正文"/>
    <w:link w:val="50"/>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52">
    <w:name w:val="6表头 Char"/>
    <w:basedOn w:val="24"/>
    <w:link w:val="53"/>
    <w:qFormat/>
    <w:uiPriority w:val="0"/>
    <w:rPr>
      <w:rFonts w:eastAsia="黑体"/>
      <w:kern w:val="2"/>
      <w:sz w:val="24"/>
      <w:szCs w:val="24"/>
      <w:lang w:val="en-US" w:eastAsia="zh-CN" w:bidi="ar-SA"/>
    </w:rPr>
  </w:style>
  <w:style w:type="paragraph" w:customStyle="1" w:styleId="53">
    <w:name w:val="6表头"/>
    <w:next w:val="51"/>
    <w:link w:val="52"/>
    <w:qFormat/>
    <w:uiPriority w:val="0"/>
    <w:pPr>
      <w:pageBreakBefore/>
      <w:spacing w:line="520" w:lineRule="exact"/>
      <w:ind w:firstLine="200" w:firstLineChars="200"/>
    </w:pPr>
    <w:rPr>
      <w:rFonts w:ascii="Times New Roman" w:hAnsi="Times New Roman" w:eastAsia="黑体" w:cs="Times New Roman"/>
      <w:kern w:val="2"/>
      <w:sz w:val="24"/>
      <w:szCs w:val="24"/>
      <w:lang w:val="en-US" w:eastAsia="zh-CN" w:bidi="ar-SA"/>
    </w:rPr>
  </w:style>
  <w:style w:type="character" w:customStyle="1" w:styleId="54">
    <w:name w:val="日期 字符"/>
    <w:semiHidden/>
    <w:qFormat/>
    <w:uiPriority w:val="0"/>
    <w:rPr>
      <w:rFonts w:ascii="Times New Roman" w:hAnsi="Times New Roman" w:eastAsia="宋体"/>
      <w:sz w:val="24"/>
    </w:rPr>
  </w:style>
  <w:style w:type="character" w:customStyle="1" w:styleId="55">
    <w:name w:val="表格 Char"/>
    <w:link w:val="56"/>
    <w:locked/>
    <w:uiPriority w:val="0"/>
    <w:rPr>
      <w:rFonts w:ascii="宋体"/>
      <w:sz w:val="21"/>
    </w:rPr>
  </w:style>
  <w:style w:type="paragraph" w:customStyle="1" w:styleId="56">
    <w:name w:val="表格"/>
    <w:basedOn w:val="1"/>
    <w:next w:val="1"/>
    <w:link w:val="55"/>
    <w:qFormat/>
    <w:uiPriority w:val="0"/>
    <w:pPr>
      <w:adjustRightInd w:val="0"/>
      <w:snapToGrid w:val="0"/>
      <w:spacing w:beforeLines="10" w:afterLines="10" w:line="259" w:lineRule="auto"/>
      <w:jc w:val="center"/>
    </w:pPr>
    <w:rPr>
      <w:rFonts w:ascii="宋体"/>
      <w:kern w:val="0"/>
      <w:szCs w:val="20"/>
    </w:rPr>
  </w:style>
  <w:style w:type="character" w:customStyle="1" w:styleId="57">
    <w:name w:val="常用正文样式 Char1"/>
    <w:link w:val="58"/>
    <w:qFormat/>
    <w:uiPriority w:val="0"/>
    <w:rPr>
      <w:rFonts w:ascii="宋体" w:hAnsi="宋体" w:cs="宋体"/>
      <w:bCs/>
      <w:kern w:val="28"/>
      <w:sz w:val="24"/>
    </w:rPr>
  </w:style>
  <w:style w:type="paragraph" w:customStyle="1" w:styleId="58">
    <w:name w:val="常用正文样式"/>
    <w:basedOn w:val="1"/>
    <w:link w:val="57"/>
    <w:qFormat/>
    <w:uiPriority w:val="0"/>
    <w:pPr>
      <w:spacing w:line="360" w:lineRule="auto"/>
      <w:ind w:firstLine="480" w:firstLineChars="200"/>
    </w:pPr>
    <w:rPr>
      <w:rFonts w:ascii="宋体" w:hAnsi="宋体"/>
      <w:bCs/>
      <w:kern w:val="28"/>
      <w:sz w:val="24"/>
      <w:szCs w:val="20"/>
    </w:rPr>
  </w:style>
  <w:style w:type="character" w:customStyle="1" w:styleId="59">
    <w:name w:val="hover13"/>
    <w:basedOn w:val="24"/>
    <w:uiPriority w:val="0"/>
  </w:style>
  <w:style w:type="character" w:customStyle="1" w:styleId="60">
    <w:name w:val="正文文本 字符1"/>
    <w:semiHidden/>
    <w:uiPriority w:val="0"/>
    <w:rPr>
      <w:rFonts w:ascii="Times New Roman" w:hAnsi="Times New Roman" w:eastAsia="宋体"/>
      <w:sz w:val="24"/>
    </w:rPr>
  </w:style>
  <w:style w:type="character" w:customStyle="1" w:styleId="61">
    <w:name w:val="07表格内容 Char"/>
    <w:link w:val="62"/>
    <w:qFormat/>
    <w:uiPriority w:val="0"/>
    <w:rPr>
      <w:szCs w:val="24"/>
      <w:lang w:val="en-US" w:eastAsia="zh-CN" w:bidi="ar-SA"/>
    </w:rPr>
  </w:style>
  <w:style w:type="paragraph" w:customStyle="1" w:styleId="62">
    <w:name w:val="07表格内容"/>
    <w:link w:val="61"/>
    <w:qFormat/>
    <w:uiPriority w:val="0"/>
    <w:pPr>
      <w:widowControl w:val="0"/>
      <w:spacing w:line="360" w:lineRule="exact"/>
      <w:jc w:val="center"/>
    </w:pPr>
    <w:rPr>
      <w:rFonts w:ascii="Times New Roman" w:hAnsi="Times New Roman" w:eastAsia="宋体" w:cs="Times New Roman"/>
      <w:szCs w:val="24"/>
      <w:lang w:val="en-US" w:eastAsia="zh-CN" w:bidi="ar-SA"/>
    </w:rPr>
  </w:style>
  <w:style w:type="character" w:customStyle="1" w:styleId="63">
    <w:name w:val="蓝森正文 Char Char"/>
    <w:link w:val="64"/>
    <w:qFormat/>
    <w:uiPriority w:val="0"/>
    <w:rPr>
      <w:bCs/>
      <w:kern w:val="2"/>
      <w:sz w:val="24"/>
      <w:szCs w:val="24"/>
    </w:rPr>
  </w:style>
  <w:style w:type="paragraph" w:customStyle="1" w:styleId="64">
    <w:name w:val="蓝森正文"/>
    <w:basedOn w:val="1"/>
    <w:link w:val="63"/>
    <w:qFormat/>
    <w:uiPriority w:val="0"/>
    <w:pPr>
      <w:spacing w:line="520" w:lineRule="exact"/>
      <w:ind w:firstLine="480" w:firstLineChars="200"/>
    </w:pPr>
    <w:rPr>
      <w:bCs/>
      <w:sz w:val="24"/>
    </w:rPr>
  </w:style>
  <w:style w:type="character" w:customStyle="1" w:styleId="65">
    <w:name w:val="页脚 字符"/>
    <w:basedOn w:val="24"/>
    <w:uiPriority w:val="99"/>
  </w:style>
  <w:style w:type="character" w:customStyle="1" w:styleId="66">
    <w:name w:val="unnamed1"/>
    <w:basedOn w:val="24"/>
    <w:qFormat/>
    <w:uiPriority w:val="0"/>
  </w:style>
  <w:style w:type="character" w:customStyle="1" w:styleId="67">
    <w:name w:val="7表格内容 Char Char"/>
    <w:link w:val="68"/>
    <w:qFormat/>
    <w:uiPriority w:val="0"/>
    <w:rPr>
      <w:kern w:val="2"/>
      <w:sz w:val="21"/>
      <w:szCs w:val="24"/>
      <w:lang w:val="en-US" w:eastAsia="zh-CN" w:bidi="ar-SA"/>
    </w:rPr>
  </w:style>
  <w:style w:type="paragraph" w:customStyle="1" w:styleId="68">
    <w:name w:val="7表格内容"/>
    <w:link w:val="67"/>
    <w:qFormat/>
    <w:uiPriority w:val="0"/>
    <w:pPr>
      <w:widowControl w:val="0"/>
      <w:spacing w:line="360" w:lineRule="exact"/>
      <w:jc w:val="center"/>
    </w:pPr>
    <w:rPr>
      <w:rFonts w:ascii="Times New Roman" w:hAnsi="Times New Roman" w:eastAsia="宋体" w:cs="Times New Roman"/>
      <w:kern w:val="2"/>
      <w:sz w:val="21"/>
      <w:szCs w:val="24"/>
      <w:lang w:val="en-US" w:eastAsia="zh-CN" w:bidi="ar-SA"/>
    </w:rPr>
  </w:style>
  <w:style w:type="character" w:customStyle="1" w:styleId="69">
    <w:name w:val="06表格内容 Char"/>
    <w:link w:val="70"/>
    <w:qFormat/>
    <w:locked/>
    <w:uiPriority w:val="0"/>
    <w:rPr>
      <w:rFonts w:cs="Courier New"/>
      <w:szCs w:val="24"/>
    </w:rPr>
  </w:style>
  <w:style w:type="paragraph" w:customStyle="1" w:styleId="70">
    <w:name w:val="06表格内容"/>
    <w:basedOn w:val="12"/>
    <w:next w:val="12"/>
    <w:link w:val="69"/>
    <w:qFormat/>
    <w:uiPriority w:val="0"/>
    <w:pPr>
      <w:spacing w:line="320" w:lineRule="exact"/>
      <w:jc w:val="center"/>
    </w:pPr>
    <w:rPr>
      <w:rFonts w:ascii="Times New Roman" w:hAnsi="Times New Roman"/>
      <w:kern w:val="0"/>
      <w:sz w:val="20"/>
      <w:szCs w:val="24"/>
    </w:rPr>
  </w:style>
  <w:style w:type="character" w:customStyle="1" w:styleId="71">
    <w:name w:val="批注文字 字符1"/>
    <w:semiHidden/>
    <w:qFormat/>
    <w:uiPriority w:val="0"/>
    <w:rPr>
      <w:rFonts w:ascii="Times New Roman" w:hAnsi="Times New Roman" w:eastAsia="宋体"/>
      <w:sz w:val="24"/>
    </w:rPr>
  </w:style>
  <w:style w:type="character" w:customStyle="1" w:styleId="72">
    <w:name w:val="3正文 Char Char"/>
    <w:link w:val="73"/>
    <w:uiPriority w:val="0"/>
    <w:rPr>
      <w:kern w:val="2"/>
      <w:sz w:val="24"/>
      <w:szCs w:val="24"/>
      <w:lang w:val="en-US" w:eastAsia="zh-CN" w:bidi="ar-SA"/>
    </w:rPr>
  </w:style>
  <w:style w:type="paragraph" w:customStyle="1" w:styleId="73">
    <w:name w:val="3正文"/>
    <w:link w:val="72"/>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74">
    <w:name w:val="fontstyle01"/>
    <w:basedOn w:val="24"/>
    <w:qFormat/>
    <w:uiPriority w:val="0"/>
    <w:rPr>
      <w:rFonts w:hint="eastAsia" w:ascii="宋体" w:hAnsi="宋体" w:eastAsia="宋体"/>
      <w:color w:val="000000"/>
      <w:sz w:val="24"/>
      <w:szCs w:val="24"/>
    </w:rPr>
  </w:style>
  <w:style w:type="character" w:customStyle="1" w:styleId="75">
    <w:name w:val="first-child"/>
    <w:basedOn w:val="24"/>
    <w:qFormat/>
    <w:uiPriority w:val="0"/>
  </w:style>
  <w:style w:type="character" w:customStyle="1" w:styleId="76">
    <w:name w:val="铭洁 右对齐表头"/>
    <w:qFormat/>
    <w:uiPriority w:val="0"/>
    <w:rPr>
      <w:rFonts w:ascii="Times New Roman" w:hAnsi="Times New Roman" w:eastAsia="黑体"/>
      <w:color w:val="FF00FF"/>
      <w:sz w:val="24"/>
      <w:szCs w:val="24"/>
    </w:rPr>
  </w:style>
  <w:style w:type="character" w:customStyle="1" w:styleId="77">
    <w:name w:val="layui-layer-tabnow"/>
    <w:basedOn w:val="24"/>
    <w:uiPriority w:val="0"/>
    <w:rPr>
      <w:bdr w:val="single" w:color="CCCCCC" w:sz="4" w:space="0"/>
      <w:shd w:val="clear" w:color="auto" w:fill="FFFFFF"/>
    </w:rPr>
  </w:style>
  <w:style w:type="character" w:customStyle="1" w:styleId="78">
    <w:name w:val="00正文 Char"/>
    <w:link w:val="79"/>
    <w:qFormat/>
    <w:uiPriority w:val="0"/>
    <w:rPr>
      <w:kern w:val="2"/>
      <w:sz w:val="24"/>
      <w:szCs w:val="24"/>
      <w:lang w:val="en-US" w:eastAsia="zh-CN" w:bidi="ar-SA"/>
    </w:rPr>
  </w:style>
  <w:style w:type="paragraph" w:customStyle="1" w:styleId="79">
    <w:name w:val="00正文"/>
    <w:link w:val="78"/>
    <w:qFormat/>
    <w:uiPriority w:val="0"/>
    <w:pPr>
      <w:widowControl w:val="0"/>
      <w:spacing w:line="520" w:lineRule="exact"/>
      <w:ind w:firstLine="480" w:firstLineChars="200"/>
      <w:jc w:val="both"/>
    </w:pPr>
    <w:rPr>
      <w:rFonts w:ascii="Times New Roman" w:hAnsi="Times New Roman" w:eastAsia="宋体" w:cs="Times New Roman"/>
      <w:kern w:val="2"/>
      <w:sz w:val="24"/>
      <w:szCs w:val="24"/>
      <w:lang w:val="en-US" w:eastAsia="zh-CN" w:bidi="ar-SA"/>
    </w:rPr>
  </w:style>
  <w:style w:type="character" w:customStyle="1" w:styleId="80">
    <w:name w:val="6表头 Char Char"/>
    <w:qFormat/>
    <w:uiPriority w:val="0"/>
    <w:rPr>
      <w:rFonts w:ascii="Times New Roman" w:hAnsi="Times New Roman" w:eastAsia="黑体"/>
      <w:kern w:val="2"/>
      <w:sz w:val="24"/>
      <w:szCs w:val="22"/>
    </w:rPr>
  </w:style>
  <w:style w:type="character" w:customStyle="1" w:styleId="81">
    <w:name w:val="hover15"/>
    <w:basedOn w:val="24"/>
    <w:uiPriority w:val="0"/>
    <w:rPr>
      <w:sz w:val="16"/>
      <w:szCs w:val="16"/>
    </w:rPr>
  </w:style>
  <w:style w:type="paragraph" w:customStyle="1" w:styleId="82">
    <w:name w:val="报告书正文"/>
    <w:basedOn w:val="1"/>
    <w:qFormat/>
    <w:uiPriority w:val="0"/>
    <w:pPr>
      <w:autoSpaceDE w:val="0"/>
      <w:autoSpaceDN w:val="0"/>
      <w:spacing w:line="520" w:lineRule="exact"/>
      <w:ind w:firstLine="200" w:firstLineChars="200"/>
    </w:pPr>
    <w:rPr>
      <w:sz w:val="28"/>
      <w:szCs w:val="28"/>
    </w:rPr>
  </w:style>
  <w:style w:type="paragraph" w:customStyle="1" w:styleId="83">
    <w:name w:val="普通(网站)2"/>
    <w:basedOn w:val="1"/>
    <w:uiPriority w:val="0"/>
    <w:pPr>
      <w:widowControl/>
      <w:spacing w:before="100" w:beforeAutospacing="1" w:after="100" w:afterAutospacing="1"/>
      <w:jc w:val="left"/>
    </w:pPr>
    <w:rPr>
      <w:rFonts w:ascii="宋体" w:hAnsi="宋体"/>
      <w:sz w:val="24"/>
      <w:szCs w:val="20"/>
    </w:rPr>
  </w:style>
  <w:style w:type="paragraph" w:styleId="84">
    <w:name w:val="List Paragraph"/>
    <w:basedOn w:val="1"/>
    <w:qFormat/>
    <w:uiPriority w:val="34"/>
    <w:pPr>
      <w:ind w:firstLine="420" w:firstLineChars="200"/>
    </w:pPr>
  </w:style>
  <w:style w:type="paragraph" w:customStyle="1" w:styleId="85">
    <w:name w:val="表头文字"/>
    <w:qFormat/>
    <w:uiPriority w:val="0"/>
    <w:pPr>
      <w:widowControl w:val="0"/>
      <w:adjustRightInd w:val="0"/>
      <w:snapToGrid w:val="0"/>
      <w:jc w:val="center"/>
    </w:pPr>
    <w:rPr>
      <w:rFonts w:ascii="Times New Roman" w:hAnsi="Times New Roman" w:eastAsia="黑体" w:cs="Times New Roman"/>
      <w:bCs/>
      <w:sz w:val="21"/>
      <w:szCs w:val="24"/>
      <w:lang w:val="en-US" w:eastAsia="zh-CN" w:bidi="ar-SA"/>
    </w:rPr>
  </w:style>
  <w:style w:type="paragraph" w:customStyle="1" w:styleId="86">
    <w:name w:val="样式 正文首行缩进:  2 字符 + 首行缩进:  2 字符"/>
    <w:basedOn w:val="1"/>
    <w:uiPriority w:val="0"/>
    <w:pPr>
      <w:spacing w:line="360" w:lineRule="auto"/>
      <w:ind w:left="100" w:leftChars="100" w:right="100" w:rightChars="100" w:firstLine="480" w:firstLineChars="200"/>
      <w:jc w:val="left"/>
    </w:pPr>
    <w:rPr>
      <w:rFonts w:cs="宋体"/>
      <w:sz w:val="24"/>
      <w:szCs w:val="20"/>
    </w:rPr>
  </w:style>
  <w:style w:type="paragraph" w:customStyle="1" w:styleId="87">
    <w:name w:val="表体（富士康）"/>
    <w:qFormat/>
    <w:uiPriority w:val="0"/>
    <w:pPr>
      <w:adjustRightInd w:val="0"/>
      <w:snapToGrid w:val="0"/>
      <w:jc w:val="center"/>
    </w:pPr>
    <w:rPr>
      <w:rFonts w:ascii="Times New Roman" w:hAnsi="Times New Roman" w:eastAsia="宋体" w:cs="宋体"/>
      <w:bCs/>
      <w:kern w:val="2"/>
      <w:sz w:val="21"/>
      <w:szCs w:val="22"/>
      <w:lang w:val="en-US" w:eastAsia="zh-CN" w:bidi="ar-SA"/>
    </w:rPr>
  </w:style>
  <w:style w:type="paragraph" w:customStyle="1" w:styleId="88">
    <w:name w:val="列出段落1"/>
    <w:basedOn w:val="1"/>
    <w:next w:val="1"/>
    <w:qFormat/>
    <w:uiPriority w:val="34"/>
    <w:pPr>
      <w:spacing w:line="200" w:lineRule="atLeast"/>
      <w:jc w:val="center"/>
    </w:pPr>
    <w:rPr>
      <w:szCs w:val="22"/>
    </w:rPr>
  </w:style>
  <w:style w:type="paragraph" w:customStyle="1" w:styleId="89">
    <w:name w:val="中文报告书样式"/>
    <w:basedOn w:val="1"/>
    <w:semiHidden/>
    <w:uiPriority w:val="0"/>
    <w:pPr>
      <w:adjustRightInd w:val="0"/>
      <w:spacing w:line="480" w:lineRule="atLeast"/>
      <w:ind w:firstLine="482"/>
      <w:textAlignment w:val="baseline"/>
    </w:pPr>
    <w:rPr>
      <w:kern w:val="24"/>
      <w:sz w:val="24"/>
      <w:szCs w:val="20"/>
    </w:rPr>
  </w:style>
  <w:style w:type="paragraph" w:customStyle="1" w:styleId="90">
    <w:name w:val="表格标题1"/>
    <w:basedOn w:val="1"/>
    <w:qFormat/>
    <w:uiPriority w:val="0"/>
    <w:pPr>
      <w:adjustRightInd w:val="0"/>
      <w:snapToGrid w:val="0"/>
      <w:ind w:left="1838" w:hanging="420"/>
    </w:pPr>
    <w:rPr>
      <w:rFonts w:eastAsia="黑体"/>
      <w:sz w:val="24"/>
      <w:szCs w:val="21"/>
    </w:rPr>
  </w:style>
  <w:style w:type="paragraph" w:customStyle="1" w:styleId="91">
    <w:name w:val="3表格内2级标题"/>
    <w:next w:val="51"/>
    <w:link w:val="112"/>
    <w:qFormat/>
    <w:uiPriority w:val="0"/>
    <w:pPr>
      <w:spacing w:line="520" w:lineRule="exact"/>
    </w:pPr>
    <w:rPr>
      <w:rFonts w:ascii="Times New Roman" w:hAnsi="Times New Roman" w:eastAsia="楷体" w:cs="Times New Roman"/>
      <w:b/>
      <w:color w:val="000000"/>
      <w:kern w:val="2"/>
      <w:sz w:val="24"/>
      <w:szCs w:val="24"/>
      <w:lang w:val="en-US" w:eastAsia="zh-CN" w:bidi="ar-SA"/>
    </w:rPr>
  </w:style>
  <w:style w:type="paragraph" w:customStyle="1" w:styleId="92">
    <w:name w:val="亳州样式 正文"/>
    <w:basedOn w:val="5"/>
    <w:qFormat/>
    <w:uiPriority w:val="0"/>
    <w:pPr>
      <w:adjustRightInd w:val="0"/>
      <w:snapToGrid w:val="0"/>
      <w:spacing w:line="360" w:lineRule="auto"/>
      <w:ind w:firstLine="425" w:firstLineChars="177"/>
    </w:pPr>
    <w:rPr>
      <w:rFonts w:ascii="仿宋_GB2312" w:hAnsi="Calibri" w:eastAsia="仿宋_GB2312" w:cs="宋体"/>
      <w:kern w:val="0"/>
      <w:szCs w:val="24"/>
    </w:rPr>
  </w:style>
  <w:style w:type="paragraph" w:customStyle="1" w:styleId="93">
    <w:name w:val="04四级标题"/>
    <w:basedOn w:val="1"/>
    <w:qFormat/>
    <w:uiPriority w:val="0"/>
    <w:pPr>
      <w:spacing w:line="500" w:lineRule="exact"/>
      <w:textAlignment w:val="baseline"/>
      <w:outlineLvl w:val="3"/>
    </w:pPr>
    <w:rPr>
      <w:sz w:val="28"/>
      <w:szCs w:val="20"/>
    </w:rPr>
  </w:style>
  <w:style w:type="paragraph" w:customStyle="1" w:styleId="94">
    <w:name w:val="表内容"/>
    <w:basedOn w:val="1"/>
    <w:uiPriority w:val="0"/>
    <w:pPr>
      <w:jc w:val="center"/>
    </w:pPr>
    <w:rPr>
      <w:szCs w:val="21"/>
    </w:rPr>
  </w:style>
  <w:style w:type="paragraph" w:customStyle="1" w:styleId="95">
    <w:name w:val="铭洁尾矿库 正文"/>
    <w:basedOn w:val="1"/>
    <w:uiPriority w:val="0"/>
    <w:pPr>
      <w:widowControl/>
      <w:spacing w:before="20" w:after="20" w:line="420" w:lineRule="auto"/>
      <w:ind w:firstLine="200" w:firstLineChars="200"/>
    </w:pPr>
    <w:rPr>
      <w:color w:val="3366FF"/>
      <w:w w:val="101"/>
      <w:sz w:val="25"/>
      <w:szCs w:val="25"/>
    </w:rPr>
  </w:style>
  <w:style w:type="paragraph" w:customStyle="1" w:styleId="96">
    <w:name w:val="刘正文"/>
    <w:basedOn w:val="1"/>
    <w:qFormat/>
    <w:uiPriority w:val="0"/>
    <w:pPr>
      <w:spacing w:line="460" w:lineRule="exact"/>
      <w:ind w:firstLine="480" w:firstLineChars="200"/>
      <w:jc w:val="left"/>
    </w:pPr>
    <w:rPr>
      <w:color w:val="000000"/>
      <w:sz w:val="24"/>
    </w:rPr>
  </w:style>
  <w:style w:type="paragraph" w:customStyle="1" w:styleId="97">
    <w:name w:val="正文_10"/>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2表格内1级标题"/>
    <w:next w:val="51"/>
    <w:qFormat/>
    <w:uiPriority w:val="0"/>
    <w:pPr>
      <w:widowControl w:val="0"/>
      <w:spacing w:line="520" w:lineRule="exact"/>
    </w:pPr>
    <w:rPr>
      <w:rFonts w:ascii="Times New Roman" w:hAnsi="Times New Roman" w:eastAsia="宋体" w:cs="Times New Roman"/>
      <w:b/>
      <w:kern w:val="2"/>
      <w:sz w:val="24"/>
      <w:szCs w:val="24"/>
      <w:lang w:val="en-US" w:eastAsia="zh-CN" w:bidi="ar-SA"/>
    </w:rPr>
  </w:style>
  <w:style w:type="paragraph" w:customStyle="1" w:styleId="99">
    <w:name w:val="05正文"/>
    <w:basedOn w:val="1"/>
    <w:link w:val="111"/>
    <w:qFormat/>
    <w:uiPriority w:val="0"/>
    <w:pPr>
      <w:spacing w:line="500" w:lineRule="exact"/>
      <w:ind w:firstLine="200" w:firstLineChars="200"/>
    </w:pPr>
    <w:rPr>
      <w:sz w:val="24"/>
    </w:rPr>
  </w:style>
  <w:style w:type="paragraph" w:customStyle="1" w:styleId="100">
    <w:name w:val="4表格内3级标题"/>
    <w:basedOn w:val="51"/>
    <w:next w:val="51"/>
    <w:qFormat/>
    <w:uiPriority w:val="0"/>
    <w:pPr>
      <w:ind w:firstLine="0" w:firstLineChars="0"/>
      <w:jc w:val="left"/>
    </w:pPr>
  </w:style>
  <w:style w:type="paragraph" w:customStyle="1" w:styleId="101">
    <w:name w:val="刘表格居中"/>
    <w:basedOn w:val="1"/>
    <w:uiPriority w:val="0"/>
    <w:pPr>
      <w:jc w:val="center"/>
    </w:pPr>
    <w:rPr>
      <w:color w:val="000000"/>
      <w:szCs w:val="21"/>
    </w:rPr>
  </w:style>
  <w:style w:type="paragraph" w:customStyle="1" w:styleId="102">
    <w:name w:val="个人正文"/>
    <w:basedOn w:val="1"/>
    <w:qFormat/>
    <w:uiPriority w:val="0"/>
    <w:pPr>
      <w:widowControl/>
      <w:autoSpaceDE w:val="0"/>
      <w:autoSpaceDN w:val="0"/>
      <w:adjustRightInd w:val="0"/>
      <w:spacing w:line="360" w:lineRule="auto"/>
      <w:ind w:firstLine="200" w:firstLineChars="200"/>
      <w:jc w:val="left"/>
      <w:textAlignment w:val="baseline"/>
    </w:pPr>
    <w:rPr>
      <w:kern w:val="0"/>
      <w:sz w:val="24"/>
      <w:szCs w:val="20"/>
    </w:rPr>
  </w:style>
  <w:style w:type="paragraph" w:customStyle="1" w:styleId="103">
    <w:name w:val="5表格内容"/>
    <w:next w:val="1"/>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104">
    <w:name w:val="04正文"/>
    <w:qFormat/>
    <w:uiPriority w:val="0"/>
    <w:pPr>
      <w:snapToGrid w:val="0"/>
      <w:spacing w:line="440" w:lineRule="exact"/>
      <w:ind w:firstLine="200" w:firstLineChars="200"/>
    </w:pPr>
    <w:rPr>
      <w:rFonts w:ascii="Times New Roman" w:hAnsi="Times New Roman" w:eastAsia="宋体" w:cs="Courier New"/>
      <w:kern w:val="2"/>
      <w:sz w:val="21"/>
      <w:szCs w:val="21"/>
      <w:lang w:val="en-US" w:eastAsia="zh-CN" w:bidi="ar-SA"/>
    </w:rPr>
  </w:style>
  <w:style w:type="paragraph" w:customStyle="1" w:styleId="105">
    <w:name w:val="表格文字"/>
    <w:basedOn w:val="1"/>
    <w:next w:val="1"/>
    <w:qFormat/>
    <w:uiPriority w:val="0"/>
    <w:pPr>
      <w:spacing w:line="440" w:lineRule="exact"/>
      <w:jc w:val="center"/>
    </w:pPr>
    <w:rPr>
      <w:rFonts w:hint="eastAsia" w:ascii="仿宋_GB2312" w:hAnsi="Arial Black" w:eastAsia="仿宋_GB2312"/>
      <w:kern w:val="44"/>
      <w:sz w:val="24"/>
      <w:szCs w:val="20"/>
    </w:rPr>
  </w:style>
  <w:style w:type="paragraph" w:customStyle="1" w:styleId="106">
    <w:name w:val="表中文字"/>
    <w:qFormat/>
    <w:uiPriority w:val="0"/>
    <w:pPr>
      <w:widowControl w:val="0"/>
      <w:adjustRightInd w:val="0"/>
      <w:snapToGrid w:val="0"/>
      <w:jc w:val="center"/>
    </w:pPr>
    <w:rPr>
      <w:rFonts w:ascii="Times New Roman" w:hAnsi="Times New Roman" w:eastAsia="黑体" w:cs="Times New Roman"/>
      <w:bCs/>
      <w:sz w:val="21"/>
      <w:szCs w:val="24"/>
      <w:lang w:val="en-US" w:eastAsia="zh-CN" w:bidi="ar-SA"/>
    </w:rPr>
  </w:style>
  <w:style w:type="paragraph" w:customStyle="1" w:styleId="10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08">
    <w:name w:val="02表格内1级标题"/>
    <w:basedOn w:val="12"/>
    <w:next w:val="104"/>
    <w:qFormat/>
    <w:uiPriority w:val="0"/>
    <w:pPr>
      <w:snapToGrid w:val="0"/>
      <w:spacing w:line="480" w:lineRule="exact"/>
    </w:pPr>
    <w:rPr>
      <w:rFonts w:ascii="Times New Roman" w:hAnsi="Times New Roman" w:cs="Courier New"/>
      <w:b/>
      <w:sz w:val="21"/>
      <w:szCs w:val="21"/>
    </w:rPr>
  </w:style>
  <w:style w:type="paragraph" w:customStyle="1" w:styleId="109">
    <w:name w:val="表内字"/>
    <w:qFormat/>
    <w:uiPriority w:val="0"/>
    <w:pPr>
      <w:spacing w:line="320" w:lineRule="exact"/>
      <w:jc w:val="center"/>
    </w:pPr>
    <w:rPr>
      <w:rFonts w:ascii="Times New Roman" w:hAnsi="Times New Roman" w:eastAsia="宋体" w:cs="Times New Roman"/>
      <w:bCs/>
      <w:kern w:val="2"/>
      <w:sz w:val="21"/>
      <w:szCs w:val="21"/>
      <w:lang w:val="en-US" w:eastAsia="zh-CN" w:bidi="ar-SA"/>
    </w:rPr>
  </w:style>
  <w:style w:type="paragraph" w:customStyle="1" w:styleId="110">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111">
    <w:name w:val="05正文 Char"/>
    <w:link w:val="99"/>
    <w:qFormat/>
    <w:locked/>
    <w:uiPriority w:val="0"/>
    <w:rPr>
      <w:kern w:val="2"/>
      <w:sz w:val="24"/>
      <w:szCs w:val="24"/>
    </w:rPr>
  </w:style>
  <w:style w:type="character" w:customStyle="1" w:styleId="112">
    <w:name w:val="3表格内2级标题 Char"/>
    <w:link w:val="91"/>
    <w:uiPriority w:val="0"/>
    <w:rPr>
      <w:rFonts w:eastAsia="楷体"/>
      <w:b/>
      <w:color w:val="000000"/>
      <w:kern w:val="2"/>
      <w:sz w:val="24"/>
      <w:szCs w:val="24"/>
      <w:lang w:bidi="ar-SA"/>
    </w:rPr>
  </w:style>
  <w:style w:type="paragraph" w:customStyle="1" w:styleId="113">
    <w:name w:val="1正文"/>
    <w:basedOn w:val="1"/>
    <w:qFormat/>
    <w:uiPriority w:val="0"/>
    <w:pPr>
      <w:adjustRightInd w:val="0"/>
      <w:snapToGrid w:val="0"/>
      <w:spacing w:beforeLines="50" w:afterLines="50" w:line="360" w:lineRule="auto"/>
      <w:ind w:firstLine="200" w:firstLineChars="200"/>
      <w:jc w:val="left"/>
    </w:pPr>
    <w:rPr>
      <w:kern w:val="0"/>
      <w:sz w:val="24"/>
      <w:szCs w:val="20"/>
    </w:rPr>
  </w:style>
  <w:style w:type="paragraph" w:customStyle="1" w:styleId="114">
    <w:name w:val="简单回函地址"/>
    <w:basedOn w:val="1"/>
    <w:qFormat/>
    <w:uiPriority w:val="0"/>
    <w:rPr>
      <w:sz w:val="24"/>
      <w:szCs w:val="20"/>
    </w:rPr>
  </w:style>
  <w:style w:type="character" w:customStyle="1" w:styleId="115">
    <w:name w:val="报告正文 Char"/>
    <w:link w:val="116"/>
    <w:qFormat/>
    <w:uiPriority w:val="0"/>
    <w:rPr>
      <w:rFonts w:ascii="Verdana" w:hAnsi="Verdana" w:cs="宋体"/>
    </w:rPr>
  </w:style>
  <w:style w:type="paragraph" w:customStyle="1" w:styleId="116">
    <w:name w:val="报告正文"/>
    <w:basedOn w:val="1"/>
    <w:link w:val="115"/>
    <w:qFormat/>
    <w:uiPriority w:val="0"/>
    <w:pPr>
      <w:spacing w:beforeLines="40" w:afterLines="40" w:line="300" w:lineRule="auto"/>
      <w:ind w:firstLine="420" w:firstLineChars="200"/>
      <w:textAlignment w:val="center"/>
    </w:pPr>
    <w:rPr>
      <w:rFonts w:ascii="Verdana" w:hAnsi="Verdana" w:cs="宋体"/>
      <w:kern w:val="0"/>
      <w:sz w:val="20"/>
      <w:szCs w:val="20"/>
    </w:rPr>
  </w:style>
  <w:style w:type="character" w:customStyle="1" w:styleId="117">
    <w:name w:val="06表头 Char"/>
    <w:link w:val="118"/>
    <w:qFormat/>
    <w:locked/>
    <w:uiPriority w:val="0"/>
    <w:rPr>
      <w:rFonts w:eastAsia="黑体" w:cs="Courier New"/>
      <w:kern w:val="2"/>
      <w:sz w:val="24"/>
      <w:szCs w:val="24"/>
    </w:rPr>
  </w:style>
  <w:style w:type="paragraph" w:customStyle="1" w:styleId="118">
    <w:name w:val="06表头"/>
    <w:basedOn w:val="99"/>
    <w:next w:val="99"/>
    <w:link w:val="117"/>
    <w:qFormat/>
    <w:uiPriority w:val="0"/>
    <w:pPr>
      <w:widowControl/>
      <w:snapToGrid w:val="0"/>
      <w:spacing w:line="520" w:lineRule="exact"/>
      <w:ind w:firstLine="480"/>
      <w:jc w:val="left"/>
    </w:pPr>
    <w:rPr>
      <w:rFonts w:eastAsia="黑体" w:cs="Courier New"/>
    </w:rPr>
  </w:style>
  <w:style w:type="paragraph" w:customStyle="1" w:styleId="119">
    <w:name w:val="04表格内2级标题"/>
    <w:basedOn w:val="12"/>
    <w:next w:val="99"/>
    <w:qFormat/>
    <w:uiPriority w:val="0"/>
    <w:pPr>
      <w:spacing w:line="520" w:lineRule="exact"/>
    </w:pPr>
    <w:rPr>
      <w:rFonts w:ascii="Times New Roman" w:hAnsi="Times New Roman"/>
      <w:sz w:val="24"/>
      <w:szCs w:val="21"/>
    </w:rPr>
  </w:style>
  <w:style w:type="character" w:customStyle="1" w:styleId="120">
    <w:name w:val="06表格内容 Char1"/>
    <w:semiHidden/>
    <w:qFormat/>
    <w:locked/>
    <w:uiPriority w:val="0"/>
    <w:rPr>
      <w:rFonts w:ascii="Times New Roman" w:hAnsi="Times New Roman" w:cs="Courier New"/>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9"/>
    <customShpInfo spid="_x0000_s1068"/>
    <customShpInfo spid="_x0000_s1135"/>
    <customShpInfo spid="_x0000_s11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312BCE-24FE-4D17-9B47-F3573F3ED2B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29240</Words>
  <Characters>33459</Characters>
  <Lines>267</Lines>
  <Paragraphs>75</Paragraphs>
  <TotalTime>4284</TotalTime>
  <ScaleCrop>false</ScaleCrop>
  <LinksUpToDate>false</LinksUpToDate>
  <CharactersWithSpaces>34381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未定义</cp:lastModifiedBy>
  <cp:lastPrinted>2023-04-24T00:49:00Z</cp:lastPrinted>
  <dcterms:modified xsi:type="dcterms:W3CDTF">2023-05-09T09:19:44Z</dcterms:modified>
  <dc:title>附件2</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9A92A9592E684135B928C5A19D325720</vt:lpwstr>
  </property>
</Properties>
</file>